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700D" w:rsidRPr="00E614FB" w:rsidRDefault="0005700D" w:rsidP="00FF542D">
      <w:pPr>
        <w:spacing w:line="480" w:lineRule="auto"/>
        <w:rPr>
          <w:rFonts w:asciiTheme="minorHAnsi" w:hAnsiTheme="minorHAnsi" w:cstheme="minorHAnsi"/>
        </w:rPr>
      </w:pPr>
      <w:bookmarkStart w:id="0" w:name="_GoBack"/>
      <w:bookmarkEnd w:id="0"/>
    </w:p>
    <w:sdt>
      <w:sdtPr>
        <w:rPr>
          <w:rFonts w:asciiTheme="minorHAnsi" w:hAnsiTheme="minorHAnsi" w:cstheme="minorHAnsi"/>
          <w:caps/>
        </w:rPr>
        <w:id w:val="7592821"/>
        <w:lock w:val="contentLocked"/>
        <w:placeholder>
          <w:docPart w:val="DefaultPlaceholder_22675703"/>
        </w:placeholder>
        <w:group/>
      </w:sdtPr>
      <w:sdtEndPr/>
      <w:sdtContent>
        <w:p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University of Oklahoma</w:t>
          </w: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Graduate College</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Default="00410044" w:rsidP="00FF542D">
      <w:pPr>
        <w:spacing w:after="0" w:line="480" w:lineRule="auto"/>
        <w:jc w:val="center"/>
        <w:rPr>
          <w:rFonts w:asciiTheme="minorHAnsi" w:hAnsiTheme="minorHAnsi" w:cstheme="minorHAnsi"/>
          <w:caps/>
        </w:rPr>
      </w:pPr>
    </w:p>
    <w:p w:rsidR="0005700D" w:rsidRPr="00E614FB" w:rsidRDefault="0005700D"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alias w:val="Click to enter dissertation title"/>
        <w:tag w:val="Click to enter dissertation title"/>
        <w:id w:val="28311864"/>
        <w:lock w:val="sdtLocked"/>
        <w:placeholder>
          <w:docPart w:val="DefaultPlaceholder_22675703"/>
        </w:placeholder>
      </w:sdtPr>
      <w:sdtEndPr/>
      <w:sdtContent>
        <w:sdt>
          <w:sdtPr>
            <w:rPr>
              <w:rFonts w:asciiTheme="minorHAnsi" w:hAnsiTheme="minorHAnsi" w:cstheme="minorHAnsi"/>
              <w:caps/>
            </w:rPr>
            <w:alias w:val="Click to enter dissertation title"/>
            <w:tag w:val="Click to enter dissertation title"/>
            <w:id w:val="1128587110"/>
            <w:placeholder>
              <w:docPart w:val="98B9BBF81EE548CA91B7EE26E3135AE2"/>
            </w:placeholder>
          </w:sdtPr>
          <w:sdtEndPr/>
          <w:sdtContent>
            <w:p w:rsidR="00410044" w:rsidRPr="00E614FB" w:rsidRDefault="00D774A0" w:rsidP="00D774A0">
              <w:pPr>
                <w:spacing w:after="0" w:line="480" w:lineRule="auto"/>
                <w:jc w:val="center"/>
                <w:rPr>
                  <w:rFonts w:asciiTheme="minorHAnsi" w:hAnsiTheme="minorHAnsi" w:cstheme="minorHAnsi"/>
                  <w:caps/>
                </w:rPr>
              </w:pPr>
              <w:r>
                <w:rPr>
                  <w:rFonts w:asciiTheme="minorHAnsi" w:hAnsiTheme="minorHAnsi" w:cstheme="minorHAnsi"/>
                  <w:caps/>
                </w:rPr>
                <w:t xml:space="preserve">EXPERIMENTAL </w:t>
              </w:r>
              <w:r w:rsidR="003D694B">
                <w:rPr>
                  <w:rFonts w:asciiTheme="minorHAnsi" w:hAnsiTheme="minorHAnsi" w:cstheme="minorHAnsi"/>
                  <w:caps/>
                </w:rPr>
                <w:t xml:space="preserve">and natural </w:t>
              </w:r>
              <w:r>
                <w:rPr>
                  <w:rFonts w:asciiTheme="minorHAnsi" w:hAnsiTheme="minorHAnsi" w:cstheme="minorHAnsi"/>
                  <w:caps/>
                </w:rPr>
                <w:t>STUDIES O</w:t>
              </w:r>
              <w:r w:rsidR="005D1BDD">
                <w:rPr>
                  <w:rFonts w:asciiTheme="minorHAnsi" w:hAnsiTheme="minorHAnsi" w:cstheme="minorHAnsi"/>
                  <w:caps/>
                </w:rPr>
                <w:t>f</w:t>
              </w:r>
              <w:r>
                <w:rPr>
                  <w:rFonts w:asciiTheme="minorHAnsi" w:hAnsiTheme="minorHAnsi" w:cstheme="minorHAnsi"/>
                  <w:caps/>
                </w:rPr>
                <w:t xml:space="preserve"> </w:t>
              </w:r>
              <w:r w:rsidR="005D1BDD">
                <w:rPr>
                  <w:rFonts w:asciiTheme="minorHAnsi" w:hAnsiTheme="minorHAnsi" w:cstheme="minorHAnsi"/>
                  <w:caps/>
                </w:rPr>
                <w:t>Mn and the isotopes of B in granite-pegmatite systems</w:t>
              </w:r>
            </w:p>
          </w:sdtContent>
        </w:sdt>
      </w:sdtContent>
    </w:sdt>
    <w:p w:rsidR="00410044" w:rsidRDefault="00410044" w:rsidP="00410044">
      <w:pPr>
        <w:spacing w:after="0"/>
        <w:jc w:val="center"/>
        <w:rPr>
          <w:rFonts w:asciiTheme="minorHAnsi" w:hAnsiTheme="minorHAnsi" w:cstheme="minorHAnsi"/>
          <w:caps/>
        </w:rPr>
      </w:pPr>
    </w:p>
    <w:p w:rsidR="00410044"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B920BD" w:rsidP="00410044">
      <w:pPr>
        <w:spacing w:after="0"/>
        <w:jc w:val="center"/>
        <w:rPr>
          <w:rFonts w:asciiTheme="minorHAnsi" w:hAnsiTheme="minorHAnsi" w:cstheme="minorHAnsi"/>
          <w:caps/>
        </w:rPr>
      </w:pPr>
      <w:sdt>
        <w:sdtPr>
          <w:rPr>
            <w:rFonts w:asciiTheme="minorHAnsi" w:hAnsiTheme="minorHAnsi" w:cstheme="minorHAnsi"/>
            <w:caps/>
          </w:rPr>
          <w:id w:val="7592848"/>
          <w:lock w:val="contentLocked"/>
          <w:placeholder>
            <w:docPart w:val="DefaultPlaceholder_22675703"/>
          </w:placeholder>
          <w:group/>
        </w:sdtPr>
        <w:sdtEndPr/>
        <w:sdtContent>
          <w:sdt>
            <w:sdtPr>
              <w:rPr>
                <w:rFonts w:asciiTheme="minorHAnsi" w:hAnsiTheme="minorHAnsi" w:cstheme="minorHAnsi"/>
                <w:caps/>
              </w:rPr>
              <w:id w:val="7592822"/>
              <w:lock w:val="contentLocked"/>
              <w:placeholder>
                <w:docPart w:val="DefaultPlaceholder_22675703"/>
              </w:placeholder>
              <w:group/>
            </w:sdtPr>
            <w:sdtEndPr/>
            <w:sdtContent>
              <w:r w:rsidR="00410044" w:rsidRPr="00E614FB">
                <w:rPr>
                  <w:rFonts w:asciiTheme="minorHAnsi" w:hAnsiTheme="minorHAnsi" w:cstheme="minorHAnsi"/>
                  <w:caps/>
                </w:rPr>
                <w:t>A</w:t>
              </w:r>
            </w:sdtContent>
          </w:sdt>
        </w:sdtContent>
      </w:sdt>
      <w:r w:rsidR="00410044" w:rsidRPr="00E614FB">
        <w:rPr>
          <w:rFonts w:asciiTheme="minorHAnsi" w:hAnsiTheme="minorHAnsi" w:cstheme="minorHAnsi"/>
          <w:caps/>
        </w:rPr>
        <w:t xml:space="preserve"> </w:t>
      </w:r>
      <w:sdt>
        <w:sdtPr>
          <w:rPr>
            <w:rFonts w:asciiTheme="minorHAnsi" w:hAnsiTheme="minorHAnsi" w:cstheme="minorHAnsi"/>
            <w:caps/>
          </w:rPr>
          <w:alias w:val="D.M.A. candidates use &quot;document,&quot; all others use &quot;dissertation&quot;"/>
          <w:tag w:val="D.M.A. candidates use &quot;document,&quot; all others use &quot;dissertation&quot;"/>
          <w:id w:val="31407963"/>
          <w:placeholder>
            <w:docPart w:val="DefaultPlaceholder_22675704"/>
          </w:placeholder>
          <w:dropDownList>
            <w:listItem w:displayText="[Dissertation/Document]" w:value="[Dissertation/Document]"/>
            <w:listItem w:displayText="Dissertation" w:value="Dissertation"/>
            <w:listItem w:displayText="Document" w:value="Document"/>
          </w:dropDownList>
        </w:sdtPr>
        <w:sdtEndPr/>
        <w:sdtContent>
          <w:r w:rsidR="00AC0F00">
            <w:rPr>
              <w:rFonts w:asciiTheme="minorHAnsi" w:hAnsiTheme="minorHAnsi" w:cstheme="minorHAnsi"/>
              <w:caps/>
            </w:rPr>
            <w:t>Dissertation</w:t>
          </w:r>
        </w:sdtContent>
      </w:sdt>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id w:val="7592823"/>
        <w:lock w:val="contentLocked"/>
        <w:placeholder>
          <w:docPart w:val="DefaultPlaceholder_22675703"/>
        </w:placeholder>
        <w:group/>
      </w:sdtPr>
      <w:sdtEndPr>
        <w:rPr>
          <w:caps w:val="0"/>
        </w:rPr>
      </w:sdtEndPr>
      <w:sdtContent>
        <w:p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submitted to the graduate faculty</w:t>
          </w: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in partial fulfillment of the re</w:t>
          </w:r>
          <w:r w:rsidR="00E614FB" w:rsidRPr="00E614FB">
            <w:rPr>
              <w:rFonts w:asciiTheme="minorHAnsi" w:hAnsiTheme="minorHAnsi" w:cstheme="minorHAnsi"/>
            </w:rPr>
            <w:t>q</w:t>
          </w:r>
          <w:r w:rsidRPr="00E614FB">
            <w:rPr>
              <w:rFonts w:asciiTheme="minorHAnsi" w:hAnsiTheme="minorHAnsi" w:cstheme="minorHAnsi"/>
            </w:rPr>
            <w:t>uirements for the</w:t>
          </w: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Degree of</w:t>
          </w:r>
        </w:p>
      </w:sdtContent>
    </w:sdt>
    <w:p w:rsidR="00410044" w:rsidRPr="00E614FB" w:rsidRDefault="00410044" w:rsidP="00410044">
      <w:pPr>
        <w:spacing w:after="0"/>
        <w:jc w:val="center"/>
        <w:rPr>
          <w:rFonts w:asciiTheme="minorHAnsi" w:hAnsiTheme="minorHAnsi" w:cstheme="minorHAnsi"/>
        </w:rPr>
      </w:pPr>
    </w:p>
    <w:sdt>
      <w:sdtPr>
        <w:rPr>
          <w:rFonts w:cstheme="minorHAnsi"/>
          <w:caps/>
        </w:rPr>
        <w:alias w:val="Select the exact name of your degree"/>
        <w:tag w:val="Exact name of your degree in ALL CAPS"/>
        <w:id w:val="8173860"/>
        <w:placeholder>
          <w:docPart w:val="FFD885F9F97444AA8B23E253B03CC215"/>
        </w:placeholder>
        <w:dropDownList>
          <w:listItem w:displayText="[DOCTOR OF...]" w:value="[DOCTOR OF...]"/>
          <w:listItem w:displayText="Doctor of Education" w:value="Doctor of Education"/>
          <w:listItem w:displayText="Doctor of Musical Arts" w:value="Doctor of Musical Arts"/>
          <w:listItem w:displayText="Doctor of Philosophy" w:value="Doctor of Philosophy"/>
        </w:dropDownList>
      </w:sdtPr>
      <w:sdtEndPr/>
      <w:sdtContent>
        <w:p w:rsidR="00BA2F37" w:rsidRPr="00E614FB" w:rsidRDefault="00AC0F00" w:rsidP="00BA2F37">
          <w:pPr>
            <w:pStyle w:val="NoSpacing"/>
            <w:spacing w:line="480" w:lineRule="auto"/>
            <w:jc w:val="center"/>
            <w:rPr>
              <w:rFonts w:cstheme="minorHAnsi"/>
              <w:caps/>
            </w:rPr>
          </w:pPr>
          <w:r>
            <w:rPr>
              <w:rFonts w:cstheme="minorHAnsi"/>
              <w:caps/>
            </w:rPr>
            <w:t>Doctor of Philosophy</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rPr>
        <w:id w:val="7592847"/>
        <w:lock w:val="contentLocked"/>
        <w:placeholder>
          <w:docPart w:val="DefaultPlaceholder_22675703"/>
        </w:placeholder>
        <w:group/>
      </w:sdtPr>
      <w:sdtEndPr/>
      <w:sdtContent>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By</w:t>
          </w:r>
        </w:p>
      </w:sdtContent>
    </w:sdt>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alias w:val="Click to enter your name (must match University records)"/>
        <w:tag w:val="Click to enter your name (must match University records)"/>
        <w:id w:val="28311869"/>
        <w:lock w:val="sdtLocked"/>
        <w:placeholder>
          <w:docPart w:val="DefaultPlaceholder_22675703"/>
        </w:placeholder>
      </w:sdtPr>
      <w:sdtEndPr/>
      <w:sdtContent>
        <w:p w:rsidR="00410044" w:rsidRPr="00E614FB" w:rsidRDefault="00AC0F00" w:rsidP="00410044">
          <w:pPr>
            <w:spacing w:after="0"/>
            <w:jc w:val="center"/>
            <w:rPr>
              <w:rFonts w:asciiTheme="minorHAnsi" w:hAnsiTheme="minorHAnsi" w:cstheme="minorHAnsi"/>
              <w:caps/>
            </w:rPr>
          </w:pPr>
          <w:r>
            <w:rPr>
              <w:rFonts w:asciiTheme="minorHAnsi" w:hAnsiTheme="minorHAnsi" w:cstheme="minorHAnsi"/>
              <w:caps/>
            </w:rPr>
            <w:t>James Lavada Maner IV</w:t>
          </w:r>
        </w:p>
      </w:sdtContent>
    </w:sdt>
    <w:sdt>
      <w:sdtPr>
        <w:rPr>
          <w:rFonts w:asciiTheme="minorHAnsi" w:hAnsiTheme="minorHAnsi" w:cstheme="minorHAnsi"/>
        </w:rPr>
        <w:id w:val="7592846"/>
        <w:lock w:val="contentLocked"/>
        <w:placeholder>
          <w:docPart w:val="DefaultPlaceholder_22675703"/>
        </w:placeholder>
        <w:group/>
      </w:sdtPr>
      <w:sdtEndPr/>
      <w:sdtContent>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Norman, Oklahoma</w:t>
          </w:r>
        </w:p>
      </w:sdtContent>
    </w:sdt>
    <w:sdt>
      <w:sdtPr>
        <w:rPr>
          <w:rFonts w:asciiTheme="minorHAnsi" w:hAnsiTheme="minorHAnsi" w:cstheme="minorHAnsi"/>
        </w:rPr>
        <w:alias w:val="Click to enter the year you are depositing the dissertation"/>
        <w:tag w:val="Click to enter the year you are depositing the dissertation"/>
        <w:id w:val="28311870"/>
        <w:placeholder>
          <w:docPart w:val="DefaultPlaceholder_22675703"/>
        </w:placeholder>
      </w:sdtPr>
      <w:sdtEndPr/>
      <w:sdtContent>
        <w:p w:rsidR="00410044" w:rsidRPr="00E614FB" w:rsidRDefault="00AC0F00" w:rsidP="00286C75">
          <w:pPr>
            <w:spacing w:after="0"/>
            <w:jc w:val="center"/>
            <w:rPr>
              <w:rFonts w:asciiTheme="minorHAnsi" w:hAnsiTheme="minorHAnsi" w:cstheme="minorHAnsi"/>
            </w:rPr>
          </w:pPr>
          <w:r>
            <w:rPr>
              <w:rFonts w:asciiTheme="minorHAnsi" w:hAnsiTheme="minorHAnsi" w:cstheme="minorHAnsi"/>
            </w:rPr>
            <w:t>2017</w:t>
          </w:r>
        </w:p>
      </w:sdtContent>
    </w:sdt>
    <w:p w:rsidR="00410044" w:rsidRDefault="00410044" w:rsidP="00410044">
      <w:pPr>
        <w:spacing w:after="0"/>
        <w:jc w:val="center"/>
        <w:rPr>
          <w:rFonts w:asciiTheme="minorHAnsi" w:hAnsiTheme="minorHAnsi" w:cstheme="minorHAnsi"/>
          <w:caps/>
        </w:rPr>
      </w:pPr>
    </w:p>
    <w:p w:rsidR="00013381" w:rsidRDefault="00013381" w:rsidP="00FF542D">
      <w:pPr>
        <w:spacing w:after="0" w:line="480" w:lineRule="auto"/>
        <w:jc w:val="center"/>
        <w:rPr>
          <w:rFonts w:asciiTheme="minorHAnsi" w:hAnsiTheme="minorHAnsi" w:cstheme="minorHAnsi"/>
          <w:caps/>
        </w:rPr>
      </w:pPr>
    </w:p>
    <w:p w:rsidR="00013381" w:rsidRPr="00E614FB" w:rsidRDefault="00013381"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alias w:val="Click to enter dissertation title"/>
        <w:tag w:val="Click to enter dissertation title"/>
        <w:id w:val="28311875"/>
        <w:lock w:val="sdtLocked"/>
        <w:placeholder>
          <w:docPart w:val="DefaultPlaceholder_22675703"/>
        </w:placeholder>
      </w:sdtPr>
      <w:sdtEndPr/>
      <w:sdtContent>
        <w:p w:rsidR="00410044" w:rsidRPr="00E614FB" w:rsidRDefault="00D774A0" w:rsidP="00D774A0">
          <w:pPr>
            <w:spacing w:after="0"/>
            <w:jc w:val="center"/>
            <w:rPr>
              <w:rFonts w:asciiTheme="minorHAnsi" w:hAnsiTheme="minorHAnsi" w:cstheme="minorHAnsi"/>
              <w:caps/>
            </w:rPr>
          </w:pPr>
          <w:r>
            <w:rPr>
              <w:rFonts w:asciiTheme="minorHAnsi" w:hAnsiTheme="minorHAnsi" w:cstheme="minorHAnsi"/>
              <w:caps/>
            </w:rPr>
            <w:t xml:space="preserve">EXPERIMENTAL </w:t>
          </w:r>
          <w:r w:rsidR="003D694B">
            <w:rPr>
              <w:rFonts w:asciiTheme="minorHAnsi" w:hAnsiTheme="minorHAnsi" w:cstheme="minorHAnsi"/>
              <w:caps/>
            </w:rPr>
            <w:t xml:space="preserve">and Natural </w:t>
          </w:r>
          <w:r>
            <w:rPr>
              <w:rFonts w:asciiTheme="minorHAnsi" w:hAnsiTheme="minorHAnsi" w:cstheme="minorHAnsi"/>
              <w:caps/>
            </w:rPr>
            <w:t>STUDIES O</w:t>
          </w:r>
          <w:r w:rsidR="005D1BDD">
            <w:rPr>
              <w:rFonts w:asciiTheme="minorHAnsi" w:hAnsiTheme="minorHAnsi" w:cstheme="minorHAnsi"/>
              <w:caps/>
            </w:rPr>
            <w:t>f</w:t>
          </w:r>
          <w:r>
            <w:rPr>
              <w:rFonts w:asciiTheme="minorHAnsi" w:hAnsiTheme="minorHAnsi" w:cstheme="minorHAnsi"/>
              <w:caps/>
            </w:rPr>
            <w:t xml:space="preserve"> </w:t>
          </w:r>
          <w:r w:rsidR="005D1BDD">
            <w:rPr>
              <w:rFonts w:asciiTheme="minorHAnsi" w:hAnsiTheme="minorHAnsi" w:cstheme="minorHAnsi"/>
              <w:caps/>
            </w:rPr>
            <w:t xml:space="preserve">mn and the isotopes of b </w:t>
          </w:r>
          <w:r>
            <w:rPr>
              <w:rFonts w:asciiTheme="minorHAnsi" w:hAnsiTheme="minorHAnsi" w:cstheme="minorHAnsi"/>
              <w:caps/>
            </w:rPr>
            <w:t>IN GRANITE-PEGMATITE SYSTEMS</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345F8B" w:rsidRPr="00E614FB" w:rsidRDefault="00410044" w:rsidP="00345F8B">
      <w:pPr>
        <w:spacing w:after="0"/>
        <w:jc w:val="center"/>
        <w:rPr>
          <w:rFonts w:asciiTheme="minorHAnsi" w:hAnsiTheme="minorHAnsi" w:cstheme="minorHAnsi"/>
          <w:caps/>
        </w:rPr>
      </w:pPr>
      <w:r w:rsidRPr="00E614FB">
        <w:rPr>
          <w:rFonts w:asciiTheme="minorHAnsi" w:hAnsiTheme="minorHAnsi" w:cstheme="minorHAnsi"/>
          <w:caps/>
        </w:rPr>
        <w:t xml:space="preserve">A </w:t>
      </w:r>
      <w:sdt>
        <w:sdtPr>
          <w:rPr>
            <w:rFonts w:asciiTheme="minorHAnsi" w:hAnsiTheme="minorHAnsi" w:cstheme="minorHAnsi"/>
            <w:caps/>
          </w:rPr>
          <w:alias w:val="D.M.A. candidates use &quot;document,&quot; all others use &quot;dissertation&quot;"/>
          <w:tag w:val="D.M.A. candidates use &quot;document,&quot; all others use &quot;dissertation&quot;"/>
          <w:id w:val="7592825"/>
          <w:placeholder>
            <w:docPart w:val="DefaultPlaceholder_22675704"/>
          </w:placeholder>
          <w:dropDownList>
            <w:listItem w:displayText="[DISSERTATION/DOCUMENT]" w:value="[DISSERTATION/DOCUMENT]"/>
            <w:listItem w:displayText="Dissertation" w:value="Dissertation"/>
            <w:listItem w:displayText="Document" w:value="Document"/>
          </w:dropDownList>
        </w:sdtPr>
        <w:sdtEndPr/>
        <w:sdtContent>
          <w:r w:rsidR="00AC0F00">
            <w:rPr>
              <w:rFonts w:asciiTheme="minorHAnsi" w:hAnsiTheme="minorHAnsi" w:cstheme="minorHAnsi"/>
              <w:caps/>
            </w:rPr>
            <w:t>Dissertation</w:t>
          </w:r>
        </w:sdtContent>
      </w:sdt>
      <w:r w:rsidRPr="00E614FB">
        <w:rPr>
          <w:rFonts w:asciiTheme="minorHAnsi" w:hAnsiTheme="minorHAnsi" w:cstheme="minorHAnsi"/>
          <w:caps/>
        </w:rPr>
        <w:t xml:space="preserve"> </w:t>
      </w:r>
      <w:sdt>
        <w:sdtPr>
          <w:rPr>
            <w:rFonts w:asciiTheme="minorHAnsi" w:hAnsiTheme="minorHAnsi" w:cstheme="minorHAnsi"/>
            <w:caps/>
          </w:rPr>
          <w:id w:val="7592826"/>
          <w:lock w:val="contentLocked"/>
          <w:placeholder>
            <w:docPart w:val="DefaultPlaceholder_22675703"/>
          </w:placeholder>
          <w:group/>
        </w:sdtPr>
        <w:sdtEndPr/>
        <w:sdtContent>
          <w:r w:rsidRPr="00E614FB">
            <w:rPr>
              <w:rFonts w:asciiTheme="minorHAnsi" w:hAnsiTheme="minorHAnsi" w:cstheme="minorHAnsi"/>
              <w:caps/>
            </w:rPr>
            <w:t>approved for the</w:t>
          </w:r>
        </w:sdtContent>
      </w:sdt>
    </w:p>
    <w:sdt>
      <w:sdtPr>
        <w:rPr>
          <w:rFonts w:asciiTheme="minorHAnsi" w:hAnsiTheme="minorHAnsi" w:cstheme="minorHAnsi"/>
          <w:caps/>
        </w:rPr>
        <w:alias w:val="Select the exact name of your academic unit"/>
        <w:tag w:val="Select the exact name of your academic unit"/>
        <w:id w:val="28311811"/>
        <w:placeholder>
          <w:docPart w:val="384EB1281DD84DB6A4A7221152EDBB7C"/>
        </w:placeholder>
        <w:dropDownList>
          <w:listItem w:displayText="[Exact name of your academic unit in all caps]" w:value="[Exact name of your academic unit in all caps]"/>
          <w:listItem w:displayText="School of Aerospace and Mechanical Engineering" w:value="School of Aerospace and Mechanical Engineering"/>
          <w:listItem w:displayText="Department of Anthropology" w:value="Department of Anthropology"/>
          <w:listItem w:displayText="Stephenson School of Biomedical Engineering" w:value="Stephenson School of Biomedical 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listItem w:displayText="School of Visual Arts" w:value="School of Visual Arts"/>
        </w:dropDownList>
      </w:sdtPr>
      <w:sdtEndPr/>
      <w:sdtContent>
        <w:p w:rsidR="00345F8B" w:rsidRPr="00E614FB" w:rsidRDefault="00AC0F00" w:rsidP="00345F8B">
          <w:pPr>
            <w:spacing w:after="0"/>
            <w:jc w:val="center"/>
            <w:rPr>
              <w:rFonts w:asciiTheme="minorHAnsi" w:hAnsiTheme="minorHAnsi" w:cstheme="minorHAnsi"/>
              <w:caps/>
            </w:rPr>
          </w:pPr>
          <w:r>
            <w:rPr>
              <w:rFonts w:asciiTheme="minorHAnsi" w:hAnsiTheme="minorHAnsi" w:cstheme="minorHAnsi"/>
              <w:caps/>
            </w:rPr>
            <w:t>ConocoPhillips School of Geology and Geophysics</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Default="00410044" w:rsidP="00410044">
      <w:pPr>
        <w:spacing w:after="0"/>
        <w:jc w:val="center"/>
        <w:rPr>
          <w:rFonts w:asciiTheme="minorHAnsi" w:hAnsiTheme="minorHAnsi" w:cstheme="minorHAnsi"/>
          <w:caps/>
        </w:rPr>
      </w:pPr>
    </w:p>
    <w:p w:rsidR="00FF542D" w:rsidRDefault="00FF542D" w:rsidP="00FF542D">
      <w:pPr>
        <w:spacing w:after="0" w:line="480" w:lineRule="auto"/>
        <w:jc w:val="center"/>
        <w:rPr>
          <w:rFonts w:asciiTheme="minorHAnsi" w:hAnsiTheme="minorHAnsi" w:cstheme="minorHAnsi"/>
          <w:caps/>
        </w:rPr>
      </w:pPr>
    </w:p>
    <w:p w:rsidR="00FF542D" w:rsidRPr="00E614FB" w:rsidRDefault="00FF542D"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id w:val="7592827"/>
        <w:lock w:val="contentLocked"/>
        <w:placeholder>
          <w:docPart w:val="DefaultPlaceholder_22675703"/>
        </w:placeholder>
        <w:group/>
      </w:sdtPr>
      <w:sdtEndPr/>
      <w:sdtContent>
        <w:p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By</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FF542D">
      <w:pPr>
        <w:spacing w:after="0" w:line="480" w:lineRule="auto"/>
        <w:jc w:val="center"/>
        <w:rPr>
          <w:rFonts w:asciiTheme="minorHAnsi" w:hAnsiTheme="minorHAnsi" w:cstheme="minorHAnsi"/>
          <w:caps/>
        </w:rPr>
      </w:pPr>
    </w:p>
    <w:p w:rsidR="00410044" w:rsidRDefault="00410044" w:rsidP="00410044">
      <w:pPr>
        <w:spacing w:after="0"/>
        <w:jc w:val="center"/>
        <w:rPr>
          <w:rFonts w:asciiTheme="minorHAnsi" w:hAnsiTheme="minorHAnsi" w:cstheme="minorHAnsi"/>
          <w:caps/>
        </w:rPr>
      </w:pPr>
    </w:p>
    <w:p w:rsidR="00FF542D" w:rsidRDefault="00FF542D" w:rsidP="00410044">
      <w:pPr>
        <w:spacing w:after="0"/>
        <w:jc w:val="center"/>
        <w:rPr>
          <w:rFonts w:asciiTheme="minorHAnsi" w:hAnsiTheme="minorHAnsi" w:cstheme="minorHAnsi"/>
          <w:caps/>
        </w:rPr>
      </w:pPr>
    </w:p>
    <w:p w:rsidR="00FF542D" w:rsidRPr="00E614FB" w:rsidRDefault="00FF542D" w:rsidP="00410044">
      <w:pPr>
        <w:spacing w:after="0"/>
        <w:jc w:val="center"/>
        <w:rPr>
          <w:rFonts w:asciiTheme="minorHAnsi" w:hAnsiTheme="minorHAnsi" w:cstheme="minorHAnsi"/>
          <w:caps/>
        </w:rPr>
      </w:pPr>
    </w:p>
    <w:sdt>
      <w:sdtPr>
        <w:rPr>
          <w:rFonts w:asciiTheme="minorHAnsi" w:hAnsiTheme="minorHAnsi" w:cstheme="minorHAnsi"/>
          <w:caps/>
        </w:rPr>
        <w:id w:val="7592828"/>
        <w:lock w:val="contentLocked"/>
        <w:placeholder>
          <w:docPart w:val="DefaultPlaceholder_22675703"/>
        </w:placeholder>
        <w:group/>
      </w:sdtPr>
      <w:sdtEndPr/>
      <w:sdtContent>
        <w:p w:rsidR="00410044" w:rsidRPr="00E614FB" w:rsidRDefault="00410044" w:rsidP="00410044">
          <w:pPr>
            <w:spacing w:after="0"/>
            <w:jc w:val="right"/>
            <w:rPr>
              <w:rFonts w:asciiTheme="minorHAnsi" w:hAnsiTheme="minorHAnsi" w:cstheme="minorHAnsi"/>
              <w:caps/>
            </w:rPr>
          </w:pPr>
          <w:r w:rsidRPr="00E614FB">
            <w:rPr>
              <w:rFonts w:asciiTheme="minorHAnsi" w:hAnsiTheme="minorHAnsi" w:cstheme="minorHAnsi"/>
              <w:caps/>
            </w:rPr>
            <w:t>______________________________</w:t>
          </w:r>
        </w:p>
      </w:sdtContent>
    </w:sdt>
    <w:p w:rsidR="00410044" w:rsidRPr="00E614FB" w:rsidRDefault="00B920BD" w:rsidP="00410044">
      <w:pPr>
        <w:spacing w:after="0"/>
        <w:jc w:val="right"/>
        <w:rPr>
          <w:rFonts w:asciiTheme="minorHAnsi" w:hAnsiTheme="minorHAnsi" w:cstheme="minorHAnsi"/>
        </w:rPr>
      </w:pPr>
      <w:sdt>
        <w:sdtPr>
          <w:rPr>
            <w:rFonts w:asciiTheme="minorHAnsi" w:hAnsiTheme="minorHAnsi" w:cstheme="minorHAnsi"/>
          </w:rPr>
          <w:id w:val="7592835"/>
          <w:lock w:val="contentLocked"/>
          <w:placeholder>
            <w:docPart w:val="DefaultPlaceholder_22675703"/>
          </w:placeholder>
          <w:group/>
        </w:sdtPr>
        <w:sdtEndPr/>
        <w:sdtContent>
          <w:r w:rsidR="00224CAB" w:rsidRPr="00E614FB">
            <w:rPr>
              <w:rFonts w:asciiTheme="minorHAnsi" w:hAnsiTheme="minorHAnsi" w:cstheme="minorHAnsi"/>
            </w:rPr>
            <w:t>Dr.</w:t>
          </w:r>
        </w:sdtContent>
      </w:sdt>
      <w:r w:rsidR="00224CAB" w:rsidRPr="00E614FB">
        <w:rPr>
          <w:rFonts w:asciiTheme="minorHAnsi" w:hAnsiTheme="minorHAnsi" w:cstheme="minorHAnsi"/>
        </w:rPr>
        <w:t xml:space="preserve"> </w:t>
      </w:r>
      <w:sdt>
        <w:sdtPr>
          <w:rPr>
            <w:rFonts w:asciiTheme="minorHAnsi" w:hAnsiTheme="minorHAnsi" w:cstheme="minorHAnsi"/>
          </w:rPr>
          <w:alias w:val="Click to enter committee chair name"/>
          <w:tag w:val="committee chair"/>
          <w:id w:val="28311840"/>
          <w:lock w:val="sdtLocked"/>
          <w:placeholder>
            <w:docPart w:val="DefaultPlaceholder_22675703"/>
          </w:placeholder>
        </w:sdtPr>
        <w:sdtEndPr/>
        <w:sdtContent>
          <w:r w:rsidR="00AC0F00">
            <w:rPr>
              <w:rFonts w:asciiTheme="minorHAnsi" w:hAnsiTheme="minorHAnsi" w:cstheme="minorHAnsi"/>
            </w:rPr>
            <w:t>David London</w:t>
          </w:r>
        </w:sdtContent>
      </w:sdt>
      <w:sdt>
        <w:sdtPr>
          <w:rPr>
            <w:rFonts w:asciiTheme="minorHAnsi" w:hAnsiTheme="minorHAnsi" w:cstheme="minorHAnsi"/>
          </w:rPr>
          <w:id w:val="7592829"/>
          <w:lock w:val="contentLocked"/>
          <w:placeholder>
            <w:docPart w:val="DefaultPlaceholder_22675703"/>
          </w:placeholder>
          <w:group/>
        </w:sdtPr>
        <w:sdtEndPr/>
        <w:sdtContent>
          <w:r w:rsidR="00410044" w:rsidRPr="00E614FB">
            <w:rPr>
              <w:rFonts w:asciiTheme="minorHAnsi" w:hAnsiTheme="minorHAnsi" w:cstheme="minorHAnsi"/>
            </w:rPr>
            <w:t>, Chair</w:t>
          </w:r>
        </w:sdtContent>
      </w:sdt>
    </w:p>
    <w:p w:rsidR="00410044" w:rsidRPr="00E614FB" w:rsidRDefault="00410044" w:rsidP="00410044">
      <w:pPr>
        <w:spacing w:after="0"/>
        <w:jc w:val="right"/>
        <w:rPr>
          <w:rFonts w:asciiTheme="minorHAnsi" w:hAnsiTheme="minorHAnsi" w:cstheme="minorHAnsi"/>
        </w:rPr>
      </w:pPr>
    </w:p>
    <w:p w:rsidR="00410044" w:rsidRPr="00E614FB" w:rsidRDefault="00410044" w:rsidP="00410044">
      <w:pPr>
        <w:spacing w:after="0"/>
        <w:jc w:val="right"/>
        <w:rPr>
          <w:rFonts w:asciiTheme="minorHAnsi" w:hAnsiTheme="minorHAnsi" w:cstheme="minorHAnsi"/>
        </w:rPr>
      </w:pPr>
    </w:p>
    <w:sdt>
      <w:sdtPr>
        <w:rPr>
          <w:rFonts w:asciiTheme="minorHAnsi" w:hAnsiTheme="minorHAnsi" w:cstheme="minorHAnsi"/>
        </w:rPr>
        <w:id w:val="7592830"/>
        <w:lock w:val="contentLocked"/>
        <w:placeholder>
          <w:docPart w:val="DefaultPlaceholder_22675703"/>
        </w:placeholder>
        <w:group/>
      </w:sdtPr>
      <w:sdtEndPr/>
      <w:sdtContent>
        <w:p w:rsidR="00410044" w:rsidRPr="00E614FB" w:rsidRDefault="00410044" w:rsidP="0041004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rsidR="00410044" w:rsidRPr="00E614FB" w:rsidRDefault="00B920BD" w:rsidP="0041004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45"/>
          <w:placeholder>
            <w:docPart w:val="DefaultPlaceholder_22675704"/>
          </w:placeholder>
          <w:dropDownList>
            <w:listItem w:displayText="[Prefix]" w:value="[Prefix]"/>
            <w:listItem w:displayText="Dr." w:value="Dr."/>
            <w:listItem w:displayText="Mr." w:value="Mr."/>
            <w:listItem w:displayText="Mrs." w:value="Mrs."/>
            <w:listItem w:displayText="Ms." w:value="Ms."/>
          </w:dropDownList>
        </w:sdtPr>
        <w:sdtEndPr/>
        <w:sdtContent>
          <w:r w:rsidR="00AC0F00">
            <w:rPr>
              <w:rFonts w:asciiTheme="minorHAnsi" w:hAnsiTheme="minorHAnsi" w:cstheme="minorHAnsi"/>
            </w:rPr>
            <w:t>Dr.</w:t>
          </w:r>
        </w:sdtContent>
      </w:sdt>
      <w:r w:rsidR="00410044" w:rsidRPr="00E614FB">
        <w:rPr>
          <w:rFonts w:asciiTheme="minorHAnsi" w:hAnsiTheme="minorHAnsi" w:cstheme="minorHAnsi"/>
        </w:rPr>
        <w:t xml:space="preserve"> </w:t>
      </w:r>
      <w:sdt>
        <w:sdtPr>
          <w:rPr>
            <w:rFonts w:asciiTheme="minorHAnsi" w:hAnsiTheme="minorHAnsi" w:cstheme="minorHAnsi"/>
          </w:rPr>
          <w:alias w:val="Click to enter 2nd member name"/>
          <w:tag w:val="2nd member"/>
          <w:id w:val="28311849"/>
          <w:lock w:val="sdtLocked"/>
          <w:placeholder>
            <w:docPart w:val="DefaultPlaceholder_22675703"/>
          </w:placeholder>
        </w:sdtPr>
        <w:sdtEndPr/>
        <w:sdtContent>
          <w:r w:rsidR="00AC0F00">
            <w:rPr>
              <w:rFonts w:asciiTheme="minorHAnsi" w:hAnsiTheme="minorHAnsi" w:cstheme="minorHAnsi"/>
            </w:rPr>
            <w:t>Andrew S. Elwood Madden</w:t>
          </w:r>
        </w:sdtContent>
      </w:sdt>
    </w:p>
    <w:p w:rsidR="00825684" w:rsidRPr="00E614FB" w:rsidRDefault="00825684" w:rsidP="00825684">
      <w:pPr>
        <w:spacing w:after="0"/>
        <w:jc w:val="right"/>
        <w:rPr>
          <w:rFonts w:asciiTheme="minorHAnsi" w:hAnsiTheme="minorHAnsi" w:cstheme="minorHAnsi"/>
        </w:rPr>
      </w:pPr>
    </w:p>
    <w:p w:rsidR="00825684" w:rsidRPr="00E614FB" w:rsidRDefault="00825684" w:rsidP="00825684">
      <w:pPr>
        <w:spacing w:after="0"/>
        <w:jc w:val="right"/>
        <w:rPr>
          <w:rFonts w:asciiTheme="minorHAnsi" w:hAnsiTheme="minorHAnsi" w:cstheme="minorHAnsi"/>
        </w:rPr>
      </w:pPr>
    </w:p>
    <w:sdt>
      <w:sdtPr>
        <w:rPr>
          <w:rFonts w:asciiTheme="minorHAnsi" w:hAnsiTheme="minorHAnsi" w:cstheme="minorHAnsi"/>
        </w:rPr>
        <w:id w:val="7592831"/>
        <w:lock w:val="contentLocked"/>
        <w:placeholder>
          <w:docPart w:val="DefaultPlaceholder_22675703"/>
        </w:placeholder>
        <w:group/>
      </w:sdtPr>
      <w:sdtEndPr/>
      <w:sdtContent>
        <w:p w:rsidR="00825684" w:rsidRPr="00E614FB" w:rsidRDefault="00825684" w:rsidP="0082568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rsidR="00825684" w:rsidRPr="00E614FB" w:rsidRDefault="00B920BD" w:rsidP="0082568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57"/>
          <w:placeholder>
            <w:docPart w:val="5012952D2F334927B97B3ABCDDF5CA5D"/>
          </w:placeholder>
          <w:dropDownList>
            <w:listItem w:displayText="[Prefix]" w:value="[Prefix]"/>
            <w:listItem w:displayText="Dr." w:value="Dr."/>
            <w:listItem w:displayText="Mr." w:value="Mr."/>
            <w:listItem w:displayText="Mrs." w:value="Mrs."/>
            <w:listItem w:displayText="Ms." w:value="Ms."/>
          </w:dropDownList>
        </w:sdtPr>
        <w:sdtEndPr/>
        <w:sdtContent>
          <w:r w:rsidR="00AC0F00">
            <w:rPr>
              <w:rFonts w:asciiTheme="minorHAnsi" w:hAnsiTheme="minorHAnsi" w:cstheme="minorHAnsi"/>
            </w:rPr>
            <w:t>Dr.</w:t>
          </w:r>
        </w:sdtContent>
      </w:sdt>
      <w:r w:rsidR="00825684" w:rsidRPr="00E614FB">
        <w:rPr>
          <w:rFonts w:asciiTheme="minorHAnsi" w:hAnsiTheme="minorHAnsi" w:cstheme="minorHAnsi"/>
        </w:rPr>
        <w:t xml:space="preserve"> </w:t>
      </w:r>
      <w:sdt>
        <w:sdtPr>
          <w:rPr>
            <w:rFonts w:asciiTheme="minorHAnsi" w:hAnsiTheme="minorHAnsi" w:cstheme="minorHAnsi"/>
          </w:rPr>
          <w:alias w:val="Click to enter 3rd member name"/>
          <w:tag w:val="3rd member"/>
          <w:id w:val="28311858"/>
          <w:placeholder>
            <w:docPart w:val="5FAB1FB5E15348DABA0AA160ACC9FF74"/>
          </w:placeholder>
        </w:sdtPr>
        <w:sdtEndPr/>
        <w:sdtContent>
          <w:r w:rsidR="00AC0F00">
            <w:rPr>
              <w:rFonts w:asciiTheme="minorHAnsi" w:hAnsiTheme="minorHAnsi" w:cstheme="minorHAnsi"/>
            </w:rPr>
            <w:t>Barry L. Weaver</w:t>
          </w:r>
        </w:sdtContent>
      </w:sdt>
    </w:p>
    <w:p w:rsidR="00825684" w:rsidRPr="00E614FB" w:rsidRDefault="00825684" w:rsidP="00825684">
      <w:pPr>
        <w:spacing w:after="0"/>
        <w:jc w:val="right"/>
        <w:rPr>
          <w:rFonts w:asciiTheme="minorHAnsi" w:hAnsiTheme="minorHAnsi" w:cstheme="minorHAnsi"/>
        </w:rPr>
      </w:pPr>
    </w:p>
    <w:p w:rsidR="00825684" w:rsidRPr="00E614FB" w:rsidRDefault="00825684" w:rsidP="00825684">
      <w:pPr>
        <w:spacing w:after="0"/>
        <w:jc w:val="right"/>
        <w:rPr>
          <w:rFonts w:asciiTheme="minorHAnsi" w:hAnsiTheme="minorHAnsi" w:cstheme="minorHAnsi"/>
        </w:rPr>
      </w:pPr>
    </w:p>
    <w:sdt>
      <w:sdtPr>
        <w:rPr>
          <w:rFonts w:asciiTheme="minorHAnsi" w:hAnsiTheme="minorHAnsi" w:cstheme="minorHAnsi"/>
        </w:rPr>
        <w:id w:val="7592832"/>
        <w:lock w:val="contentLocked"/>
        <w:placeholder>
          <w:docPart w:val="DefaultPlaceholder_22675703"/>
        </w:placeholder>
        <w:group/>
      </w:sdtPr>
      <w:sdtEndPr/>
      <w:sdtContent>
        <w:p w:rsidR="00825684" w:rsidRPr="00E614FB" w:rsidRDefault="00825684" w:rsidP="0082568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rsidR="00825684" w:rsidRPr="00E614FB" w:rsidRDefault="00B920BD" w:rsidP="0082568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59"/>
          <w:placeholder>
            <w:docPart w:val="2613775B354B424AB754EC5C5EDF9F93"/>
          </w:placeholder>
          <w:dropDownList>
            <w:listItem w:displayText="[Prefix]" w:value="[Prefix]"/>
            <w:listItem w:displayText="Dr." w:value="Dr."/>
            <w:listItem w:displayText="Mr." w:value="Mr."/>
            <w:listItem w:displayText="Mrs." w:value="Mrs."/>
            <w:listItem w:displayText="Ms." w:value="Ms."/>
          </w:dropDownList>
        </w:sdtPr>
        <w:sdtEndPr/>
        <w:sdtContent>
          <w:r w:rsidR="00AC0F00">
            <w:rPr>
              <w:rFonts w:asciiTheme="minorHAnsi" w:hAnsiTheme="minorHAnsi" w:cstheme="minorHAnsi"/>
            </w:rPr>
            <w:t>Dr.</w:t>
          </w:r>
        </w:sdtContent>
      </w:sdt>
      <w:r w:rsidR="00825684" w:rsidRPr="00E614FB">
        <w:rPr>
          <w:rFonts w:asciiTheme="minorHAnsi" w:hAnsiTheme="minorHAnsi" w:cstheme="minorHAnsi"/>
        </w:rPr>
        <w:t xml:space="preserve"> </w:t>
      </w:r>
      <w:sdt>
        <w:sdtPr>
          <w:rPr>
            <w:rFonts w:asciiTheme="minorHAnsi" w:hAnsiTheme="minorHAnsi" w:cstheme="minorHAnsi"/>
          </w:rPr>
          <w:alias w:val="Click to enter 4th member name"/>
          <w:tag w:val="4th member"/>
          <w:id w:val="28311860"/>
          <w:placeholder>
            <w:docPart w:val="7A19CBBEBA334B5EB6066CBA073C5C45"/>
          </w:placeholder>
        </w:sdtPr>
        <w:sdtEndPr/>
        <w:sdtContent>
          <w:r w:rsidR="00AC0F00">
            <w:rPr>
              <w:rFonts w:asciiTheme="minorHAnsi" w:hAnsiTheme="minorHAnsi" w:cstheme="minorHAnsi"/>
            </w:rPr>
            <w:t>Robert Thomson</w:t>
          </w:r>
        </w:sdtContent>
      </w:sdt>
    </w:p>
    <w:p w:rsidR="00825684" w:rsidRPr="00E614FB" w:rsidRDefault="00825684" w:rsidP="00825684">
      <w:pPr>
        <w:spacing w:after="0"/>
        <w:jc w:val="right"/>
        <w:rPr>
          <w:rFonts w:asciiTheme="minorHAnsi" w:hAnsiTheme="minorHAnsi" w:cstheme="minorHAnsi"/>
        </w:rPr>
      </w:pPr>
    </w:p>
    <w:p w:rsidR="00825684" w:rsidRPr="00E614FB" w:rsidRDefault="00825684" w:rsidP="00825684">
      <w:pPr>
        <w:spacing w:after="0"/>
        <w:jc w:val="right"/>
        <w:rPr>
          <w:rFonts w:asciiTheme="minorHAnsi" w:hAnsiTheme="minorHAnsi" w:cstheme="minorHAnsi"/>
        </w:rPr>
      </w:pPr>
    </w:p>
    <w:sdt>
      <w:sdtPr>
        <w:rPr>
          <w:rFonts w:asciiTheme="minorHAnsi" w:hAnsiTheme="minorHAnsi" w:cstheme="minorHAnsi"/>
        </w:rPr>
        <w:id w:val="7592833"/>
        <w:lock w:val="contentLocked"/>
        <w:placeholder>
          <w:docPart w:val="DefaultPlaceholder_22675703"/>
        </w:placeholder>
        <w:group/>
      </w:sdtPr>
      <w:sdtEndPr/>
      <w:sdtContent>
        <w:p w:rsidR="00825684" w:rsidRPr="00E614FB" w:rsidRDefault="00825684" w:rsidP="0082568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rsidR="00825684" w:rsidRPr="00E614FB" w:rsidRDefault="00B920BD" w:rsidP="0082568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61"/>
          <w:placeholder>
            <w:docPart w:val="40DEB334B1214EAB8BECEA2C35410828"/>
          </w:placeholder>
          <w:dropDownList>
            <w:listItem w:displayText="[Prefix]" w:value="[Prefix]"/>
            <w:listItem w:displayText="Dr." w:value="Dr."/>
            <w:listItem w:displayText="Mr." w:value="Mr."/>
            <w:listItem w:displayText="Mrs." w:value="Mrs."/>
            <w:listItem w:displayText="Ms." w:value="Ms."/>
          </w:dropDownList>
        </w:sdtPr>
        <w:sdtEndPr/>
        <w:sdtContent>
          <w:r w:rsidR="00AC0F00">
            <w:rPr>
              <w:rFonts w:asciiTheme="minorHAnsi" w:hAnsiTheme="minorHAnsi" w:cstheme="minorHAnsi"/>
            </w:rPr>
            <w:t>Dr.</w:t>
          </w:r>
        </w:sdtContent>
      </w:sdt>
      <w:r w:rsidR="00825684" w:rsidRPr="00E614FB">
        <w:rPr>
          <w:rFonts w:asciiTheme="minorHAnsi" w:hAnsiTheme="minorHAnsi" w:cstheme="minorHAnsi"/>
        </w:rPr>
        <w:t xml:space="preserve"> </w:t>
      </w:r>
      <w:sdt>
        <w:sdtPr>
          <w:rPr>
            <w:rFonts w:asciiTheme="minorHAnsi" w:hAnsiTheme="minorHAnsi" w:cstheme="minorHAnsi"/>
          </w:rPr>
          <w:alias w:val="Click to enter 5th member name"/>
          <w:tag w:val="5th member"/>
          <w:id w:val="28311862"/>
          <w:placeholder>
            <w:docPart w:val="F4E1D8E92F2F42A49593A2DCA94FDE4B"/>
          </w:placeholder>
        </w:sdtPr>
        <w:sdtEndPr/>
        <w:sdtContent>
          <w:r w:rsidR="00AC0F00">
            <w:rPr>
              <w:rFonts w:asciiTheme="minorHAnsi" w:hAnsiTheme="minorHAnsi" w:cstheme="minorHAnsi"/>
            </w:rPr>
            <w:t>George R. Rossman</w:t>
          </w:r>
        </w:sdtContent>
      </w:sdt>
    </w:p>
    <w:p w:rsidR="00410044" w:rsidRPr="00E614FB" w:rsidRDefault="00410044" w:rsidP="00FF542D">
      <w:pP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Default="00410044" w:rsidP="00410044">
      <w:pPr>
        <w:spacing w:after="0"/>
        <w:jc w:val="center"/>
        <w:rPr>
          <w:rFonts w:asciiTheme="minorHAnsi" w:hAnsiTheme="minorHAnsi" w:cstheme="minorHAnsi"/>
        </w:rPr>
      </w:pPr>
    </w:p>
    <w:p w:rsidR="00615FA4" w:rsidRDefault="00615FA4" w:rsidP="00410044">
      <w:pPr>
        <w:spacing w:after="0"/>
        <w:jc w:val="center"/>
        <w:rPr>
          <w:rFonts w:asciiTheme="minorHAnsi" w:hAnsiTheme="minorHAnsi" w:cstheme="minorHAnsi"/>
        </w:rPr>
      </w:pPr>
    </w:p>
    <w:p w:rsidR="00410044" w:rsidRDefault="00410044" w:rsidP="00410044">
      <w:pPr>
        <w:spacing w:after="0"/>
        <w:jc w:val="center"/>
        <w:rPr>
          <w:rFonts w:asciiTheme="minorHAnsi" w:hAnsiTheme="minorHAnsi" w:cstheme="minorHAnsi"/>
        </w:rPr>
      </w:pPr>
    </w:p>
    <w:p w:rsidR="00FF542D" w:rsidRDefault="00FF542D" w:rsidP="00410044">
      <w:pPr>
        <w:spacing w:after="0"/>
        <w:jc w:val="center"/>
        <w:rPr>
          <w:rFonts w:asciiTheme="minorHAnsi" w:hAnsiTheme="minorHAnsi" w:cstheme="minorHAnsi"/>
        </w:rPr>
      </w:pPr>
    </w:p>
    <w:p w:rsidR="00FF542D" w:rsidRDefault="00FF542D" w:rsidP="00FF542D">
      <w:pPr>
        <w:spacing w:after="0"/>
        <w:jc w:val="center"/>
        <w:rPr>
          <w:rFonts w:asciiTheme="minorHAnsi" w:hAnsiTheme="minorHAnsi" w:cstheme="minorHAnsi"/>
        </w:rPr>
      </w:pPr>
    </w:p>
    <w:p w:rsidR="00FF542D" w:rsidRPr="00E614FB" w:rsidRDefault="00FF542D" w:rsidP="00FF542D">
      <w:pPr>
        <w:spacing w:after="0" w:line="480" w:lineRule="auto"/>
        <w:jc w:val="center"/>
        <w:rPr>
          <w:rFonts w:asciiTheme="minorHAnsi" w:hAnsiTheme="minorHAnsi" w:cstheme="minorHAnsi"/>
        </w:rPr>
      </w:pPr>
    </w:p>
    <w:p w:rsidR="00F77B81" w:rsidRPr="00E614FB" w:rsidRDefault="00F77B81"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B920BD" w:rsidP="00410044">
      <w:pPr>
        <w:spacing w:after="0"/>
        <w:jc w:val="center"/>
        <w:rPr>
          <w:rFonts w:asciiTheme="minorHAnsi" w:hAnsiTheme="minorHAnsi" w:cstheme="minorHAnsi"/>
        </w:rPr>
      </w:pPr>
      <w:sdt>
        <w:sdtPr>
          <w:rPr>
            <w:rFonts w:asciiTheme="minorHAnsi" w:hAnsiTheme="minorHAnsi" w:cstheme="minorHAnsi"/>
          </w:rPr>
          <w:id w:val="7592836"/>
          <w:lock w:val="contentLocked"/>
          <w:placeholder>
            <w:docPart w:val="DefaultPlaceholder_22675703"/>
          </w:placeholder>
          <w:group/>
        </w:sdtPr>
        <w:sdtEndPr/>
        <w:sdtContent>
          <w:r w:rsidR="00410044" w:rsidRPr="00E614FB">
            <w:rPr>
              <w:rFonts w:asciiTheme="minorHAnsi" w:hAnsiTheme="minorHAnsi" w:cstheme="minorHAnsi"/>
            </w:rPr>
            <w:t>© Copyright by</w:t>
          </w:r>
        </w:sdtContent>
      </w:sdt>
      <w:r w:rsidR="00410044" w:rsidRPr="00E614FB">
        <w:rPr>
          <w:rFonts w:asciiTheme="minorHAnsi" w:hAnsiTheme="minorHAnsi" w:cstheme="minorHAnsi"/>
        </w:rPr>
        <w:t xml:space="preserve"> </w:t>
      </w:r>
      <w:sdt>
        <w:sdtPr>
          <w:rPr>
            <w:rFonts w:asciiTheme="minorHAnsi" w:hAnsiTheme="minorHAnsi" w:cstheme="minorHAnsi"/>
            <w:caps/>
          </w:rPr>
          <w:alias w:val="Click to enter your name (must match University records)"/>
          <w:tag w:val="Click to enter your name (must match University records)"/>
          <w:id w:val="28311881"/>
          <w:lock w:val="sdtLocked"/>
          <w:placeholder>
            <w:docPart w:val="DefaultPlaceholder_22675703"/>
          </w:placeholder>
        </w:sdtPr>
        <w:sdtEndPr/>
        <w:sdtContent>
          <w:r w:rsidR="00665C0F">
            <w:rPr>
              <w:rFonts w:asciiTheme="minorHAnsi" w:hAnsiTheme="minorHAnsi" w:cstheme="minorHAnsi"/>
              <w:caps/>
            </w:rPr>
            <w:t>James Lavada Maner iv</w:t>
          </w:r>
        </w:sdtContent>
      </w:sdt>
      <w:r w:rsidR="00410044" w:rsidRPr="00E614FB">
        <w:rPr>
          <w:rFonts w:asciiTheme="minorHAnsi" w:hAnsiTheme="minorHAnsi" w:cstheme="minorHAnsi"/>
        </w:rPr>
        <w:t xml:space="preserve"> </w:t>
      </w:r>
      <w:sdt>
        <w:sdtPr>
          <w:rPr>
            <w:rFonts w:asciiTheme="minorHAnsi" w:hAnsiTheme="minorHAnsi" w:cstheme="minorHAnsi"/>
          </w:rPr>
          <w:alias w:val="Click to enter the year you are depositing the dissertation"/>
          <w:tag w:val="Click to enter the year you are depositing the dissertation"/>
          <w:id w:val="28311882"/>
          <w:lock w:val="sdtLocked"/>
          <w:placeholder>
            <w:docPart w:val="DefaultPlaceholder_22675703"/>
          </w:placeholder>
        </w:sdtPr>
        <w:sdtEndPr/>
        <w:sdtContent>
          <w:r w:rsidR="00665C0F">
            <w:rPr>
              <w:rFonts w:asciiTheme="minorHAnsi" w:hAnsiTheme="minorHAnsi" w:cstheme="minorHAnsi"/>
            </w:rPr>
            <w:t>2017</w:t>
          </w:r>
        </w:sdtContent>
      </w:sdt>
    </w:p>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All Rights Reserved.</w:t>
      </w:r>
    </w:p>
    <w:p w:rsidR="00DB79E2" w:rsidRPr="000A0A9D" w:rsidRDefault="00410044" w:rsidP="000A0A9D">
      <w:pPr>
        <w:jc w:val="center"/>
        <w:rPr>
          <w:rFonts w:asciiTheme="minorHAnsi" w:hAnsiTheme="minorHAnsi" w:cstheme="minorHAnsi"/>
          <w:sz w:val="32"/>
          <w:szCs w:val="32"/>
        </w:rPr>
      </w:pPr>
      <w:r w:rsidRPr="000A0A9D">
        <w:rPr>
          <w:rFonts w:asciiTheme="minorHAnsi" w:hAnsiTheme="minorHAnsi" w:cstheme="minorHAnsi"/>
          <w:sz w:val="32"/>
          <w:szCs w:val="32"/>
        </w:rPr>
        <w:br w:type="page"/>
      </w:r>
      <w:r w:rsidR="00DB79E2">
        <w:rPr>
          <w:rFonts w:asciiTheme="minorHAnsi" w:hAnsiTheme="minorHAnsi" w:cstheme="minorHAnsi"/>
          <w:sz w:val="32"/>
          <w:szCs w:val="32"/>
        </w:rPr>
        <w:lastRenderedPageBreak/>
        <w:t>Dedication</w:t>
      </w:r>
    </w:p>
    <w:p w:rsidR="009D0897" w:rsidRDefault="009D0897" w:rsidP="00410044">
      <w:pPr>
        <w:spacing w:after="0" w:line="480" w:lineRule="auto"/>
        <w:rPr>
          <w:rFonts w:asciiTheme="minorHAnsi" w:hAnsiTheme="minorHAnsi" w:cstheme="minorHAnsi"/>
        </w:rPr>
      </w:pPr>
    </w:p>
    <w:p w:rsidR="00DB79E2" w:rsidRDefault="00E168D8" w:rsidP="00E168D8">
      <w:pPr>
        <w:spacing w:after="0" w:line="480" w:lineRule="auto"/>
        <w:jc w:val="center"/>
        <w:rPr>
          <w:rFonts w:asciiTheme="minorHAnsi" w:hAnsiTheme="minorHAnsi" w:cstheme="minorHAnsi"/>
        </w:rPr>
      </w:pPr>
      <w:r>
        <w:rPr>
          <w:rFonts w:asciiTheme="minorHAnsi" w:hAnsiTheme="minorHAnsi" w:cstheme="minorHAnsi"/>
        </w:rPr>
        <w:t>This dissertation is dedicated to my family</w:t>
      </w:r>
    </w:p>
    <w:p w:rsidR="00DB79E2" w:rsidRDefault="00DB79E2" w:rsidP="00410044">
      <w:pPr>
        <w:spacing w:after="0" w:line="480" w:lineRule="auto"/>
        <w:rPr>
          <w:rFonts w:asciiTheme="minorHAnsi" w:hAnsiTheme="minorHAnsi" w:cstheme="minorHAnsi"/>
        </w:rPr>
      </w:pPr>
    </w:p>
    <w:p w:rsidR="00DB79E2" w:rsidRDefault="00DB79E2" w:rsidP="00DB79E2">
      <w:pPr>
        <w:spacing w:after="0" w:line="480" w:lineRule="auto"/>
        <w:ind w:firstLine="720"/>
        <w:rPr>
          <w:rFonts w:asciiTheme="minorHAnsi" w:hAnsiTheme="minorHAnsi" w:cstheme="minorHAnsi"/>
        </w:rPr>
      </w:pPr>
      <w:r>
        <w:rPr>
          <w:rFonts w:asciiTheme="minorHAnsi" w:hAnsiTheme="minorHAnsi" w:cstheme="minorHAnsi"/>
        </w:rPr>
        <w:t xml:space="preserve">I would not be in the position of writing this dissertation without the emotional support of my family. They stood behind me for nearly 12 years while I completed my undergraduate and graduate education. I’ll always remember the sacrifices they </w:t>
      </w:r>
      <w:r w:rsidR="00DD6BD0">
        <w:rPr>
          <w:rFonts w:asciiTheme="minorHAnsi" w:hAnsiTheme="minorHAnsi" w:cstheme="minorHAnsi"/>
        </w:rPr>
        <w:t xml:space="preserve">chose </w:t>
      </w:r>
      <w:r>
        <w:rPr>
          <w:rFonts w:asciiTheme="minorHAnsi" w:hAnsiTheme="minorHAnsi" w:cstheme="minorHAnsi"/>
        </w:rPr>
        <w:t xml:space="preserve">to make to ensure that my dreams </w:t>
      </w:r>
      <w:r w:rsidR="003B030F">
        <w:rPr>
          <w:rFonts w:asciiTheme="minorHAnsi" w:hAnsiTheme="minorHAnsi" w:cstheme="minorHAnsi"/>
        </w:rPr>
        <w:t>could become reality</w:t>
      </w:r>
      <w:r>
        <w:rPr>
          <w:rFonts w:asciiTheme="minorHAnsi" w:hAnsiTheme="minorHAnsi" w:cstheme="minorHAnsi"/>
        </w:rPr>
        <w:t xml:space="preserve">. I would like to </w:t>
      </w:r>
      <w:r w:rsidR="00F317E9">
        <w:rPr>
          <w:rFonts w:asciiTheme="minorHAnsi" w:hAnsiTheme="minorHAnsi" w:cstheme="minorHAnsi"/>
        </w:rPr>
        <w:t xml:space="preserve">specifically </w:t>
      </w:r>
      <w:r>
        <w:rPr>
          <w:rFonts w:asciiTheme="minorHAnsi" w:hAnsiTheme="minorHAnsi" w:cstheme="minorHAnsi"/>
        </w:rPr>
        <w:t>thank Taylor Davis. Unlike many people at OU, Taylor was, and is, fully aware of the hardships I endured while completing my Ph.D. When the times got rough, and everyone else turned their backs on me, Taylor stood by my side and encouraged me to continue pursuing my education.</w:t>
      </w:r>
      <w:r w:rsidR="00F317E9">
        <w:rPr>
          <w:rFonts w:asciiTheme="minorHAnsi" w:hAnsiTheme="minorHAnsi" w:cstheme="minorHAnsi"/>
        </w:rPr>
        <w:t xml:space="preserve"> I look forward to spending many more years with Taylor.</w:t>
      </w:r>
    </w:p>
    <w:p w:rsidR="009D0897" w:rsidRDefault="009D0897" w:rsidP="00410044">
      <w:pPr>
        <w:spacing w:after="0" w:line="480" w:lineRule="auto"/>
        <w:rPr>
          <w:rFonts w:asciiTheme="minorHAnsi" w:hAnsiTheme="minorHAnsi" w:cstheme="minorHAnsi"/>
        </w:rPr>
      </w:pPr>
    </w:p>
    <w:p w:rsidR="009D0897" w:rsidRPr="00E614FB" w:rsidRDefault="009D0897" w:rsidP="00410044">
      <w:pPr>
        <w:spacing w:after="0" w:line="480" w:lineRule="auto"/>
        <w:rPr>
          <w:rFonts w:asciiTheme="minorHAnsi" w:hAnsiTheme="minorHAnsi" w:cstheme="minorHAnsi"/>
        </w:rPr>
        <w:sectPr w:rsidR="009D0897" w:rsidRPr="00E614FB" w:rsidSect="00410044">
          <w:pgSz w:w="12240" w:h="15840"/>
          <w:pgMar w:top="1440" w:right="1440" w:bottom="1440" w:left="2304" w:header="720" w:footer="720" w:gutter="0"/>
          <w:cols w:space="720"/>
          <w:docGrid w:linePitch="360"/>
        </w:sectPr>
      </w:pPr>
    </w:p>
    <w:p w:rsidR="00410044" w:rsidRDefault="00C82BB0" w:rsidP="00E753F4">
      <w:pPr>
        <w:pStyle w:val="Heading1"/>
        <w:numPr>
          <w:ilvl w:val="0"/>
          <w:numId w:val="0"/>
        </w:numPr>
        <w:jc w:val="center"/>
        <w:rPr>
          <w:rFonts w:asciiTheme="minorHAnsi" w:hAnsiTheme="minorHAnsi" w:cstheme="minorHAnsi"/>
        </w:rPr>
      </w:pPr>
      <w:bookmarkStart w:id="1" w:name="_Toc491245970"/>
      <w:r>
        <w:rPr>
          <w:rFonts w:asciiTheme="minorHAnsi" w:hAnsiTheme="minorHAnsi" w:cstheme="minorHAnsi"/>
        </w:rPr>
        <w:lastRenderedPageBreak/>
        <w:t>A</w:t>
      </w:r>
      <w:r w:rsidR="0032741E">
        <w:rPr>
          <w:rFonts w:asciiTheme="minorHAnsi" w:hAnsiTheme="minorHAnsi" w:cstheme="minorHAnsi"/>
        </w:rPr>
        <w:t>cknowledgments</w:t>
      </w:r>
      <w:bookmarkEnd w:id="1"/>
    </w:p>
    <w:p w:rsidR="00C91A07" w:rsidRDefault="00C91A07" w:rsidP="00410044">
      <w:pPr>
        <w:spacing w:after="0" w:line="480" w:lineRule="auto"/>
        <w:rPr>
          <w:rFonts w:asciiTheme="minorHAnsi" w:hAnsiTheme="minorHAnsi" w:cstheme="minorHAnsi"/>
        </w:rPr>
      </w:pPr>
    </w:p>
    <w:p w:rsidR="00DB79E2" w:rsidRDefault="00AD021A" w:rsidP="00410044">
      <w:pPr>
        <w:spacing w:after="0" w:line="480" w:lineRule="auto"/>
        <w:rPr>
          <w:rFonts w:asciiTheme="minorHAnsi" w:hAnsiTheme="minorHAnsi" w:cstheme="minorHAnsi"/>
        </w:rPr>
      </w:pPr>
      <w:r>
        <w:rPr>
          <w:rFonts w:asciiTheme="minorHAnsi" w:hAnsiTheme="minorHAnsi" w:cstheme="minorHAnsi"/>
        </w:rPr>
        <w:tab/>
      </w:r>
      <w:r w:rsidR="00DB79E2">
        <w:rPr>
          <w:rFonts w:asciiTheme="minorHAnsi" w:hAnsiTheme="minorHAnsi" w:cstheme="minorHAnsi"/>
        </w:rPr>
        <w:t>Completion of this dissertation would not have been possible without the assistance, guidance, and emotional support of many people. First and foremost, I would also like to thank Dr. David London for being my mentor and friend for the past several years. Dr. London is a tremendously gen</w:t>
      </w:r>
      <w:r w:rsidR="00DD6BD0">
        <w:rPr>
          <w:rFonts w:asciiTheme="minorHAnsi" w:hAnsiTheme="minorHAnsi" w:cstheme="minorHAnsi"/>
        </w:rPr>
        <w:t>erous and intelligent man</w:t>
      </w:r>
      <w:r w:rsidR="00DB79E2">
        <w:rPr>
          <w:rFonts w:asciiTheme="minorHAnsi" w:hAnsiTheme="minorHAnsi" w:cstheme="minorHAnsi"/>
        </w:rPr>
        <w:t xml:space="preserve">. </w:t>
      </w:r>
      <w:r w:rsidR="00DD6BD0">
        <w:rPr>
          <w:rFonts w:asciiTheme="minorHAnsi" w:hAnsiTheme="minorHAnsi" w:cstheme="minorHAnsi"/>
        </w:rPr>
        <w:t xml:space="preserve">The experimental lab became a sort of classroom for me for many years. Much of what I have learned about experimental petrology, granites, and pegmatites came from discussion with Dr. London. </w:t>
      </w:r>
      <w:r w:rsidR="00DB79E2">
        <w:rPr>
          <w:rFonts w:asciiTheme="minorHAnsi" w:hAnsiTheme="minorHAnsi" w:cstheme="minorHAnsi"/>
        </w:rPr>
        <w:t xml:space="preserve">Secondly, I would like to thank Dr. George B. Morgan VI. Many hours and days were spent in the electron microprobe lab analyzing minerals and glasses. George was not only extremely helpful but very entertaining. </w:t>
      </w:r>
      <w:r w:rsidR="00E168D8">
        <w:rPr>
          <w:rFonts w:asciiTheme="minorHAnsi" w:hAnsiTheme="minorHAnsi" w:cstheme="minorHAnsi"/>
        </w:rPr>
        <w:t>Between the electron microprobe course and the daily dialogue in the electron microprobe lab, I gained a skillset that helped me land a job as an electron microprobe operator. I would also like to thank George for inviting me to his house for the holidays, in case I had nowhere else to go.</w:t>
      </w:r>
    </w:p>
    <w:p w:rsidR="00E168D8" w:rsidRDefault="00E168D8" w:rsidP="00410044">
      <w:pPr>
        <w:spacing w:after="0" w:line="480" w:lineRule="auto"/>
        <w:rPr>
          <w:rFonts w:asciiTheme="minorHAnsi" w:hAnsiTheme="minorHAnsi" w:cstheme="minorHAnsi"/>
        </w:rPr>
      </w:pPr>
      <w:r>
        <w:rPr>
          <w:rFonts w:asciiTheme="minorHAnsi" w:hAnsiTheme="minorHAnsi" w:cstheme="minorHAnsi"/>
        </w:rPr>
        <w:tab/>
        <w:t xml:space="preserve">I would like to thank Drs. Lynda Williams and Rich Hervig for their assistance with the Cameca 6f secondary ion mass spectrometer (SIMS) at Arizona State University. It is thanks to </w:t>
      </w:r>
      <w:r w:rsidR="00DD6BD0">
        <w:rPr>
          <w:rFonts w:asciiTheme="minorHAnsi" w:hAnsiTheme="minorHAnsi" w:cstheme="minorHAnsi"/>
        </w:rPr>
        <w:t>both</w:t>
      </w:r>
      <w:r>
        <w:rPr>
          <w:rFonts w:asciiTheme="minorHAnsi" w:hAnsiTheme="minorHAnsi" w:cstheme="minorHAnsi"/>
        </w:rPr>
        <w:t xml:space="preserve"> that I now have not only a fundamental knowledge of SIMS but the ability to critically evaluate instrument setups and analytical routines. I’ll carry that knowledge forward through my life. </w:t>
      </w:r>
    </w:p>
    <w:p w:rsidR="00E168D8" w:rsidRPr="00E614FB" w:rsidRDefault="00E168D8" w:rsidP="00410044">
      <w:pPr>
        <w:spacing w:after="0" w:line="480" w:lineRule="auto"/>
        <w:rPr>
          <w:rFonts w:asciiTheme="minorHAnsi" w:hAnsiTheme="minorHAnsi" w:cstheme="minorHAnsi"/>
        </w:rPr>
      </w:pPr>
      <w:r>
        <w:rPr>
          <w:rFonts w:asciiTheme="minorHAnsi" w:hAnsiTheme="minorHAnsi" w:cstheme="minorHAnsi"/>
        </w:rPr>
        <w:tab/>
        <w:t>Lastly, I would lik</w:t>
      </w:r>
      <w:r w:rsidR="00DD6BD0">
        <w:rPr>
          <w:rFonts w:asciiTheme="minorHAnsi" w:hAnsiTheme="minorHAnsi" w:cstheme="minorHAnsi"/>
        </w:rPr>
        <w:t>e to thank my committee members. T</w:t>
      </w:r>
      <w:r>
        <w:rPr>
          <w:rFonts w:asciiTheme="minorHAnsi" w:hAnsiTheme="minorHAnsi" w:cstheme="minorHAnsi"/>
        </w:rPr>
        <w:t xml:space="preserve">heir </w:t>
      </w:r>
      <w:r w:rsidR="00AD55C1">
        <w:rPr>
          <w:rFonts w:asciiTheme="minorHAnsi" w:hAnsiTheme="minorHAnsi" w:cstheme="minorHAnsi"/>
        </w:rPr>
        <w:t>support</w:t>
      </w:r>
      <w:r w:rsidR="00DD6BD0">
        <w:rPr>
          <w:rFonts w:asciiTheme="minorHAnsi" w:hAnsiTheme="minorHAnsi" w:cstheme="minorHAnsi"/>
        </w:rPr>
        <w:t xml:space="preserve"> has not gone unnoticed</w:t>
      </w:r>
      <w:r>
        <w:rPr>
          <w:rFonts w:asciiTheme="minorHAnsi" w:hAnsiTheme="minorHAnsi" w:cstheme="minorHAnsi"/>
        </w:rPr>
        <w:t xml:space="preserve">. </w:t>
      </w:r>
    </w:p>
    <w:p w:rsidR="00410044" w:rsidRPr="00E614FB" w:rsidRDefault="00410044">
      <w:pPr>
        <w:rPr>
          <w:rFonts w:asciiTheme="minorHAnsi" w:hAnsiTheme="minorHAnsi" w:cstheme="minorHAnsi"/>
        </w:rPr>
      </w:pPr>
      <w:r w:rsidRPr="00E614FB">
        <w:rPr>
          <w:rFonts w:asciiTheme="minorHAnsi" w:hAnsiTheme="minorHAnsi" w:cstheme="minorHAnsi"/>
        </w:rPr>
        <w:br w:type="page"/>
      </w:r>
    </w:p>
    <w:bookmarkStart w:id="2" w:name="_Toc491245971" w:displacedByCustomXml="next"/>
    <w:sdt>
      <w:sdtPr>
        <w:rPr>
          <w:rFonts w:ascii="Times New Roman" w:eastAsiaTheme="minorHAnsi" w:hAnsi="Times New Roman" w:cs="Arial"/>
          <w:color w:val="auto"/>
          <w:sz w:val="24"/>
          <w:szCs w:val="24"/>
        </w:rPr>
        <w:id w:val="-147747600"/>
        <w:docPartObj>
          <w:docPartGallery w:val="Table of Contents"/>
          <w:docPartUnique/>
        </w:docPartObj>
      </w:sdtPr>
      <w:sdtEndPr>
        <w:rPr>
          <w:b/>
          <w:bCs/>
          <w:noProof/>
        </w:rPr>
      </w:sdtEndPr>
      <w:sdtContent>
        <w:p w:rsidR="00633A00" w:rsidRDefault="00633A00" w:rsidP="008C1208">
          <w:pPr>
            <w:pStyle w:val="TOCHeading"/>
            <w:numPr>
              <w:ilvl w:val="0"/>
              <w:numId w:val="0"/>
            </w:numPr>
            <w:jc w:val="center"/>
            <w:outlineLvl w:val="0"/>
          </w:pPr>
          <w:r>
            <w:t>Table of Contents</w:t>
          </w:r>
          <w:bookmarkEnd w:id="2"/>
        </w:p>
        <w:p w:rsidR="00715932" w:rsidRDefault="002F696E">
          <w:pPr>
            <w:pStyle w:val="TOC1"/>
            <w:rPr>
              <w:rFonts w:asciiTheme="minorHAnsi" w:eastAsiaTheme="minorEastAsia" w:hAnsiTheme="minorHAnsi" w:cstheme="minorBidi"/>
              <w:noProof/>
              <w:sz w:val="22"/>
              <w:szCs w:val="22"/>
            </w:rPr>
          </w:pPr>
          <w:r>
            <w:fldChar w:fldCharType="begin"/>
          </w:r>
          <w:r>
            <w:instrText xml:space="preserve"> TOC \o "1-6" \h \z \u </w:instrText>
          </w:r>
          <w:r>
            <w:fldChar w:fldCharType="separate"/>
          </w:r>
          <w:hyperlink w:anchor="_Toc491245970" w:history="1">
            <w:r w:rsidR="00715932" w:rsidRPr="00E47A4B">
              <w:rPr>
                <w:rStyle w:val="Hyperlink"/>
                <w:rFonts w:cstheme="minorHAnsi"/>
                <w:noProof/>
              </w:rPr>
              <w:t>Acknowledgments</w:t>
            </w:r>
            <w:r w:rsidR="00715932">
              <w:rPr>
                <w:noProof/>
                <w:webHidden/>
              </w:rPr>
              <w:tab/>
            </w:r>
            <w:r w:rsidR="00715932">
              <w:rPr>
                <w:noProof/>
                <w:webHidden/>
              </w:rPr>
              <w:fldChar w:fldCharType="begin"/>
            </w:r>
            <w:r w:rsidR="00715932">
              <w:rPr>
                <w:noProof/>
                <w:webHidden/>
              </w:rPr>
              <w:instrText xml:space="preserve"> PAGEREF _Toc491245970 \h </w:instrText>
            </w:r>
            <w:r w:rsidR="00715932">
              <w:rPr>
                <w:noProof/>
                <w:webHidden/>
              </w:rPr>
            </w:r>
            <w:r w:rsidR="00715932">
              <w:rPr>
                <w:noProof/>
                <w:webHidden/>
              </w:rPr>
              <w:fldChar w:fldCharType="separate"/>
            </w:r>
            <w:r w:rsidR="000C5FC3">
              <w:rPr>
                <w:noProof/>
                <w:webHidden/>
              </w:rPr>
              <w:t>iv</w:t>
            </w:r>
            <w:r w:rsidR="00715932">
              <w:rPr>
                <w:noProof/>
                <w:webHidden/>
              </w:rPr>
              <w:fldChar w:fldCharType="end"/>
            </w:r>
          </w:hyperlink>
        </w:p>
        <w:p w:rsidR="00715932" w:rsidRDefault="00B920BD">
          <w:pPr>
            <w:pStyle w:val="TOC1"/>
            <w:rPr>
              <w:rFonts w:asciiTheme="minorHAnsi" w:eastAsiaTheme="minorEastAsia" w:hAnsiTheme="minorHAnsi" w:cstheme="minorBidi"/>
              <w:noProof/>
              <w:sz w:val="22"/>
              <w:szCs w:val="22"/>
            </w:rPr>
          </w:pPr>
          <w:hyperlink w:anchor="_Toc491245971" w:history="1">
            <w:r w:rsidR="00715932" w:rsidRPr="00E47A4B">
              <w:rPr>
                <w:rStyle w:val="Hyperlink"/>
                <w:noProof/>
              </w:rPr>
              <w:t>Table of Contents</w:t>
            </w:r>
            <w:r w:rsidR="00715932">
              <w:rPr>
                <w:noProof/>
                <w:webHidden/>
              </w:rPr>
              <w:tab/>
            </w:r>
            <w:r w:rsidR="00715932">
              <w:rPr>
                <w:noProof/>
                <w:webHidden/>
              </w:rPr>
              <w:fldChar w:fldCharType="begin"/>
            </w:r>
            <w:r w:rsidR="00715932">
              <w:rPr>
                <w:noProof/>
                <w:webHidden/>
              </w:rPr>
              <w:instrText xml:space="preserve"> PAGEREF _Toc491245971 \h </w:instrText>
            </w:r>
            <w:r w:rsidR="00715932">
              <w:rPr>
                <w:noProof/>
                <w:webHidden/>
              </w:rPr>
            </w:r>
            <w:r w:rsidR="00715932">
              <w:rPr>
                <w:noProof/>
                <w:webHidden/>
              </w:rPr>
              <w:fldChar w:fldCharType="separate"/>
            </w:r>
            <w:r w:rsidR="000C5FC3">
              <w:rPr>
                <w:noProof/>
                <w:webHidden/>
              </w:rPr>
              <w:t>v</w:t>
            </w:r>
            <w:r w:rsidR="00715932">
              <w:rPr>
                <w:noProof/>
                <w:webHidden/>
              </w:rPr>
              <w:fldChar w:fldCharType="end"/>
            </w:r>
          </w:hyperlink>
        </w:p>
        <w:p w:rsidR="00715932" w:rsidRDefault="00B920BD">
          <w:pPr>
            <w:pStyle w:val="TOC1"/>
            <w:rPr>
              <w:rFonts w:asciiTheme="minorHAnsi" w:eastAsiaTheme="minorEastAsia" w:hAnsiTheme="minorHAnsi" w:cstheme="minorBidi"/>
              <w:noProof/>
              <w:sz w:val="22"/>
              <w:szCs w:val="22"/>
            </w:rPr>
          </w:pPr>
          <w:hyperlink w:anchor="_Toc491245972" w:history="1">
            <w:r w:rsidR="00715932" w:rsidRPr="00E47A4B">
              <w:rPr>
                <w:rStyle w:val="Hyperlink"/>
                <w:rFonts w:cstheme="minorHAnsi"/>
                <w:noProof/>
              </w:rPr>
              <w:t>List of Tables</w:t>
            </w:r>
            <w:r w:rsidR="00715932">
              <w:rPr>
                <w:noProof/>
                <w:webHidden/>
              </w:rPr>
              <w:tab/>
            </w:r>
            <w:r w:rsidR="00715932">
              <w:rPr>
                <w:noProof/>
                <w:webHidden/>
              </w:rPr>
              <w:fldChar w:fldCharType="begin"/>
            </w:r>
            <w:r w:rsidR="00715932">
              <w:rPr>
                <w:noProof/>
                <w:webHidden/>
              </w:rPr>
              <w:instrText xml:space="preserve"> PAGEREF _Toc491245972 \h </w:instrText>
            </w:r>
            <w:r w:rsidR="00715932">
              <w:rPr>
                <w:noProof/>
                <w:webHidden/>
              </w:rPr>
            </w:r>
            <w:r w:rsidR="00715932">
              <w:rPr>
                <w:noProof/>
                <w:webHidden/>
              </w:rPr>
              <w:fldChar w:fldCharType="separate"/>
            </w:r>
            <w:r w:rsidR="000C5FC3">
              <w:rPr>
                <w:noProof/>
                <w:webHidden/>
              </w:rPr>
              <w:t>ix</w:t>
            </w:r>
            <w:r w:rsidR="00715932">
              <w:rPr>
                <w:noProof/>
                <w:webHidden/>
              </w:rPr>
              <w:fldChar w:fldCharType="end"/>
            </w:r>
          </w:hyperlink>
        </w:p>
        <w:p w:rsidR="00715932" w:rsidRDefault="00B920BD">
          <w:pPr>
            <w:pStyle w:val="TOC1"/>
            <w:rPr>
              <w:rFonts w:asciiTheme="minorHAnsi" w:eastAsiaTheme="minorEastAsia" w:hAnsiTheme="minorHAnsi" w:cstheme="minorBidi"/>
              <w:noProof/>
              <w:sz w:val="22"/>
              <w:szCs w:val="22"/>
            </w:rPr>
          </w:pPr>
          <w:hyperlink w:anchor="_Toc491245973" w:history="1">
            <w:r w:rsidR="00715932" w:rsidRPr="00E47A4B">
              <w:rPr>
                <w:rStyle w:val="Hyperlink"/>
                <w:rFonts w:cstheme="minorHAnsi"/>
                <w:noProof/>
              </w:rPr>
              <w:t>List of Figures</w:t>
            </w:r>
            <w:r w:rsidR="00715932">
              <w:rPr>
                <w:noProof/>
                <w:webHidden/>
              </w:rPr>
              <w:tab/>
            </w:r>
            <w:r w:rsidR="00715932">
              <w:rPr>
                <w:noProof/>
                <w:webHidden/>
              </w:rPr>
              <w:fldChar w:fldCharType="begin"/>
            </w:r>
            <w:r w:rsidR="00715932">
              <w:rPr>
                <w:noProof/>
                <w:webHidden/>
              </w:rPr>
              <w:instrText xml:space="preserve"> PAGEREF _Toc491245973 \h </w:instrText>
            </w:r>
            <w:r w:rsidR="00715932">
              <w:rPr>
                <w:noProof/>
                <w:webHidden/>
              </w:rPr>
            </w:r>
            <w:r w:rsidR="00715932">
              <w:rPr>
                <w:noProof/>
                <w:webHidden/>
              </w:rPr>
              <w:fldChar w:fldCharType="separate"/>
            </w:r>
            <w:r w:rsidR="000C5FC3">
              <w:rPr>
                <w:noProof/>
                <w:webHidden/>
              </w:rPr>
              <w:t>x</w:t>
            </w:r>
            <w:r w:rsidR="00715932">
              <w:rPr>
                <w:noProof/>
                <w:webHidden/>
              </w:rPr>
              <w:fldChar w:fldCharType="end"/>
            </w:r>
          </w:hyperlink>
        </w:p>
        <w:p w:rsidR="00715932" w:rsidRDefault="00B920BD">
          <w:pPr>
            <w:pStyle w:val="TOC1"/>
            <w:rPr>
              <w:rFonts w:asciiTheme="minorHAnsi" w:eastAsiaTheme="minorEastAsia" w:hAnsiTheme="minorHAnsi" w:cstheme="minorBidi"/>
              <w:noProof/>
              <w:sz w:val="22"/>
              <w:szCs w:val="22"/>
            </w:rPr>
          </w:pPr>
          <w:hyperlink w:anchor="_Toc491245974" w:history="1">
            <w:r w:rsidR="00715932" w:rsidRPr="00E47A4B">
              <w:rPr>
                <w:rStyle w:val="Hyperlink"/>
                <w:rFonts w:cstheme="minorHAnsi"/>
                <w:noProof/>
              </w:rPr>
              <w:t>Abstract</w:t>
            </w:r>
            <w:r w:rsidR="00715932">
              <w:rPr>
                <w:noProof/>
                <w:webHidden/>
              </w:rPr>
              <w:tab/>
            </w:r>
            <w:r w:rsidR="00715932">
              <w:rPr>
                <w:noProof/>
                <w:webHidden/>
              </w:rPr>
              <w:fldChar w:fldCharType="begin"/>
            </w:r>
            <w:r w:rsidR="00715932">
              <w:rPr>
                <w:noProof/>
                <w:webHidden/>
              </w:rPr>
              <w:instrText xml:space="preserve"> PAGEREF _Toc491245974 \h </w:instrText>
            </w:r>
            <w:r w:rsidR="00715932">
              <w:rPr>
                <w:noProof/>
                <w:webHidden/>
              </w:rPr>
            </w:r>
            <w:r w:rsidR="00715932">
              <w:rPr>
                <w:noProof/>
                <w:webHidden/>
              </w:rPr>
              <w:fldChar w:fldCharType="separate"/>
            </w:r>
            <w:r w:rsidR="000C5FC3">
              <w:rPr>
                <w:noProof/>
                <w:webHidden/>
              </w:rPr>
              <w:t>xvii</w:t>
            </w:r>
            <w:r w:rsidR="00715932">
              <w:rPr>
                <w:noProof/>
                <w:webHidden/>
              </w:rPr>
              <w:fldChar w:fldCharType="end"/>
            </w:r>
          </w:hyperlink>
        </w:p>
        <w:p w:rsidR="00715932" w:rsidRDefault="00B920BD">
          <w:pPr>
            <w:pStyle w:val="TOC1"/>
            <w:rPr>
              <w:rFonts w:asciiTheme="minorHAnsi" w:eastAsiaTheme="minorEastAsia" w:hAnsiTheme="minorHAnsi" w:cstheme="minorBidi"/>
              <w:noProof/>
              <w:sz w:val="22"/>
              <w:szCs w:val="22"/>
            </w:rPr>
          </w:pPr>
          <w:hyperlink w:anchor="_Toc491245975" w:history="1">
            <w:r w:rsidR="00715932" w:rsidRPr="00E47A4B">
              <w:rPr>
                <w:rStyle w:val="Hyperlink"/>
                <w:noProof/>
              </w:rPr>
              <w:t>Chapter 1 Introduction</w:t>
            </w:r>
            <w:r w:rsidR="00715932">
              <w:rPr>
                <w:noProof/>
                <w:webHidden/>
              </w:rPr>
              <w:tab/>
            </w:r>
            <w:r w:rsidR="00715932">
              <w:rPr>
                <w:noProof/>
                <w:webHidden/>
              </w:rPr>
              <w:fldChar w:fldCharType="begin"/>
            </w:r>
            <w:r w:rsidR="00715932">
              <w:rPr>
                <w:noProof/>
                <w:webHidden/>
              </w:rPr>
              <w:instrText xml:space="preserve"> PAGEREF _Toc491245975 \h </w:instrText>
            </w:r>
            <w:r w:rsidR="00715932">
              <w:rPr>
                <w:noProof/>
                <w:webHidden/>
              </w:rPr>
            </w:r>
            <w:r w:rsidR="00715932">
              <w:rPr>
                <w:noProof/>
                <w:webHidden/>
              </w:rPr>
              <w:fldChar w:fldCharType="separate"/>
            </w:r>
            <w:r w:rsidR="000C5FC3">
              <w:rPr>
                <w:noProof/>
                <w:webHidden/>
              </w:rPr>
              <w:t>1</w:t>
            </w:r>
            <w:r w:rsidR="00715932">
              <w:rPr>
                <w:noProof/>
                <w:webHidden/>
              </w:rPr>
              <w:fldChar w:fldCharType="end"/>
            </w:r>
          </w:hyperlink>
        </w:p>
        <w:p w:rsidR="00715932" w:rsidRDefault="00B920BD">
          <w:pPr>
            <w:pStyle w:val="TOC1"/>
            <w:rPr>
              <w:rFonts w:asciiTheme="minorHAnsi" w:eastAsiaTheme="minorEastAsia" w:hAnsiTheme="minorHAnsi" w:cstheme="minorBidi"/>
              <w:noProof/>
              <w:sz w:val="22"/>
              <w:szCs w:val="22"/>
            </w:rPr>
          </w:pPr>
          <w:hyperlink w:anchor="_Toc491245976" w:history="1">
            <w:r w:rsidR="00715932" w:rsidRPr="00E47A4B">
              <w:rPr>
                <w:rStyle w:val="Hyperlink"/>
                <w:rFonts w:cs="Times New Roman"/>
                <w:noProof/>
              </w:rPr>
              <w:t>Chapter 2 The boron isotopic evolution of the Little Three pegmatites, Ramona, CA</w:t>
            </w:r>
            <w:r w:rsidR="00715932">
              <w:rPr>
                <w:noProof/>
                <w:webHidden/>
              </w:rPr>
              <w:tab/>
            </w:r>
            <w:r w:rsidR="00715932">
              <w:rPr>
                <w:noProof/>
                <w:webHidden/>
              </w:rPr>
              <w:fldChar w:fldCharType="begin"/>
            </w:r>
            <w:r w:rsidR="00715932">
              <w:rPr>
                <w:noProof/>
                <w:webHidden/>
              </w:rPr>
              <w:instrText xml:space="preserve"> PAGEREF _Toc491245976 \h </w:instrText>
            </w:r>
            <w:r w:rsidR="00715932">
              <w:rPr>
                <w:noProof/>
                <w:webHidden/>
              </w:rPr>
            </w:r>
            <w:r w:rsidR="00715932">
              <w:rPr>
                <w:noProof/>
                <w:webHidden/>
              </w:rPr>
              <w:fldChar w:fldCharType="separate"/>
            </w:r>
            <w:r w:rsidR="000C5FC3">
              <w:rPr>
                <w:noProof/>
                <w:webHidden/>
              </w:rPr>
              <w:t>9</w:t>
            </w:r>
            <w:r w:rsidR="00715932">
              <w:rPr>
                <w:noProof/>
                <w:webHidden/>
              </w:rPr>
              <w:fldChar w:fldCharType="end"/>
            </w:r>
          </w:hyperlink>
        </w:p>
        <w:p w:rsidR="00715932" w:rsidRDefault="00B920BD">
          <w:pPr>
            <w:pStyle w:val="TOC2"/>
            <w:tabs>
              <w:tab w:val="right" w:leader="dot" w:pos="8486"/>
            </w:tabs>
            <w:rPr>
              <w:rFonts w:asciiTheme="minorHAnsi" w:eastAsiaTheme="minorEastAsia" w:hAnsiTheme="minorHAnsi" w:cstheme="minorBidi"/>
              <w:noProof/>
              <w:sz w:val="22"/>
              <w:szCs w:val="22"/>
            </w:rPr>
          </w:pPr>
          <w:hyperlink w:anchor="_Toc491245977" w:history="1">
            <w:r w:rsidR="00715932" w:rsidRPr="00E47A4B">
              <w:rPr>
                <w:rStyle w:val="Hyperlink"/>
                <w:rFonts w:cs="Times New Roman"/>
                <w:noProof/>
              </w:rPr>
              <w:t>1.</w:t>
            </w:r>
            <w:r w:rsidR="00715932" w:rsidRPr="00E47A4B">
              <w:rPr>
                <w:rStyle w:val="Hyperlink"/>
                <w:rFonts w:cstheme="minorHAnsi"/>
                <w:noProof/>
              </w:rPr>
              <w:t xml:space="preserve"> Introduction</w:t>
            </w:r>
            <w:r w:rsidR="00715932">
              <w:rPr>
                <w:noProof/>
                <w:webHidden/>
              </w:rPr>
              <w:tab/>
            </w:r>
            <w:r w:rsidR="00715932">
              <w:rPr>
                <w:noProof/>
                <w:webHidden/>
              </w:rPr>
              <w:fldChar w:fldCharType="begin"/>
            </w:r>
            <w:r w:rsidR="00715932">
              <w:rPr>
                <w:noProof/>
                <w:webHidden/>
              </w:rPr>
              <w:instrText xml:space="preserve"> PAGEREF _Toc491245977 \h </w:instrText>
            </w:r>
            <w:r w:rsidR="00715932">
              <w:rPr>
                <w:noProof/>
                <w:webHidden/>
              </w:rPr>
            </w:r>
            <w:r w:rsidR="00715932">
              <w:rPr>
                <w:noProof/>
                <w:webHidden/>
              </w:rPr>
              <w:fldChar w:fldCharType="separate"/>
            </w:r>
            <w:r w:rsidR="000C5FC3">
              <w:rPr>
                <w:noProof/>
                <w:webHidden/>
              </w:rPr>
              <w:t>9</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5978" w:history="1">
            <w:r w:rsidR="00715932" w:rsidRPr="00E47A4B">
              <w:rPr>
                <w:rStyle w:val="Hyperlink"/>
                <w:rFonts w:cs="Times New Roman"/>
                <w:noProof/>
              </w:rPr>
              <w:t>1.1. Goal of This Study</w:t>
            </w:r>
            <w:r w:rsidR="00715932">
              <w:rPr>
                <w:noProof/>
                <w:webHidden/>
              </w:rPr>
              <w:tab/>
            </w:r>
            <w:r w:rsidR="00715932">
              <w:rPr>
                <w:noProof/>
                <w:webHidden/>
              </w:rPr>
              <w:fldChar w:fldCharType="begin"/>
            </w:r>
            <w:r w:rsidR="00715932">
              <w:rPr>
                <w:noProof/>
                <w:webHidden/>
              </w:rPr>
              <w:instrText xml:space="preserve"> PAGEREF _Toc491245978 \h </w:instrText>
            </w:r>
            <w:r w:rsidR="00715932">
              <w:rPr>
                <w:noProof/>
                <w:webHidden/>
              </w:rPr>
            </w:r>
            <w:r w:rsidR="00715932">
              <w:rPr>
                <w:noProof/>
                <w:webHidden/>
              </w:rPr>
              <w:fldChar w:fldCharType="separate"/>
            </w:r>
            <w:r w:rsidR="000C5FC3">
              <w:rPr>
                <w:noProof/>
                <w:webHidden/>
              </w:rPr>
              <w:t>11</w:t>
            </w:r>
            <w:r w:rsidR="00715932">
              <w:rPr>
                <w:noProof/>
                <w:webHidden/>
              </w:rPr>
              <w:fldChar w:fldCharType="end"/>
            </w:r>
          </w:hyperlink>
        </w:p>
        <w:p w:rsidR="00715932" w:rsidRDefault="00B920BD">
          <w:pPr>
            <w:pStyle w:val="TOC2"/>
            <w:tabs>
              <w:tab w:val="right" w:leader="dot" w:pos="8486"/>
            </w:tabs>
            <w:rPr>
              <w:rFonts w:asciiTheme="minorHAnsi" w:eastAsiaTheme="minorEastAsia" w:hAnsiTheme="minorHAnsi" w:cstheme="minorBidi"/>
              <w:noProof/>
              <w:sz w:val="22"/>
              <w:szCs w:val="22"/>
            </w:rPr>
          </w:pPr>
          <w:hyperlink w:anchor="_Toc491245979" w:history="1">
            <w:r w:rsidR="00715932" w:rsidRPr="00E47A4B">
              <w:rPr>
                <w:rStyle w:val="Hyperlink"/>
                <w:rFonts w:cs="Times New Roman"/>
                <w:noProof/>
              </w:rPr>
              <w:t>2. Geology of Pegmatites at the Little Three Mine</w:t>
            </w:r>
            <w:r w:rsidR="00715932">
              <w:rPr>
                <w:noProof/>
                <w:webHidden/>
              </w:rPr>
              <w:tab/>
            </w:r>
            <w:r w:rsidR="00715932">
              <w:rPr>
                <w:noProof/>
                <w:webHidden/>
              </w:rPr>
              <w:fldChar w:fldCharType="begin"/>
            </w:r>
            <w:r w:rsidR="00715932">
              <w:rPr>
                <w:noProof/>
                <w:webHidden/>
              </w:rPr>
              <w:instrText xml:space="preserve"> PAGEREF _Toc491245979 \h </w:instrText>
            </w:r>
            <w:r w:rsidR="00715932">
              <w:rPr>
                <w:noProof/>
                <w:webHidden/>
              </w:rPr>
            </w:r>
            <w:r w:rsidR="00715932">
              <w:rPr>
                <w:noProof/>
                <w:webHidden/>
              </w:rPr>
              <w:fldChar w:fldCharType="separate"/>
            </w:r>
            <w:r w:rsidR="000C5FC3">
              <w:rPr>
                <w:noProof/>
                <w:webHidden/>
              </w:rPr>
              <w:t>12</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5980" w:history="1">
            <w:r w:rsidR="00715932" w:rsidRPr="00E47A4B">
              <w:rPr>
                <w:rStyle w:val="Hyperlink"/>
                <w:rFonts w:cs="Times New Roman"/>
                <w:noProof/>
              </w:rPr>
              <w:t>2.1. Location, structure, and host rocks.</w:t>
            </w:r>
            <w:r w:rsidR="00715932">
              <w:rPr>
                <w:noProof/>
                <w:webHidden/>
              </w:rPr>
              <w:tab/>
            </w:r>
            <w:r w:rsidR="00715932">
              <w:rPr>
                <w:noProof/>
                <w:webHidden/>
              </w:rPr>
              <w:fldChar w:fldCharType="begin"/>
            </w:r>
            <w:r w:rsidR="00715932">
              <w:rPr>
                <w:noProof/>
                <w:webHidden/>
              </w:rPr>
              <w:instrText xml:space="preserve"> PAGEREF _Toc491245980 \h </w:instrText>
            </w:r>
            <w:r w:rsidR="00715932">
              <w:rPr>
                <w:noProof/>
                <w:webHidden/>
              </w:rPr>
            </w:r>
            <w:r w:rsidR="00715932">
              <w:rPr>
                <w:noProof/>
                <w:webHidden/>
              </w:rPr>
              <w:fldChar w:fldCharType="separate"/>
            </w:r>
            <w:r w:rsidR="000C5FC3">
              <w:rPr>
                <w:noProof/>
                <w:webHidden/>
              </w:rPr>
              <w:t>12</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5981" w:history="1">
            <w:r w:rsidR="00715932" w:rsidRPr="00E47A4B">
              <w:rPr>
                <w:rStyle w:val="Hyperlink"/>
                <w:rFonts w:cs="Times New Roman"/>
                <w:noProof/>
              </w:rPr>
              <w:t>2.2. Internal zonation</w:t>
            </w:r>
            <w:r w:rsidR="00715932">
              <w:rPr>
                <w:noProof/>
                <w:webHidden/>
              </w:rPr>
              <w:tab/>
            </w:r>
            <w:r w:rsidR="00715932">
              <w:rPr>
                <w:noProof/>
                <w:webHidden/>
              </w:rPr>
              <w:fldChar w:fldCharType="begin"/>
            </w:r>
            <w:r w:rsidR="00715932">
              <w:rPr>
                <w:noProof/>
                <w:webHidden/>
              </w:rPr>
              <w:instrText xml:space="preserve"> PAGEREF _Toc491245981 \h </w:instrText>
            </w:r>
            <w:r w:rsidR="00715932">
              <w:rPr>
                <w:noProof/>
                <w:webHidden/>
              </w:rPr>
            </w:r>
            <w:r w:rsidR="00715932">
              <w:rPr>
                <w:noProof/>
                <w:webHidden/>
              </w:rPr>
              <w:fldChar w:fldCharType="separate"/>
            </w:r>
            <w:r w:rsidR="000C5FC3">
              <w:rPr>
                <w:noProof/>
                <w:webHidden/>
              </w:rPr>
              <w:t>13</w:t>
            </w:r>
            <w:r w:rsidR="00715932">
              <w:rPr>
                <w:noProof/>
                <w:webHidden/>
              </w:rPr>
              <w:fldChar w:fldCharType="end"/>
            </w:r>
          </w:hyperlink>
        </w:p>
        <w:p w:rsidR="00715932" w:rsidRDefault="00B920BD">
          <w:pPr>
            <w:pStyle w:val="TOC2"/>
            <w:tabs>
              <w:tab w:val="right" w:leader="dot" w:pos="8486"/>
            </w:tabs>
            <w:rPr>
              <w:rFonts w:asciiTheme="minorHAnsi" w:eastAsiaTheme="minorEastAsia" w:hAnsiTheme="minorHAnsi" w:cstheme="minorBidi"/>
              <w:noProof/>
              <w:sz w:val="22"/>
              <w:szCs w:val="22"/>
            </w:rPr>
          </w:pPr>
          <w:hyperlink w:anchor="_Toc491245982" w:history="1">
            <w:r w:rsidR="00715932" w:rsidRPr="00E47A4B">
              <w:rPr>
                <w:rStyle w:val="Hyperlink"/>
                <w:rFonts w:cs="Times New Roman"/>
                <w:noProof/>
              </w:rPr>
              <w:t>3. Methods</w:t>
            </w:r>
            <w:r w:rsidR="00715932">
              <w:rPr>
                <w:noProof/>
                <w:webHidden/>
              </w:rPr>
              <w:tab/>
            </w:r>
            <w:r w:rsidR="00715932">
              <w:rPr>
                <w:noProof/>
                <w:webHidden/>
              </w:rPr>
              <w:fldChar w:fldCharType="begin"/>
            </w:r>
            <w:r w:rsidR="00715932">
              <w:rPr>
                <w:noProof/>
                <w:webHidden/>
              </w:rPr>
              <w:instrText xml:space="preserve"> PAGEREF _Toc491245982 \h </w:instrText>
            </w:r>
            <w:r w:rsidR="00715932">
              <w:rPr>
                <w:noProof/>
                <w:webHidden/>
              </w:rPr>
            </w:r>
            <w:r w:rsidR="00715932">
              <w:rPr>
                <w:noProof/>
                <w:webHidden/>
              </w:rPr>
              <w:fldChar w:fldCharType="separate"/>
            </w:r>
            <w:r w:rsidR="000C5FC3">
              <w:rPr>
                <w:noProof/>
                <w:webHidden/>
              </w:rPr>
              <w:t>15</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5983" w:history="1">
            <w:r w:rsidR="00715932" w:rsidRPr="00E47A4B">
              <w:rPr>
                <w:rStyle w:val="Hyperlink"/>
                <w:rFonts w:cs="Times New Roman"/>
                <w:noProof/>
              </w:rPr>
              <w:t>3.1. Description of samples</w:t>
            </w:r>
            <w:r w:rsidR="00715932">
              <w:rPr>
                <w:noProof/>
                <w:webHidden/>
              </w:rPr>
              <w:tab/>
            </w:r>
            <w:r w:rsidR="00715932">
              <w:rPr>
                <w:noProof/>
                <w:webHidden/>
              </w:rPr>
              <w:fldChar w:fldCharType="begin"/>
            </w:r>
            <w:r w:rsidR="00715932">
              <w:rPr>
                <w:noProof/>
                <w:webHidden/>
              </w:rPr>
              <w:instrText xml:space="preserve"> PAGEREF _Toc491245983 \h </w:instrText>
            </w:r>
            <w:r w:rsidR="00715932">
              <w:rPr>
                <w:noProof/>
                <w:webHidden/>
              </w:rPr>
            </w:r>
            <w:r w:rsidR="00715932">
              <w:rPr>
                <w:noProof/>
                <w:webHidden/>
              </w:rPr>
              <w:fldChar w:fldCharType="separate"/>
            </w:r>
            <w:r w:rsidR="000C5FC3">
              <w:rPr>
                <w:noProof/>
                <w:webHidden/>
              </w:rPr>
              <w:t>15</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5984" w:history="1">
            <w:r w:rsidR="00715932" w:rsidRPr="00E47A4B">
              <w:rPr>
                <w:rStyle w:val="Hyperlink"/>
                <w:rFonts w:cs="Times New Roman"/>
                <w:noProof/>
              </w:rPr>
              <w:t>3.2. Preparation of samples for SIMS and EMPA</w:t>
            </w:r>
            <w:r w:rsidR="00715932">
              <w:rPr>
                <w:noProof/>
                <w:webHidden/>
              </w:rPr>
              <w:tab/>
            </w:r>
            <w:r w:rsidR="00715932">
              <w:rPr>
                <w:noProof/>
                <w:webHidden/>
              </w:rPr>
              <w:fldChar w:fldCharType="begin"/>
            </w:r>
            <w:r w:rsidR="00715932">
              <w:rPr>
                <w:noProof/>
                <w:webHidden/>
              </w:rPr>
              <w:instrText xml:space="preserve"> PAGEREF _Toc491245984 \h </w:instrText>
            </w:r>
            <w:r w:rsidR="00715932">
              <w:rPr>
                <w:noProof/>
                <w:webHidden/>
              </w:rPr>
            </w:r>
            <w:r w:rsidR="00715932">
              <w:rPr>
                <w:noProof/>
                <w:webHidden/>
              </w:rPr>
              <w:fldChar w:fldCharType="separate"/>
            </w:r>
            <w:r w:rsidR="000C5FC3">
              <w:rPr>
                <w:noProof/>
                <w:webHidden/>
              </w:rPr>
              <w:t>16</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5985" w:history="1">
            <w:r w:rsidR="00715932" w:rsidRPr="00E47A4B">
              <w:rPr>
                <w:rStyle w:val="Hyperlink"/>
                <w:rFonts w:cs="Times New Roman"/>
                <w:noProof/>
              </w:rPr>
              <w:t>3.3. Electron Microbeam Analytical (EMPA) Methods</w:t>
            </w:r>
            <w:r w:rsidR="00715932">
              <w:rPr>
                <w:noProof/>
                <w:webHidden/>
              </w:rPr>
              <w:tab/>
            </w:r>
            <w:r w:rsidR="00715932">
              <w:rPr>
                <w:noProof/>
                <w:webHidden/>
              </w:rPr>
              <w:fldChar w:fldCharType="begin"/>
            </w:r>
            <w:r w:rsidR="00715932">
              <w:rPr>
                <w:noProof/>
                <w:webHidden/>
              </w:rPr>
              <w:instrText xml:space="preserve"> PAGEREF _Toc491245985 \h </w:instrText>
            </w:r>
            <w:r w:rsidR="00715932">
              <w:rPr>
                <w:noProof/>
                <w:webHidden/>
              </w:rPr>
            </w:r>
            <w:r w:rsidR="00715932">
              <w:rPr>
                <w:noProof/>
                <w:webHidden/>
              </w:rPr>
              <w:fldChar w:fldCharType="separate"/>
            </w:r>
            <w:r w:rsidR="000C5FC3">
              <w:rPr>
                <w:noProof/>
                <w:webHidden/>
              </w:rPr>
              <w:t>17</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5986" w:history="1">
            <w:r w:rsidR="00715932" w:rsidRPr="00E47A4B">
              <w:rPr>
                <w:rStyle w:val="Hyperlink"/>
                <w:rFonts w:cs="Times New Roman"/>
                <w:noProof/>
              </w:rPr>
              <w:t>3.4. Secondary Ion Mass Spectrometry (SIMS)</w:t>
            </w:r>
            <w:r w:rsidR="00715932">
              <w:rPr>
                <w:noProof/>
                <w:webHidden/>
              </w:rPr>
              <w:tab/>
            </w:r>
            <w:r w:rsidR="00715932">
              <w:rPr>
                <w:noProof/>
                <w:webHidden/>
              </w:rPr>
              <w:fldChar w:fldCharType="begin"/>
            </w:r>
            <w:r w:rsidR="00715932">
              <w:rPr>
                <w:noProof/>
                <w:webHidden/>
              </w:rPr>
              <w:instrText xml:space="preserve"> PAGEREF _Toc491245986 \h </w:instrText>
            </w:r>
            <w:r w:rsidR="00715932">
              <w:rPr>
                <w:noProof/>
                <w:webHidden/>
              </w:rPr>
            </w:r>
            <w:r w:rsidR="00715932">
              <w:rPr>
                <w:noProof/>
                <w:webHidden/>
              </w:rPr>
              <w:fldChar w:fldCharType="separate"/>
            </w:r>
            <w:r w:rsidR="000C5FC3">
              <w:rPr>
                <w:noProof/>
                <w:webHidden/>
              </w:rPr>
              <w:t>18</w:t>
            </w:r>
            <w:r w:rsidR="00715932">
              <w:rPr>
                <w:noProof/>
                <w:webHidden/>
              </w:rPr>
              <w:fldChar w:fldCharType="end"/>
            </w:r>
          </w:hyperlink>
        </w:p>
        <w:p w:rsidR="00715932" w:rsidRDefault="00B920BD">
          <w:pPr>
            <w:pStyle w:val="TOC4"/>
            <w:tabs>
              <w:tab w:val="right" w:leader="dot" w:pos="8486"/>
            </w:tabs>
            <w:rPr>
              <w:rFonts w:asciiTheme="minorHAnsi" w:eastAsiaTheme="minorEastAsia" w:hAnsiTheme="minorHAnsi" w:cstheme="minorBidi"/>
              <w:noProof/>
              <w:sz w:val="22"/>
              <w:szCs w:val="22"/>
            </w:rPr>
          </w:pPr>
          <w:hyperlink w:anchor="_Toc491245987" w:history="1">
            <w:r w:rsidR="00715932" w:rsidRPr="00E47A4B">
              <w:rPr>
                <w:rStyle w:val="Hyperlink"/>
                <w:rFonts w:cs="Times New Roman"/>
                <w:noProof/>
              </w:rPr>
              <w:t>3.4.1. Standardization and Instrumental Mass Fractionation</w:t>
            </w:r>
            <w:r w:rsidR="00715932">
              <w:rPr>
                <w:noProof/>
                <w:webHidden/>
              </w:rPr>
              <w:tab/>
            </w:r>
            <w:r w:rsidR="00715932">
              <w:rPr>
                <w:noProof/>
                <w:webHidden/>
              </w:rPr>
              <w:fldChar w:fldCharType="begin"/>
            </w:r>
            <w:r w:rsidR="00715932">
              <w:rPr>
                <w:noProof/>
                <w:webHidden/>
              </w:rPr>
              <w:instrText xml:space="preserve"> PAGEREF _Toc491245987 \h </w:instrText>
            </w:r>
            <w:r w:rsidR="00715932">
              <w:rPr>
                <w:noProof/>
                <w:webHidden/>
              </w:rPr>
            </w:r>
            <w:r w:rsidR="00715932">
              <w:rPr>
                <w:noProof/>
                <w:webHidden/>
              </w:rPr>
              <w:fldChar w:fldCharType="separate"/>
            </w:r>
            <w:r w:rsidR="000C5FC3">
              <w:rPr>
                <w:noProof/>
                <w:webHidden/>
              </w:rPr>
              <w:t>19</w:t>
            </w:r>
            <w:r w:rsidR="00715932">
              <w:rPr>
                <w:noProof/>
                <w:webHidden/>
              </w:rPr>
              <w:fldChar w:fldCharType="end"/>
            </w:r>
          </w:hyperlink>
        </w:p>
        <w:p w:rsidR="00715932" w:rsidRDefault="00B920BD">
          <w:pPr>
            <w:pStyle w:val="TOC2"/>
            <w:tabs>
              <w:tab w:val="right" w:leader="dot" w:pos="8486"/>
            </w:tabs>
            <w:rPr>
              <w:rFonts w:asciiTheme="minorHAnsi" w:eastAsiaTheme="minorEastAsia" w:hAnsiTheme="minorHAnsi" w:cstheme="minorBidi"/>
              <w:noProof/>
              <w:sz w:val="22"/>
              <w:szCs w:val="22"/>
            </w:rPr>
          </w:pPr>
          <w:hyperlink w:anchor="_Toc491245988" w:history="1">
            <w:r w:rsidR="00715932" w:rsidRPr="00E47A4B">
              <w:rPr>
                <w:rStyle w:val="Hyperlink"/>
                <w:rFonts w:cs="Times New Roman"/>
                <w:noProof/>
              </w:rPr>
              <w:t>4. Results</w:t>
            </w:r>
            <w:r w:rsidR="00715932">
              <w:rPr>
                <w:noProof/>
                <w:webHidden/>
              </w:rPr>
              <w:tab/>
            </w:r>
            <w:r w:rsidR="00715932">
              <w:rPr>
                <w:noProof/>
                <w:webHidden/>
              </w:rPr>
              <w:fldChar w:fldCharType="begin"/>
            </w:r>
            <w:r w:rsidR="00715932">
              <w:rPr>
                <w:noProof/>
                <w:webHidden/>
              </w:rPr>
              <w:instrText xml:space="preserve"> PAGEREF _Toc491245988 \h </w:instrText>
            </w:r>
            <w:r w:rsidR="00715932">
              <w:rPr>
                <w:noProof/>
                <w:webHidden/>
              </w:rPr>
            </w:r>
            <w:r w:rsidR="00715932">
              <w:rPr>
                <w:noProof/>
                <w:webHidden/>
              </w:rPr>
              <w:fldChar w:fldCharType="separate"/>
            </w:r>
            <w:r w:rsidR="000C5FC3">
              <w:rPr>
                <w:noProof/>
                <w:webHidden/>
              </w:rPr>
              <w:t>21</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5989" w:history="1">
            <w:r w:rsidR="00715932" w:rsidRPr="00E47A4B">
              <w:rPr>
                <w:rStyle w:val="Hyperlink"/>
                <w:rFonts w:cs="Times New Roman"/>
                <w:noProof/>
              </w:rPr>
              <w:t>4.1. Main Dike</w:t>
            </w:r>
            <w:r w:rsidR="00715932">
              <w:rPr>
                <w:noProof/>
                <w:webHidden/>
              </w:rPr>
              <w:tab/>
            </w:r>
            <w:r w:rsidR="00715932">
              <w:rPr>
                <w:noProof/>
                <w:webHidden/>
              </w:rPr>
              <w:fldChar w:fldCharType="begin"/>
            </w:r>
            <w:r w:rsidR="00715932">
              <w:rPr>
                <w:noProof/>
                <w:webHidden/>
              </w:rPr>
              <w:instrText xml:space="preserve"> PAGEREF _Toc491245989 \h </w:instrText>
            </w:r>
            <w:r w:rsidR="00715932">
              <w:rPr>
                <w:noProof/>
                <w:webHidden/>
              </w:rPr>
            </w:r>
            <w:r w:rsidR="00715932">
              <w:rPr>
                <w:noProof/>
                <w:webHidden/>
              </w:rPr>
              <w:fldChar w:fldCharType="separate"/>
            </w:r>
            <w:r w:rsidR="000C5FC3">
              <w:rPr>
                <w:noProof/>
                <w:webHidden/>
              </w:rPr>
              <w:t>21</w:t>
            </w:r>
            <w:r w:rsidR="00715932">
              <w:rPr>
                <w:noProof/>
                <w:webHidden/>
              </w:rPr>
              <w:fldChar w:fldCharType="end"/>
            </w:r>
          </w:hyperlink>
        </w:p>
        <w:p w:rsidR="00715932" w:rsidRDefault="00B920BD">
          <w:pPr>
            <w:pStyle w:val="TOC4"/>
            <w:tabs>
              <w:tab w:val="right" w:leader="dot" w:pos="8486"/>
            </w:tabs>
            <w:rPr>
              <w:rFonts w:asciiTheme="minorHAnsi" w:eastAsiaTheme="minorEastAsia" w:hAnsiTheme="minorHAnsi" w:cstheme="minorBidi"/>
              <w:noProof/>
              <w:sz w:val="22"/>
              <w:szCs w:val="22"/>
            </w:rPr>
          </w:pPr>
          <w:hyperlink w:anchor="_Toc491245990" w:history="1">
            <w:r w:rsidR="00715932" w:rsidRPr="00E47A4B">
              <w:rPr>
                <w:rStyle w:val="Hyperlink"/>
                <w:rFonts w:cs="Times New Roman"/>
                <w:noProof/>
              </w:rPr>
              <w:t>4.1.1. Boron isotopic compositions</w:t>
            </w:r>
            <w:r w:rsidR="00715932">
              <w:rPr>
                <w:noProof/>
                <w:webHidden/>
              </w:rPr>
              <w:tab/>
            </w:r>
            <w:r w:rsidR="00715932">
              <w:rPr>
                <w:noProof/>
                <w:webHidden/>
              </w:rPr>
              <w:fldChar w:fldCharType="begin"/>
            </w:r>
            <w:r w:rsidR="00715932">
              <w:rPr>
                <w:noProof/>
                <w:webHidden/>
              </w:rPr>
              <w:instrText xml:space="preserve"> PAGEREF _Toc491245990 \h </w:instrText>
            </w:r>
            <w:r w:rsidR="00715932">
              <w:rPr>
                <w:noProof/>
                <w:webHidden/>
              </w:rPr>
            </w:r>
            <w:r w:rsidR="00715932">
              <w:rPr>
                <w:noProof/>
                <w:webHidden/>
              </w:rPr>
              <w:fldChar w:fldCharType="separate"/>
            </w:r>
            <w:r w:rsidR="000C5FC3">
              <w:rPr>
                <w:noProof/>
                <w:webHidden/>
              </w:rPr>
              <w:t>21</w:t>
            </w:r>
            <w:r w:rsidR="00715932">
              <w:rPr>
                <w:noProof/>
                <w:webHidden/>
              </w:rPr>
              <w:fldChar w:fldCharType="end"/>
            </w:r>
          </w:hyperlink>
        </w:p>
        <w:p w:rsidR="00715932" w:rsidRDefault="00B920BD">
          <w:pPr>
            <w:pStyle w:val="TOC4"/>
            <w:tabs>
              <w:tab w:val="right" w:leader="dot" w:pos="8486"/>
            </w:tabs>
            <w:rPr>
              <w:rFonts w:asciiTheme="minorHAnsi" w:eastAsiaTheme="minorEastAsia" w:hAnsiTheme="minorHAnsi" w:cstheme="minorBidi"/>
              <w:noProof/>
              <w:sz w:val="22"/>
              <w:szCs w:val="22"/>
            </w:rPr>
          </w:pPr>
          <w:hyperlink w:anchor="_Toc491245991" w:history="1">
            <w:r w:rsidR="00715932" w:rsidRPr="00E47A4B">
              <w:rPr>
                <w:rStyle w:val="Hyperlink"/>
                <w:rFonts w:cs="Times New Roman"/>
                <w:noProof/>
              </w:rPr>
              <w:t>4.1.2. Chemical compositions</w:t>
            </w:r>
            <w:r w:rsidR="00715932">
              <w:rPr>
                <w:noProof/>
                <w:webHidden/>
              </w:rPr>
              <w:tab/>
            </w:r>
            <w:r w:rsidR="00715932">
              <w:rPr>
                <w:noProof/>
                <w:webHidden/>
              </w:rPr>
              <w:fldChar w:fldCharType="begin"/>
            </w:r>
            <w:r w:rsidR="00715932">
              <w:rPr>
                <w:noProof/>
                <w:webHidden/>
              </w:rPr>
              <w:instrText xml:space="preserve"> PAGEREF _Toc491245991 \h </w:instrText>
            </w:r>
            <w:r w:rsidR="00715932">
              <w:rPr>
                <w:noProof/>
                <w:webHidden/>
              </w:rPr>
            </w:r>
            <w:r w:rsidR="00715932">
              <w:rPr>
                <w:noProof/>
                <w:webHidden/>
              </w:rPr>
              <w:fldChar w:fldCharType="separate"/>
            </w:r>
            <w:r w:rsidR="000C5FC3">
              <w:rPr>
                <w:noProof/>
                <w:webHidden/>
              </w:rPr>
              <w:t>21</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5992" w:history="1">
            <w:r w:rsidR="00715932" w:rsidRPr="00E47A4B">
              <w:rPr>
                <w:rStyle w:val="Hyperlink"/>
                <w:rFonts w:cs="Times New Roman"/>
                <w:noProof/>
              </w:rPr>
              <w:t>4.2. Swamp Dike</w:t>
            </w:r>
            <w:r w:rsidR="00715932">
              <w:rPr>
                <w:noProof/>
                <w:webHidden/>
              </w:rPr>
              <w:tab/>
            </w:r>
            <w:r w:rsidR="00715932">
              <w:rPr>
                <w:noProof/>
                <w:webHidden/>
              </w:rPr>
              <w:fldChar w:fldCharType="begin"/>
            </w:r>
            <w:r w:rsidR="00715932">
              <w:rPr>
                <w:noProof/>
                <w:webHidden/>
              </w:rPr>
              <w:instrText xml:space="preserve"> PAGEREF _Toc491245992 \h </w:instrText>
            </w:r>
            <w:r w:rsidR="00715932">
              <w:rPr>
                <w:noProof/>
                <w:webHidden/>
              </w:rPr>
            </w:r>
            <w:r w:rsidR="00715932">
              <w:rPr>
                <w:noProof/>
                <w:webHidden/>
              </w:rPr>
              <w:fldChar w:fldCharType="separate"/>
            </w:r>
            <w:r w:rsidR="000C5FC3">
              <w:rPr>
                <w:noProof/>
                <w:webHidden/>
              </w:rPr>
              <w:t>22</w:t>
            </w:r>
            <w:r w:rsidR="00715932">
              <w:rPr>
                <w:noProof/>
                <w:webHidden/>
              </w:rPr>
              <w:fldChar w:fldCharType="end"/>
            </w:r>
          </w:hyperlink>
        </w:p>
        <w:p w:rsidR="00715932" w:rsidRDefault="00B920BD">
          <w:pPr>
            <w:pStyle w:val="TOC4"/>
            <w:tabs>
              <w:tab w:val="right" w:leader="dot" w:pos="8486"/>
            </w:tabs>
            <w:rPr>
              <w:rFonts w:asciiTheme="minorHAnsi" w:eastAsiaTheme="minorEastAsia" w:hAnsiTheme="minorHAnsi" w:cstheme="minorBidi"/>
              <w:noProof/>
              <w:sz w:val="22"/>
              <w:szCs w:val="22"/>
            </w:rPr>
          </w:pPr>
          <w:hyperlink w:anchor="_Toc491245993" w:history="1">
            <w:r w:rsidR="00715932" w:rsidRPr="00E47A4B">
              <w:rPr>
                <w:rStyle w:val="Hyperlink"/>
                <w:rFonts w:cs="Times New Roman"/>
                <w:noProof/>
              </w:rPr>
              <w:t>4.2.1. Boron isotopic compositions</w:t>
            </w:r>
            <w:r w:rsidR="00715932">
              <w:rPr>
                <w:noProof/>
                <w:webHidden/>
              </w:rPr>
              <w:tab/>
            </w:r>
            <w:r w:rsidR="00715932">
              <w:rPr>
                <w:noProof/>
                <w:webHidden/>
              </w:rPr>
              <w:fldChar w:fldCharType="begin"/>
            </w:r>
            <w:r w:rsidR="00715932">
              <w:rPr>
                <w:noProof/>
                <w:webHidden/>
              </w:rPr>
              <w:instrText xml:space="preserve"> PAGEREF _Toc491245993 \h </w:instrText>
            </w:r>
            <w:r w:rsidR="00715932">
              <w:rPr>
                <w:noProof/>
                <w:webHidden/>
              </w:rPr>
            </w:r>
            <w:r w:rsidR="00715932">
              <w:rPr>
                <w:noProof/>
                <w:webHidden/>
              </w:rPr>
              <w:fldChar w:fldCharType="separate"/>
            </w:r>
            <w:r w:rsidR="000C5FC3">
              <w:rPr>
                <w:noProof/>
                <w:webHidden/>
              </w:rPr>
              <w:t>22</w:t>
            </w:r>
            <w:r w:rsidR="00715932">
              <w:rPr>
                <w:noProof/>
                <w:webHidden/>
              </w:rPr>
              <w:fldChar w:fldCharType="end"/>
            </w:r>
          </w:hyperlink>
        </w:p>
        <w:p w:rsidR="00715932" w:rsidRDefault="00B920BD">
          <w:pPr>
            <w:pStyle w:val="TOC4"/>
            <w:tabs>
              <w:tab w:val="right" w:leader="dot" w:pos="8486"/>
            </w:tabs>
            <w:rPr>
              <w:rFonts w:asciiTheme="minorHAnsi" w:eastAsiaTheme="minorEastAsia" w:hAnsiTheme="minorHAnsi" w:cstheme="minorBidi"/>
              <w:noProof/>
              <w:sz w:val="22"/>
              <w:szCs w:val="22"/>
            </w:rPr>
          </w:pPr>
          <w:hyperlink w:anchor="_Toc491245994" w:history="1">
            <w:r w:rsidR="00715932" w:rsidRPr="00E47A4B">
              <w:rPr>
                <w:rStyle w:val="Hyperlink"/>
                <w:rFonts w:cs="Times New Roman"/>
                <w:noProof/>
              </w:rPr>
              <w:t>4.2.2. Chemical compositions</w:t>
            </w:r>
            <w:r w:rsidR="00715932">
              <w:rPr>
                <w:noProof/>
                <w:webHidden/>
              </w:rPr>
              <w:tab/>
            </w:r>
            <w:r w:rsidR="00715932">
              <w:rPr>
                <w:noProof/>
                <w:webHidden/>
              </w:rPr>
              <w:fldChar w:fldCharType="begin"/>
            </w:r>
            <w:r w:rsidR="00715932">
              <w:rPr>
                <w:noProof/>
                <w:webHidden/>
              </w:rPr>
              <w:instrText xml:space="preserve"> PAGEREF _Toc491245994 \h </w:instrText>
            </w:r>
            <w:r w:rsidR="00715932">
              <w:rPr>
                <w:noProof/>
                <w:webHidden/>
              </w:rPr>
            </w:r>
            <w:r w:rsidR="00715932">
              <w:rPr>
                <w:noProof/>
                <w:webHidden/>
              </w:rPr>
              <w:fldChar w:fldCharType="separate"/>
            </w:r>
            <w:r w:rsidR="000C5FC3">
              <w:rPr>
                <w:noProof/>
                <w:webHidden/>
              </w:rPr>
              <w:t>23</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5995" w:history="1">
            <w:r w:rsidR="00715932" w:rsidRPr="00E47A4B">
              <w:rPr>
                <w:rStyle w:val="Hyperlink"/>
                <w:rFonts w:cs="Times New Roman"/>
                <w:noProof/>
              </w:rPr>
              <w:t>4.3. Spessartine Dike</w:t>
            </w:r>
            <w:r w:rsidR="00715932">
              <w:rPr>
                <w:noProof/>
                <w:webHidden/>
              </w:rPr>
              <w:tab/>
            </w:r>
            <w:r w:rsidR="00715932">
              <w:rPr>
                <w:noProof/>
                <w:webHidden/>
              </w:rPr>
              <w:fldChar w:fldCharType="begin"/>
            </w:r>
            <w:r w:rsidR="00715932">
              <w:rPr>
                <w:noProof/>
                <w:webHidden/>
              </w:rPr>
              <w:instrText xml:space="preserve"> PAGEREF _Toc491245995 \h </w:instrText>
            </w:r>
            <w:r w:rsidR="00715932">
              <w:rPr>
                <w:noProof/>
                <w:webHidden/>
              </w:rPr>
            </w:r>
            <w:r w:rsidR="00715932">
              <w:rPr>
                <w:noProof/>
                <w:webHidden/>
              </w:rPr>
              <w:fldChar w:fldCharType="separate"/>
            </w:r>
            <w:r w:rsidR="000C5FC3">
              <w:rPr>
                <w:noProof/>
                <w:webHidden/>
              </w:rPr>
              <w:t>23</w:t>
            </w:r>
            <w:r w:rsidR="00715932">
              <w:rPr>
                <w:noProof/>
                <w:webHidden/>
              </w:rPr>
              <w:fldChar w:fldCharType="end"/>
            </w:r>
          </w:hyperlink>
        </w:p>
        <w:p w:rsidR="00715932" w:rsidRDefault="00B920BD">
          <w:pPr>
            <w:pStyle w:val="TOC4"/>
            <w:tabs>
              <w:tab w:val="right" w:leader="dot" w:pos="8486"/>
            </w:tabs>
            <w:rPr>
              <w:rFonts w:asciiTheme="minorHAnsi" w:eastAsiaTheme="minorEastAsia" w:hAnsiTheme="minorHAnsi" w:cstheme="minorBidi"/>
              <w:noProof/>
              <w:sz w:val="22"/>
              <w:szCs w:val="22"/>
            </w:rPr>
          </w:pPr>
          <w:hyperlink w:anchor="_Toc491245996" w:history="1">
            <w:r w:rsidR="00715932" w:rsidRPr="00E47A4B">
              <w:rPr>
                <w:rStyle w:val="Hyperlink"/>
                <w:rFonts w:cs="Times New Roman"/>
                <w:noProof/>
              </w:rPr>
              <w:t>4.3.1. Boron isotopic compositions</w:t>
            </w:r>
            <w:r w:rsidR="00715932">
              <w:rPr>
                <w:noProof/>
                <w:webHidden/>
              </w:rPr>
              <w:tab/>
            </w:r>
            <w:r w:rsidR="00715932">
              <w:rPr>
                <w:noProof/>
                <w:webHidden/>
              </w:rPr>
              <w:fldChar w:fldCharType="begin"/>
            </w:r>
            <w:r w:rsidR="00715932">
              <w:rPr>
                <w:noProof/>
                <w:webHidden/>
              </w:rPr>
              <w:instrText xml:space="preserve"> PAGEREF _Toc491245996 \h </w:instrText>
            </w:r>
            <w:r w:rsidR="00715932">
              <w:rPr>
                <w:noProof/>
                <w:webHidden/>
              </w:rPr>
            </w:r>
            <w:r w:rsidR="00715932">
              <w:rPr>
                <w:noProof/>
                <w:webHidden/>
              </w:rPr>
              <w:fldChar w:fldCharType="separate"/>
            </w:r>
            <w:r w:rsidR="000C5FC3">
              <w:rPr>
                <w:noProof/>
                <w:webHidden/>
              </w:rPr>
              <w:t>23</w:t>
            </w:r>
            <w:r w:rsidR="00715932">
              <w:rPr>
                <w:noProof/>
                <w:webHidden/>
              </w:rPr>
              <w:fldChar w:fldCharType="end"/>
            </w:r>
          </w:hyperlink>
        </w:p>
        <w:p w:rsidR="00715932" w:rsidRDefault="00B920BD">
          <w:pPr>
            <w:pStyle w:val="TOC4"/>
            <w:tabs>
              <w:tab w:val="right" w:leader="dot" w:pos="8486"/>
            </w:tabs>
            <w:rPr>
              <w:rFonts w:asciiTheme="minorHAnsi" w:eastAsiaTheme="minorEastAsia" w:hAnsiTheme="minorHAnsi" w:cstheme="minorBidi"/>
              <w:noProof/>
              <w:sz w:val="22"/>
              <w:szCs w:val="22"/>
            </w:rPr>
          </w:pPr>
          <w:hyperlink w:anchor="_Toc491245997" w:history="1">
            <w:r w:rsidR="00715932" w:rsidRPr="00E47A4B">
              <w:rPr>
                <w:rStyle w:val="Hyperlink"/>
                <w:rFonts w:cs="Times New Roman"/>
                <w:noProof/>
              </w:rPr>
              <w:t>4.3.2. Chemical compositions</w:t>
            </w:r>
            <w:r w:rsidR="00715932">
              <w:rPr>
                <w:noProof/>
                <w:webHidden/>
              </w:rPr>
              <w:tab/>
            </w:r>
            <w:r w:rsidR="00715932">
              <w:rPr>
                <w:noProof/>
                <w:webHidden/>
              </w:rPr>
              <w:fldChar w:fldCharType="begin"/>
            </w:r>
            <w:r w:rsidR="00715932">
              <w:rPr>
                <w:noProof/>
                <w:webHidden/>
              </w:rPr>
              <w:instrText xml:space="preserve"> PAGEREF _Toc491245997 \h </w:instrText>
            </w:r>
            <w:r w:rsidR="00715932">
              <w:rPr>
                <w:noProof/>
                <w:webHidden/>
              </w:rPr>
            </w:r>
            <w:r w:rsidR="00715932">
              <w:rPr>
                <w:noProof/>
                <w:webHidden/>
              </w:rPr>
              <w:fldChar w:fldCharType="separate"/>
            </w:r>
            <w:r w:rsidR="000C5FC3">
              <w:rPr>
                <w:noProof/>
                <w:webHidden/>
              </w:rPr>
              <w:t>24</w:t>
            </w:r>
            <w:r w:rsidR="00715932">
              <w:rPr>
                <w:noProof/>
                <w:webHidden/>
              </w:rPr>
              <w:fldChar w:fldCharType="end"/>
            </w:r>
          </w:hyperlink>
        </w:p>
        <w:p w:rsidR="00715932" w:rsidRDefault="00B920BD">
          <w:pPr>
            <w:pStyle w:val="TOC2"/>
            <w:tabs>
              <w:tab w:val="right" w:leader="dot" w:pos="8486"/>
            </w:tabs>
            <w:rPr>
              <w:rFonts w:asciiTheme="minorHAnsi" w:eastAsiaTheme="minorEastAsia" w:hAnsiTheme="minorHAnsi" w:cstheme="minorBidi"/>
              <w:noProof/>
              <w:sz w:val="22"/>
              <w:szCs w:val="22"/>
            </w:rPr>
          </w:pPr>
          <w:hyperlink w:anchor="_Toc491245998" w:history="1">
            <w:r w:rsidR="00715932" w:rsidRPr="00E47A4B">
              <w:rPr>
                <w:rStyle w:val="Hyperlink"/>
                <w:rFonts w:cs="Times New Roman"/>
                <w:noProof/>
              </w:rPr>
              <w:t>5. Discussion</w:t>
            </w:r>
            <w:r w:rsidR="00715932">
              <w:rPr>
                <w:noProof/>
                <w:webHidden/>
              </w:rPr>
              <w:tab/>
            </w:r>
            <w:r w:rsidR="00715932">
              <w:rPr>
                <w:noProof/>
                <w:webHidden/>
              </w:rPr>
              <w:fldChar w:fldCharType="begin"/>
            </w:r>
            <w:r w:rsidR="00715932">
              <w:rPr>
                <w:noProof/>
                <w:webHidden/>
              </w:rPr>
              <w:instrText xml:space="preserve"> PAGEREF _Toc491245998 \h </w:instrText>
            </w:r>
            <w:r w:rsidR="00715932">
              <w:rPr>
                <w:noProof/>
                <w:webHidden/>
              </w:rPr>
            </w:r>
            <w:r w:rsidR="00715932">
              <w:rPr>
                <w:noProof/>
                <w:webHidden/>
              </w:rPr>
              <w:fldChar w:fldCharType="separate"/>
            </w:r>
            <w:r w:rsidR="000C5FC3">
              <w:rPr>
                <w:noProof/>
                <w:webHidden/>
              </w:rPr>
              <w:t>24</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5999" w:history="1">
            <w:r w:rsidR="00715932" w:rsidRPr="00E47A4B">
              <w:rPr>
                <w:rStyle w:val="Hyperlink"/>
                <w:rFonts w:cs="Times New Roman"/>
                <w:noProof/>
              </w:rPr>
              <w:t>5.1. Heavy Isotopic Bulk Composition</w:t>
            </w:r>
            <w:r w:rsidR="00715932">
              <w:rPr>
                <w:noProof/>
                <w:webHidden/>
              </w:rPr>
              <w:tab/>
            </w:r>
            <w:r w:rsidR="00715932">
              <w:rPr>
                <w:noProof/>
                <w:webHidden/>
              </w:rPr>
              <w:fldChar w:fldCharType="begin"/>
            </w:r>
            <w:r w:rsidR="00715932">
              <w:rPr>
                <w:noProof/>
                <w:webHidden/>
              </w:rPr>
              <w:instrText xml:space="preserve"> PAGEREF _Toc491245999 \h </w:instrText>
            </w:r>
            <w:r w:rsidR="00715932">
              <w:rPr>
                <w:noProof/>
                <w:webHidden/>
              </w:rPr>
            </w:r>
            <w:r w:rsidR="00715932">
              <w:rPr>
                <w:noProof/>
                <w:webHidden/>
              </w:rPr>
              <w:fldChar w:fldCharType="separate"/>
            </w:r>
            <w:r w:rsidR="000C5FC3">
              <w:rPr>
                <w:noProof/>
                <w:webHidden/>
              </w:rPr>
              <w:t>25</w:t>
            </w:r>
            <w:r w:rsidR="00715932">
              <w:rPr>
                <w:noProof/>
                <w:webHidden/>
              </w:rPr>
              <w:fldChar w:fldCharType="end"/>
            </w:r>
          </w:hyperlink>
        </w:p>
        <w:p w:rsidR="00715932" w:rsidRDefault="00B920BD">
          <w:pPr>
            <w:pStyle w:val="TOC4"/>
            <w:tabs>
              <w:tab w:val="right" w:leader="dot" w:pos="8486"/>
            </w:tabs>
            <w:rPr>
              <w:rFonts w:asciiTheme="minorHAnsi" w:eastAsiaTheme="minorEastAsia" w:hAnsiTheme="minorHAnsi" w:cstheme="minorBidi"/>
              <w:noProof/>
              <w:sz w:val="22"/>
              <w:szCs w:val="22"/>
            </w:rPr>
          </w:pPr>
          <w:hyperlink w:anchor="_Toc491246000" w:history="1">
            <w:r w:rsidR="00715932" w:rsidRPr="00E47A4B">
              <w:rPr>
                <w:rStyle w:val="Hyperlink"/>
                <w:rFonts w:cs="Times New Roman"/>
                <w:noProof/>
              </w:rPr>
              <w:t>5.1.1. Influx of B into the pegmatites</w:t>
            </w:r>
            <w:r w:rsidR="00715932">
              <w:rPr>
                <w:noProof/>
                <w:webHidden/>
              </w:rPr>
              <w:tab/>
            </w:r>
            <w:r w:rsidR="00715932">
              <w:rPr>
                <w:noProof/>
                <w:webHidden/>
              </w:rPr>
              <w:fldChar w:fldCharType="begin"/>
            </w:r>
            <w:r w:rsidR="00715932">
              <w:rPr>
                <w:noProof/>
                <w:webHidden/>
              </w:rPr>
              <w:instrText xml:space="preserve"> PAGEREF _Toc491246000 \h </w:instrText>
            </w:r>
            <w:r w:rsidR="00715932">
              <w:rPr>
                <w:noProof/>
                <w:webHidden/>
              </w:rPr>
            </w:r>
            <w:r w:rsidR="00715932">
              <w:rPr>
                <w:noProof/>
                <w:webHidden/>
              </w:rPr>
              <w:fldChar w:fldCharType="separate"/>
            </w:r>
            <w:r w:rsidR="000C5FC3">
              <w:rPr>
                <w:noProof/>
                <w:webHidden/>
              </w:rPr>
              <w:t>25</w:t>
            </w:r>
            <w:r w:rsidR="00715932">
              <w:rPr>
                <w:noProof/>
                <w:webHidden/>
              </w:rPr>
              <w:fldChar w:fldCharType="end"/>
            </w:r>
          </w:hyperlink>
        </w:p>
        <w:p w:rsidR="00715932" w:rsidRDefault="00B920BD">
          <w:pPr>
            <w:pStyle w:val="TOC4"/>
            <w:tabs>
              <w:tab w:val="right" w:leader="dot" w:pos="8486"/>
            </w:tabs>
            <w:rPr>
              <w:rFonts w:asciiTheme="minorHAnsi" w:eastAsiaTheme="minorEastAsia" w:hAnsiTheme="minorHAnsi" w:cstheme="minorBidi"/>
              <w:noProof/>
              <w:sz w:val="22"/>
              <w:szCs w:val="22"/>
            </w:rPr>
          </w:pPr>
          <w:hyperlink w:anchor="_Toc491246001" w:history="1">
            <w:r w:rsidR="00715932" w:rsidRPr="00E47A4B">
              <w:rPr>
                <w:rStyle w:val="Hyperlink"/>
                <w:rFonts w:cs="Times New Roman"/>
                <w:noProof/>
              </w:rPr>
              <w:t>5.1.2. Potential sources of the pegmatite-forming melt</w:t>
            </w:r>
            <w:r w:rsidR="00715932">
              <w:rPr>
                <w:noProof/>
                <w:webHidden/>
              </w:rPr>
              <w:tab/>
            </w:r>
            <w:r w:rsidR="00715932">
              <w:rPr>
                <w:noProof/>
                <w:webHidden/>
              </w:rPr>
              <w:fldChar w:fldCharType="begin"/>
            </w:r>
            <w:r w:rsidR="00715932">
              <w:rPr>
                <w:noProof/>
                <w:webHidden/>
              </w:rPr>
              <w:instrText xml:space="preserve"> PAGEREF _Toc491246001 \h </w:instrText>
            </w:r>
            <w:r w:rsidR="00715932">
              <w:rPr>
                <w:noProof/>
                <w:webHidden/>
              </w:rPr>
            </w:r>
            <w:r w:rsidR="00715932">
              <w:rPr>
                <w:noProof/>
                <w:webHidden/>
              </w:rPr>
              <w:fldChar w:fldCharType="separate"/>
            </w:r>
            <w:r w:rsidR="000C5FC3">
              <w:rPr>
                <w:noProof/>
                <w:webHidden/>
              </w:rPr>
              <w:t>25</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02" w:history="1">
            <w:r w:rsidR="00715932" w:rsidRPr="00E47A4B">
              <w:rPr>
                <w:rStyle w:val="Hyperlink"/>
                <w:rFonts w:cs="Times New Roman"/>
                <w:noProof/>
              </w:rPr>
              <w:t>5.2. Evaluation of Boron Isotopic Equilibrium among Tourmaline-Melt-Aqueous Fluid</w:t>
            </w:r>
            <w:r w:rsidR="00715932">
              <w:rPr>
                <w:noProof/>
                <w:webHidden/>
              </w:rPr>
              <w:tab/>
            </w:r>
            <w:r w:rsidR="00715932">
              <w:rPr>
                <w:noProof/>
                <w:webHidden/>
              </w:rPr>
              <w:fldChar w:fldCharType="begin"/>
            </w:r>
            <w:r w:rsidR="00715932">
              <w:rPr>
                <w:noProof/>
                <w:webHidden/>
              </w:rPr>
              <w:instrText xml:space="preserve"> PAGEREF _Toc491246002 \h </w:instrText>
            </w:r>
            <w:r w:rsidR="00715932">
              <w:rPr>
                <w:noProof/>
                <w:webHidden/>
              </w:rPr>
            </w:r>
            <w:r w:rsidR="00715932">
              <w:rPr>
                <w:noProof/>
                <w:webHidden/>
              </w:rPr>
              <w:fldChar w:fldCharType="separate"/>
            </w:r>
            <w:r w:rsidR="000C5FC3">
              <w:rPr>
                <w:noProof/>
                <w:webHidden/>
              </w:rPr>
              <w:t>28</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03" w:history="1">
            <w:r w:rsidR="00715932" w:rsidRPr="00E47A4B">
              <w:rPr>
                <w:rStyle w:val="Hyperlink"/>
                <w:rFonts w:cs="Times New Roman"/>
                <w:noProof/>
              </w:rPr>
              <w:t>5.3. Boron Isotopic Compositions of Tourmaline at the Transition between Intermediate Zone and Miarolitic Cavity</w:t>
            </w:r>
            <w:r w:rsidR="00715932">
              <w:rPr>
                <w:noProof/>
                <w:webHidden/>
              </w:rPr>
              <w:tab/>
            </w:r>
            <w:r w:rsidR="00715932">
              <w:rPr>
                <w:noProof/>
                <w:webHidden/>
              </w:rPr>
              <w:fldChar w:fldCharType="begin"/>
            </w:r>
            <w:r w:rsidR="00715932">
              <w:rPr>
                <w:noProof/>
                <w:webHidden/>
              </w:rPr>
              <w:instrText xml:space="preserve"> PAGEREF _Toc491246003 \h </w:instrText>
            </w:r>
            <w:r w:rsidR="00715932">
              <w:rPr>
                <w:noProof/>
                <w:webHidden/>
              </w:rPr>
            </w:r>
            <w:r w:rsidR="00715932">
              <w:rPr>
                <w:noProof/>
                <w:webHidden/>
              </w:rPr>
              <w:fldChar w:fldCharType="separate"/>
            </w:r>
            <w:r w:rsidR="000C5FC3">
              <w:rPr>
                <w:noProof/>
                <w:webHidden/>
              </w:rPr>
              <w:t>30</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04" w:history="1">
            <w:r w:rsidR="00715932" w:rsidRPr="00E47A4B">
              <w:rPr>
                <w:rStyle w:val="Hyperlink"/>
                <w:rFonts w:cs="Times New Roman"/>
                <w:noProof/>
              </w:rPr>
              <w:t>5.4. Alteration of the Host Rock</w:t>
            </w:r>
            <w:r w:rsidR="00715932">
              <w:rPr>
                <w:noProof/>
                <w:webHidden/>
              </w:rPr>
              <w:tab/>
            </w:r>
            <w:r w:rsidR="00715932">
              <w:rPr>
                <w:noProof/>
                <w:webHidden/>
              </w:rPr>
              <w:fldChar w:fldCharType="begin"/>
            </w:r>
            <w:r w:rsidR="00715932">
              <w:rPr>
                <w:noProof/>
                <w:webHidden/>
              </w:rPr>
              <w:instrText xml:space="preserve"> PAGEREF _Toc491246004 \h </w:instrText>
            </w:r>
            <w:r w:rsidR="00715932">
              <w:rPr>
                <w:noProof/>
                <w:webHidden/>
              </w:rPr>
            </w:r>
            <w:r w:rsidR="00715932">
              <w:rPr>
                <w:noProof/>
                <w:webHidden/>
              </w:rPr>
              <w:fldChar w:fldCharType="separate"/>
            </w:r>
            <w:r w:rsidR="000C5FC3">
              <w:rPr>
                <w:noProof/>
                <w:webHidden/>
              </w:rPr>
              <w:t>31</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05" w:history="1">
            <w:r w:rsidR="00715932" w:rsidRPr="00E47A4B">
              <w:rPr>
                <w:rStyle w:val="Hyperlink"/>
                <w:rFonts w:cs="Times New Roman"/>
                <w:noProof/>
              </w:rPr>
              <w:t>5.5. Disequilibrium Processes attending Pegmatite Crystallization</w:t>
            </w:r>
            <w:r w:rsidR="00715932">
              <w:rPr>
                <w:noProof/>
                <w:webHidden/>
              </w:rPr>
              <w:tab/>
            </w:r>
            <w:r w:rsidR="00715932">
              <w:rPr>
                <w:noProof/>
                <w:webHidden/>
              </w:rPr>
              <w:fldChar w:fldCharType="begin"/>
            </w:r>
            <w:r w:rsidR="00715932">
              <w:rPr>
                <w:noProof/>
                <w:webHidden/>
              </w:rPr>
              <w:instrText xml:space="preserve"> PAGEREF _Toc491246005 \h </w:instrText>
            </w:r>
            <w:r w:rsidR="00715932">
              <w:rPr>
                <w:noProof/>
                <w:webHidden/>
              </w:rPr>
            </w:r>
            <w:r w:rsidR="00715932">
              <w:rPr>
                <w:noProof/>
                <w:webHidden/>
              </w:rPr>
              <w:fldChar w:fldCharType="separate"/>
            </w:r>
            <w:r w:rsidR="000C5FC3">
              <w:rPr>
                <w:noProof/>
                <w:webHidden/>
              </w:rPr>
              <w:t>32</w:t>
            </w:r>
            <w:r w:rsidR="00715932">
              <w:rPr>
                <w:noProof/>
                <w:webHidden/>
              </w:rPr>
              <w:fldChar w:fldCharType="end"/>
            </w:r>
          </w:hyperlink>
        </w:p>
        <w:p w:rsidR="00715932" w:rsidRDefault="00B920BD">
          <w:pPr>
            <w:pStyle w:val="TOC2"/>
            <w:tabs>
              <w:tab w:val="right" w:leader="dot" w:pos="8486"/>
            </w:tabs>
            <w:rPr>
              <w:rFonts w:asciiTheme="minorHAnsi" w:eastAsiaTheme="minorEastAsia" w:hAnsiTheme="minorHAnsi" w:cstheme="minorBidi"/>
              <w:noProof/>
              <w:sz w:val="22"/>
              <w:szCs w:val="22"/>
            </w:rPr>
          </w:pPr>
          <w:hyperlink w:anchor="_Toc491246006" w:history="1">
            <w:r w:rsidR="00715932" w:rsidRPr="00E47A4B">
              <w:rPr>
                <w:rStyle w:val="Hyperlink"/>
                <w:rFonts w:cs="Times New Roman"/>
                <w:noProof/>
              </w:rPr>
              <w:t>6. Summary and Concluding Remarks</w:t>
            </w:r>
            <w:r w:rsidR="00715932">
              <w:rPr>
                <w:noProof/>
                <w:webHidden/>
              </w:rPr>
              <w:tab/>
            </w:r>
            <w:r w:rsidR="00715932">
              <w:rPr>
                <w:noProof/>
                <w:webHidden/>
              </w:rPr>
              <w:fldChar w:fldCharType="begin"/>
            </w:r>
            <w:r w:rsidR="00715932">
              <w:rPr>
                <w:noProof/>
                <w:webHidden/>
              </w:rPr>
              <w:instrText xml:space="preserve"> PAGEREF _Toc491246006 \h </w:instrText>
            </w:r>
            <w:r w:rsidR="00715932">
              <w:rPr>
                <w:noProof/>
                <w:webHidden/>
              </w:rPr>
            </w:r>
            <w:r w:rsidR="00715932">
              <w:rPr>
                <w:noProof/>
                <w:webHidden/>
              </w:rPr>
              <w:fldChar w:fldCharType="separate"/>
            </w:r>
            <w:r w:rsidR="000C5FC3">
              <w:rPr>
                <w:noProof/>
                <w:webHidden/>
              </w:rPr>
              <w:t>34</w:t>
            </w:r>
            <w:r w:rsidR="00715932">
              <w:rPr>
                <w:noProof/>
                <w:webHidden/>
              </w:rPr>
              <w:fldChar w:fldCharType="end"/>
            </w:r>
          </w:hyperlink>
        </w:p>
        <w:p w:rsidR="00715932" w:rsidRDefault="00B920BD">
          <w:pPr>
            <w:pStyle w:val="TOC1"/>
            <w:rPr>
              <w:rFonts w:asciiTheme="minorHAnsi" w:eastAsiaTheme="minorEastAsia" w:hAnsiTheme="minorHAnsi" w:cstheme="minorBidi"/>
              <w:noProof/>
              <w:sz w:val="22"/>
              <w:szCs w:val="22"/>
            </w:rPr>
          </w:pPr>
          <w:hyperlink w:anchor="_Toc491246007" w:history="1">
            <w:r w:rsidR="00715932" w:rsidRPr="00E47A4B">
              <w:rPr>
                <w:rStyle w:val="Hyperlink"/>
                <w:rFonts w:cstheme="minorHAnsi"/>
                <w:noProof/>
              </w:rPr>
              <w:t>Chapter 3</w:t>
            </w:r>
            <w:r w:rsidR="00715932" w:rsidRPr="00E47A4B">
              <w:rPr>
                <w:rStyle w:val="Hyperlink"/>
                <w:rFonts w:cs="Times New Roman"/>
                <w:noProof/>
              </w:rPr>
              <w:t xml:space="preserve"> Diffusivities of B, </w:t>
            </w:r>
            <w:r w:rsidR="00715932" w:rsidRPr="00E47A4B">
              <w:rPr>
                <w:rStyle w:val="Hyperlink"/>
                <w:rFonts w:cs="Times New Roman"/>
                <w:noProof/>
                <w:vertAlign w:val="superscript"/>
              </w:rPr>
              <w:t>11</w:t>
            </w:r>
            <w:r w:rsidR="00715932" w:rsidRPr="00E47A4B">
              <w:rPr>
                <w:rStyle w:val="Hyperlink"/>
                <w:rFonts w:cs="Times New Roman"/>
                <w:noProof/>
              </w:rPr>
              <w:t xml:space="preserve">B, and </w:t>
            </w:r>
            <w:r w:rsidR="00715932" w:rsidRPr="00E47A4B">
              <w:rPr>
                <w:rStyle w:val="Hyperlink"/>
                <w:rFonts w:cs="Times New Roman"/>
                <w:noProof/>
                <w:vertAlign w:val="superscript"/>
              </w:rPr>
              <w:t>10</w:t>
            </w:r>
            <w:r w:rsidR="00715932" w:rsidRPr="00E47A4B">
              <w:rPr>
                <w:rStyle w:val="Hyperlink"/>
                <w:rFonts w:cs="Times New Roman"/>
                <w:noProof/>
              </w:rPr>
              <w:t>B in hydrous, granitic melt at 800°C and 200 MPa: Implications for the mass transfer of B and its isotopes in natural systems</w:t>
            </w:r>
            <w:r w:rsidR="00715932">
              <w:rPr>
                <w:noProof/>
                <w:webHidden/>
              </w:rPr>
              <w:tab/>
            </w:r>
            <w:r w:rsidR="00715932">
              <w:rPr>
                <w:noProof/>
                <w:webHidden/>
              </w:rPr>
              <w:fldChar w:fldCharType="begin"/>
            </w:r>
            <w:r w:rsidR="00715932">
              <w:rPr>
                <w:noProof/>
                <w:webHidden/>
              </w:rPr>
              <w:instrText xml:space="preserve"> PAGEREF _Toc491246007 \h </w:instrText>
            </w:r>
            <w:r w:rsidR="00715932">
              <w:rPr>
                <w:noProof/>
                <w:webHidden/>
              </w:rPr>
            </w:r>
            <w:r w:rsidR="00715932">
              <w:rPr>
                <w:noProof/>
                <w:webHidden/>
              </w:rPr>
              <w:fldChar w:fldCharType="separate"/>
            </w:r>
            <w:r w:rsidR="000C5FC3">
              <w:rPr>
                <w:noProof/>
                <w:webHidden/>
              </w:rPr>
              <w:t>53</w:t>
            </w:r>
            <w:r w:rsidR="00715932">
              <w:rPr>
                <w:noProof/>
                <w:webHidden/>
              </w:rPr>
              <w:fldChar w:fldCharType="end"/>
            </w:r>
          </w:hyperlink>
        </w:p>
        <w:p w:rsidR="00715932" w:rsidRDefault="00B920BD">
          <w:pPr>
            <w:pStyle w:val="TOC2"/>
            <w:tabs>
              <w:tab w:val="right" w:leader="dot" w:pos="8486"/>
            </w:tabs>
            <w:rPr>
              <w:rFonts w:asciiTheme="minorHAnsi" w:eastAsiaTheme="minorEastAsia" w:hAnsiTheme="minorHAnsi" w:cstheme="minorBidi"/>
              <w:noProof/>
              <w:sz w:val="22"/>
              <w:szCs w:val="22"/>
            </w:rPr>
          </w:pPr>
          <w:hyperlink w:anchor="_Toc491246008" w:history="1">
            <w:r w:rsidR="00715932" w:rsidRPr="00E47A4B">
              <w:rPr>
                <w:rStyle w:val="Hyperlink"/>
                <w:rFonts w:cs="Times New Roman"/>
                <w:noProof/>
              </w:rPr>
              <w:t>1. Introduction</w:t>
            </w:r>
            <w:r w:rsidR="00715932">
              <w:rPr>
                <w:noProof/>
                <w:webHidden/>
              </w:rPr>
              <w:tab/>
            </w:r>
            <w:r w:rsidR="00715932">
              <w:rPr>
                <w:noProof/>
                <w:webHidden/>
              </w:rPr>
              <w:fldChar w:fldCharType="begin"/>
            </w:r>
            <w:r w:rsidR="00715932">
              <w:rPr>
                <w:noProof/>
                <w:webHidden/>
              </w:rPr>
              <w:instrText xml:space="preserve"> PAGEREF _Toc491246008 \h </w:instrText>
            </w:r>
            <w:r w:rsidR="00715932">
              <w:rPr>
                <w:noProof/>
                <w:webHidden/>
              </w:rPr>
            </w:r>
            <w:r w:rsidR="00715932">
              <w:rPr>
                <w:noProof/>
                <w:webHidden/>
              </w:rPr>
              <w:fldChar w:fldCharType="separate"/>
            </w:r>
            <w:r w:rsidR="000C5FC3">
              <w:rPr>
                <w:noProof/>
                <w:webHidden/>
              </w:rPr>
              <w:t>53</w:t>
            </w:r>
            <w:r w:rsidR="00715932">
              <w:rPr>
                <w:noProof/>
                <w:webHidden/>
              </w:rPr>
              <w:fldChar w:fldCharType="end"/>
            </w:r>
          </w:hyperlink>
        </w:p>
        <w:p w:rsidR="00715932" w:rsidRDefault="00B920BD">
          <w:pPr>
            <w:pStyle w:val="TOC2"/>
            <w:tabs>
              <w:tab w:val="right" w:leader="dot" w:pos="8486"/>
            </w:tabs>
            <w:rPr>
              <w:rFonts w:asciiTheme="minorHAnsi" w:eastAsiaTheme="minorEastAsia" w:hAnsiTheme="minorHAnsi" w:cstheme="minorBidi"/>
              <w:noProof/>
              <w:sz w:val="22"/>
              <w:szCs w:val="22"/>
            </w:rPr>
          </w:pPr>
          <w:hyperlink w:anchor="_Toc491246009" w:history="1">
            <w:r w:rsidR="00715932" w:rsidRPr="00E47A4B">
              <w:rPr>
                <w:rStyle w:val="Hyperlink"/>
                <w:rFonts w:cs="Times New Roman"/>
                <w:noProof/>
              </w:rPr>
              <w:t>2. Methods</w:t>
            </w:r>
            <w:r w:rsidR="00715932">
              <w:rPr>
                <w:noProof/>
                <w:webHidden/>
              </w:rPr>
              <w:tab/>
            </w:r>
            <w:r w:rsidR="00715932">
              <w:rPr>
                <w:noProof/>
                <w:webHidden/>
              </w:rPr>
              <w:fldChar w:fldCharType="begin"/>
            </w:r>
            <w:r w:rsidR="00715932">
              <w:rPr>
                <w:noProof/>
                <w:webHidden/>
              </w:rPr>
              <w:instrText xml:space="preserve"> PAGEREF _Toc491246009 \h </w:instrText>
            </w:r>
            <w:r w:rsidR="00715932">
              <w:rPr>
                <w:noProof/>
                <w:webHidden/>
              </w:rPr>
            </w:r>
            <w:r w:rsidR="00715932">
              <w:rPr>
                <w:noProof/>
                <w:webHidden/>
              </w:rPr>
              <w:fldChar w:fldCharType="separate"/>
            </w:r>
            <w:r w:rsidR="000C5FC3">
              <w:rPr>
                <w:noProof/>
                <w:webHidden/>
              </w:rPr>
              <w:t>55</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10" w:history="1">
            <w:r w:rsidR="00715932" w:rsidRPr="00E47A4B">
              <w:rPr>
                <w:rStyle w:val="Hyperlink"/>
                <w:rFonts w:cs="Times New Roman"/>
                <w:noProof/>
              </w:rPr>
              <w:t>2.1. Experimental Designs</w:t>
            </w:r>
            <w:r w:rsidR="00715932">
              <w:rPr>
                <w:noProof/>
                <w:webHidden/>
              </w:rPr>
              <w:tab/>
            </w:r>
            <w:r w:rsidR="00715932">
              <w:rPr>
                <w:noProof/>
                <w:webHidden/>
              </w:rPr>
              <w:fldChar w:fldCharType="begin"/>
            </w:r>
            <w:r w:rsidR="00715932">
              <w:rPr>
                <w:noProof/>
                <w:webHidden/>
              </w:rPr>
              <w:instrText xml:space="preserve"> PAGEREF _Toc491246010 \h </w:instrText>
            </w:r>
            <w:r w:rsidR="00715932">
              <w:rPr>
                <w:noProof/>
                <w:webHidden/>
              </w:rPr>
            </w:r>
            <w:r w:rsidR="00715932">
              <w:rPr>
                <w:noProof/>
                <w:webHidden/>
              </w:rPr>
              <w:fldChar w:fldCharType="separate"/>
            </w:r>
            <w:r w:rsidR="000C5FC3">
              <w:rPr>
                <w:noProof/>
                <w:webHidden/>
              </w:rPr>
              <w:t>55</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11" w:history="1">
            <w:r w:rsidR="00715932" w:rsidRPr="00E47A4B">
              <w:rPr>
                <w:rStyle w:val="Hyperlink"/>
                <w:rFonts w:cs="Times New Roman"/>
                <w:noProof/>
              </w:rPr>
              <w:t>2.2. Experimental methods</w:t>
            </w:r>
            <w:r w:rsidR="00715932">
              <w:rPr>
                <w:noProof/>
                <w:webHidden/>
              </w:rPr>
              <w:tab/>
            </w:r>
            <w:r w:rsidR="00715932">
              <w:rPr>
                <w:noProof/>
                <w:webHidden/>
              </w:rPr>
              <w:fldChar w:fldCharType="begin"/>
            </w:r>
            <w:r w:rsidR="00715932">
              <w:rPr>
                <w:noProof/>
                <w:webHidden/>
              </w:rPr>
              <w:instrText xml:space="preserve"> PAGEREF _Toc491246011 \h </w:instrText>
            </w:r>
            <w:r w:rsidR="00715932">
              <w:rPr>
                <w:noProof/>
                <w:webHidden/>
              </w:rPr>
            </w:r>
            <w:r w:rsidR="00715932">
              <w:rPr>
                <w:noProof/>
                <w:webHidden/>
              </w:rPr>
              <w:fldChar w:fldCharType="separate"/>
            </w:r>
            <w:r w:rsidR="000C5FC3">
              <w:rPr>
                <w:noProof/>
                <w:webHidden/>
              </w:rPr>
              <w:t>56</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12" w:history="1">
            <w:r w:rsidR="00715932" w:rsidRPr="00E47A4B">
              <w:rPr>
                <w:rStyle w:val="Hyperlink"/>
                <w:rFonts w:cs="Times New Roman"/>
                <w:noProof/>
              </w:rPr>
              <w:t>2.3. Preparation of glasses for analysis</w:t>
            </w:r>
            <w:r w:rsidR="00715932">
              <w:rPr>
                <w:noProof/>
                <w:webHidden/>
              </w:rPr>
              <w:tab/>
            </w:r>
            <w:r w:rsidR="00715932">
              <w:rPr>
                <w:noProof/>
                <w:webHidden/>
              </w:rPr>
              <w:fldChar w:fldCharType="begin"/>
            </w:r>
            <w:r w:rsidR="00715932">
              <w:rPr>
                <w:noProof/>
                <w:webHidden/>
              </w:rPr>
              <w:instrText xml:space="preserve"> PAGEREF _Toc491246012 \h </w:instrText>
            </w:r>
            <w:r w:rsidR="00715932">
              <w:rPr>
                <w:noProof/>
                <w:webHidden/>
              </w:rPr>
            </w:r>
            <w:r w:rsidR="00715932">
              <w:rPr>
                <w:noProof/>
                <w:webHidden/>
              </w:rPr>
              <w:fldChar w:fldCharType="separate"/>
            </w:r>
            <w:r w:rsidR="000C5FC3">
              <w:rPr>
                <w:noProof/>
                <w:webHidden/>
              </w:rPr>
              <w:t>57</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13" w:history="1">
            <w:r w:rsidR="00715932" w:rsidRPr="00E47A4B">
              <w:rPr>
                <w:rStyle w:val="Hyperlink"/>
                <w:rFonts w:cs="Times New Roman"/>
                <w:noProof/>
              </w:rPr>
              <w:t>2.4. Electron microprobe (EMPA)</w:t>
            </w:r>
            <w:r w:rsidR="00715932">
              <w:rPr>
                <w:noProof/>
                <w:webHidden/>
              </w:rPr>
              <w:tab/>
            </w:r>
            <w:r w:rsidR="00715932">
              <w:rPr>
                <w:noProof/>
                <w:webHidden/>
              </w:rPr>
              <w:fldChar w:fldCharType="begin"/>
            </w:r>
            <w:r w:rsidR="00715932">
              <w:rPr>
                <w:noProof/>
                <w:webHidden/>
              </w:rPr>
              <w:instrText xml:space="preserve"> PAGEREF _Toc491246013 \h </w:instrText>
            </w:r>
            <w:r w:rsidR="00715932">
              <w:rPr>
                <w:noProof/>
                <w:webHidden/>
              </w:rPr>
            </w:r>
            <w:r w:rsidR="00715932">
              <w:rPr>
                <w:noProof/>
                <w:webHidden/>
              </w:rPr>
              <w:fldChar w:fldCharType="separate"/>
            </w:r>
            <w:r w:rsidR="000C5FC3">
              <w:rPr>
                <w:noProof/>
                <w:webHidden/>
              </w:rPr>
              <w:t>57</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14" w:history="1">
            <w:r w:rsidR="00715932" w:rsidRPr="00E47A4B">
              <w:rPr>
                <w:rStyle w:val="Hyperlink"/>
                <w:rFonts w:cs="Times New Roman"/>
                <w:noProof/>
              </w:rPr>
              <w:t>2.5. Secondary ion mass spectrometry (SIMS)</w:t>
            </w:r>
            <w:r w:rsidR="00715932">
              <w:rPr>
                <w:noProof/>
                <w:webHidden/>
              </w:rPr>
              <w:tab/>
            </w:r>
            <w:r w:rsidR="00715932">
              <w:rPr>
                <w:noProof/>
                <w:webHidden/>
              </w:rPr>
              <w:fldChar w:fldCharType="begin"/>
            </w:r>
            <w:r w:rsidR="00715932">
              <w:rPr>
                <w:noProof/>
                <w:webHidden/>
              </w:rPr>
              <w:instrText xml:space="preserve"> PAGEREF _Toc491246014 \h </w:instrText>
            </w:r>
            <w:r w:rsidR="00715932">
              <w:rPr>
                <w:noProof/>
                <w:webHidden/>
              </w:rPr>
            </w:r>
            <w:r w:rsidR="00715932">
              <w:rPr>
                <w:noProof/>
                <w:webHidden/>
              </w:rPr>
              <w:fldChar w:fldCharType="separate"/>
            </w:r>
            <w:r w:rsidR="000C5FC3">
              <w:rPr>
                <w:noProof/>
                <w:webHidden/>
              </w:rPr>
              <w:t>58</w:t>
            </w:r>
            <w:r w:rsidR="00715932">
              <w:rPr>
                <w:noProof/>
                <w:webHidden/>
              </w:rPr>
              <w:fldChar w:fldCharType="end"/>
            </w:r>
          </w:hyperlink>
        </w:p>
        <w:p w:rsidR="00715932" w:rsidRDefault="00B920BD">
          <w:pPr>
            <w:pStyle w:val="TOC2"/>
            <w:tabs>
              <w:tab w:val="right" w:leader="dot" w:pos="8486"/>
            </w:tabs>
            <w:rPr>
              <w:rFonts w:asciiTheme="minorHAnsi" w:eastAsiaTheme="minorEastAsia" w:hAnsiTheme="minorHAnsi" w:cstheme="minorBidi"/>
              <w:noProof/>
              <w:sz w:val="22"/>
              <w:szCs w:val="22"/>
            </w:rPr>
          </w:pPr>
          <w:hyperlink w:anchor="_Toc491246015" w:history="1">
            <w:r w:rsidR="00715932" w:rsidRPr="00E47A4B">
              <w:rPr>
                <w:rStyle w:val="Hyperlink"/>
                <w:rFonts w:cs="Times New Roman"/>
                <w:noProof/>
              </w:rPr>
              <w:t>3. Calculation of a diffusion coefficient from concentration-distance profiles</w:t>
            </w:r>
            <w:r w:rsidR="00715932">
              <w:rPr>
                <w:noProof/>
                <w:webHidden/>
              </w:rPr>
              <w:tab/>
            </w:r>
            <w:r w:rsidR="00715932">
              <w:rPr>
                <w:noProof/>
                <w:webHidden/>
              </w:rPr>
              <w:fldChar w:fldCharType="begin"/>
            </w:r>
            <w:r w:rsidR="00715932">
              <w:rPr>
                <w:noProof/>
                <w:webHidden/>
              </w:rPr>
              <w:instrText xml:space="preserve"> PAGEREF _Toc491246015 \h </w:instrText>
            </w:r>
            <w:r w:rsidR="00715932">
              <w:rPr>
                <w:noProof/>
                <w:webHidden/>
              </w:rPr>
            </w:r>
            <w:r w:rsidR="00715932">
              <w:rPr>
                <w:noProof/>
                <w:webHidden/>
              </w:rPr>
              <w:fldChar w:fldCharType="separate"/>
            </w:r>
            <w:r w:rsidR="000C5FC3">
              <w:rPr>
                <w:noProof/>
                <w:webHidden/>
              </w:rPr>
              <w:t>59</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16" w:history="1">
            <w:r w:rsidR="00715932" w:rsidRPr="00E47A4B">
              <w:rPr>
                <w:rStyle w:val="Hyperlink"/>
                <w:rFonts w:cs="Times New Roman"/>
                <w:noProof/>
              </w:rPr>
              <w:t>3.1. Pertinent diffusion terminology</w:t>
            </w:r>
            <w:r w:rsidR="00715932">
              <w:rPr>
                <w:noProof/>
                <w:webHidden/>
              </w:rPr>
              <w:tab/>
            </w:r>
            <w:r w:rsidR="00715932">
              <w:rPr>
                <w:noProof/>
                <w:webHidden/>
              </w:rPr>
              <w:fldChar w:fldCharType="begin"/>
            </w:r>
            <w:r w:rsidR="00715932">
              <w:rPr>
                <w:noProof/>
                <w:webHidden/>
              </w:rPr>
              <w:instrText xml:space="preserve"> PAGEREF _Toc491246016 \h </w:instrText>
            </w:r>
            <w:r w:rsidR="00715932">
              <w:rPr>
                <w:noProof/>
                <w:webHidden/>
              </w:rPr>
            </w:r>
            <w:r w:rsidR="00715932">
              <w:rPr>
                <w:noProof/>
                <w:webHidden/>
              </w:rPr>
              <w:fldChar w:fldCharType="separate"/>
            </w:r>
            <w:r w:rsidR="000C5FC3">
              <w:rPr>
                <w:noProof/>
                <w:webHidden/>
              </w:rPr>
              <w:t>59</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17" w:history="1">
            <w:r w:rsidR="00715932" w:rsidRPr="00E47A4B">
              <w:rPr>
                <w:rStyle w:val="Hyperlink"/>
                <w:rFonts w:cs="Times New Roman"/>
                <w:noProof/>
              </w:rPr>
              <w:t>3.2. Pertinent diffusion equations</w:t>
            </w:r>
            <w:r w:rsidR="00715932">
              <w:rPr>
                <w:noProof/>
                <w:webHidden/>
              </w:rPr>
              <w:tab/>
            </w:r>
            <w:r w:rsidR="00715932">
              <w:rPr>
                <w:noProof/>
                <w:webHidden/>
              </w:rPr>
              <w:fldChar w:fldCharType="begin"/>
            </w:r>
            <w:r w:rsidR="00715932">
              <w:rPr>
                <w:noProof/>
                <w:webHidden/>
              </w:rPr>
              <w:instrText xml:space="preserve"> PAGEREF _Toc491246017 \h </w:instrText>
            </w:r>
            <w:r w:rsidR="00715932">
              <w:rPr>
                <w:noProof/>
                <w:webHidden/>
              </w:rPr>
            </w:r>
            <w:r w:rsidR="00715932">
              <w:rPr>
                <w:noProof/>
                <w:webHidden/>
              </w:rPr>
              <w:fldChar w:fldCharType="separate"/>
            </w:r>
            <w:r w:rsidR="000C5FC3">
              <w:rPr>
                <w:noProof/>
                <w:webHidden/>
              </w:rPr>
              <w:t>60</w:t>
            </w:r>
            <w:r w:rsidR="00715932">
              <w:rPr>
                <w:noProof/>
                <w:webHidden/>
              </w:rPr>
              <w:fldChar w:fldCharType="end"/>
            </w:r>
          </w:hyperlink>
        </w:p>
        <w:p w:rsidR="00715932" w:rsidRDefault="00B920BD">
          <w:pPr>
            <w:pStyle w:val="TOC2"/>
            <w:tabs>
              <w:tab w:val="right" w:leader="dot" w:pos="8486"/>
            </w:tabs>
            <w:rPr>
              <w:rFonts w:asciiTheme="minorHAnsi" w:eastAsiaTheme="minorEastAsia" w:hAnsiTheme="minorHAnsi" w:cstheme="minorBidi"/>
              <w:noProof/>
              <w:sz w:val="22"/>
              <w:szCs w:val="22"/>
            </w:rPr>
          </w:pPr>
          <w:hyperlink w:anchor="_Toc491246018" w:history="1">
            <w:r w:rsidR="00715932" w:rsidRPr="00E47A4B">
              <w:rPr>
                <w:rStyle w:val="Hyperlink"/>
                <w:rFonts w:cs="Times New Roman"/>
                <w:noProof/>
              </w:rPr>
              <w:t>4. Results</w:t>
            </w:r>
            <w:r w:rsidR="00715932">
              <w:rPr>
                <w:noProof/>
                <w:webHidden/>
              </w:rPr>
              <w:tab/>
            </w:r>
            <w:r w:rsidR="00715932">
              <w:rPr>
                <w:noProof/>
                <w:webHidden/>
              </w:rPr>
              <w:fldChar w:fldCharType="begin"/>
            </w:r>
            <w:r w:rsidR="00715932">
              <w:rPr>
                <w:noProof/>
                <w:webHidden/>
              </w:rPr>
              <w:instrText xml:space="preserve"> PAGEREF _Toc491246018 \h </w:instrText>
            </w:r>
            <w:r w:rsidR="00715932">
              <w:rPr>
                <w:noProof/>
                <w:webHidden/>
              </w:rPr>
            </w:r>
            <w:r w:rsidR="00715932">
              <w:rPr>
                <w:noProof/>
                <w:webHidden/>
              </w:rPr>
              <w:fldChar w:fldCharType="separate"/>
            </w:r>
            <w:r w:rsidR="000C5FC3">
              <w:rPr>
                <w:noProof/>
                <w:webHidden/>
              </w:rPr>
              <w:t>61</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19" w:history="1">
            <w:r w:rsidR="00715932" w:rsidRPr="00E47A4B">
              <w:rPr>
                <w:rStyle w:val="Hyperlink"/>
                <w:rFonts w:cs="Times New Roman"/>
                <w:noProof/>
              </w:rPr>
              <w:t>4.1. Chemical compositions of glasses</w:t>
            </w:r>
            <w:r w:rsidR="00715932">
              <w:rPr>
                <w:noProof/>
                <w:webHidden/>
              </w:rPr>
              <w:tab/>
            </w:r>
            <w:r w:rsidR="00715932">
              <w:rPr>
                <w:noProof/>
                <w:webHidden/>
              </w:rPr>
              <w:fldChar w:fldCharType="begin"/>
            </w:r>
            <w:r w:rsidR="00715932">
              <w:rPr>
                <w:noProof/>
                <w:webHidden/>
              </w:rPr>
              <w:instrText xml:space="preserve"> PAGEREF _Toc491246019 \h </w:instrText>
            </w:r>
            <w:r w:rsidR="00715932">
              <w:rPr>
                <w:noProof/>
                <w:webHidden/>
              </w:rPr>
            </w:r>
            <w:r w:rsidR="00715932">
              <w:rPr>
                <w:noProof/>
                <w:webHidden/>
              </w:rPr>
              <w:fldChar w:fldCharType="separate"/>
            </w:r>
            <w:r w:rsidR="000C5FC3">
              <w:rPr>
                <w:noProof/>
                <w:webHidden/>
              </w:rPr>
              <w:t>61</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20" w:history="1">
            <w:r w:rsidR="00715932" w:rsidRPr="00E47A4B">
              <w:rPr>
                <w:rStyle w:val="Hyperlink"/>
                <w:rFonts w:cs="Times New Roman"/>
                <w:noProof/>
              </w:rPr>
              <w:t>4.2. Directionality of B diffusion</w:t>
            </w:r>
            <w:r w:rsidR="00715932">
              <w:rPr>
                <w:noProof/>
                <w:webHidden/>
              </w:rPr>
              <w:tab/>
            </w:r>
            <w:r w:rsidR="00715932">
              <w:rPr>
                <w:noProof/>
                <w:webHidden/>
              </w:rPr>
              <w:fldChar w:fldCharType="begin"/>
            </w:r>
            <w:r w:rsidR="00715932">
              <w:rPr>
                <w:noProof/>
                <w:webHidden/>
              </w:rPr>
              <w:instrText xml:space="preserve"> PAGEREF _Toc491246020 \h </w:instrText>
            </w:r>
            <w:r w:rsidR="00715932">
              <w:rPr>
                <w:noProof/>
                <w:webHidden/>
              </w:rPr>
            </w:r>
            <w:r w:rsidR="00715932">
              <w:rPr>
                <w:noProof/>
                <w:webHidden/>
              </w:rPr>
              <w:fldChar w:fldCharType="separate"/>
            </w:r>
            <w:r w:rsidR="000C5FC3">
              <w:rPr>
                <w:noProof/>
                <w:webHidden/>
              </w:rPr>
              <w:t>62</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21" w:history="1">
            <w:r w:rsidR="00715932" w:rsidRPr="00E47A4B">
              <w:rPr>
                <w:rStyle w:val="Hyperlink"/>
                <w:rFonts w:cs="Times New Roman"/>
                <w:noProof/>
              </w:rPr>
              <w:t>4.2. Diffusion coefficients for B</w:t>
            </w:r>
            <w:r w:rsidR="00715932">
              <w:rPr>
                <w:noProof/>
                <w:webHidden/>
              </w:rPr>
              <w:tab/>
            </w:r>
            <w:r w:rsidR="00715932">
              <w:rPr>
                <w:noProof/>
                <w:webHidden/>
              </w:rPr>
              <w:fldChar w:fldCharType="begin"/>
            </w:r>
            <w:r w:rsidR="00715932">
              <w:rPr>
                <w:noProof/>
                <w:webHidden/>
              </w:rPr>
              <w:instrText xml:space="preserve"> PAGEREF _Toc491246021 \h </w:instrText>
            </w:r>
            <w:r w:rsidR="00715932">
              <w:rPr>
                <w:noProof/>
                <w:webHidden/>
              </w:rPr>
            </w:r>
            <w:r w:rsidR="00715932">
              <w:rPr>
                <w:noProof/>
                <w:webHidden/>
              </w:rPr>
              <w:fldChar w:fldCharType="separate"/>
            </w:r>
            <w:r w:rsidR="000C5FC3">
              <w:rPr>
                <w:noProof/>
                <w:webHidden/>
              </w:rPr>
              <w:t>62</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22" w:history="1">
            <w:r w:rsidR="00715932" w:rsidRPr="00E47A4B">
              <w:rPr>
                <w:rStyle w:val="Hyperlink"/>
                <w:rFonts w:cs="Times New Roman"/>
                <w:noProof/>
              </w:rPr>
              <w:t xml:space="preserve">4.3. Diffusion coefficients for </w:t>
            </w:r>
            <w:r w:rsidR="00715932" w:rsidRPr="00E47A4B">
              <w:rPr>
                <w:rStyle w:val="Hyperlink"/>
                <w:rFonts w:cs="Times New Roman"/>
                <w:noProof/>
                <w:vertAlign w:val="superscript"/>
              </w:rPr>
              <w:t>10</w:t>
            </w:r>
            <w:r w:rsidR="00715932" w:rsidRPr="00E47A4B">
              <w:rPr>
                <w:rStyle w:val="Hyperlink"/>
                <w:rFonts w:cs="Times New Roman"/>
                <w:noProof/>
              </w:rPr>
              <w:t xml:space="preserve">B and </w:t>
            </w:r>
            <w:r w:rsidR="00715932" w:rsidRPr="00E47A4B">
              <w:rPr>
                <w:rStyle w:val="Hyperlink"/>
                <w:rFonts w:cs="Times New Roman"/>
                <w:noProof/>
                <w:vertAlign w:val="superscript"/>
              </w:rPr>
              <w:t>11</w:t>
            </w:r>
            <w:r w:rsidR="00715932" w:rsidRPr="00E47A4B">
              <w:rPr>
                <w:rStyle w:val="Hyperlink"/>
                <w:rFonts w:cs="Times New Roman"/>
                <w:noProof/>
              </w:rPr>
              <w:t>B</w:t>
            </w:r>
            <w:r w:rsidR="00715932">
              <w:rPr>
                <w:noProof/>
                <w:webHidden/>
              </w:rPr>
              <w:tab/>
            </w:r>
            <w:r w:rsidR="00715932">
              <w:rPr>
                <w:noProof/>
                <w:webHidden/>
              </w:rPr>
              <w:fldChar w:fldCharType="begin"/>
            </w:r>
            <w:r w:rsidR="00715932">
              <w:rPr>
                <w:noProof/>
                <w:webHidden/>
              </w:rPr>
              <w:instrText xml:space="preserve"> PAGEREF _Toc491246022 \h </w:instrText>
            </w:r>
            <w:r w:rsidR="00715932">
              <w:rPr>
                <w:noProof/>
                <w:webHidden/>
              </w:rPr>
            </w:r>
            <w:r w:rsidR="00715932">
              <w:rPr>
                <w:noProof/>
                <w:webHidden/>
              </w:rPr>
              <w:fldChar w:fldCharType="separate"/>
            </w:r>
            <w:r w:rsidR="000C5FC3">
              <w:rPr>
                <w:noProof/>
                <w:webHidden/>
              </w:rPr>
              <w:t>64</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23" w:history="1">
            <w:r w:rsidR="00715932" w:rsidRPr="00E47A4B">
              <w:rPr>
                <w:rStyle w:val="Hyperlink"/>
                <w:rFonts w:cs="Times New Roman"/>
                <w:noProof/>
              </w:rPr>
              <w:t xml:space="preserve">4.4. Diffusive separation of </w:t>
            </w:r>
            <w:r w:rsidR="00715932" w:rsidRPr="00E47A4B">
              <w:rPr>
                <w:rStyle w:val="Hyperlink"/>
                <w:rFonts w:cs="Times New Roman"/>
                <w:noProof/>
                <w:vertAlign w:val="superscript"/>
              </w:rPr>
              <w:t>10</w:t>
            </w:r>
            <w:r w:rsidR="00715932" w:rsidRPr="00E47A4B">
              <w:rPr>
                <w:rStyle w:val="Hyperlink"/>
                <w:rFonts w:cs="Times New Roman"/>
                <w:noProof/>
              </w:rPr>
              <w:t xml:space="preserve">B and </w:t>
            </w:r>
            <w:r w:rsidR="00715932" w:rsidRPr="00E47A4B">
              <w:rPr>
                <w:rStyle w:val="Hyperlink"/>
                <w:rFonts w:cs="Times New Roman"/>
                <w:noProof/>
                <w:vertAlign w:val="superscript"/>
              </w:rPr>
              <w:t>11</w:t>
            </w:r>
            <w:r w:rsidR="00715932" w:rsidRPr="00E47A4B">
              <w:rPr>
                <w:rStyle w:val="Hyperlink"/>
                <w:rFonts w:cs="Times New Roman"/>
                <w:noProof/>
              </w:rPr>
              <w:t>B</w:t>
            </w:r>
            <w:r w:rsidR="00715932">
              <w:rPr>
                <w:noProof/>
                <w:webHidden/>
              </w:rPr>
              <w:tab/>
            </w:r>
            <w:r w:rsidR="00715932">
              <w:rPr>
                <w:noProof/>
                <w:webHidden/>
              </w:rPr>
              <w:fldChar w:fldCharType="begin"/>
            </w:r>
            <w:r w:rsidR="00715932">
              <w:rPr>
                <w:noProof/>
                <w:webHidden/>
              </w:rPr>
              <w:instrText xml:space="preserve"> PAGEREF _Toc491246023 \h </w:instrText>
            </w:r>
            <w:r w:rsidR="00715932">
              <w:rPr>
                <w:noProof/>
                <w:webHidden/>
              </w:rPr>
            </w:r>
            <w:r w:rsidR="00715932">
              <w:rPr>
                <w:noProof/>
                <w:webHidden/>
              </w:rPr>
              <w:fldChar w:fldCharType="separate"/>
            </w:r>
            <w:r w:rsidR="000C5FC3">
              <w:rPr>
                <w:noProof/>
                <w:webHidden/>
              </w:rPr>
              <w:t>64</w:t>
            </w:r>
            <w:r w:rsidR="00715932">
              <w:rPr>
                <w:noProof/>
                <w:webHidden/>
              </w:rPr>
              <w:fldChar w:fldCharType="end"/>
            </w:r>
          </w:hyperlink>
        </w:p>
        <w:p w:rsidR="00715932" w:rsidRDefault="00B920BD">
          <w:pPr>
            <w:pStyle w:val="TOC2"/>
            <w:tabs>
              <w:tab w:val="right" w:leader="dot" w:pos="8486"/>
            </w:tabs>
            <w:rPr>
              <w:rFonts w:asciiTheme="minorHAnsi" w:eastAsiaTheme="minorEastAsia" w:hAnsiTheme="minorHAnsi" w:cstheme="minorBidi"/>
              <w:noProof/>
              <w:sz w:val="22"/>
              <w:szCs w:val="22"/>
            </w:rPr>
          </w:pPr>
          <w:hyperlink w:anchor="_Toc491246024" w:history="1">
            <w:r w:rsidR="00715932" w:rsidRPr="00E47A4B">
              <w:rPr>
                <w:rStyle w:val="Hyperlink"/>
                <w:rFonts w:cs="Times New Roman"/>
                <w:noProof/>
              </w:rPr>
              <w:t>5. Discussion</w:t>
            </w:r>
            <w:r w:rsidR="00715932">
              <w:rPr>
                <w:noProof/>
                <w:webHidden/>
              </w:rPr>
              <w:tab/>
            </w:r>
            <w:r w:rsidR="00715932">
              <w:rPr>
                <w:noProof/>
                <w:webHidden/>
              </w:rPr>
              <w:fldChar w:fldCharType="begin"/>
            </w:r>
            <w:r w:rsidR="00715932">
              <w:rPr>
                <w:noProof/>
                <w:webHidden/>
              </w:rPr>
              <w:instrText xml:space="preserve"> PAGEREF _Toc491246024 \h </w:instrText>
            </w:r>
            <w:r w:rsidR="00715932">
              <w:rPr>
                <w:noProof/>
                <w:webHidden/>
              </w:rPr>
            </w:r>
            <w:r w:rsidR="00715932">
              <w:rPr>
                <w:noProof/>
                <w:webHidden/>
              </w:rPr>
              <w:fldChar w:fldCharType="separate"/>
            </w:r>
            <w:r w:rsidR="000C5FC3">
              <w:rPr>
                <w:noProof/>
                <w:webHidden/>
              </w:rPr>
              <w:t>65</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25" w:history="1">
            <w:r w:rsidR="00715932" w:rsidRPr="00E47A4B">
              <w:rPr>
                <w:rStyle w:val="Hyperlink"/>
                <w:rFonts w:cs="Times New Roman"/>
                <w:noProof/>
              </w:rPr>
              <w:t>5.1. Low diffusivity of boron in hydrous granitic melts</w:t>
            </w:r>
            <w:r w:rsidR="00715932">
              <w:rPr>
                <w:noProof/>
                <w:webHidden/>
              </w:rPr>
              <w:tab/>
            </w:r>
            <w:r w:rsidR="00715932">
              <w:rPr>
                <w:noProof/>
                <w:webHidden/>
              </w:rPr>
              <w:fldChar w:fldCharType="begin"/>
            </w:r>
            <w:r w:rsidR="00715932">
              <w:rPr>
                <w:noProof/>
                <w:webHidden/>
              </w:rPr>
              <w:instrText xml:space="preserve"> PAGEREF _Toc491246025 \h </w:instrText>
            </w:r>
            <w:r w:rsidR="00715932">
              <w:rPr>
                <w:noProof/>
                <w:webHidden/>
              </w:rPr>
            </w:r>
            <w:r w:rsidR="00715932">
              <w:rPr>
                <w:noProof/>
                <w:webHidden/>
              </w:rPr>
              <w:fldChar w:fldCharType="separate"/>
            </w:r>
            <w:r w:rsidR="000C5FC3">
              <w:rPr>
                <w:noProof/>
                <w:webHidden/>
              </w:rPr>
              <w:t>65</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26" w:history="1">
            <w:r w:rsidR="00715932" w:rsidRPr="00E47A4B">
              <w:rPr>
                <w:rStyle w:val="Hyperlink"/>
                <w:rFonts w:cs="Times New Roman"/>
                <w:noProof/>
              </w:rPr>
              <w:t>5.2. Kinetic fractionation of isotopes via diffusion</w:t>
            </w:r>
            <w:r w:rsidR="00715932">
              <w:rPr>
                <w:noProof/>
                <w:webHidden/>
              </w:rPr>
              <w:tab/>
            </w:r>
            <w:r w:rsidR="00715932">
              <w:rPr>
                <w:noProof/>
                <w:webHidden/>
              </w:rPr>
              <w:fldChar w:fldCharType="begin"/>
            </w:r>
            <w:r w:rsidR="00715932">
              <w:rPr>
                <w:noProof/>
                <w:webHidden/>
              </w:rPr>
              <w:instrText xml:space="preserve"> PAGEREF _Toc491246026 \h </w:instrText>
            </w:r>
            <w:r w:rsidR="00715932">
              <w:rPr>
                <w:noProof/>
                <w:webHidden/>
              </w:rPr>
            </w:r>
            <w:r w:rsidR="00715932">
              <w:rPr>
                <w:noProof/>
                <w:webHidden/>
              </w:rPr>
              <w:fldChar w:fldCharType="separate"/>
            </w:r>
            <w:r w:rsidR="000C5FC3">
              <w:rPr>
                <w:noProof/>
                <w:webHidden/>
              </w:rPr>
              <w:t>65</w:t>
            </w:r>
            <w:r w:rsidR="00715932">
              <w:rPr>
                <w:noProof/>
                <w:webHidden/>
              </w:rPr>
              <w:fldChar w:fldCharType="end"/>
            </w:r>
          </w:hyperlink>
        </w:p>
        <w:p w:rsidR="00715932" w:rsidRDefault="00B920BD">
          <w:pPr>
            <w:pStyle w:val="TOC2"/>
            <w:tabs>
              <w:tab w:val="right" w:leader="dot" w:pos="8486"/>
            </w:tabs>
            <w:rPr>
              <w:rFonts w:asciiTheme="minorHAnsi" w:eastAsiaTheme="minorEastAsia" w:hAnsiTheme="minorHAnsi" w:cstheme="minorBidi"/>
              <w:noProof/>
              <w:sz w:val="22"/>
              <w:szCs w:val="22"/>
            </w:rPr>
          </w:pPr>
          <w:hyperlink w:anchor="_Toc491246027" w:history="1">
            <w:r w:rsidR="00715932" w:rsidRPr="00E47A4B">
              <w:rPr>
                <w:rStyle w:val="Hyperlink"/>
                <w:rFonts w:cs="Times New Roman"/>
                <w:noProof/>
              </w:rPr>
              <w:t>6. Applications to geologic systems: Degassing of granitic liquid and crystallization of tourmaline</w:t>
            </w:r>
            <w:r w:rsidR="00715932">
              <w:rPr>
                <w:noProof/>
                <w:webHidden/>
              </w:rPr>
              <w:tab/>
            </w:r>
            <w:r w:rsidR="00715932">
              <w:rPr>
                <w:noProof/>
                <w:webHidden/>
              </w:rPr>
              <w:fldChar w:fldCharType="begin"/>
            </w:r>
            <w:r w:rsidR="00715932">
              <w:rPr>
                <w:noProof/>
                <w:webHidden/>
              </w:rPr>
              <w:instrText xml:space="preserve"> PAGEREF _Toc491246027 \h </w:instrText>
            </w:r>
            <w:r w:rsidR="00715932">
              <w:rPr>
                <w:noProof/>
                <w:webHidden/>
              </w:rPr>
            </w:r>
            <w:r w:rsidR="00715932">
              <w:rPr>
                <w:noProof/>
                <w:webHidden/>
              </w:rPr>
              <w:fldChar w:fldCharType="separate"/>
            </w:r>
            <w:r w:rsidR="000C5FC3">
              <w:rPr>
                <w:noProof/>
                <w:webHidden/>
              </w:rPr>
              <w:t>67</w:t>
            </w:r>
            <w:r w:rsidR="00715932">
              <w:rPr>
                <w:noProof/>
                <w:webHidden/>
              </w:rPr>
              <w:fldChar w:fldCharType="end"/>
            </w:r>
          </w:hyperlink>
        </w:p>
        <w:p w:rsidR="00715932" w:rsidRDefault="00B920BD">
          <w:pPr>
            <w:pStyle w:val="TOC2"/>
            <w:tabs>
              <w:tab w:val="right" w:leader="dot" w:pos="8486"/>
            </w:tabs>
            <w:rPr>
              <w:rFonts w:asciiTheme="minorHAnsi" w:eastAsiaTheme="minorEastAsia" w:hAnsiTheme="minorHAnsi" w:cstheme="minorBidi"/>
              <w:noProof/>
              <w:sz w:val="22"/>
              <w:szCs w:val="22"/>
            </w:rPr>
          </w:pPr>
          <w:hyperlink w:anchor="_Toc491246028" w:history="1">
            <w:r w:rsidR="00715932" w:rsidRPr="00E47A4B">
              <w:rPr>
                <w:rStyle w:val="Hyperlink"/>
                <w:rFonts w:cs="Times New Roman"/>
                <w:noProof/>
              </w:rPr>
              <w:t>7. Concluding Remarks</w:t>
            </w:r>
            <w:r w:rsidR="00715932">
              <w:rPr>
                <w:noProof/>
                <w:webHidden/>
              </w:rPr>
              <w:tab/>
            </w:r>
            <w:r w:rsidR="00715932">
              <w:rPr>
                <w:noProof/>
                <w:webHidden/>
              </w:rPr>
              <w:fldChar w:fldCharType="begin"/>
            </w:r>
            <w:r w:rsidR="00715932">
              <w:rPr>
                <w:noProof/>
                <w:webHidden/>
              </w:rPr>
              <w:instrText xml:space="preserve"> PAGEREF _Toc491246028 \h </w:instrText>
            </w:r>
            <w:r w:rsidR="00715932">
              <w:rPr>
                <w:noProof/>
                <w:webHidden/>
              </w:rPr>
            </w:r>
            <w:r w:rsidR="00715932">
              <w:rPr>
                <w:noProof/>
                <w:webHidden/>
              </w:rPr>
              <w:fldChar w:fldCharType="separate"/>
            </w:r>
            <w:r w:rsidR="000C5FC3">
              <w:rPr>
                <w:noProof/>
                <w:webHidden/>
              </w:rPr>
              <w:t>68</w:t>
            </w:r>
            <w:r w:rsidR="00715932">
              <w:rPr>
                <w:noProof/>
                <w:webHidden/>
              </w:rPr>
              <w:fldChar w:fldCharType="end"/>
            </w:r>
          </w:hyperlink>
        </w:p>
        <w:p w:rsidR="00715932" w:rsidRDefault="00B920BD">
          <w:pPr>
            <w:pStyle w:val="TOC1"/>
            <w:rPr>
              <w:rFonts w:asciiTheme="minorHAnsi" w:eastAsiaTheme="minorEastAsia" w:hAnsiTheme="minorHAnsi" w:cstheme="minorBidi"/>
              <w:noProof/>
              <w:sz w:val="22"/>
              <w:szCs w:val="22"/>
            </w:rPr>
          </w:pPr>
          <w:hyperlink w:anchor="_Toc491246029" w:history="1">
            <w:r w:rsidR="00715932" w:rsidRPr="00E47A4B">
              <w:rPr>
                <w:rStyle w:val="Hyperlink"/>
                <w:rFonts w:cs="Times New Roman"/>
                <w:noProof/>
              </w:rPr>
              <w:t>Chapter 4 Fractionation of the isotopes of boron between granitic melt and aqueous solution at 700°C and 800°C (200 MPa)</w:t>
            </w:r>
            <w:r w:rsidR="00715932">
              <w:rPr>
                <w:noProof/>
                <w:webHidden/>
              </w:rPr>
              <w:tab/>
            </w:r>
            <w:r w:rsidR="00715932">
              <w:rPr>
                <w:noProof/>
                <w:webHidden/>
              </w:rPr>
              <w:fldChar w:fldCharType="begin"/>
            </w:r>
            <w:r w:rsidR="00715932">
              <w:rPr>
                <w:noProof/>
                <w:webHidden/>
              </w:rPr>
              <w:instrText xml:space="preserve"> PAGEREF _Toc491246029 \h </w:instrText>
            </w:r>
            <w:r w:rsidR="00715932">
              <w:rPr>
                <w:noProof/>
                <w:webHidden/>
              </w:rPr>
            </w:r>
            <w:r w:rsidR="00715932">
              <w:rPr>
                <w:noProof/>
                <w:webHidden/>
              </w:rPr>
              <w:fldChar w:fldCharType="separate"/>
            </w:r>
            <w:r w:rsidR="000C5FC3">
              <w:rPr>
                <w:noProof/>
                <w:webHidden/>
              </w:rPr>
              <w:t>84</w:t>
            </w:r>
            <w:r w:rsidR="00715932">
              <w:rPr>
                <w:noProof/>
                <w:webHidden/>
              </w:rPr>
              <w:fldChar w:fldCharType="end"/>
            </w:r>
          </w:hyperlink>
        </w:p>
        <w:p w:rsidR="00715932" w:rsidRDefault="00B920BD">
          <w:pPr>
            <w:pStyle w:val="TOC2"/>
            <w:tabs>
              <w:tab w:val="right" w:leader="dot" w:pos="8486"/>
            </w:tabs>
            <w:rPr>
              <w:rFonts w:asciiTheme="minorHAnsi" w:eastAsiaTheme="minorEastAsia" w:hAnsiTheme="minorHAnsi" w:cstheme="minorBidi"/>
              <w:noProof/>
              <w:sz w:val="22"/>
              <w:szCs w:val="22"/>
            </w:rPr>
          </w:pPr>
          <w:hyperlink w:anchor="_Toc491246030" w:history="1">
            <w:r w:rsidR="00715932" w:rsidRPr="00E47A4B">
              <w:rPr>
                <w:rStyle w:val="Hyperlink"/>
                <w:rFonts w:cs="Times New Roman"/>
                <w:noProof/>
              </w:rPr>
              <w:t>1. Introduction</w:t>
            </w:r>
            <w:r w:rsidR="00715932">
              <w:rPr>
                <w:noProof/>
                <w:webHidden/>
              </w:rPr>
              <w:tab/>
            </w:r>
            <w:r w:rsidR="00715932">
              <w:rPr>
                <w:noProof/>
                <w:webHidden/>
              </w:rPr>
              <w:fldChar w:fldCharType="begin"/>
            </w:r>
            <w:r w:rsidR="00715932">
              <w:rPr>
                <w:noProof/>
                <w:webHidden/>
              </w:rPr>
              <w:instrText xml:space="preserve"> PAGEREF _Toc491246030 \h </w:instrText>
            </w:r>
            <w:r w:rsidR="00715932">
              <w:rPr>
                <w:noProof/>
                <w:webHidden/>
              </w:rPr>
            </w:r>
            <w:r w:rsidR="00715932">
              <w:rPr>
                <w:noProof/>
                <w:webHidden/>
              </w:rPr>
              <w:fldChar w:fldCharType="separate"/>
            </w:r>
            <w:r w:rsidR="000C5FC3">
              <w:rPr>
                <w:noProof/>
                <w:webHidden/>
              </w:rPr>
              <w:t>84</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31" w:history="1">
            <w:r w:rsidR="00715932" w:rsidRPr="00E47A4B">
              <w:rPr>
                <w:rStyle w:val="Hyperlink"/>
                <w:rFonts w:cs="Times New Roman"/>
                <w:noProof/>
              </w:rPr>
              <w:t>1.1. Boron isotopic fractionation in the system tourmaline-granitic melt-aqueous fluid</w:t>
            </w:r>
            <w:r w:rsidR="00715932">
              <w:rPr>
                <w:noProof/>
                <w:webHidden/>
              </w:rPr>
              <w:tab/>
            </w:r>
            <w:r w:rsidR="00715932">
              <w:rPr>
                <w:noProof/>
                <w:webHidden/>
              </w:rPr>
              <w:fldChar w:fldCharType="begin"/>
            </w:r>
            <w:r w:rsidR="00715932">
              <w:rPr>
                <w:noProof/>
                <w:webHidden/>
              </w:rPr>
              <w:instrText xml:space="preserve"> PAGEREF _Toc491246031 \h </w:instrText>
            </w:r>
            <w:r w:rsidR="00715932">
              <w:rPr>
                <w:noProof/>
                <w:webHidden/>
              </w:rPr>
            </w:r>
            <w:r w:rsidR="00715932">
              <w:rPr>
                <w:noProof/>
                <w:webHidden/>
              </w:rPr>
              <w:fldChar w:fldCharType="separate"/>
            </w:r>
            <w:r w:rsidR="000C5FC3">
              <w:rPr>
                <w:noProof/>
                <w:webHidden/>
              </w:rPr>
              <w:t>86</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32" w:history="1">
            <w:r w:rsidR="00715932" w:rsidRPr="00E47A4B">
              <w:rPr>
                <w:rStyle w:val="Hyperlink"/>
                <w:rFonts w:cs="Times New Roman"/>
                <w:noProof/>
              </w:rPr>
              <w:t>1.2. The coordination of B in melt and aqueous solution</w:t>
            </w:r>
            <w:r w:rsidR="00715932">
              <w:rPr>
                <w:noProof/>
                <w:webHidden/>
              </w:rPr>
              <w:tab/>
            </w:r>
            <w:r w:rsidR="00715932">
              <w:rPr>
                <w:noProof/>
                <w:webHidden/>
              </w:rPr>
              <w:fldChar w:fldCharType="begin"/>
            </w:r>
            <w:r w:rsidR="00715932">
              <w:rPr>
                <w:noProof/>
                <w:webHidden/>
              </w:rPr>
              <w:instrText xml:space="preserve"> PAGEREF _Toc491246032 \h </w:instrText>
            </w:r>
            <w:r w:rsidR="00715932">
              <w:rPr>
                <w:noProof/>
                <w:webHidden/>
              </w:rPr>
            </w:r>
            <w:r w:rsidR="00715932">
              <w:rPr>
                <w:noProof/>
                <w:webHidden/>
              </w:rPr>
              <w:fldChar w:fldCharType="separate"/>
            </w:r>
            <w:r w:rsidR="000C5FC3">
              <w:rPr>
                <w:noProof/>
                <w:webHidden/>
              </w:rPr>
              <w:t>87</w:t>
            </w:r>
            <w:r w:rsidR="00715932">
              <w:rPr>
                <w:noProof/>
                <w:webHidden/>
              </w:rPr>
              <w:fldChar w:fldCharType="end"/>
            </w:r>
          </w:hyperlink>
        </w:p>
        <w:p w:rsidR="00715932" w:rsidRDefault="00B920BD">
          <w:pPr>
            <w:pStyle w:val="TOC4"/>
            <w:tabs>
              <w:tab w:val="right" w:leader="dot" w:pos="8486"/>
            </w:tabs>
            <w:rPr>
              <w:rFonts w:asciiTheme="minorHAnsi" w:eastAsiaTheme="minorEastAsia" w:hAnsiTheme="minorHAnsi" w:cstheme="minorBidi"/>
              <w:noProof/>
              <w:sz w:val="22"/>
              <w:szCs w:val="22"/>
            </w:rPr>
          </w:pPr>
          <w:hyperlink w:anchor="_Toc491246033" w:history="1">
            <w:r w:rsidR="00715932" w:rsidRPr="00E47A4B">
              <w:rPr>
                <w:rStyle w:val="Hyperlink"/>
                <w:rFonts w:cs="Times New Roman"/>
                <w:noProof/>
              </w:rPr>
              <w:t>1.2.1. Boron in anhydrous glasses</w:t>
            </w:r>
            <w:r w:rsidR="00715932">
              <w:rPr>
                <w:noProof/>
                <w:webHidden/>
              </w:rPr>
              <w:tab/>
            </w:r>
            <w:r w:rsidR="00715932">
              <w:rPr>
                <w:noProof/>
                <w:webHidden/>
              </w:rPr>
              <w:fldChar w:fldCharType="begin"/>
            </w:r>
            <w:r w:rsidR="00715932">
              <w:rPr>
                <w:noProof/>
                <w:webHidden/>
              </w:rPr>
              <w:instrText xml:space="preserve"> PAGEREF _Toc491246033 \h </w:instrText>
            </w:r>
            <w:r w:rsidR="00715932">
              <w:rPr>
                <w:noProof/>
                <w:webHidden/>
              </w:rPr>
            </w:r>
            <w:r w:rsidR="00715932">
              <w:rPr>
                <w:noProof/>
                <w:webHidden/>
              </w:rPr>
              <w:fldChar w:fldCharType="separate"/>
            </w:r>
            <w:r w:rsidR="000C5FC3">
              <w:rPr>
                <w:noProof/>
                <w:webHidden/>
              </w:rPr>
              <w:t>87</w:t>
            </w:r>
            <w:r w:rsidR="00715932">
              <w:rPr>
                <w:noProof/>
                <w:webHidden/>
              </w:rPr>
              <w:fldChar w:fldCharType="end"/>
            </w:r>
          </w:hyperlink>
        </w:p>
        <w:p w:rsidR="00715932" w:rsidRDefault="00B920BD">
          <w:pPr>
            <w:pStyle w:val="TOC4"/>
            <w:tabs>
              <w:tab w:val="right" w:leader="dot" w:pos="8486"/>
            </w:tabs>
            <w:rPr>
              <w:rFonts w:asciiTheme="minorHAnsi" w:eastAsiaTheme="minorEastAsia" w:hAnsiTheme="minorHAnsi" w:cstheme="minorBidi"/>
              <w:noProof/>
              <w:sz w:val="22"/>
              <w:szCs w:val="22"/>
            </w:rPr>
          </w:pPr>
          <w:hyperlink w:anchor="_Toc491246034" w:history="1">
            <w:r w:rsidR="00715932" w:rsidRPr="00E47A4B">
              <w:rPr>
                <w:rStyle w:val="Hyperlink"/>
                <w:rFonts w:cs="Times New Roman"/>
                <w:noProof/>
              </w:rPr>
              <w:t>1.2.2. Boron in hydrous glasses</w:t>
            </w:r>
            <w:r w:rsidR="00715932">
              <w:rPr>
                <w:noProof/>
                <w:webHidden/>
              </w:rPr>
              <w:tab/>
            </w:r>
            <w:r w:rsidR="00715932">
              <w:rPr>
                <w:noProof/>
                <w:webHidden/>
              </w:rPr>
              <w:fldChar w:fldCharType="begin"/>
            </w:r>
            <w:r w:rsidR="00715932">
              <w:rPr>
                <w:noProof/>
                <w:webHidden/>
              </w:rPr>
              <w:instrText xml:space="preserve"> PAGEREF _Toc491246034 \h </w:instrText>
            </w:r>
            <w:r w:rsidR="00715932">
              <w:rPr>
                <w:noProof/>
                <w:webHidden/>
              </w:rPr>
            </w:r>
            <w:r w:rsidR="00715932">
              <w:rPr>
                <w:noProof/>
                <w:webHidden/>
              </w:rPr>
              <w:fldChar w:fldCharType="separate"/>
            </w:r>
            <w:r w:rsidR="000C5FC3">
              <w:rPr>
                <w:noProof/>
                <w:webHidden/>
              </w:rPr>
              <w:t>88</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35" w:history="1">
            <w:r w:rsidR="00715932" w:rsidRPr="00E47A4B">
              <w:rPr>
                <w:rStyle w:val="Hyperlink"/>
                <w:rFonts w:cs="Times New Roman"/>
                <w:noProof/>
              </w:rPr>
              <w:t>1.3. Goal of the present study</w:t>
            </w:r>
            <w:r w:rsidR="00715932">
              <w:rPr>
                <w:noProof/>
                <w:webHidden/>
              </w:rPr>
              <w:tab/>
            </w:r>
            <w:r w:rsidR="00715932">
              <w:rPr>
                <w:noProof/>
                <w:webHidden/>
              </w:rPr>
              <w:fldChar w:fldCharType="begin"/>
            </w:r>
            <w:r w:rsidR="00715932">
              <w:rPr>
                <w:noProof/>
                <w:webHidden/>
              </w:rPr>
              <w:instrText xml:space="preserve"> PAGEREF _Toc491246035 \h </w:instrText>
            </w:r>
            <w:r w:rsidR="00715932">
              <w:rPr>
                <w:noProof/>
                <w:webHidden/>
              </w:rPr>
            </w:r>
            <w:r w:rsidR="00715932">
              <w:rPr>
                <w:noProof/>
                <w:webHidden/>
              </w:rPr>
              <w:fldChar w:fldCharType="separate"/>
            </w:r>
            <w:r w:rsidR="000C5FC3">
              <w:rPr>
                <w:noProof/>
                <w:webHidden/>
              </w:rPr>
              <w:t>89</w:t>
            </w:r>
            <w:r w:rsidR="00715932">
              <w:rPr>
                <w:noProof/>
                <w:webHidden/>
              </w:rPr>
              <w:fldChar w:fldCharType="end"/>
            </w:r>
          </w:hyperlink>
        </w:p>
        <w:p w:rsidR="00715932" w:rsidRDefault="00B920BD">
          <w:pPr>
            <w:pStyle w:val="TOC2"/>
            <w:tabs>
              <w:tab w:val="right" w:leader="dot" w:pos="8486"/>
            </w:tabs>
            <w:rPr>
              <w:rFonts w:asciiTheme="minorHAnsi" w:eastAsiaTheme="minorEastAsia" w:hAnsiTheme="minorHAnsi" w:cstheme="minorBidi"/>
              <w:noProof/>
              <w:sz w:val="22"/>
              <w:szCs w:val="22"/>
            </w:rPr>
          </w:pPr>
          <w:hyperlink w:anchor="_Toc491246036" w:history="1">
            <w:r w:rsidR="00715932" w:rsidRPr="00E47A4B">
              <w:rPr>
                <w:rStyle w:val="Hyperlink"/>
                <w:rFonts w:cs="Times New Roman"/>
                <w:noProof/>
              </w:rPr>
              <w:t>2. Methods</w:t>
            </w:r>
            <w:r w:rsidR="00715932">
              <w:rPr>
                <w:noProof/>
                <w:webHidden/>
              </w:rPr>
              <w:tab/>
            </w:r>
            <w:r w:rsidR="00715932">
              <w:rPr>
                <w:noProof/>
                <w:webHidden/>
              </w:rPr>
              <w:fldChar w:fldCharType="begin"/>
            </w:r>
            <w:r w:rsidR="00715932">
              <w:rPr>
                <w:noProof/>
                <w:webHidden/>
              </w:rPr>
              <w:instrText xml:space="preserve"> PAGEREF _Toc491246036 \h </w:instrText>
            </w:r>
            <w:r w:rsidR="00715932">
              <w:rPr>
                <w:noProof/>
                <w:webHidden/>
              </w:rPr>
            </w:r>
            <w:r w:rsidR="00715932">
              <w:rPr>
                <w:noProof/>
                <w:webHidden/>
              </w:rPr>
              <w:fldChar w:fldCharType="separate"/>
            </w:r>
            <w:r w:rsidR="000C5FC3">
              <w:rPr>
                <w:noProof/>
                <w:webHidden/>
              </w:rPr>
              <w:t>89</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37" w:history="1">
            <w:r w:rsidR="00715932" w:rsidRPr="00E47A4B">
              <w:rPr>
                <w:rStyle w:val="Hyperlink"/>
                <w:rFonts w:cs="Times New Roman"/>
                <w:noProof/>
              </w:rPr>
              <w:t>2.1. Preparation of starting materials</w:t>
            </w:r>
            <w:r w:rsidR="00715932">
              <w:rPr>
                <w:noProof/>
                <w:webHidden/>
              </w:rPr>
              <w:tab/>
            </w:r>
            <w:r w:rsidR="00715932">
              <w:rPr>
                <w:noProof/>
                <w:webHidden/>
              </w:rPr>
              <w:fldChar w:fldCharType="begin"/>
            </w:r>
            <w:r w:rsidR="00715932">
              <w:rPr>
                <w:noProof/>
                <w:webHidden/>
              </w:rPr>
              <w:instrText xml:space="preserve"> PAGEREF _Toc491246037 \h </w:instrText>
            </w:r>
            <w:r w:rsidR="00715932">
              <w:rPr>
                <w:noProof/>
                <w:webHidden/>
              </w:rPr>
            </w:r>
            <w:r w:rsidR="00715932">
              <w:rPr>
                <w:noProof/>
                <w:webHidden/>
              </w:rPr>
              <w:fldChar w:fldCharType="separate"/>
            </w:r>
            <w:r w:rsidR="000C5FC3">
              <w:rPr>
                <w:noProof/>
                <w:webHidden/>
              </w:rPr>
              <w:t>89</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38" w:history="1">
            <w:r w:rsidR="00715932" w:rsidRPr="00E47A4B">
              <w:rPr>
                <w:rStyle w:val="Hyperlink"/>
                <w:rFonts w:cs="Times New Roman"/>
                <w:noProof/>
              </w:rPr>
              <w:t>2.2. Experimental methods</w:t>
            </w:r>
            <w:r w:rsidR="00715932">
              <w:rPr>
                <w:noProof/>
                <w:webHidden/>
              </w:rPr>
              <w:tab/>
            </w:r>
            <w:r w:rsidR="00715932">
              <w:rPr>
                <w:noProof/>
                <w:webHidden/>
              </w:rPr>
              <w:fldChar w:fldCharType="begin"/>
            </w:r>
            <w:r w:rsidR="00715932">
              <w:rPr>
                <w:noProof/>
                <w:webHidden/>
              </w:rPr>
              <w:instrText xml:space="preserve"> PAGEREF _Toc491246038 \h </w:instrText>
            </w:r>
            <w:r w:rsidR="00715932">
              <w:rPr>
                <w:noProof/>
                <w:webHidden/>
              </w:rPr>
            </w:r>
            <w:r w:rsidR="00715932">
              <w:rPr>
                <w:noProof/>
                <w:webHidden/>
              </w:rPr>
              <w:fldChar w:fldCharType="separate"/>
            </w:r>
            <w:r w:rsidR="000C5FC3">
              <w:rPr>
                <w:noProof/>
                <w:webHidden/>
              </w:rPr>
              <w:t>91</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39" w:history="1">
            <w:r w:rsidR="00715932" w:rsidRPr="00E47A4B">
              <w:rPr>
                <w:rStyle w:val="Hyperlink"/>
                <w:rFonts w:cs="Times New Roman"/>
                <w:noProof/>
              </w:rPr>
              <w:t>2.3. Preparation of glasses for analysis</w:t>
            </w:r>
            <w:r w:rsidR="00715932">
              <w:rPr>
                <w:noProof/>
                <w:webHidden/>
              </w:rPr>
              <w:tab/>
            </w:r>
            <w:r w:rsidR="00715932">
              <w:rPr>
                <w:noProof/>
                <w:webHidden/>
              </w:rPr>
              <w:fldChar w:fldCharType="begin"/>
            </w:r>
            <w:r w:rsidR="00715932">
              <w:rPr>
                <w:noProof/>
                <w:webHidden/>
              </w:rPr>
              <w:instrText xml:space="preserve"> PAGEREF _Toc491246039 \h </w:instrText>
            </w:r>
            <w:r w:rsidR="00715932">
              <w:rPr>
                <w:noProof/>
                <w:webHidden/>
              </w:rPr>
            </w:r>
            <w:r w:rsidR="00715932">
              <w:rPr>
                <w:noProof/>
                <w:webHidden/>
              </w:rPr>
              <w:fldChar w:fldCharType="separate"/>
            </w:r>
            <w:r w:rsidR="000C5FC3">
              <w:rPr>
                <w:noProof/>
                <w:webHidden/>
              </w:rPr>
              <w:t>92</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40" w:history="1">
            <w:r w:rsidR="00715932" w:rsidRPr="00E47A4B">
              <w:rPr>
                <w:rStyle w:val="Hyperlink"/>
                <w:rFonts w:cs="Times New Roman"/>
                <w:noProof/>
              </w:rPr>
              <w:t>2.4. Electron microprobe (EMPA)</w:t>
            </w:r>
            <w:r w:rsidR="00715932">
              <w:rPr>
                <w:noProof/>
                <w:webHidden/>
              </w:rPr>
              <w:tab/>
            </w:r>
            <w:r w:rsidR="00715932">
              <w:rPr>
                <w:noProof/>
                <w:webHidden/>
              </w:rPr>
              <w:fldChar w:fldCharType="begin"/>
            </w:r>
            <w:r w:rsidR="00715932">
              <w:rPr>
                <w:noProof/>
                <w:webHidden/>
              </w:rPr>
              <w:instrText xml:space="preserve"> PAGEREF _Toc491246040 \h </w:instrText>
            </w:r>
            <w:r w:rsidR="00715932">
              <w:rPr>
                <w:noProof/>
                <w:webHidden/>
              </w:rPr>
            </w:r>
            <w:r w:rsidR="00715932">
              <w:rPr>
                <w:noProof/>
                <w:webHidden/>
              </w:rPr>
              <w:fldChar w:fldCharType="separate"/>
            </w:r>
            <w:r w:rsidR="000C5FC3">
              <w:rPr>
                <w:noProof/>
                <w:webHidden/>
              </w:rPr>
              <w:t>92</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41" w:history="1">
            <w:r w:rsidR="00715932" w:rsidRPr="00E47A4B">
              <w:rPr>
                <w:rStyle w:val="Hyperlink"/>
                <w:rFonts w:cs="Times New Roman"/>
                <w:noProof/>
              </w:rPr>
              <w:t>2.5. Secondary ion mass spectrometry (SIMS)</w:t>
            </w:r>
            <w:r w:rsidR="00715932">
              <w:rPr>
                <w:noProof/>
                <w:webHidden/>
              </w:rPr>
              <w:tab/>
            </w:r>
            <w:r w:rsidR="00715932">
              <w:rPr>
                <w:noProof/>
                <w:webHidden/>
              </w:rPr>
              <w:fldChar w:fldCharType="begin"/>
            </w:r>
            <w:r w:rsidR="00715932">
              <w:rPr>
                <w:noProof/>
                <w:webHidden/>
              </w:rPr>
              <w:instrText xml:space="preserve"> PAGEREF _Toc491246041 \h </w:instrText>
            </w:r>
            <w:r w:rsidR="00715932">
              <w:rPr>
                <w:noProof/>
                <w:webHidden/>
              </w:rPr>
            </w:r>
            <w:r w:rsidR="00715932">
              <w:rPr>
                <w:noProof/>
                <w:webHidden/>
              </w:rPr>
              <w:fldChar w:fldCharType="separate"/>
            </w:r>
            <w:r w:rsidR="000C5FC3">
              <w:rPr>
                <w:noProof/>
                <w:webHidden/>
              </w:rPr>
              <w:t>93</w:t>
            </w:r>
            <w:r w:rsidR="00715932">
              <w:rPr>
                <w:noProof/>
                <w:webHidden/>
              </w:rPr>
              <w:fldChar w:fldCharType="end"/>
            </w:r>
          </w:hyperlink>
        </w:p>
        <w:p w:rsidR="00715932" w:rsidRDefault="00B920BD">
          <w:pPr>
            <w:pStyle w:val="TOC2"/>
            <w:tabs>
              <w:tab w:val="right" w:leader="dot" w:pos="8486"/>
            </w:tabs>
            <w:rPr>
              <w:rFonts w:asciiTheme="minorHAnsi" w:eastAsiaTheme="minorEastAsia" w:hAnsiTheme="minorHAnsi" w:cstheme="minorBidi"/>
              <w:noProof/>
              <w:sz w:val="22"/>
              <w:szCs w:val="22"/>
            </w:rPr>
          </w:pPr>
          <w:hyperlink w:anchor="_Toc491246042" w:history="1">
            <w:r w:rsidR="00715932" w:rsidRPr="00E47A4B">
              <w:rPr>
                <w:rStyle w:val="Hyperlink"/>
                <w:rFonts w:cs="Times New Roman"/>
                <w:noProof/>
              </w:rPr>
              <w:t>3. Mass-balance calculation of isotopic fractionation factors and partition coefficients</w:t>
            </w:r>
            <w:r w:rsidR="00715932">
              <w:rPr>
                <w:noProof/>
                <w:webHidden/>
              </w:rPr>
              <w:tab/>
            </w:r>
            <w:r w:rsidR="00715932">
              <w:rPr>
                <w:noProof/>
                <w:webHidden/>
              </w:rPr>
              <w:fldChar w:fldCharType="begin"/>
            </w:r>
            <w:r w:rsidR="00715932">
              <w:rPr>
                <w:noProof/>
                <w:webHidden/>
              </w:rPr>
              <w:instrText xml:space="preserve"> PAGEREF _Toc491246042 \h </w:instrText>
            </w:r>
            <w:r w:rsidR="00715932">
              <w:rPr>
                <w:noProof/>
                <w:webHidden/>
              </w:rPr>
            </w:r>
            <w:r w:rsidR="00715932">
              <w:rPr>
                <w:noProof/>
                <w:webHidden/>
              </w:rPr>
              <w:fldChar w:fldCharType="separate"/>
            </w:r>
            <w:r w:rsidR="000C5FC3">
              <w:rPr>
                <w:noProof/>
                <w:webHidden/>
              </w:rPr>
              <w:t>94</w:t>
            </w:r>
            <w:r w:rsidR="00715932">
              <w:rPr>
                <w:noProof/>
                <w:webHidden/>
              </w:rPr>
              <w:fldChar w:fldCharType="end"/>
            </w:r>
          </w:hyperlink>
        </w:p>
        <w:p w:rsidR="00715932" w:rsidRDefault="00B920BD">
          <w:pPr>
            <w:pStyle w:val="TOC2"/>
            <w:tabs>
              <w:tab w:val="right" w:leader="dot" w:pos="8486"/>
            </w:tabs>
            <w:rPr>
              <w:rFonts w:asciiTheme="minorHAnsi" w:eastAsiaTheme="minorEastAsia" w:hAnsiTheme="minorHAnsi" w:cstheme="minorBidi"/>
              <w:noProof/>
              <w:sz w:val="22"/>
              <w:szCs w:val="22"/>
            </w:rPr>
          </w:pPr>
          <w:hyperlink w:anchor="_Toc491246043" w:history="1">
            <w:r w:rsidR="00715932" w:rsidRPr="00E47A4B">
              <w:rPr>
                <w:rStyle w:val="Hyperlink"/>
                <w:rFonts w:cs="Times New Roman"/>
                <w:noProof/>
              </w:rPr>
              <w:t>4. Results and Discussion</w:t>
            </w:r>
            <w:r w:rsidR="00715932">
              <w:rPr>
                <w:noProof/>
                <w:webHidden/>
              </w:rPr>
              <w:tab/>
            </w:r>
            <w:r w:rsidR="00715932">
              <w:rPr>
                <w:noProof/>
                <w:webHidden/>
              </w:rPr>
              <w:fldChar w:fldCharType="begin"/>
            </w:r>
            <w:r w:rsidR="00715932">
              <w:rPr>
                <w:noProof/>
                <w:webHidden/>
              </w:rPr>
              <w:instrText xml:space="preserve"> PAGEREF _Toc491246043 \h </w:instrText>
            </w:r>
            <w:r w:rsidR="00715932">
              <w:rPr>
                <w:noProof/>
                <w:webHidden/>
              </w:rPr>
            </w:r>
            <w:r w:rsidR="00715932">
              <w:rPr>
                <w:noProof/>
                <w:webHidden/>
              </w:rPr>
              <w:fldChar w:fldCharType="separate"/>
            </w:r>
            <w:r w:rsidR="000C5FC3">
              <w:rPr>
                <w:noProof/>
                <w:webHidden/>
              </w:rPr>
              <w:t>95</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44" w:history="1">
            <w:r w:rsidR="00715932" w:rsidRPr="00E47A4B">
              <w:rPr>
                <w:rStyle w:val="Hyperlink"/>
                <w:rFonts w:cs="Times New Roman"/>
                <w:noProof/>
              </w:rPr>
              <w:t>4.1. Approach to equilibrium</w:t>
            </w:r>
            <w:r w:rsidR="00715932">
              <w:rPr>
                <w:noProof/>
                <w:webHidden/>
              </w:rPr>
              <w:tab/>
            </w:r>
            <w:r w:rsidR="00715932">
              <w:rPr>
                <w:noProof/>
                <w:webHidden/>
              </w:rPr>
              <w:fldChar w:fldCharType="begin"/>
            </w:r>
            <w:r w:rsidR="00715932">
              <w:rPr>
                <w:noProof/>
                <w:webHidden/>
              </w:rPr>
              <w:instrText xml:space="preserve"> PAGEREF _Toc491246044 \h </w:instrText>
            </w:r>
            <w:r w:rsidR="00715932">
              <w:rPr>
                <w:noProof/>
                <w:webHidden/>
              </w:rPr>
            </w:r>
            <w:r w:rsidR="00715932">
              <w:rPr>
                <w:noProof/>
                <w:webHidden/>
              </w:rPr>
              <w:fldChar w:fldCharType="separate"/>
            </w:r>
            <w:r w:rsidR="000C5FC3">
              <w:rPr>
                <w:noProof/>
                <w:webHidden/>
              </w:rPr>
              <w:t>95</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45" w:history="1">
            <w:r w:rsidR="00715932" w:rsidRPr="00E47A4B">
              <w:rPr>
                <w:rStyle w:val="Hyperlink"/>
                <w:rFonts w:cs="Times New Roman"/>
                <w:noProof/>
              </w:rPr>
              <w:t>4.2. Chemical compositions of glass products and partitioning of B between melt and aqueous solution</w:t>
            </w:r>
            <w:r w:rsidR="00715932">
              <w:rPr>
                <w:noProof/>
                <w:webHidden/>
              </w:rPr>
              <w:tab/>
            </w:r>
            <w:r w:rsidR="00715932">
              <w:rPr>
                <w:noProof/>
                <w:webHidden/>
              </w:rPr>
              <w:fldChar w:fldCharType="begin"/>
            </w:r>
            <w:r w:rsidR="00715932">
              <w:rPr>
                <w:noProof/>
                <w:webHidden/>
              </w:rPr>
              <w:instrText xml:space="preserve"> PAGEREF _Toc491246045 \h </w:instrText>
            </w:r>
            <w:r w:rsidR="00715932">
              <w:rPr>
                <w:noProof/>
                <w:webHidden/>
              </w:rPr>
            </w:r>
            <w:r w:rsidR="00715932">
              <w:rPr>
                <w:noProof/>
                <w:webHidden/>
              </w:rPr>
              <w:fldChar w:fldCharType="separate"/>
            </w:r>
            <w:r w:rsidR="000C5FC3">
              <w:rPr>
                <w:noProof/>
                <w:webHidden/>
              </w:rPr>
              <w:t>97</w:t>
            </w:r>
            <w:r w:rsidR="00715932">
              <w:rPr>
                <w:noProof/>
                <w:webHidden/>
              </w:rPr>
              <w:fldChar w:fldCharType="end"/>
            </w:r>
          </w:hyperlink>
        </w:p>
        <w:p w:rsidR="00715932" w:rsidRDefault="00B920BD">
          <w:pPr>
            <w:pStyle w:val="TOC4"/>
            <w:tabs>
              <w:tab w:val="right" w:leader="dot" w:pos="8486"/>
            </w:tabs>
            <w:rPr>
              <w:rFonts w:asciiTheme="minorHAnsi" w:eastAsiaTheme="minorEastAsia" w:hAnsiTheme="minorHAnsi" w:cstheme="minorBidi"/>
              <w:noProof/>
              <w:sz w:val="22"/>
              <w:szCs w:val="22"/>
            </w:rPr>
          </w:pPr>
          <w:hyperlink w:anchor="_Toc491246046" w:history="1">
            <w:r w:rsidR="00715932" w:rsidRPr="00E47A4B">
              <w:rPr>
                <w:rStyle w:val="Hyperlink"/>
                <w:rFonts w:cs="Times New Roman"/>
                <w:noProof/>
              </w:rPr>
              <w:t>4.2.1. Comparison of B</w:t>
            </w:r>
            <w:r w:rsidR="00715932" w:rsidRPr="00E47A4B">
              <w:rPr>
                <w:rStyle w:val="Hyperlink"/>
                <w:rFonts w:cs="Times New Roman"/>
                <w:noProof/>
                <w:vertAlign w:val="subscript"/>
              </w:rPr>
              <w:t>2</w:t>
            </w:r>
            <w:r w:rsidR="00715932" w:rsidRPr="00E47A4B">
              <w:rPr>
                <w:rStyle w:val="Hyperlink"/>
                <w:rFonts w:cs="Times New Roman"/>
                <w:noProof/>
              </w:rPr>
              <w:t>O</w:t>
            </w:r>
            <w:r w:rsidR="00715932" w:rsidRPr="00E47A4B">
              <w:rPr>
                <w:rStyle w:val="Hyperlink"/>
                <w:rFonts w:cs="Times New Roman"/>
                <w:noProof/>
                <w:vertAlign w:val="subscript"/>
              </w:rPr>
              <w:t>3</w:t>
            </w:r>
            <w:r w:rsidR="00715932" w:rsidRPr="00E47A4B">
              <w:rPr>
                <w:rStyle w:val="Hyperlink"/>
                <w:rFonts w:cs="Times New Roman"/>
                <w:noProof/>
              </w:rPr>
              <w:t xml:space="preserve"> by SIMS and EMPA</w:t>
            </w:r>
            <w:r w:rsidR="00715932">
              <w:rPr>
                <w:noProof/>
                <w:webHidden/>
              </w:rPr>
              <w:tab/>
            </w:r>
            <w:r w:rsidR="00715932">
              <w:rPr>
                <w:noProof/>
                <w:webHidden/>
              </w:rPr>
              <w:fldChar w:fldCharType="begin"/>
            </w:r>
            <w:r w:rsidR="00715932">
              <w:rPr>
                <w:noProof/>
                <w:webHidden/>
              </w:rPr>
              <w:instrText xml:space="preserve"> PAGEREF _Toc491246046 \h </w:instrText>
            </w:r>
            <w:r w:rsidR="00715932">
              <w:rPr>
                <w:noProof/>
                <w:webHidden/>
              </w:rPr>
            </w:r>
            <w:r w:rsidR="00715932">
              <w:rPr>
                <w:noProof/>
                <w:webHidden/>
              </w:rPr>
              <w:fldChar w:fldCharType="separate"/>
            </w:r>
            <w:r w:rsidR="000C5FC3">
              <w:rPr>
                <w:noProof/>
                <w:webHidden/>
              </w:rPr>
              <w:t>97</w:t>
            </w:r>
            <w:r w:rsidR="00715932">
              <w:rPr>
                <w:noProof/>
                <w:webHidden/>
              </w:rPr>
              <w:fldChar w:fldCharType="end"/>
            </w:r>
          </w:hyperlink>
        </w:p>
        <w:p w:rsidR="00715932" w:rsidRDefault="00B920BD">
          <w:pPr>
            <w:pStyle w:val="TOC4"/>
            <w:tabs>
              <w:tab w:val="right" w:leader="dot" w:pos="8486"/>
            </w:tabs>
            <w:rPr>
              <w:rFonts w:asciiTheme="minorHAnsi" w:eastAsiaTheme="minorEastAsia" w:hAnsiTheme="minorHAnsi" w:cstheme="minorBidi"/>
              <w:noProof/>
              <w:sz w:val="22"/>
              <w:szCs w:val="22"/>
            </w:rPr>
          </w:pPr>
          <w:hyperlink w:anchor="_Toc491246047" w:history="1">
            <w:r w:rsidR="00715932" w:rsidRPr="00E47A4B">
              <w:rPr>
                <w:rStyle w:val="Hyperlink"/>
                <w:rFonts w:cs="Times New Roman"/>
                <w:noProof/>
              </w:rPr>
              <w:t>4.2.2. Analyses of SiO</w:t>
            </w:r>
            <w:r w:rsidR="00715932" w:rsidRPr="00E47A4B">
              <w:rPr>
                <w:rStyle w:val="Hyperlink"/>
                <w:rFonts w:cs="Times New Roman"/>
                <w:noProof/>
                <w:vertAlign w:val="subscript"/>
              </w:rPr>
              <w:t>2</w:t>
            </w:r>
            <w:r w:rsidR="00715932" w:rsidRPr="00E47A4B">
              <w:rPr>
                <w:rStyle w:val="Hyperlink"/>
                <w:rFonts w:cs="Times New Roman"/>
                <w:noProof/>
              </w:rPr>
              <w:t>, Al</w:t>
            </w:r>
            <w:r w:rsidR="00715932" w:rsidRPr="00E47A4B">
              <w:rPr>
                <w:rStyle w:val="Hyperlink"/>
                <w:rFonts w:cs="Times New Roman"/>
                <w:noProof/>
                <w:vertAlign w:val="subscript"/>
              </w:rPr>
              <w:t>2</w:t>
            </w:r>
            <w:r w:rsidR="00715932" w:rsidRPr="00E47A4B">
              <w:rPr>
                <w:rStyle w:val="Hyperlink"/>
                <w:rFonts w:cs="Times New Roman"/>
                <w:noProof/>
              </w:rPr>
              <w:t>O</w:t>
            </w:r>
            <w:r w:rsidR="00715932" w:rsidRPr="00E47A4B">
              <w:rPr>
                <w:rStyle w:val="Hyperlink"/>
                <w:rFonts w:cs="Times New Roman"/>
                <w:noProof/>
                <w:vertAlign w:val="subscript"/>
              </w:rPr>
              <w:t>3</w:t>
            </w:r>
            <w:r w:rsidR="00715932" w:rsidRPr="00E47A4B">
              <w:rPr>
                <w:rStyle w:val="Hyperlink"/>
                <w:rFonts w:cs="Times New Roman"/>
                <w:noProof/>
              </w:rPr>
              <w:t>, Na</w:t>
            </w:r>
            <w:r w:rsidR="00715932" w:rsidRPr="00E47A4B">
              <w:rPr>
                <w:rStyle w:val="Hyperlink"/>
                <w:rFonts w:cs="Times New Roman"/>
                <w:noProof/>
                <w:vertAlign w:val="subscript"/>
              </w:rPr>
              <w:t>2</w:t>
            </w:r>
            <w:r w:rsidR="00715932" w:rsidRPr="00E47A4B">
              <w:rPr>
                <w:rStyle w:val="Hyperlink"/>
                <w:rFonts w:cs="Times New Roman"/>
                <w:noProof/>
              </w:rPr>
              <w:t>O, K</w:t>
            </w:r>
            <w:r w:rsidR="00715932" w:rsidRPr="00E47A4B">
              <w:rPr>
                <w:rStyle w:val="Hyperlink"/>
                <w:rFonts w:cs="Times New Roman"/>
                <w:noProof/>
                <w:vertAlign w:val="subscript"/>
              </w:rPr>
              <w:t>2</w:t>
            </w:r>
            <w:r w:rsidR="00715932" w:rsidRPr="00E47A4B">
              <w:rPr>
                <w:rStyle w:val="Hyperlink"/>
                <w:rFonts w:cs="Times New Roman"/>
                <w:noProof/>
              </w:rPr>
              <w:t>O</w:t>
            </w:r>
            <w:r w:rsidR="00715932">
              <w:rPr>
                <w:noProof/>
                <w:webHidden/>
              </w:rPr>
              <w:tab/>
            </w:r>
            <w:r w:rsidR="00715932">
              <w:rPr>
                <w:noProof/>
                <w:webHidden/>
              </w:rPr>
              <w:fldChar w:fldCharType="begin"/>
            </w:r>
            <w:r w:rsidR="00715932">
              <w:rPr>
                <w:noProof/>
                <w:webHidden/>
              </w:rPr>
              <w:instrText xml:space="preserve"> PAGEREF _Toc491246047 \h </w:instrText>
            </w:r>
            <w:r w:rsidR="00715932">
              <w:rPr>
                <w:noProof/>
                <w:webHidden/>
              </w:rPr>
            </w:r>
            <w:r w:rsidR="00715932">
              <w:rPr>
                <w:noProof/>
                <w:webHidden/>
              </w:rPr>
              <w:fldChar w:fldCharType="separate"/>
            </w:r>
            <w:r w:rsidR="000C5FC3">
              <w:rPr>
                <w:noProof/>
                <w:webHidden/>
              </w:rPr>
              <w:t>97</w:t>
            </w:r>
            <w:r w:rsidR="00715932">
              <w:rPr>
                <w:noProof/>
                <w:webHidden/>
              </w:rPr>
              <w:fldChar w:fldCharType="end"/>
            </w:r>
          </w:hyperlink>
        </w:p>
        <w:p w:rsidR="00715932" w:rsidRDefault="00B920BD">
          <w:pPr>
            <w:pStyle w:val="TOC4"/>
            <w:tabs>
              <w:tab w:val="right" w:leader="dot" w:pos="8486"/>
            </w:tabs>
            <w:rPr>
              <w:rFonts w:asciiTheme="minorHAnsi" w:eastAsiaTheme="minorEastAsia" w:hAnsiTheme="minorHAnsi" w:cstheme="minorBidi"/>
              <w:noProof/>
              <w:sz w:val="22"/>
              <w:szCs w:val="22"/>
            </w:rPr>
          </w:pPr>
          <w:hyperlink w:anchor="_Toc491246048" w:history="1">
            <w:r w:rsidR="00715932" w:rsidRPr="00E47A4B">
              <w:rPr>
                <w:rStyle w:val="Hyperlink"/>
                <w:rFonts w:cs="Times New Roman"/>
                <w:noProof/>
              </w:rPr>
              <w:t>4.2.3. Analyses of B</w:t>
            </w:r>
            <w:r w:rsidR="00715932" w:rsidRPr="00E47A4B">
              <w:rPr>
                <w:rStyle w:val="Hyperlink"/>
                <w:rFonts w:cs="Times New Roman"/>
                <w:noProof/>
                <w:vertAlign w:val="subscript"/>
              </w:rPr>
              <w:t>2</w:t>
            </w:r>
            <w:r w:rsidR="00715932" w:rsidRPr="00E47A4B">
              <w:rPr>
                <w:rStyle w:val="Hyperlink"/>
                <w:rFonts w:cs="Times New Roman"/>
                <w:noProof/>
              </w:rPr>
              <w:t>O</w:t>
            </w:r>
            <w:r w:rsidR="00715932" w:rsidRPr="00E47A4B">
              <w:rPr>
                <w:rStyle w:val="Hyperlink"/>
                <w:rFonts w:cs="Times New Roman"/>
                <w:noProof/>
                <w:vertAlign w:val="subscript"/>
              </w:rPr>
              <w:t>3</w:t>
            </w:r>
            <w:r w:rsidR="00715932" w:rsidRPr="00E47A4B">
              <w:rPr>
                <w:rStyle w:val="Hyperlink"/>
                <w:rFonts w:cs="Times New Roman"/>
                <w:noProof/>
              </w:rPr>
              <w:t xml:space="preserve"> and H</w:t>
            </w:r>
            <w:r w:rsidR="00715932" w:rsidRPr="00E47A4B">
              <w:rPr>
                <w:rStyle w:val="Hyperlink"/>
                <w:rFonts w:cs="Times New Roman"/>
                <w:noProof/>
                <w:vertAlign w:val="subscript"/>
              </w:rPr>
              <w:t>2</w:t>
            </w:r>
            <w:r w:rsidR="00715932" w:rsidRPr="00E47A4B">
              <w:rPr>
                <w:rStyle w:val="Hyperlink"/>
                <w:rFonts w:cs="Times New Roman"/>
                <w:noProof/>
              </w:rPr>
              <w:t>O</w:t>
            </w:r>
            <w:r w:rsidR="00715932">
              <w:rPr>
                <w:noProof/>
                <w:webHidden/>
              </w:rPr>
              <w:tab/>
            </w:r>
            <w:r w:rsidR="00715932">
              <w:rPr>
                <w:noProof/>
                <w:webHidden/>
              </w:rPr>
              <w:fldChar w:fldCharType="begin"/>
            </w:r>
            <w:r w:rsidR="00715932">
              <w:rPr>
                <w:noProof/>
                <w:webHidden/>
              </w:rPr>
              <w:instrText xml:space="preserve"> PAGEREF _Toc491246048 \h </w:instrText>
            </w:r>
            <w:r w:rsidR="00715932">
              <w:rPr>
                <w:noProof/>
                <w:webHidden/>
              </w:rPr>
            </w:r>
            <w:r w:rsidR="00715932">
              <w:rPr>
                <w:noProof/>
                <w:webHidden/>
              </w:rPr>
              <w:fldChar w:fldCharType="separate"/>
            </w:r>
            <w:r w:rsidR="000C5FC3">
              <w:rPr>
                <w:noProof/>
                <w:webHidden/>
              </w:rPr>
              <w:t>98</w:t>
            </w:r>
            <w:r w:rsidR="00715932">
              <w:rPr>
                <w:noProof/>
                <w:webHidden/>
              </w:rPr>
              <w:fldChar w:fldCharType="end"/>
            </w:r>
          </w:hyperlink>
        </w:p>
        <w:p w:rsidR="00715932" w:rsidRDefault="00B920BD">
          <w:pPr>
            <w:pStyle w:val="TOC4"/>
            <w:tabs>
              <w:tab w:val="right" w:leader="dot" w:pos="8486"/>
            </w:tabs>
            <w:rPr>
              <w:rFonts w:asciiTheme="minorHAnsi" w:eastAsiaTheme="minorEastAsia" w:hAnsiTheme="minorHAnsi" w:cstheme="minorBidi"/>
              <w:noProof/>
              <w:sz w:val="22"/>
              <w:szCs w:val="22"/>
            </w:rPr>
          </w:pPr>
          <w:hyperlink w:anchor="_Toc491246049" w:history="1">
            <w:r w:rsidR="00715932" w:rsidRPr="00E47A4B">
              <w:rPr>
                <w:rStyle w:val="Hyperlink"/>
                <w:rFonts w:cs="Times New Roman"/>
                <w:noProof/>
              </w:rPr>
              <w:t>4.2.4. Concentrations of B</w:t>
            </w:r>
            <w:r w:rsidR="00715932" w:rsidRPr="00E47A4B">
              <w:rPr>
                <w:rStyle w:val="Hyperlink"/>
                <w:rFonts w:cs="Times New Roman"/>
                <w:noProof/>
                <w:vertAlign w:val="subscript"/>
              </w:rPr>
              <w:t>2</w:t>
            </w:r>
            <w:r w:rsidR="00715932" w:rsidRPr="00E47A4B">
              <w:rPr>
                <w:rStyle w:val="Hyperlink"/>
                <w:rFonts w:cs="Times New Roman"/>
                <w:noProof/>
              </w:rPr>
              <w:t>O</w:t>
            </w:r>
            <w:r w:rsidR="00715932" w:rsidRPr="00E47A4B">
              <w:rPr>
                <w:rStyle w:val="Hyperlink"/>
                <w:rFonts w:cs="Times New Roman"/>
                <w:noProof/>
                <w:vertAlign w:val="subscript"/>
              </w:rPr>
              <w:t>3</w:t>
            </w:r>
            <w:r w:rsidR="00715932" w:rsidRPr="00E47A4B">
              <w:rPr>
                <w:rStyle w:val="Hyperlink"/>
                <w:rFonts w:cs="Times New Roman"/>
                <w:noProof/>
              </w:rPr>
              <w:t xml:space="preserve"> in melt and aqueous solution</w:t>
            </w:r>
            <w:r w:rsidR="00715932">
              <w:rPr>
                <w:noProof/>
                <w:webHidden/>
              </w:rPr>
              <w:tab/>
            </w:r>
            <w:r w:rsidR="00715932">
              <w:rPr>
                <w:noProof/>
                <w:webHidden/>
              </w:rPr>
              <w:fldChar w:fldCharType="begin"/>
            </w:r>
            <w:r w:rsidR="00715932">
              <w:rPr>
                <w:noProof/>
                <w:webHidden/>
              </w:rPr>
              <w:instrText xml:space="preserve"> PAGEREF _Toc491246049 \h </w:instrText>
            </w:r>
            <w:r w:rsidR="00715932">
              <w:rPr>
                <w:noProof/>
                <w:webHidden/>
              </w:rPr>
            </w:r>
            <w:r w:rsidR="00715932">
              <w:rPr>
                <w:noProof/>
                <w:webHidden/>
              </w:rPr>
              <w:fldChar w:fldCharType="separate"/>
            </w:r>
            <w:r w:rsidR="000C5FC3">
              <w:rPr>
                <w:noProof/>
                <w:webHidden/>
              </w:rPr>
              <w:t>99</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50" w:history="1">
            <w:r w:rsidR="00715932" w:rsidRPr="00E47A4B">
              <w:rPr>
                <w:rStyle w:val="Hyperlink"/>
                <w:rFonts w:cs="Times New Roman"/>
                <w:noProof/>
              </w:rPr>
              <w:t>4.3. Isotopic fractionation factors</w:t>
            </w:r>
            <w:r w:rsidR="00715932">
              <w:rPr>
                <w:noProof/>
                <w:webHidden/>
              </w:rPr>
              <w:tab/>
            </w:r>
            <w:r w:rsidR="00715932">
              <w:rPr>
                <w:noProof/>
                <w:webHidden/>
              </w:rPr>
              <w:fldChar w:fldCharType="begin"/>
            </w:r>
            <w:r w:rsidR="00715932">
              <w:rPr>
                <w:noProof/>
                <w:webHidden/>
              </w:rPr>
              <w:instrText xml:space="preserve"> PAGEREF _Toc491246050 \h </w:instrText>
            </w:r>
            <w:r w:rsidR="00715932">
              <w:rPr>
                <w:noProof/>
                <w:webHidden/>
              </w:rPr>
            </w:r>
            <w:r w:rsidR="00715932">
              <w:rPr>
                <w:noProof/>
                <w:webHidden/>
              </w:rPr>
              <w:fldChar w:fldCharType="separate"/>
            </w:r>
            <w:r w:rsidR="000C5FC3">
              <w:rPr>
                <w:noProof/>
                <w:webHidden/>
              </w:rPr>
              <w:t>99</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51" w:history="1">
            <w:r w:rsidR="00715932" w:rsidRPr="00E47A4B">
              <w:rPr>
                <w:rStyle w:val="Hyperlink"/>
                <w:rFonts w:cs="Times New Roman"/>
                <w:noProof/>
              </w:rPr>
              <w:t>4.4. Assessment of B coordination in hydrous, granitic melt based on Δ</w:t>
            </w:r>
            <w:r w:rsidR="00715932" w:rsidRPr="00E47A4B">
              <w:rPr>
                <w:rStyle w:val="Hyperlink"/>
                <w:rFonts w:cs="Times New Roman"/>
                <w:noProof/>
                <w:vertAlign w:val="superscript"/>
              </w:rPr>
              <w:t>11</w:t>
            </w:r>
            <w:r w:rsidR="00715932" w:rsidRPr="00E47A4B">
              <w:rPr>
                <w:rStyle w:val="Hyperlink"/>
                <w:rFonts w:cs="Times New Roman"/>
                <w:noProof/>
              </w:rPr>
              <w:t>B</w:t>
            </w:r>
            <w:r w:rsidR="00715932" w:rsidRPr="00E47A4B">
              <w:rPr>
                <w:rStyle w:val="Hyperlink"/>
                <w:rFonts w:cs="Times New Roman"/>
                <w:noProof/>
                <w:vertAlign w:val="subscript"/>
              </w:rPr>
              <w:t xml:space="preserve">melt-aq.sln. </w:t>
            </w:r>
            <w:r w:rsidR="00715932" w:rsidRPr="00E47A4B">
              <w:rPr>
                <w:rStyle w:val="Hyperlink"/>
                <w:rFonts w:cs="Times New Roman"/>
                <w:noProof/>
              </w:rPr>
              <w:t>data</w:t>
            </w:r>
            <w:r w:rsidR="00715932">
              <w:rPr>
                <w:noProof/>
                <w:webHidden/>
              </w:rPr>
              <w:tab/>
            </w:r>
            <w:r w:rsidR="00715932">
              <w:rPr>
                <w:noProof/>
                <w:webHidden/>
              </w:rPr>
              <w:fldChar w:fldCharType="begin"/>
            </w:r>
            <w:r w:rsidR="00715932">
              <w:rPr>
                <w:noProof/>
                <w:webHidden/>
              </w:rPr>
              <w:instrText xml:space="preserve"> PAGEREF _Toc491246051 \h </w:instrText>
            </w:r>
            <w:r w:rsidR="00715932">
              <w:rPr>
                <w:noProof/>
                <w:webHidden/>
              </w:rPr>
            </w:r>
            <w:r w:rsidR="00715932">
              <w:rPr>
                <w:noProof/>
                <w:webHidden/>
              </w:rPr>
              <w:fldChar w:fldCharType="separate"/>
            </w:r>
            <w:r w:rsidR="000C5FC3">
              <w:rPr>
                <w:noProof/>
                <w:webHidden/>
              </w:rPr>
              <w:t>101</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52" w:history="1">
            <w:r w:rsidR="00715932" w:rsidRPr="00E47A4B">
              <w:rPr>
                <w:rStyle w:val="Hyperlink"/>
                <w:rFonts w:cs="Times New Roman"/>
                <w:noProof/>
              </w:rPr>
              <w:t>4.5. Applications to geologic systems</w:t>
            </w:r>
            <w:r w:rsidR="00715932">
              <w:rPr>
                <w:noProof/>
                <w:webHidden/>
              </w:rPr>
              <w:tab/>
            </w:r>
            <w:r w:rsidR="00715932">
              <w:rPr>
                <w:noProof/>
                <w:webHidden/>
              </w:rPr>
              <w:fldChar w:fldCharType="begin"/>
            </w:r>
            <w:r w:rsidR="00715932">
              <w:rPr>
                <w:noProof/>
                <w:webHidden/>
              </w:rPr>
              <w:instrText xml:space="preserve"> PAGEREF _Toc491246052 \h </w:instrText>
            </w:r>
            <w:r w:rsidR="00715932">
              <w:rPr>
                <w:noProof/>
                <w:webHidden/>
              </w:rPr>
            </w:r>
            <w:r w:rsidR="00715932">
              <w:rPr>
                <w:noProof/>
                <w:webHidden/>
              </w:rPr>
              <w:fldChar w:fldCharType="separate"/>
            </w:r>
            <w:r w:rsidR="000C5FC3">
              <w:rPr>
                <w:noProof/>
                <w:webHidden/>
              </w:rPr>
              <w:t>102</w:t>
            </w:r>
            <w:r w:rsidR="00715932">
              <w:rPr>
                <w:noProof/>
                <w:webHidden/>
              </w:rPr>
              <w:fldChar w:fldCharType="end"/>
            </w:r>
          </w:hyperlink>
        </w:p>
        <w:p w:rsidR="00715932" w:rsidRDefault="00B920BD">
          <w:pPr>
            <w:pStyle w:val="TOC4"/>
            <w:tabs>
              <w:tab w:val="right" w:leader="dot" w:pos="8486"/>
            </w:tabs>
            <w:rPr>
              <w:rFonts w:asciiTheme="minorHAnsi" w:eastAsiaTheme="minorEastAsia" w:hAnsiTheme="minorHAnsi" w:cstheme="minorBidi"/>
              <w:noProof/>
              <w:sz w:val="22"/>
              <w:szCs w:val="22"/>
            </w:rPr>
          </w:pPr>
          <w:hyperlink w:anchor="_Toc491246053" w:history="1">
            <w:r w:rsidR="00715932" w:rsidRPr="00E47A4B">
              <w:rPr>
                <w:rStyle w:val="Hyperlink"/>
                <w:rFonts w:cs="Times New Roman"/>
                <w:noProof/>
              </w:rPr>
              <w:t>4.5.1. Degassing of granitic melt and crystallization of tourmaline from granitic melt and aqueous solution</w:t>
            </w:r>
            <w:r w:rsidR="00715932">
              <w:rPr>
                <w:noProof/>
                <w:webHidden/>
              </w:rPr>
              <w:tab/>
            </w:r>
            <w:r w:rsidR="00715932">
              <w:rPr>
                <w:noProof/>
                <w:webHidden/>
              </w:rPr>
              <w:fldChar w:fldCharType="begin"/>
            </w:r>
            <w:r w:rsidR="00715932">
              <w:rPr>
                <w:noProof/>
                <w:webHidden/>
              </w:rPr>
              <w:instrText xml:space="preserve"> PAGEREF _Toc491246053 \h </w:instrText>
            </w:r>
            <w:r w:rsidR="00715932">
              <w:rPr>
                <w:noProof/>
                <w:webHidden/>
              </w:rPr>
            </w:r>
            <w:r w:rsidR="00715932">
              <w:rPr>
                <w:noProof/>
                <w:webHidden/>
              </w:rPr>
              <w:fldChar w:fldCharType="separate"/>
            </w:r>
            <w:r w:rsidR="000C5FC3">
              <w:rPr>
                <w:noProof/>
                <w:webHidden/>
              </w:rPr>
              <w:t>102</w:t>
            </w:r>
            <w:r w:rsidR="00715932">
              <w:rPr>
                <w:noProof/>
                <w:webHidden/>
              </w:rPr>
              <w:fldChar w:fldCharType="end"/>
            </w:r>
          </w:hyperlink>
        </w:p>
        <w:p w:rsidR="00715932" w:rsidRDefault="00B920BD">
          <w:pPr>
            <w:pStyle w:val="TOC2"/>
            <w:tabs>
              <w:tab w:val="right" w:leader="dot" w:pos="8486"/>
            </w:tabs>
            <w:rPr>
              <w:rFonts w:asciiTheme="minorHAnsi" w:eastAsiaTheme="minorEastAsia" w:hAnsiTheme="minorHAnsi" w:cstheme="minorBidi"/>
              <w:noProof/>
              <w:sz w:val="22"/>
              <w:szCs w:val="22"/>
            </w:rPr>
          </w:pPr>
          <w:hyperlink w:anchor="_Toc491246054" w:history="1">
            <w:r w:rsidR="00715932" w:rsidRPr="00E47A4B">
              <w:rPr>
                <w:rStyle w:val="Hyperlink"/>
                <w:rFonts w:cs="Times New Roman"/>
                <w:noProof/>
              </w:rPr>
              <w:t>5. Conclusions</w:t>
            </w:r>
            <w:r w:rsidR="00715932">
              <w:rPr>
                <w:noProof/>
                <w:webHidden/>
              </w:rPr>
              <w:tab/>
            </w:r>
            <w:r w:rsidR="00715932">
              <w:rPr>
                <w:noProof/>
                <w:webHidden/>
              </w:rPr>
              <w:fldChar w:fldCharType="begin"/>
            </w:r>
            <w:r w:rsidR="00715932">
              <w:rPr>
                <w:noProof/>
                <w:webHidden/>
              </w:rPr>
              <w:instrText xml:space="preserve"> PAGEREF _Toc491246054 \h </w:instrText>
            </w:r>
            <w:r w:rsidR="00715932">
              <w:rPr>
                <w:noProof/>
                <w:webHidden/>
              </w:rPr>
            </w:r>
            <w:r w:rsidR="00715932">
              <w:rPr>
                <w:noProof/>
                <w:webHidden/>
              </w:rPr>
              <w:fldChar w:fldCharType="separate"/>
            </w:r>
            <w:r w:rsidR="000C5FC3">
              <w:rPr>
                <w:noProof/>
                <w:webHidden/>
              </w:rPr>
              <w:t>104</w:t>
            </w:r>
            <w:r w:rsidR="00715932">
              <w:rPr>
                <w:noProof/>
                <w:webHidden/>
              </w:rPr>
              <w:fldChar w:fldCharType="end"/>
            </w:r>
          </w:hyperlink>
        </w:p>
        <w:p w:rsidR="00715932" w:rsidRDefault="00B920BD">
          <w:pPr>
            <w:pStyle w:val="TOC1"/>
            <w:rPr>
              <w:rFonts w:asciiTheme="minorHAnsi" w:eastAsiaTheme="minorEastAsia" w:hAnsiTheme="minorHAnsi" w:cstheme="minorBidi"/>
              <w:noProof/>
              <w:sz w:val="22"/>
              <w:szCs w:val="22"/>
            </w:rPr>
          </w:pPr>
          <w:hyperlink w:anchor="_Toc491246055" w:history="1">
            <w:r w:rsidR="00715932" w:rsidRPr="00E47A4B">
              <w:rPr>
                <w:rStyle w:val="Hyperlink"/>
                <w:rFonts w:cs="Times New Roman"/>
                <w:noProof/>
              </w:rPr>
              <w:t>Chapter 5 The relationship of Mn enrichment and spessartine saturation in granite-pegmatite systems</w:t>
            </w:r>
            <w:r w:rsidR="00715932">
              <w:rPr>
                <w:noProof/>
                <w:webHidden/>
              </w:rPr>
              <w:tab/>
            </w:r>
            <w:r w:rsidR="00715932">
              <w:rPr>
                <w:noProof/>
                <w:webHidden/>
              </w:rPr>
              <w:fldChar w:fldCharType="begin"/>
            </w:r>
            <w:r w:rsidR="00715932">
              <w:rPr>
                <w:noProof/>
                <w:webHidden/>
              </w:rPr>
              <w:instrText xml:space="preserve"> PAGEREF _Toc491246055 \h </w:instrText>
            </w:r>
            <w:r w:rsidR="00715932">
              <w:rPr>
                <w:noProof/>
                <w:webHidden/>
              </w:rPr>
            </w:r>
            <w:r w:rsidR="00715932">
              <w:rPr>
                <w:noProof/>
                <w:webHidden/>
              </w:rPr>
              <w:fldChar w:fldCharType="separate"/>
            </w:r>
            <w:r w:rsidR="000C5FC3">
              <w:rPr>
                <w:noProof/>
                <w:webHidden/>
              </w:rPr>
              <w:t>114</w:t>
            </w:r>
            <w:r w:rsidR="00715932">
              <w:rPr>
                <w:noProof/>
                <w:webHidden/>
              </w:rPr>
              <w:fldChar w:fldCharType="end"/>
            </w:r>
          </w:hyperlink>
        </w:p>
        <w:p w:rsidR="00715932" w:rsidRDefault="00B920BD">
          <w:pPr>
            <w:pStyle w:val="TOC2"/>
            <w:tabs>
              <w:tab w:val="right" w:leader="dot" w:pos="8486"/>
            </w:tabs>
            <w:rPr>
              <w:rFonts w:asciiTheme="minorHAnsi" w:eastAsiaTheme="minorEastAsia" w:hAnsiTheme="minorHAnsi" w:cstheme="minorBidi"/>
              <w:noProof/>
              <w:sz w:val="22"/>
              <w:szCs w:val="22"/>
            </w:rPr>
          </w:pPr>
          <w:hyperlink w:anchor="_Toc491246056" w:history="1">
            <w:r w:rsidR="00715932" w:rsidRPr="00E47A4B">
              <w:rPr>
                <w:rStyle w:val="Hyperlink"/>
                <w:rFonts w:cs="Times New Roman"/>
                <w:noProof/>
              </w:rPr>
              <w:t>1. Introduction</w:t>
            </w:r>
            <w:r w:rsidR="00715932">
              <w:rPr>
                <w:noProof/>
                <w:webHidden/>
              </w:rPr>
              <w:tab/>
            </w:r>
            <w:r w:rsidR="00715932">
              <w:rPr>
                <w:noProof/>
                <w:webHidden/>
              </w:rPr>
              <w:fldChar w:fldCharType="begin"/>
            </w:r>
            <w:r w:rsidR="00715932">
              <w:rPr>
                <w:noProof/>
                <w:webHidden/>
              </w:rPr>
              <w:instrText xml:space="preserve"> PAGEREF _Toc491246056 \h </w:instrText>
            </w:r>
            <w:r w:rsidR="00715932">
              <w:rPr>
                <w:noProof/>
                <w:webHidden/>
              </w:rPr>
            </w:r>
            <w:r w:rsidR="00715932">
              <w:rPr>
                <w:noProof/>
                <w:webHidden/>
              </w:rPr>
              <w:fldChar w:fldCharType="separate"/>
            </w:r>
            <w:r w:rsidR="000C5FC3">
              <w:rPr>
                <w:noProof/>
                <w:webHidden/>
              </w:rPr>
              <w:t>114</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57" w:history="1">
            <w:r w:rsidR="00715932" w:rsidRPr="00E47A4B">
              <w:rPr>
                <w:rStyle w:val="Hyperlink"/>
                <w:rFonts w:cs="Times New Roman"/>
                <w:noProof/>
              </w:rPr>
              <w:t>1.1. Prior Experimentation</w:t>
            </w:r>
            <w:r w:rsidR="00715932">
              <w:rPr>
                <w:noProof/>
                <w:webHidden/>
              </w:rPr>
              <w:tab/>
            </w:r>
            <w:r w:rsidR="00715932">
              <w:rPr>
                <w:noProof/>
                <w:webHidden/>
              </w:rPr>
              <w:fldChar w:fldCharType="begin"/>
            </w:r>
            <w:r w:rsidR="00715932">
              <w:rPr>
                <w:noProof/>
                <w:webHidden/>
              </w:rPr>
              <w:instrText xml:space="preserve"> PAGEREF _Toc491246057 \h </w:instrText>
            </w:r>
            <w:r w:rsidR="00715932">
              <w:rPr>
                <w:noProof/>
                <w:webHidden/>
              </w:rPr>
            </w:r>
            <w:r w:rsidR="00715932">
              <w:rPr>
                <w:noProof/>
                <w:webHidden/>
              </w:rPr>
              <w:fldChar w:fldCharType="separate"/>
            </w:r>
            <w:r w:rsidR="000C5FC3">
              <w:rPr>
                <w:noProof/>
                <w:webHidden/>
              </w:rPr>
              <w:t>115</w:t>
            </w:r>
            <w:r w:rsidR="00715932">
              <w:rPr>
                <w:noProof/>
                <w:webHidden/>
              </w:rPr>
              <w:fldChar w:fldCharType="end"/>
            </w:r>
          </w:hyperlink>
        </w:p>
        <w:p w:rsidR="00715932" w:rsidRDefault="00B920BD">
          <w:pPr>
            <w:pStyle w:val="TOC2"/>
            <w:tabs>
              <w:tab w:val="right" w:leader="dot" w:pos="8486"/>
            </w:tabs>
            <w:rPr>
              <w:rFonts w:asciiTheme="minorHAnsi" w:eastAsiaTheme="minorEastAsia" w:hAnsiTheme="minorHAnsi" w:cstheme="minorBidi"/>
              <w:noProof/>
              <w:sz w:val="22"/>
              <w:szCs w:val="22"/>
            </w:rPr>
          </w:pPr>
          <w:hyperlink w:anchor="_Toc491246058" w:history="1">
            <w:r w:rsidR="00715932" w:rsidRPr="00E47A4B">
              <w:rPr>
                <w:rStyle w:val="Hyperlink"/>
                <w:rFonts w:cs="Times New Roman"/>
                <w:noProof/>
              </w:rPr>
              <w:t>2. Methods</w:t>
            </w:r>
            <w:r w:rsidR="00715932">
              <w:rPr>
                <w:noProof/>
                <w:webHidden/>
              </w:rPr>
              <w:tab/>
            </w:r>
            <w:r w:rsidR="00715932">
              <w:rPr>
                <w:noProof/>
                <w:webHidden/>
              </w:rPr>
              <w:fldChar w:fldCharType="begin"/>
            </w:r>
            <w:r w:rsidR="00715932">
              <w:rPr>
                <w:noProof/>
                <w:webHidden/>
              </w:rPr>
              <w:instrText xml:space="preserve"> PAGEREF _Toc491246058 \h </w:instrText>
            </w:r>
            <w:r w:rsidR="00715932">
              <w:rPr>
                <w:noProof/>
                <w:webHidden/>
              </w:rPr>
            </w:r>
            <w:r w:rsidR="00715932">
              <w:rPr>
                <w:noProof/>
                <w:webHidden/>
              </w:rPr>
              <w:fldChar w:fldCharType="separate"/>
            </w:r>
            <w:r w:rsidR="000C5FC3">
              <w:rPr>
                <w:noProof/>
                <w:webHidden/>
              </w:rPr>
              <w:t>117</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59" w:history="1">
            <w:r w:rsidR="00715932" w:rsidRPr="00E47A4B">
              <w:rPr>
                <w:rStyle w:val="Hyperlink"/>
                <w:rFonts w:cs="Times New Roman"/>
                <w:noProof/>
              </w:rPr>
              <w:t>2.1. Experimental Design</w:t>
            </w:r>
            <w:r w:rsidR="00715932">
              <w:rPr>
                <w:noProof/>
                <w:webHidden/>
              </w:rPr>
              <w:tab/>
            </w:r>
            <w:r w:rsidR="00715932">
              <w:rPr>
                <w:noProof/>
                <w:webHidden/>
              </w:rPr>
              <w:fldChar w:fldCharType="begin"/>
            </w:r>
            <w:r w:rsidR="00715932">
              <w:rPr>
                <w:noProof/>
                <w:webHidden/>
              </w:rPr>
              <w:instrText xml:space="preserve"> PAGEREF _Toc491246059 \h </w:instrText>
            </w:r>
            <w:r w:rsidR="00715932">
              <w:rPr>
                <w:noProof/>
                <w:webHidden/>
              </w:rPr>
            </w:r>
            <w:r w:rsidR="00715932">
              <w:rPr>
                <w:noProof/>
                <w:webHidden/>
              </w:rPr>
              <w:fldChar w:fldCharType="separate"/>
            </w:r>
            <w:r w:rsidR="000C5FC3">
              <w:rPr>
                <w:noProof/>
                <w:webHidden/>
              </w:rPr>
              <w:t>117</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60" w:history="1">
            <w:r w:rsidR="00715932" w:rsidRPr="00E47A4B">
              <w:rPr>
                <w:rStyle w:val="Hyperlink"/>
                <w:rFonts w:cs="Times New Roman"/>
                <w:noProof/>
              </w:rPr>
              <w:t>2.2. Preparation of Starting Materials for Experiments</w:t>
            </w:r>
            <w:r w:rsidR="00715932">
              <w:rPr>
                <w:noProof/>
                <w:webHidden/>
              </w:rPr>
              <w:tab/>
            </w:r>
            <w:r w:rsidR="00715932">
              <w:rPr>
                <w:noProof/>
                <w:webHidden/>
              </w:rPr>
              <w:fldChar w:fldCharType="begin"/>
            </w:r>
            <w:r w:rsidR="00715932">
              <w:rPr>
                <w:noProof/>
                <w:webHidden/>
              </w:rPr>
              <w:instrText xml:space="preserve"> PAGEREF _Toc491246060 \h </w:instrText>
            </w:r>
            <w:r w:rsidR="00715932">
              <w:rPr>
                <w:noProof/>
                <w:webHidden/>
              </w:rPr>
            </w:r>
            <w:r w:rsidR="00715932">
              <w:rPr>
                <w:noProof/>
                <w:webHidden/>
              </w:rPr>
              <w:fldChar w:fldCharType="separate"/>
            </w:r>
            <w:r w:rsidR="000C5FC3">
              <w:rPr>
                <w:noProof/>
                <w:webHidden/>
              </w:rPr>
              <w:t>118</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61" w:history="1">
            <w:r w:rsidR="00715932" w:rsidRPr="00E47A4B">
              <w:rPr>
                <w:rStyle w:val="Hyperlink"/>
                <w:rFonts w:cs="Times New Roman"/>
                <w:noProof/>
              </w:rPr>
              <w:t>2.3. Experimental Procedure</w:t>
            </w:r>
            <w:r w:rsidR="00715932">
              <w:rPr>
                <w:noProof/>
                <w:webHidden/>
              </w:rPr>
              <w:tab/>
            </w:r>
            <w:r w:rsidR="00715932">
              <w:rPr>
                <w:noProof/>
                <w:webHidden/>
              </w:rPr>
              <w:fldChar w:fldCharType="begin"/>
            </w:r>
            <w:r w:rsidR="00715932">
              <w:rPr>
                <w:noProof/>
                <w:webHidden/>
              </w:rPr>
              <w:instrText xml:space="preserve"> PAGEREF _Toc491246061 \h </w:instrText>
            </w:r>
            <w:r w:rsidR="00715932">
              <w:rPr>
                <w:noProof/>
                <w:webHidden/>
              </w:rPr>
            </w:r>
            <w:r w:rsidR="00715932">
              <w:rPr>
                <w:noProof/>
                <w:webHidden/>
              </w:rPr>
              <w:fldChar w:fldCharType="separate"/>
            </w:r>
            <w:r w:rsidR="000C5FC3">
              <w:rPr>
                <w:noProof/>
                <w:webHidden/>
              </w:rPr>
              <w:t>119</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62" w:history="1">
            <w:r w:rsidR="00715932" w:rsidRPr="00E47A4B">
              <w:rPr>
                <w:rStyle w:val="Hyperlink"/>
                <w:rFonts w:cs="Times New Roman"/>
                <w:noProof/>
              </w:rPr>
              <w:t>2.4. Fugacity of Oxygen in Experiments</w:t>
            </w:r>
            <w:r w:rsidR="00715932">
              <w:rPr>
                <w:noProof/>
                <w:webHidden/>
              </w:rPr>
              <w:tab/>
            </w:r>
            <w:r w:rsidR="00715932">
              <w:rPr>
                <w:noProof/>
                <w:webHidden/>
              </w:rPr>
              <w:fldChar w:fldCharType="begin"/>
            </w:r>
            <w:r w:rsidR="00715932">
              <w:rPr>
                <w:noProof/>
                <w:webHidden/>
              </w:rPr>
              <w:instrText xml:space="preserve"> PAGEREF _Toc491246062 \h </w:instrText>
            </w:r>
            <w:r w:rsidR="00715932">
              <w:rPr>
                <w:noProof/>
                <w:webHidden/>
              </w:rPr>
            </w:r>
            <w:r w:rsidR="00715932">
              <w:rPr>
                <w:noProof/>
                <w:webHidden/>
              </w:rPr>
              <w:fldChar w:fldCharType="separate"/>
            </w:r>
            <w:r w:rsidR="000C5FC3">
              <w:rPr>
                <w:noProof/>
                <w:webHidden/>
              </w:rPr>
              <w:t>120</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63" w:history="1">
            <w:r w:rsidR="00715932" w:rsidRPr="00E47A4B">
              <w:rPr>
                <w:rStyle w:val="Hyperlink"/>
                <w:rFonts w:cs="Times New Roman"/>
                <w:noProof/>
              </w:rPr>
              <w:t>2.5. Preparation of Experimental Products for Analysis</w:t>
            </w:r>
            <w:r w:rsidR="00715932">
              <w:rPr>
                <w:noProof/>
                <w:webHidden/>
              </w:rPr>
              <w:tab/>
            </w:r>
            <w:r w:rsidR="00715932">
              <w:rPr>
                <w:noProof/>
                <w:webHidden/>
              </w:rPr>
              <w:fldChar w:fldCharType="begin"/>
            </w:r>
            <w:r w:rsidR="00715932">
              <w:rPr>
                <w:noProof/>
                <w:webHidden/>
              </w:rPr>
              <w:instrText xml:space="preserve"> PAGEREF _Toc491246063 \h </w:instrText>
            </w:r>
            <w:r w:rsidR="00715932">
              <w:rPr>
                <w:noProof/>
                <w:webHidden/>
              </w:rPr>
            </w:r>
            <w:r w:rsidR="00715932">
              <w:rPr>
                <w:noProof/>
                <w:webHidden/>
              </w:rPr>
              <w:fldChar w:fldCharType="separate"/>
            </w:r>
            <w:r w:rsidR="000C5FC3">
              <w:rPr>
                <w:noProof/>
                <w:webHidden/>
              </w:rPr>
              <w:t>120</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64" w:history="1">
            <w:r w:rsidR="00715932" w:rsidRPr="00E47A4B">
              <w:rPr>
                <w:rStyle w:val="Hyperlink"/>
                <w:rFonts w:cs="Times New Roman"/>
                <w:noProof/>
              </w:rPr>
              <w:t>2.6. Electron Beam Analytical Methodology</w:t>
            </w:r>
            <w:r w:rsidR="00715932">
              <w:rPr>
                <w:noProof/>
                <w:webHidden/>
              </w:rPr>
              <w:tab/>
            </w:r>
            <w:r w:rsidR="00715932">
              <w:rPr>
                <w:noProof/>
                <w:webHidden/>
              </w:rPr>
              <w:fldChar w:fldCharType="begin"/>
            </w:r>
            <w:r w:rsidR="00715932">
              <w:rPr>
                <w:noProof/>
                <w:webHidden/>
              </w:rPr>
              <w:instrText xml:space="preserve"> PAGEREF _Toc491246064 \h </w:instrText>
            </w:r>
            <w:r w:rsidR="00715932">
              <w:rPr>
                <w:noProof/>
                <w:webHidden/>
              </w:rPr>
            </w:r>
            <w:r w:rsidR="00715932">
              <w:rPr>
                <w:noProof/>
                <w:webHidden/>
              </w:rPr>
              <w:fldChar w:fldCharType="separate"/>
            </w:r>
            <w:r w:rsidR="000C5FC3">
              <w:rPr>
                <w:noProof/>
                <w:webHidden/>
              </w:rPr>
              <w:t>121</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65" w:history="1">
            <w:r w:rsidR="00715932" w:rsidRPr="00E47A4B">
              <w:rPr>
                <w:rStyle w:val="Hyperlink"/>
                <w:rFonts w:cs="Times New Roman"/>
                <w:noProof/>
              </w:rPr>
              <w:t>2.7. Mineral Formula Calculations</w:t>
            </w:r>
            <w:r w:rsidR="00715932">
              <w:rPr>
                <w:noProof/>
                <w:webHidden/>
              </w:rPr>
              <w:tab/>
            </w:r>
            <w:r w:rsidR="00715932">
              <w:rPr>
                <w:noProof/>
                <w:webHidden/>
              </w:rPr>
              <w:fldChar w:fldCharType="begin"/>
            </w:r>
            <w:r w:rsidR="00715932">
              <w:rPr>
                <w:noProof/>
                <w:webHidden/>
              </w:rPr>
              <w:instrText xml:space="preserve"> PAGEREF _Toc491246065 \h </w:instrText>
            </w:r>
            <w:r w:rsidR="00715932">
              <w:rPr>
                <w:noProof/>
                <w:webHidden/>
              </w:rPr>
            </w:r>
            <w:r w:rsidR="00715932">
              <w:rPr>
                <w:noProof/>
                <w:webHidden/>
              </w:rPr>
              <w:fldChar w:fldCharType="separate"/>
            </w:r>
            <w:r w:rsidR="000C5FC3">
              <w:rPr>
                <w:noProof/>
                <w:webHidden/>
              </w:rPr>
              <w:t>122</w:t>
            </w:r>
            <w:r w:rsidR="00715932">
              <w:rPr>
                <w:noProof/>
                <w:webHidden/>
              </w:rPr>
              <w:fldChar w:fldCharType="end"/>
            </w:r>
          </w:hyperlink>
        </w:p>
        <w:p w:rsidR="00715932" w:rsidRDefault="00B920BD">
          <w:pPr>
            <w:pStyle w:val="TOC2"/>
            <w:tabs>
              <w:tab w:val="right" w:leader="dot" w:pos="8486"/>
            </w:tabs>
            <w:rPr>
              <w:rFonts w:asciiTheme="minorHAnsi" w:eastAsiaTheme="minorEastAsia" w:hAnsiTheme="minorHAnsi" w:cstheme="minorBidi"/>
              <w:noProof/>
              <w:sz w:val="22"/>
              <w:szCs w:val="22"/>
            </w:rPr>
          </w:pPr>
          <w:hyperlink w:anchor="_Toc491246066" w:history="1">
            <w:r w:rsidR="00715932" w:rsidRPr="00E47A4B">
              <w:rPr>
                <w:rStyle w:val="Hyperlink"/>
                <w:rFonts w:cs="Times New Roman"/>
                <w:noProof/>
              </w:rPr>
              <w:t>3. Results and Discussion of Results</w:t>
            </w:r>
            <w:r w:rsidR="00715932">
              <w:rPr>
                <w:noProof/>
                <w:webHidden/>
              </w:rPr>
              <w:tab/>
            </w:r>
            <w:r w:rsidR="00715932">
              <w:rPr>
                <w:noProof/>
                <w:webHidden/>
              </w:rPr>
              <w:fldChar w:fldCharType="begin"/>
            </w:r>
            <w:r w:rsidR="00715932">
              <w:rPr>
                <w:noProof/>
                <w:webHidden/>
              </w:rPr>
              <w:instrText xml:space="preserve"> PAGEREF _Toc491246066 \h </w:instrText>
            </w:r>
            <w:r w:rsidR="00715932">
              <w:rPr>
                <w:noProof/>
                <w:webHidden/>
              </w:rPr>
            </w:r>
            <w:r w:rsidR="00715932">
              <w:rPr>
                <w:noProof/>
                <w:webHidden/>
              </w:rPr>
              <w:fldChar w:fldCharType="separate"/>
            </w:r>
            <w:r w:rsidR="000C5FC3">
              <w:rPr>
                <w:noProof/>
                <w:webHidden/>
              </w:rPr>
              <w:t>122</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67" w:history="1">
            <w:r w:rsidR="00715932" w:rsidRPr="00E47A4B">
              <w:rPr>
                <w:rStyle w:val="Hyperlink"/>
                <w:rFonts w:cs="Times New Roman"/>
                <w:noProof/>
              </w:rPr>
              <w:t>3.1. Synthetic phases</w:t>
            </w:r>
            <w:r w:rsidR="00715932">
              <w:rPr>
                <w:noProof/>
                <w:webHidden/>
              </w:rPr>
              <w:tab/>
            </w:r>
            <w:r w:rsidR="00715932">
              <w:rPr>
                <w:noProof/>
                <w:webHidden/>
              </w:rPr>
              <w:fldChar w:fldCharType="begin"/>
            </w:r>
            <w:r w:rsidR="00715932">
              <w:rPr>
                <w:noProof/>
                <w:webHidden/>
              </w:rPr>
              <w:instrText xml:space="preserve"> PAGEREF _Toc491246067 \h </w:instrText>
            </w:r>
            <w:r w:rsidR="00715932">
              <w:rPr>
                <w:noProof/>
                <w:webHidden/>
              </w:rPr>
            </w:r>
            <w:r w:rsidR="00715932">
              <w:rPr>
                <w:noProof/>
                <w:webHidden/>
              </w:rPr>
              <w:fldChar w:fldCharType="separate"/>
            </w:r>
            <w:r w:rsidR="000C5FC3">
              <w:rPr>
                <w:noProof/>
                <w:webHidden/>
              </w:rPr>
              <w:t>122</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68" w:history="1">
            <w:r w:rsidR="00715932" w:rsidRPr="00E47A4B">
              <w:rPr>
                <w:rStyle w:val="Hyperlink"/>
                <w:rFonts w:cs="Times New Roman"/>
                <w:noProof/>
              </w:rPr>
              <w:t>3.1. Chemical Compositions of Garnet, Tourmaline, Cordierite, and Glass</w:t>
            </w:r>
            <w:r w:rsidR="00715932">
              <w:rPr>
                <w:noProof/>
                <w:webHidden/>
              </w:rPr>
              <w:tab/>
            </w:r>
            <w:r w:rsidR="00715932">
              <w:rPr>
                <w:noProof/>
                <w:webHidden/>
              </w:rPr>
              <w:fldChar w:fldCharType="begin"/>
            </w:r>
            <w:r w:rsidR="00715932">
              <w:rPr>
                <w:noProof/>
                <w:webHidden/>
              </w:rPr>
              <w:instrText xml:space="preserve"> PAGEREF _Toc491246068 \h </w:instrText>
            </w:r>
            <w:r w:rsidR="00715932">
              <w:rPr>
                <w:noProof/>
                <w:webHidden/>
              </w:rPr>
            </w:r>
            <w:r w:rsidR="00715932">
              <w:rPr>
                <w:noProof/>
                <w:webHidden/>
              </w:rPr>
              <w:fldChar w:fldCharType="separate"/>
            </w:r>
            <w:r w:rsidR="000C5FC3">
              <w:rPr>
                <w:noProof/>
                <w:webHidden/>
              </w:rPr>
              <w:t>123</w:t>
            </w:r>
            <w:r w:rsidR="00715932">
              <w:rPr>
                <w:noProof/>
                <w:webHidden/>
              </w:rPr>
              <w:fldChar w:fldCharType="end"/>
            </w:r>
          </w:hyperlink>
        </w:p>
        <w:p w:rsidR="00715932" w:rsidRDefault="00B920BD">
          <w:pPr>
            <w:pStyle w:val="TOC4"/>
            <w:tabs>
              <w:tab w:val="right" w:leader="dot" w:pos="8486"/>
            </w:tabs>
            <w:rPr>
              <w:rFonts w:asciiTheme="minorHAnsi" w:eastAsiaTheme="minorEastAsia" w:hAnsiTheme="minorHAnsi" w:cstheme="minorBidi"/>
              <w:noProof/>
              <w:sz w:val="22"/>
              <w:szCs w:val="22"/>
            </w:rPr>
          </w:pPr>
          <w:hyperlink w:anchor="_Toc491246069" w:history="1">
            <w:r w:rsidR="00715932" w:rsidRPr="00E47A4B">
              <w:rPr>
                <w:rStyle w:val="Hyperlink"/>
                <w:rFonts w:cs="Times New Roman"/>
                <w:noProof/>
              </w:rPr>
              <w:t>3.1.1. Garnet</w:t>
            </w:r>
            <w:r w:rsidR="00715932">
              <w:rPr>
                <w:noProof/>
                <w:webHidden/>
              </w:rPr>
              <w:tab/>
            </w:r>
            <w:r w:rsidR="00715932">
              <w:rPr>
                <w:noProof/>
                <w:webHidden/>
              </w:rPr>
              <w:fldChar w:fldCharType="begin"/>
            </w:r>
            <w:r w:rsidR="00715932">
              <w:rPr>
                <w:noProof/>
                <w:webHidden/>
              </w:rPr>
              <w:instrText xml:space="preserve"> PAGEREF _Toc491246069 \h </w:instrText>
            </w:r>
            <w:r w:rsidR="00715932">
              <w:rPr>
                <w:noProof/>
                <w:webHidden/>
              </w:rPr>
            </w:r>
            <w:r w:rsidR="00715932">
              <w:rPr>
                <w:noProof/>
                <w:webHidden/>
              </w:rPr>
              <w:fldChar w:fldCharType="separate"/>
            </w:r>
            <w:r w:rsidR="000C5FC3">
              <w:rPr>
                <w:noProof/>
                <w:webHidden/>
              </w:rPr>
              <w:t>123</w:t>
            </w:r>
            <w:r w:rsidR="00715932">
              <w:rPr>
                <w:noProof/>
                <w:webHidden/>
              </w:rPr>
              <w:fldChar w:fldCharType="end"/>
            </w:r>
          </w:hyperlink>
        </w:p>
        <w:p w:rsidR="00715932" w:rsidRDefault="00B920BD">
          <w:pPr>
            <w:pStyle w:val="TOC4"/>
            <w:tabs>
              <w:tab w:val="right" w:leader="dot" w:pos="8486"/>
            </w:tabs>
            <w:rPr>
              <w:rFonts w:asciiTheme="minorHAnsi" w:eastAsiaTheme="minorEastAsia" w:hAnsiTheme="minorHAnsi" w:cstheme="minorBidi"/>
              <w:noProof/>
              <w:sz w:val="22"/>
              <w:szCs w:val="22"/>
            </w:rPr>
          </w:pPr>
          <w:hyperlink w:anchor="_Toc491246070" w:history="1">
            <w:r w:rsidR="00715932" w:rsidRPr="00E47A4B">
              <w:rPr>
                <w:rStyle w:val="Hyperlink"/>
                <w:rFonts w:cs="Times New Roman"/>
                <w:noProof/>
              </w:rPr>
              <w:t>3.1.2. Tourmaline</w:t>
            </w:r>
            <w:r w:rsidR="00715932">
              <w:rPr>
                <w:noProof/>
                <w:webHidden/>
              </w:rPr>
              <w:tab/>
            </w:r>
            <w:r w:rsidR="00715932">
              <w:rPr>
                <w:noProof/>
                <w:webHidden/>
              </w:rPr>
              <w:fldChar w:fldCharType="begin"/>
            </w:r>
            <w:r w:rsidR="00715932">
              <w:rPr>
                <w:noProof/>
                <w:webHidden/>
              </w:rPr>
              <w:instrText xml:space="preserve"> PAGEREF _Toc491246070 \h </w:instrText>
            </w:r>
            <w:r w:rsidR="00715932">
              <w:rPr>
                <w:noProof/>
                <w:webHidden/>
              </w:rPr>
            </w:r>
            <w:r w:rsidR="00715932">
              <w:rPr>
                <w:noProof/>
                <w:webHidden/>
              </w:rPr>
              <w:fldChar w:fldCharType="separate"/>
            </w:r>
            <w:r w:rsidR="000C5FC3">
              <w:rPr>
                <w:noProof/>
                <w:webHidden/>
              </w:rPr>
              <w:t>123</w:t>
            </w:r>
            <w:r w:rsidR="00715932">
              <w:rPr>
                <w:noProof/>
                <w:webHidden/>
              </w:rPr>
              <w:fldChar w:fldCharType="end"/>
            </w:r>
          </w:hyperlink>
        </w:p>
        <w:p w:rsidR="00715932" w:rsidRDefault="00B920BD">
          <w:pPr>
            <w:pStyle w:val="TOC4"/>
            <w:tabs>
              <w:tab w:val="right" w:leader="dot" w:pos="8486"/>
            </w:tabs>
            <w:rPr>
              <w:rFonts w:asciiTheme="minorHAnsi" w:eastAsiaTheme="minorEastAsia" w:hAnsiTheme="minorHAnsi" w:cstheme="minorBidi"/>
              <w:noProof/>
              <w:sz w:val="22"/>
              <w:szCs w:val="22"/>
            </w:rPr>
          </w:pPr>
          <w:hyperlink w:anchor="_Toc491246071" w:history="1">
            <w:r w:rsidR="00715932" w:rsidRPr="00E47A4B">
              <w:rPr>
                <w:rStyle w:val="Hyperlink"/>
                <w:rFonts w:cs="Times New Roman"/>
                <w:noProof/>
              </w:rPr>
              <w:t>3.1.3. Cordierite</w:t>
            </w:r>
            <w:r w:rsidR="00715932">
              <w:rPr>
                <w:noProof/>
                <w:webHidden/>
              </w:rPr>
              <w:tab/>
            </w:r>
            <w:r w:rsidR="00715932">
              <w:rPr>
                <w:noProof/>
                <w:webHidden/>
              </w:rPr>
              <w:fldChar w:fldCharType="begin"/>
            </w:r>
            <w:r w:rsidR="00715932">
              <w:rPr>
                <w:noProof/>
                <w:webHidden/>
              </w:rPr>
              <w:instrText xml:space="preserve"> PAGEREF _Toc491246071 \h </w:instrText>
            </w:r>
            <w:r w:rsidR="00715932">
              <w:rPr>
                <w:noProof/>
                <w:webHidden/>
              </w:rPr>
            </w:r>
            <w:r w:rsidR="00715932">
              <w:rPr>
                <w:noProof/>
                <w:webHidden/>
              </w:rPr>
              <w:fldChar w:fldCharType="separate"/>
            </w:r>
            <w:r w:rsidR="000C5FC3">
              <w:rPr>
                <w:noProof/>
                <w:webHidden/>
              </w:rPr>
              <w:t>124</w:t>
            </w:r>
            <w:r w:rsidR="00715932">
              <w:rPr>
                <w:noProof/>
                <w:webHidden/>
              </w:rPr>
              <w:fldChar w:fldCharType="end"/>
            </w:r>
          </w:hyperlink>
        </w:p>
        <w:p w:rsidR="00715932" w:rsidRDefault="00B920BD">
          <w:pPr>
            <w:pStyle w:val="TOC4"/>
            <w:tabs>
              <w:tab w:val="right" w:leader="dot" w:pos="8486"/>
            </w:tabs>
            <w:rPr>
              <w:rFonts w:asciiTheme="minorHAnsi" w:eastAsiaTheme="minorEastAsia" w:hAnsiTheme="minorHAnsi" w:cstheme="minorBidi"/>
              <w:noProof/>
              <w:sz w:val="22"/>
              <w:szCs w:val="22"/>
            </w:rPr>
          </w:pPr>
          <w:hyperlink w:anchor="_Toc491246072" w:history="1">
            <w:r w:rsidR="00715932" w:rsidRPr="00E47A4B">
              <w:rPr>
                <w:rStyle w:val="Hyperlink"/>
                <w:rFonts w:cs="Times New Roman"/>
                <w:noProof/>
              </w:rPr>
              <w:t>3.1.4. Glass</w:t>
            </w:r>
            <w:r w:rsidR="00715932">
              <w:rPr>
                <w:noProof/>
                <w:webHidden/>
              </w:rPr>
              <w:tab/>
            </w:r>
            <w:r w:rsidR="00715932">
              <w:rPr>
                <w:noProof/>
                <w:webHidden/>
              </w:rPr>
              <w:fldChar w:fldCharType="begin"/>
            </w:r>
            <w:r w:rsidR="00715932">
              <w:rPr>
                <w:noProof/>
                <w:webHidden/>
              </w:rPr>
              <w:instrText xml:space="preserve"> PAGEREF _Toc491246072 \h </w:instrText>
            </w:r>
            <w:r w:rsidR="00715932">
              <w:rPr>
                <w:noProof/>
                <w:webHidden/>
              </w:rPr>
            </w:r>
            <w:r w:rsidR="00715932">
              <w:rPr>
                <w:noProof/>
                <w:webHidden/>
              </w:rPr>
              <w:fldChar w:fldCharType="separate"/>
            </w:r>
            <w:r w:rsidR="000C5FC3">
              <w:rPr>
                <w:noProof/>
                <w:webHidden/>
              </w:rPr>
              <w:t>124</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73" w:history="1">
            <w:r w:rsidR="00715932" w:rsidRPr="00E47A4B">
              <w:rPr>
                <w:rStyle w:val="Hyperlink"/>
                <w:rFonts w:cs="Times New Roman"/>
                <w:noProof/>
              </w:rPr>
              <w:t>3.2. Mineral-Melt Partition Coefficients and Exchange Coefficients</w:t>
            </w:r>
            <w:r w:rsidR="00715932">
              <w:rPr>
                <w:noProof/>
                <w:webHidden/>
              </w:rPr>
              <w:tab/>
            </w:r>
            <w:r w:rsidR="00715932">
              <w:rPr>
                <w:noProof/>
                <w:webHidden/>
              </w:rPr>
              <w:fldChar w:fldCharType="begin"/>
            </w:r>
            <w:r w:rsidR="00715932">
              <w:rPr>
                <w:noProof/>
                <w:webHidden/>
              </w:rPr>
              <w:instrText xml:space="preserve"> PAGEREF _Toc491246073 \h </w:instrText>
            </w:r>
            <w:r w:rsidR="00715932">
              <w:rPr>
                <w:noProof/>
                <w:webHidden/>
              </w:rPr>
            </w:r>
            <w:r w:rsidR="00715932">
              <w:rPr>
                <w:noProof/>
                <w:webHidden/>
              </w:rPr>
              <w:fldChar w:fldCharType="separate"/>
            </w:r>
            <w:r w:rsidR="000C5FC3">
              <w:rPr>
                <w:noProof/>
                <w:webHidden/>
              </w:rPr>
              <w:t>124</w:t>
            </w:r>
            <w:r w:rsidR="00715932">
              <w:rPr>
                <w:noProof/>
                <w:webHidden/>
              </w:rPr>
              <w:fldChar w:fldCharType="end"/>
            </w:r>
          </w:hyperlink>
        </w:p>
        <w:p w:rsidR="00715932" w:rsidRDefault="00B920BD">
          <w:pPr>
            <w:pStyle w:val="TOC2"/>
            <w:tabs>
              <w:tab w:val="right" w:leader="dot" w:pos="8486"/>
            </w:tabs>
            <w:rPr>
              <w:rFonts w:asciiTheme="minorHAnsi" w:eastAsiaTheme="minorEastAsia" w:hAnsiTheme="minorHAnsi" w:cstheme="minorBidi"/>
              <w:noProof/>
              <w:sz w:val="22"/>
              <w:szCs w:val="22"/>
            </w:rPr>
          </w:pPr>
          <w:hyperlink w:anchor="_Toc491246074" w:history="1">
            <w:r w:rsidR="00715932" w:rsidRPr="00E47A4B">
              <w:rPr>
                <w:rStyle w:val="Hyperlink"/>
                <w:rFonts w:cs="Times New Roman"/>
                <w:noProof/>
              </w:rPr>
              <w:t>4. Discussion</w:t>
            </w:r>
            <w:r w:rsidR="00715932">
              <w:rPr>
                <w:noProof/>
                <w:webHidden/>
              </w:rPr>
              <w:tab/>
            </w:r>
            <w:r w:rsidR="00715932">
              <w:rPr>
                <w:noProof/>
                <w:webHidden/>
              </w:rPr>
              <w:fldChar w:fldCharType="begin"/>
            </w:r>
            <w:r w:rsidR="00715932">
              <w:rPr>
                <w:noProof/>
                <w:webHidden/>
              </w:rPr>
              <w:instrText xml:space="preserve"> PAGEREF _Toc491246074 \h </w:instrText>
            </w:r>
            <w:r w:rsidR="00715932">
              <w:rPr>
                <w:noProof/>
                <w:webHidden/>
              </w:rPr>
            </w:r>
            <w:r w:rsidR="00715932">
              <w:rPr>
                <w:noProof/>
                <w:webHidden/>
              </w:rPr>
              <w:fldChar w:fldCharType="separate"/>
            </w:r>
            <w:r w:rsidR="000C5FC3">
              <w:rPr>
                <w:noProof/>
                <w:webHidden/>
              </w:rPr>
              <w:t>126</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75" w:history="1">
            <w:r w:rsidR="00715932" w:rsidRPr="00E47A4B">
              <w:rPr>
                <w:rStyle w:val="Hyperlink"/>
                <w:rFonts w:cs="Times New Roman"/>
                <w:noProof/>
              </w:rPr>
              <w:t>4.1. The evolution of MgO/FeO and MnO/FeO of melt during fractional crystallization</w:t>
            </w:r>
            <w:r w:rsidR="00715932">
              <w:rPr>
                <w:noProof/>
                <w:webHidden/>
              </w:rPr>
              <w:tab/>
            </w:r>
            <w:r w:rsidR="00715932">
              <w:rPr>
                <w:noProof/>
                <w:webHidden/>
              </w:rPr>
              <w:fldChar w:fldCharType="begin"/>
            </w:r>
            <w:r w:rsidR="00715932">
              <w:rPr>
                <w:noProof/>
                <w:webHidden/>
              </w:rPr>
              <w:instrText xml:space="preserve"> PAGEREF _Toc491246075 \h </w:instrText>
            </w:r>
            <w:r w:rsidR="00715932">
              <w:rPr>
                <w:noProof/>
                <w:webHidden/>
              </w:rPr>
            </w:r>
            <w:r w:rsidR="00715932">
              <w:rPr>
                <w:noProof/>
                <w:webHidden/>
              </w:rPr>
              <w:fldChar w:fldCharType="separate"/>
            </w:r>
            <w:r w:rsidR="000C5FC3">
              <w:rPr>
                <w:noProof/>
                <w:webHidden/>
              </w:rPr>
              <w:t>126</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76" w:history="1">
            <w:r w:rsidR="00715932" w:rsidRPr="00E47A4B">
              <w:rPr>
                <w:rStyle w:val="Hyperlink"/>
                <w:rFonts w:cs="Times New Roman"/>
                <w:noProof/>
              </w:rPr>
              <w:t>4.2. Modeling the concentrations of MnO, FeO, and MgO during fractional crystallization</w:t>
            </w:r>
            <w:r w:rsidR="00715932">
              <w:rPr>
                <w:noProof/>
                <w:webHidden/>
              </w:rPr>
              <w:tab/>
            </w:r>
            <w:r w:rsidR="00715932">
              <w:rPr>
                <w:noProof/>
                <w:webHidden/>
              </w:rPr>
              <w:fldChar w:fldCharType="begin"/>
            </w:r>
            <w:r w:rsidR="00715932">
              <w:rPr>
                <w:noProof/>
                <w:webHidden/>
              </w:rPr>
              <w:instrText xml:space="preserve"> PAGEREF _Toc491246076 \h </w:instrText>
            </w:r>
            <w:r w:rsidR="00715932">
              <w:rPr>
                <w:noProof/>
                <w:webHidden/>
              </w:rPr>
            </w:r>
            <w:r w:rsidR="00715932">
              <w:rPr>
                <w:noProof/>
                <w:webHidden/>
              </w:rPr>
              <w:fldChar w:fldCharType="separate"/>
            </w:r>
            <w:r w:rsidR="000C5FC3">
              <w:rPr>
                <w:noProof/>
                <w:webHidden/>
              </w:rPr>
              <w:t>127</w:t>
            </w:r>
            <w:r w:rsidR="00715932">
              <w:rPr>
                <w:noProof/>
                <w:webHidden/>
              </w:rPr>
              <w:fldChar w:fldCharType="end"/>
            </w:r>
          </w:hyperlink>
        </w:p>
        <w:p w:rsidR="00715932" w:rsidRDefault="00B920BD">
          <w:pPr>
            <w:pStyle w:val="TOC3"/>
            <w:rPr>
              <w:rFonts w:asciiTheme="minorHAnsi" w:eastAsiaTheme="minorEastAsia" w:hAnsiTheme="minorHAnsi" w:cstheme="minorBidi"/>
              <w:noProof/>
              <w:sz w:val="22"/>
              <w:szCs w:val="22"/>
            </w:rPr>
          </w:pPr>
          <w:hyperlink w:anchor="_Toc491246077" w:history="1">
            <w:r w:rsidR="00715932" w:rsidRPr="00E47A4B">
              <w:rPr>
                <w:rStyle w:val="Hyperlink"/>
                <w:rFonts w:cs="Times New Roman"/>
                <w:noProof/>
              </w:rPr>
              <w:t>4.3. Spessartine in granitic pegmatites</w:t>
            </w:r>
            <w:r w:rsidR="00715932">
              <w:rPr>
                <w:noProof/>
                <w:webHidden/>
              </w:rPr>
              <w:tab/>
            </w:r>
            <w:r w:rsidR="00715932">
              <w:rPr>
                <w:noProof/>
                <w:webHidden/>
              </w:rPr>
              <w:fldChar w:fldCharType="begin"/>
            </w:r>
            <w:r w:rsidR="00715932">
              <w:rPr>
                <w:noProof/>
                <w:webHidden/>
              </w:rPr>
              <w:instrText xml:space="preserve"> PAGEREF _Toc491246077 \h </w:instrText>
            </w:r>
            <w:r w:rsidR="00715932">
              <w:rPr>
                <w:noProof/>
                <w:webHidden/>
              </w:rPr>
            </w:r>
            <w:r w:rsidR="00715932">
              <w:rPr>
                <w:noProof/>
                <w:webHidden/>
              </w:rPr>
              <w:fldChar w:fldCharType="separate"/>
            </w:r>
            <w:r w:rsidR="000C5FC3">
              <w:rPr>
                <w:noProof/>
                <w:webHidden/>
              </w:rPr>
              <w:t>129</w:t>
            </w:r>
            <w:r w:rsidR="00715932">
              <w:rPr>
                <w:noProof/>
                <w:webHidden/>
              </w:rPr>
              <w:fldChar w:fldCharType="end"/>
            </w:r>
          </w:hyperlink>
        </w:p>
        <w:p w:rsidR="00715932" w:rsidRDefault="00B920BD">
          <w:pPr>
            <w:pStyle w:val="TOC2"/>
            <w:tabs>
              <w:tab w:val="right" w:leader="dot" w:pos="8486"/>
            </w:tabs>
            <w:rPr>
              <w:rFonts w:asciiTheme="minorHAnsi" w:eastAsiaTheme="minorEastAsia" w:hAnsiTheme="minorHAnsi" w:cstheme="minorBidi"/>
              <w:noProof/>
              <w:sz w:val="22"/>
              <w:szCs w:val="22"/>
            </w:rPr>
          </w:pPr>
          <w:hyperlink w:anchor="_Toc491246078" w:history="1">
            <w:r w:rsidR="00715932" w:rsidRPr="00E47A4B">
              <w:rPr>
                <w:rStyle w:val="Hyperlink"/>
                <w:rFonts w:cs="Times New Roman"/>
                <w:noProof/>
              </w:rPr>
              <w:t>5. Implications</w:t>
            </w:r>
            <w:r w:rsidR="00715932">
              <w:rPr>
                <w:noProof/>
                <w:webHidden/>
              </w:rPr>
              <w:tab/>
            </w:r>
            <w:r w:rsidR="00715932">
              <w:rPr>
                <w:noProof/>
                <w:webHidden/>
              </w:rPr>
              <w:fldChar w:fldCharType="begin"/>
            </w:r>
            <w:r w:rsidR="00715932">
              <w:rPr>
                <w:noProof/>
                <w:webHidden/>
              </w:rPr>
              <w:instrText xml:space="preserve"> PAGEREF _Toc491246078 \h </w:instrText>
            </w:r>
            <w:r w:rsidR="00715932">
              <w:rPr>
                <w:noProof/>
                <w:webHidden/>
              </w:rPr>
            </w:r>
            <w:r w:rsidR="00715932">
              <w:rPr>
                <w:noProof/>
                <w:webHidden/>
              </w:rPr>
              <w:fldChar w:fldCharType="separate"/>
            </w:r>
            <w:r w:rsidR="000C5FC3">
              <w:rPr>
                <w:noProof/>
                <w:webHidden/>
              </w:rPr>
              <w:t>130</w:t>
            </w:r>
            <w:r w:rsidR="00715932">
              <w:rPr>
                <w:noProof/>
                <w:webHidden/>
              </w:rPr>
              <w:fldChar w:fldCharType="end"/>
            </w:r>
          </w:hyperlink>
        </w:p>
        <w:p w:rsidR="00715932" w:rsidRDefault="00B920BD">
          <w:pPr>
            <w:pStyle w:val="TOC1"/>
            <w:rPr>
              <w:rFonts w:asciiTheme="minorHAnsi" w:eastAsiaTheme="minorEastAsia" w:hAnsiTheme="minorHAnsi" w:cstheme="minorBidi"/>
              <w:noProof/>
              <w:sz w:val="22"/>
              <w:szCs w:val="22"/>
            </w:rPr>
          </w:pPr>
          <w:hyperlink w:anchor="_Toc491246079" w:history="1">
            <w:r w:rsidR="00715932" w:rsidRPr="00E47A4B">
              <w:rPr>
                <w:rStyle w:val="Hyperlink"/>
                <w:rFonts w:cstheme="minorHAnsi"/>
                <w:noProof/>
              </w:rPr>
              <w:t>References</w:t>
            </w:r>
            <w:r w:rsidR="00715932">
              <w:rPr>
                <w:noProof/>
                <w:webHidden/>
              </w:rPr>
              <w:tab/>
            </w:r>
            <w:r w:rsidR="00715932">
              <w:rPr>
                <w:noProof/>
                <w:webHidden/>
              </w:rPr>
              <w:fldChar w:fldCharType="begin"/>
            </w:r>
            <w:r w:rsidR="00715932">
              <w:rPr>
                <w:noProof/>
                <w:webHidden/>
              </w:rPr>
              <w:instrText xml:space="preserve"> PAGEREF _Toc491246079 \h </w:instrText>
            </w:r>
            <w:r w:rsidR="00715932">
              <w:rPr>
                <w:noProof/>
                <w:webHidden/>
              </w:rPr>
            </w:r>
            <w:r w:rsidR="00715932">
              <w:rPr>
                <w:noProof/>
                <w:webHidden/>
              </w:rPr>
              <w:fldChar w:fldCharType="separate"/>
            </w:r>
            <w:r w:rsidR="000C5FC3">
              <w:rPr>
                <w:noProof/>
                <w:webHidden/>
              </w:rPr>
              <w:t>159</w:t>
            </w:r>
            <w:r w:rsidR="00715932">
              <w:rPr>
                <w:noProof/>
                <w:webHidden/>
              </w:rPr>
              <w:fldChar w:fldCharType="end"/>
            </w:r>
          </w:hyperlink>
        </w:p>
        <w:p w:rsidR="00715932" w:rsidRDefault="00B920BD">
          <w:pPr>
            <w:pStyle w:val="TOC1"/>
            <w:rPr>
              <w:rFonts w:asciiTheme="minorHAnsi" w:eastAsiaTheme="minorEastAsia" w:hAnsiTheme="minorHAnsi" w:cstheme="minorBidi"/>
              <w:noProof/>
              <w:sz w:val="22"/>
              <w:szCs w:val="22"/>
            </w:rPr>
          </w:pPr>
          <w:hyperlink w:anchor="_Toc491246080" w:history="1">
            <w:r w:rsidR="00715932" w:rsidRPr="00E47A4B">
              <w:rPr>
                <w:rStyle w:val="Hyperlink"/>
                <w:rFonts w:cstheme="minorHAnsi"/>
                <w:noProof/>
              </w:rPr>
              <w:t>Appendix 1: Chemical and boron isotopic compositions of tourmaline, and other minerals, from the Main, Swamp, and Spessartine dikes of the Little Three pegmatite mine</w:t>
            </w:r>
            <w:r w:rsidR="00715932">
              <w:rPr>
                <w:noProof/>
                <w:webHidden/>
              </w:rPr>
              <w:tab/>
            </w:r>
            <w:r w:rsidR="00715932">
              <w:rPr>
                <w:noProof/>
                <w:webHidden/>
              </w:rPr>
              <w:fldChar w:fldCharType="begin"/>
            </w:r>
            <w:r w:rsidR="00715932">
              <w:rPr>
                <w:noProof/>
                <w:webHidden/>
              </w:rPr>
              <w:instrText xml:space="preserve"> PAGEREF _Toc491246080 \h </w:instrText>
            </w:r>
            <w:r w:rsidR="00715932">
              <w:rPr>
                <w:noProof/>
                <w:webHidden/>
              </w:rPr>
            </w:r>
            <w:r w:rsidR="00715932">
              <w:rPr>
                <w:noProof/>
                <w:webHidden/>
              </w:rPr>
              <w:fldChar w:fldCharType="separate"/>
            </w:r>
            <w:r w:rsidR="000C5FC3">
              <w:rPr>
                <w:noProof/>
                <w:webHidden/>
              </w:rPr>
              <w:t>172</w:t>
            </w:r>
            <w:r w:rsidR="00715932">
              <w:rPr>
                <w:noProof/>
                <w:webHidden/>
              </w:rPr>
              <w:fldChar w:fldCharType="end"/>
            </w:r>
          </w:hyperlink>
        </w:p>
        <w:p w:rsidR="00715932" w:rsidRDefault="00B920BD">
          <w:pPr>
            <w:pStyle w:val="TOC1"/>
            <w:rPr>
              <w:rFonts w:asciiTheme="minorHAnsi" w:eastAsiaTheme="minorEastAsia" w:hAnsiTheme="minorHAnsi" w:cstheme="minorBidi"/>
              <w:noProof/>
              <w:sz w:val="22"/>
              <w:szCs w:val="22"/>
            </w:rPr>
          </w:pPr>
          <w:hyperlink w:anchor="_Toc491246081" w:history="1">
            <w:r w:rsidR="00715932" w:rsidRPr="00E47A4B">
              <w:rPr>
                <w:rStyle w:val="Hyperlink"/>
                <w:rFonts w:cstheme="minorHAnsi"/>
                <w:noProof/>
              </w:rPr>
              <w:t>Appendix 2: Methodology for preparation of starting materials for experiments and details of Rayleigh model</w:t>
            </w:r>
            <w:r w:rsidR="00715932">
              <w:rPr>
                <w:noProof/>
                <w:webHidden/>
              </w:rPr>
              <w:tab/>
            </w:r>
            <w:r w:rsidR="00715932">
              <w:rPr>
                <w:noProof/>
                <w:webHidden/>
              </w:rPr>
              <w:fldChar w:fldCharType="begin"/>
            </w:r>
            <w:r w:rsidR="00715932">
              <w:rPr>
                <w:noProof/>
                <w:webHidden/>
              </w:rPr>
              <w:instrText xml:space="preserve"> PAGEREF _Toc491246081 \h </w:instrText>
            </w:r>
            <w:r w:rsidR="00715932">
              <w:rPr>
                <w:noProof/>
                <w:webHidden/>
              </w:rPr>
            </w:r>
            <w:r w:rsidR="00715932">
              <w:rPr>
                <w:noProof/>
                <w:webHidden/>
              </w:rPr>
              <w:fldChar w:fldCharType="separate"/>
            </w:r>
            <w:r w:rsidR="000C5FC3">
              <w:rPr>
                <w:noProof/>
                <w:webHidden/>
              </w:rPr>
              <w:t>186</w:t>
            </w:r>
            <w:r w:rsidR="00715932">
              <w:rPr>
                <w:noProof/>
                <w:webHidden/>
              </w:rPr>
              <w:fldChar w:fldCharType="end"/>
            </w:r>
          </w:hyperlink>
        </w:p>
        <w:p w:rsidR="00633A00" w:rsidRDefault="002F696E">
          <w:r>
            <w:fldChar w:fldCharType="end"/>
          </w:r>
        </w:p>
      </w:sdtContent>
    </w:sdt>
    <w:p w:rsidR="00410044" w:rsidRPr="00E614FB" w:rsidRDefault="00410044">
      <w:pPr>
        <w:rPr>
          <w:rFonts w:asciiTheme="minorHAnsi" w:hAnsiTheme="minorHAnsi" w:cstheme="minorHAnsi"/>
        </w:rPr>
      </w:pPr>
      <w:r w:rsidRPr="00E614FB">
        <w:rPr>
          <w:rFonts w:asciiTheme="minorHAnsi" w:hAnsiTheme="minorHAnsi" w:cstheme="minorHAnsi"/>
        </w:rPr>
        <w:br w:type="page"/>
      </w:r>
    </w:p>
    <w:p w:rsidR="00522E3F" w:rsidRDefault="00522E3F" w:rsidP="00713274">
      <w:pPr>
        <w:pStyle w:val="Heading1"/>
        <w:numPr>
          <w:ilvl w:val="0"/>
          <w:numId w:val="0"/>
        </w:numPr>
        <w:jc w:val="center"/>
        <w:rPr>
          <w:rFonts w:asciiTheme="minorHAnsi" w:hAnsiTheme="minorHAnsi" w:cstheme="minorHAnsi"/>
        </w:rPr>
      </w:pPr>
      <w:bookmarkStart w:id="3" w:name="_Toc491245972"/>
      <w:r>
        <w:rPr>
          <w:rFonts w:asciiTheme="minorHAnsi" w:hAnsiTheme="minorHAnsi" w:cstheme="minorHAnsi"/>
        </w:rPr>
        <w:lastRenderedPageBreak/>
        <w:t>List of Tables</w:t>
      </w:r>
      <w:bookmarkEnd w:id="3"/>
    </w:p>
    <w:p w:rsidR="00713274" w:rsidRDefault="00713274" w:rsidP="00410044">
      <w:pPr>
        <w:spacing w:after="0" w:line="480" w:lineRule="auto"/>
        <w:rPr>
          <w:rFonts w:asciiTheme="minorHAnsi" w:hAnsiTheme="minorHAnsi" w:cstheme="minorHAnsi"/>
        </w:rPr>
      </w:pPr>
    </w:p>
    <w:p w:rsidR="001872DC" w:rsidRDefault="003F756D" w:rsidP="001872DC">
      <w:pPr>
        <w:pStyle w:val="TableofFigures"/>
        <w:tabs>
          <w:tab w:val="right" w:leader="dot" w:pos="8486"/>
        </w:tabs>
        <w:spacing w:after="240"/>
        <w:rPr>
          <w:rFonts w:asciiTheme="minorHAnsi" w:eastAsiaTheme="minorEastAsia" w:hAnsiTheme="minorHAnsi" w:cstheme="minorBidi"/>
          <w:noProof/>
          <w:sz w:val="22"/>
          <w:szCs w:val="22"/>
        </w:rPr>
      </w:pPr>
      <w:r>
        <w:rPr>
          <w:rFonts w:asciiTheme="minorHAnsi" w:hAnsiTheme="minorHAnsi" w:cstheme="minorHAnsi"/>
        </w:rPr>
        <w:fldChar w:fldCharType="begin"/>
      </w:r>
      <w:r>
        <w:rPr>
          <w:rFonts w:asciiTheme="minorHAnsi" w:hAnsiTheme="minorHAnsi" w:cstheme="minorHAnsi"/>
        </w:rPr>
        <w:instrText xml:space="preserve"> TOC \f x \h \z \c "Table" </w:instrText>
      </w:r>
      <w:r>
        <w:rPr>
          <w:rFonts w:asciiTheme="minorHAnsi" w:hAnsiTheme="minorHAnsi" w:cstheme="minorHAnsi"/>
        </w:rPr>
        <w:fldChar w:fldCharType="separate"/>
      </w:r>
      <w:hyperlink w:anchor="_Toc490131680" w:history="1">
        <w:r w:rsidR="001872DC" w:rsidRPr="00B61363">
          <w:rPr>
            <w:rStyle w:val="Hyperlink"/>
            <w:noProof/>
          </w:rPr>
          <w:t>Table 2</w:t>
        </w:r>
        <w:r w:rsidR="001872DC" w:rsidRPr="00B61363">
          <w:rPr>
            <w:rStyle w:val="Hyperlink"/>
            <w:noProof/>
          </w:rPr>
          <w:noBreakHyphen/>
          <w:t>1</w:t>
        </w:r>
        <w:r w:rsidR="001872DC" w:rsidRPr="00B61363">
          <w:rPr>
            <w:rStyle w:val="Hyperlink"/>
            <w:rFonts w:eastAsia="Times New Roman" w:cs="Times New Roman"/>
            <w:noProof/>
          </w:rPr>
          <w:t xml:space="preserve"> Tourmaline species and chemical formulae</w:t>
        </w:r>
        <w:r w:rsidR="001872DC">
          <w:rPr>
            <w:noProof/>
            <w:webHidden/>
          </w:rPr>
          <w:tab/>
        </w:r>
        <w:r w:rsidR="001872DC">
          <w:rPr>
            <w:noProof/>
            <w:webHidden/>
          </w:rPr>
          <w:fldChar w:fldCharType="begin"/>
        </w:r>
        <w:r w:rsidR="001872DC">
          <w:rPr>
            <w:noProof/>
            <w:webHidden/>
          </w:rPr>
          <w:instrText xml:space="preserve"> PAGEREF _Toc490131680 \h </w:instrText>
        </w:r>
        <w:r w:rsidR="001872DC">
          <w:rPr>
            <w:noProof/>
            <w:webHidden/>
          </w:rPr>
        </w:r>
        <w:r w:rsidR="001872DC">
          <w:rPr>
            <w:noProof/>
            <w:webHidden/>
          </w:rPr>
          <w:fldChar w:fldCharType="separate"/>
        </w:r>
        <w:r w:rsidR="000C5FC3">
          <w:rPr>
            <w:noProof/>
            <w:webHidden/>
          </w:rPr>
          <w:t>46</w:t>
        </w:r>
        <w:r w:rsidR="001872DC">
          <w:rPr>
            <w:noProof/>
            <w:webHidden/>
          </w:rPr>
          <w:fldChar w:fldCharType="end"/>
        </w:r>
      </w:hyperlink>
    </w:p>
    <w:p w:rsidR="001872DC" w:rsidRDefault="00B920BD" w:rsidP="001872DC">
      <w:pPr>
        <w:pStyle w:val="TableofFigures"/>
        <w:tabs>
          <w:tab w:val="right" w:leader="dot" w:pos="8486"/>
        </w:tabs>
        <w:spacing w:after="240"/>
        <w:rPr>
          <w:rFonts w:asciiTheme="minorHAnsi" w:eastAsiaTheme="minorEastAsia" w:hAnsiTheme="minorHAnsi" w:cstheme="minorBidi"/>
          <w:noProof/>
          <w:sz w:val="22"/>
          <w:szCs w:val="22"/>
        </w:rPr>
      </w:pPr>
      <w:hyperlink w:anchor="_Toc490131681" w:history="1">
        <w:r w:rsidR="001872DC" w:rsidRPr="00B61363">
          <w:rPr>
            <w:rStyle w:val="Hyperlink"/>
            <w:noProof/>
          </w:rPr>
          <w:t>Table 2</w:t>
        </w:r>
        <w:r w:rsidR="001872DC" w:rsidRPr="00B61363">
          <w:rPr>
            <w:rStyle w:val="Hyperlink"/>
            <w:noProof/>
          </w:rPr>
          <w:noBreakHyphen/>
          <w:t>2</w:t>
        </w:r>
        <w:r w:rsidR="001872DC" w:rsidRPr="00B61363">
          <w:rPr>
            <w:rStyle w:val="Hyperlink"/>
            <w:rFonts w:eastAsia="Times New Roman" w:cs="Times New Roman"/>
            <w:noProof/>
          </w:rPr>
          <w:t xml:space="preserve"> Standard Data and IMF for SIMS</w:t>
        </w:r>
        <w:r w:rsidR="001872DC">
          <w:rPr>
            <w:noProof/>
            <w:webHidden/>
          </w:rPr>
          <w:tab/>
        </w:r>
        <w:r w:rsidR="001872DC">
          <w:rPr>
            <w:noProof/>
            <w:webHidden/>
          </w:rPr>
          <w:fldChar w:fldCharType="begin"/>
        </w:r>
        <w:r w:rsidR="001872DC">
          <w:rPr>
            <w:noProof/>
            <w:webHidden/>
          </w:rPr>
          <w:instrText xml:space="preserve"> PAGEREF _Toc490131681 \h </w:instrText>
        </w:r>
        <w:r w:rsidR="001872DC">
          <w:rPr>
            <w:noProof/>
            <w:webHidden/>
          </w:rPr>
        </w:r>
        <w:r w:rsidR="001872DC">
          <w:rPr>
            <w:noProof/>
            <w:webHidden/>
          </w:rPr>
          <w:fldChar w:fldCharType="separate"/>
        </w:r>
        <w:r w:rsidR="000C5FC3">
          <w:rPr>
            <w:noProof/>
            <w:webHidden/>
          </w:rPr>
          <w:t>47</w:t>
        </w:r>
        <w:r w:rsidR="001872DC">
          <w:rPr>
            <w:noProof/>
            <w:webHidden/>
          </w:rPr>
          <w:fldChar w:fldCharType="end"/>
        </w:r>
      </w:hyperlink>
    </w:p>
    <w:p w:rsidR="001872DC" w:rsidRDefault="00B920BD" w:rsidP="001872DC">
      <w:pPr>
        <w:pStyle w:val="TableofFigures"/>
        <w:tabs>
          <w:tab w:val="right" w:leader="dot" w:pos="8486"/>
        </w:tabs>
        <w:spacing w:after="240"/>
        <w:rPr>
          <w:rFonts w:asciiTheme="minorHAnsi" w:eastAsiaTheme="minorEastAsia" w:hAnsiTheme="minorHAnsi" w:cstheme="minorBidi"/>
          <w:noProof/>
          <w:sz w:val="22"/>
          <w:szCs w:val="22"/>
        </w:rPr>
      </w:pPr>
      <w:hyperlink w:anchor="_Toc490131682" w:history="1">
        <w:r w:rsidR="001872DC" w:rsidRPr="00B61363">
          <w:rPr>
            <w:rStyle w:val="Hyperlink"/>
            <w:noProof/>
          </w:rPr>
          <w:t>Table 2</w:t>
        </w:r>
        <w:r w:rsidR="001872DC" w:rsidRPr="00B61363">
          <w:rPr>
            <w:rStyle w:val="Hyperlink"/>
            <w:noProof/>
          </w:rPr>
          <w:noBreakHyphen/>
          <w:t>3</w:t>
        </w:r>
        <w:r w:rsidR="001872DC" w:rsidRPr="00B61363">
          <w:rPr>
            <w:rStyle w:val="Hyperlink"/>
            <w:rFonts w:eastAsia="Times New Roman" w:cs="Times New Roman"/>
            <w:noProof/>
          </w:rPr>
          <w:t xml:space="preserve"> Boron isotopic compositions of minerals from the Main Dike</w:t>
        </w:r>
        <w:r w:rsidR="001872DC">
          <w:rPr>
            <w:noProof/>
            <w:webHidden/>
          </w:rPr>
          <w:tab/>
        </w:r>
      </w:hyperlink>
      <w:r w:rsidR="004A1A6C" w:rsidRPr="00852202">
        <w:rPr>
          <w:rStyle w:val="Hyperlink"/>
          <w:noProof/>
          <w:u w:val="none"/>
        </w:rPr>
        <w:t>50</w:t>
      </w:r>
    </w:p>
    <w:p w:rsidR="001872DC" w:rsidRDefault="00B920BD" w:rsidP="001872DC">
      <w:pPr>
        <w:pStyle w:val="TableofFigures"/>
        <w:tabs>
          <w:tab w:val="right" w:leader="dot" w:pos="8486"/>
        </w:tabs>
        <w:spacing w:after="240"/>
        <w:rPr>
          <w:rFonts w:asciiTheme="minorHAnsi" w:eastAsiaTheme="minorEastAsia" w:hAnsiTheme="minorHAnsi" w:cstheme="minorBidi"/>
          <w:noProof/>
          <w:sz w:val="22"/>
          <w:szCs w:val="22"/>
        </w:rPr>
      </w:pPr>
      <w:hyperlink w:anchor="_Toc490131683" w:history="1">
        <w:r w:rsidR="001872DC" w:rsidRPr="00B61363">
          <w:rPr>
            <w:rStyle w:val="Hyperlink"/>
            <w:noProof/>
          </w:rPr>
          <w:t>Table 2</w:t>
        </w:r>
        <w:r w:rsidR="001872DC" w:rsidRPr="00B61363">
          <w:rPr>
            <w:rStyle w:val="Hyperlink"/>
            <w:noProof/>
          </w:rPr>
          <w:noBreakHyphen/>
          <w:t>4</w:t>
        </w:r>
        <w:r w:rsidR="001872DC" w:rsidRPr="00B61363">
          <w:rPr>
            <w:rStyle w:val="Hyperlink"/>
            <w:rFonts w:eastAsia="Times New Roman" w:cs="Times New Roman"/>
            <w:noProof/>
          </w:rPr>
          <w:t xml:space="preserve"> Boron isotopic compositions of minerals from Swamp Dike</w:t>
        </w:r>
        <w:r w:rsidR="001872DC">
          <w:rPr>
            <w:noProof/>
            <w:webHidden/>
          </w:rPr>
          <w:tab/>
        </w:r>
      </w:hyperlink>
      <w:r w:rsidR="004A1A6C" w:rsidRPr="00852202">
        <w:rPr>
          <w:rStyle w:val="Hyperlink"/>
          <w:noProof/>
          <w:u w:val="none"/>
        </w:rPr>
        <w:t>51</w:t>
      </w:r>
    </w:p>
    <w:p w:rsidR="001872DC" w:rsidRDefault="00B920BD" w:rsidP="001872DC">
      <w:pPr>
        <w:pStyle w:val="TableofFigures"/>
        <w:tabs>
          <w:tab w:val="right" w:leader="dot" w:pos="8486"/>
        </w:tabs>
        <w:spacing w:after="240"/>
        <w:rPr>
          <w:rFonts w:asciiTheme="minorHAnsi" w:eastAsiaTheme="minorEastAsia" w:hAnsiTheme="minorHAnsi" w:cstheme="minorBidi"/>
          <w:noProof/>
          <w:sz w:val="22"/>
          <w:szCs w:val="22"/>
        </w:rPr>
      </w:pPr>
      <w:hyperlink w:anchor="_Toc490131684" w:history="1">
        <w:r w:rsidR="001872DC" w:rsidRPr="00B61363">
          <w:rPr>
            <w:rStyle w:val="Hyperlink"/>
            <w:noProof/>
          </w:rPr>
          <w:t>Table 2</w:t>
        </w:r>
        <w:r w:rsidR="001872DC" w:rsidRPr="00B61363">
          <w:rPr>
            <w:rStyle w:val="Hyperlink"/>
            <w:noProof/>
          </w:rPr>
          <w:noBreakHyphen/>
          <w:t>5</w:t>
        </w:r>
        <w:r w:rsidR="001872DC" w:rsidRPr="00B61363">
          <w:rPr>
            <w:rStyle w:val="Hyperlink"/>
            <w:rFonts w:eastAsia="Times New Roman" w:cs="Times New Roman"/>
            <w:noProof/>
          </w:rPr>
          <w:t xml:space="preserve"> Boron isotopic compositions of minerals from Spessartine Dike</w:t>
        </w:r>
        <w:r w:rsidR="001872DC">
          <w:rPr>
            <w:noProof/>
            <w:webHidden/>
          </w:rPr>
          <w:tab/>
        </w:r>
      </w:hyperlink>
      <w:r w:rsidR="004A1A6C" w:rsidRPr="00852202">
        <w:rPr>
          <w:rStyle w:val="Hyperlink"/>
          <w:noProof/>
          <w:u w:val="none"/>
        </w:rPr>
        <w:t>52</w:t>
      </w:r>
    </w:p>
    <w:p w:rsidR="001872DC" w:rsidRDefault="00B920BD" w:rsidP="001872DC">
      <w:pPr>
        <w:pStyle w:val="TableofFigures"/>
        <w:tabs>
          <w:tab w:val="right" w:leader="dot" w:pos="8486"/>
        </w:tabs>
        <w:spacing w:after="240"/>
        <w:rPr>
          <w:rFonts w:asciiTheme="minorHAnsi" w:eastAsiaTheme="minorEastAsia" w:hAnsiTheme="minorHAnsi" w:cstheme="minorBidi"/>
          <w:noProof/>
          <w:sz w:val="22"/>
          <w:szCs w:val="22"/>
        </w:rPr>
      </w:pPr>
      <w:hyperlink w:anchor="_Toc490131685" w:history="1">
        <w:r w:rsidR="001872DC" w:rsidRPr="00B61363">
          <w:rPr>
            <w:rStyle w:val="Hyperlink"/>
            <w:noProof/>
          </w:rPr>
          <w:t>Table 3</w:t>
        </w:r>
        <w:r w:rsidR="001872DC" w:rsidRPr="00B61363">
          <w:rPr>
            <w:rStyle w:val="Hyperlink"/>
            <w:noProof/>
          </w:rPr>
          <w:noBreakHyphen/>
          <w:t>1</w:t>
        </w:r>
        <w:r w:rsidR="001872DC" w:rsidRPr="00B61363">
          <w:rPr>
            <w:rStyle w:val="Hyperlink"/>
            <w:rFonts w:eastAsia="Times New Roman" w:cs="Times New Roman"/>
            <w:noProof/>
          </w:rPr>
          <w:t xml:space="preserve"> Compositions of starting material glasses</w:t>
        </w:r>
        <w:r w:rsidR="001872DC">
          <w:rPr>
            <w:noProof/>
            <w:webHidden/>
          </w:rPr>
          <w:tab/>
        </w:r>
        <w:r w:rsidR="001872DC">
          <w:rPr>
            <w:noProof/>
            <w:webHidden/>
          </w:rPr>
          <w:fldChar w:fldCharType="begin"/>
        </w:r>
        <w:r w:rsidR="001872DC">
          <w:rPr>
            <w:noProof/>
            <w:webHidden/>
          </w:rPr>
          <w:instrText xml:space="preserve"> PAGEREF _Toc490131685 \h </w:instrText>
        </w:r>
        <w:r w:rsidR="001872DC">
          <w:rPr>
            <w:noProof/>
            <w:webHidden/>
          </w:rPr>
        </w:r>
        <w:r w:rsidR="001872DC">
          <w:rPr>
            <w:noProof/>
            <w:webHidden/>
          </w:rPr>
          <w:fldChar w:fldCharType="separate"/>
        </w:r>
        <w:r w:rsidR="000C5FC3">
          <w:rPr>
            <w:noProof/>
            <w:webHidden/>
          </w:rPr>
          <w:t>80</w:t>
        </w:r>
        <w:r w:rsidR="001872DC">
          <w:rPr>
            <w:noProof/>
            <w:webHidden/>
          </w:rPr>
          <w:fldChar w:fldCharType="end"/>
        </w:r>
      </w:hyperlink>
    </w:p>
    <w:p w:rsidR="001872DC" w:rsidRDefault="00B920BD" w:rsidP="001872DC">
      <w:pPr>
        <w:pStyle w:val="TableofFigures"/>
        <w:tabs>
          <w:tab w:val="right" w:leader="dot" w:pos="8486"/>
        </w:tabs>
        <w:spacing w:after="240"/>
        <w:rPr>
          <w:rFonts w:asciiTheme="minorHAnsi" w:eastAsiaTheme="minorEastAsia" w:hAnsiTheme="minorHAnsi" w:cstheme="minorBidi"/>
          <w:noProof/>
          <w:sz w:val="22"/>
          <w:szCs w:val="22"/>
        </w:rPr>
      </w:pPr>
      <w:hyperlink w:anchor="_Toc490131686" w:history="1">
        <w:r w:rsidR="001872DC" w:rsidRPr="00B61363">
          <w:rPr>
            <w:rStyle w:val="Hyperlink"/>
            <w:noProof/>
          </w:rPr>
          <w:t>Table 3</w:t>
        </w:r>
        <w:r w:rsidR="001872DC" w:rsidRPr="00B61363">
          <w:rPr>
            <w:rStyle w:val="Hyperlink"/>
            <w:noProof/>
          </w:rPr>
          <w:noBreakHyphen/>
          <w:t>2</w:t>
        </w:r>
        <w:r w:rsidR="001872DC" w:rsidRPr="00B61363">
          <w:rPr>
            <w:rStyle w:val="Hyperlink"/>
            <w:rFonts w:eastAsia="Times New Roman" w:cs="Times New Roman"/>
            <w:noProof/>
          </w:rPr>
          <w:t xml:space="preserve"> Compositions of EMPA/SIMS glass standards</w:t>
        </w:r>
        <w:r w:rsidR="001872DC">
          <w:rPr>
            <w:noProof/>
            <w:webHidden/>
          </w:rPr>
          <w:tab/>
        </w:r>
        <w:r w:rsidR="001872DC">
          <w:rPr>
            <w:noProof/>
            <w:webHidden/>
          </w:rPr>
          <w:fldChar w:fldCharType="begin"/>
        </w:r>
        <w:r w:rsidR="001872DC">
          <w:rPr>
            <w:noProof/>
            <w:webHidden/>
          </w:rPr>
          <w:instrText xml:space="preserve"> PAGEREF _Toc490131686 \h </w:instrText>
        </w:r>
        <w:r w:rsidR="001872DC">
          <w:rPr>
            <w:noProof/>
            <w:webHidden/>
          </w:rPr>
        </w:r>
        <w:r w:rsidR="001872DC">
          <w:rPr>
            <w:noProof/>
            <w:webHidden/>
          </w:rPr>
          <w:fldChar w:fldCharType="separate"/>
        </w:r>
        <w:r w:rsidR="000C5FC3">
          <w:rPr>
            <w:noProof/>
            <w:webHidden/>
          </w:rPr>
          <w:t>81</w:t>
        </w:r>
        <w:r w:rsidR="001872DC">
          <w:rPr>
            <w:noProof/>
            <w:webHidden/>
          </w:rPr>
          <w:fldChar w:fldCharType="end"/>
        </w:r>
      </w:hyperlink>
    </w:p>
    <w:p w:rsidR="001872DC" w:rsidRDefault="00B920BD" w:rsidP="001872DC">
      <w:pPr>
        <w:pStyle w:val="TableofFigures"/>
        <w:tabs>
          <w:tab w:val="right" w:leader="dot" w:pos="8486"/>
        </w:tabs>
        <w:spacing w:after="240"/>
        <w:rPr>
          <w:rFonts w:asciiTheme="minorHAnsi" w:eastAsiaTheme="minorEastAsia" w:hAnsiTheme="minorHAnsi" w:cstheme="minorBidi"/>
          <w:noProof/>
          <w:sz w:val="22"/>
          <w:szCs w:val="22"/>
        </w:rPr>
      </w:pPr>
      <w:hyperlink w:anchor="_Toc490131687" w:history="1">
        <w:r w:rsidR="001872DC" w:rsidRPr="00B61363">
          <w:rPr>
            <w:rStyle w:val="Hyperlink"/>
            <w:noProof/>
          </w:rPr>
          <w:t>Table 3</w:t>
        </w:r>
        <w:r w:rsidR="001872DC" w:rsidRPr="00B61363">
          <w:rPr>
            <w:rStyle w:val="Hyperlink"/>
            <w:noProof/>
          </w:rPr>
          <w:noBreakHyphen/>
          <w:t>3</w:t>
        </w:r>
        <w:r w:rsidR="001872DC" w:rsidRPr="00B61363">
          <w:rPr>
            <w:rStyle w:val="Hyperlink"/>
            <w:rFonts w:eastAsia="Times New Roman" w:cs="Times New Roman"/>
            <w:noProof/>
          </w:rPr>
          <w:t xml:space="preserve"> Effective binary diffusion coefficients for boron</w:t>
        </w:r>
        <w:r w:rsidR="001872DC">
          <w:rPr>
            <w:noProof/>
            <w:webHidden/>
          </w:rPr>
          <w:tab/>
        </w:r>
        <w:r w:rsidR="001872DC">
          <w:rPr>
            <w:noProof/>
            <w:webHidden/>
          </w:rPr>
          <w:fldChar w:fldCharType="begin"/>
        </w:r>
        <w:r w:rsidR="001872DC">
          <w:rPr>
            <w:noProof/>
            <w:webHidden/>
          </w:rPr>
          <w:instrText xml:space="preserve"> PAGEREF _Toc490131687 \h </w:instrText>
        </w:r>
        <w:r w:rsidR="001872DC">
          <w:rPr>
            <w:noProof/>
            <w:webHidden/>
          </w:rPr>
        </w:r>
        <w:r w:rsidR="001872DC">
          <w:rPr>
            <w:noProof/>
            <w:webHidden/>
          </w:rPr>
          <w:fldChar w:fldCharType="separate"/>
        </w:r>
        <w:r w:rsidR="000C5FC3">
          <w:rPr>
            <w:noProof/>
            <w:webHidden/>
          </w:rPr>
          <w:t>82</w:t>
        </w:r>
        <w:r w:rsidR="001872DC">
          <w:rPr>
            <w:noProof/>
            <w:webHidden/>
          </w:rPr>
          <w:fldChar w:fldCharType="end"/>
        </w:r>
      </w:hyperlink>
    </w:p>
    <w:p w:rsidR="001872DC" w:rsidRDefault="00B920BD" w:rsidP="001872DC">
      <w:pPr>
        <w:pStyle w:val="TableofFigures"/>
        <w:tabs>
          <w:tab w:val="right" w:leader="dot" w:pos="8486"/>
        </w:tabs>
        <w:spacing w:after="240"/>
        <w:rPr>
          <w:rFonts w:asciiTheme="minorHAnsi" w:eastAsiaTheme="minorEastAsia" w:hAnsiTheme="minorHAnsi" w:cstheme="minorBidi"/>
          <w:noProof/>
          <w:sz w:val="22"/>
          <w:szCs w:val="22"/>
        </w:rPr>
      </w:pPr>
      <w:hyperlink w:anchor="_Toc490131688" w:history="1">
        <w:r w:rsidR="001872DC" w:rsidRPr="00B61363">
          <w:rPr>
            <w:rStyle w:val="Hyperlink"/>
            <w:noProof/>
          </w:rPr>
          <w:t>Table 3</w:t>
        </w:r>
        <w:r w:rsidR="001872DC" w:rsidRPr="00B61363">
          <w:rPr>
            <w:rStyle w:val="Hyperlink"/>
            <w:noProof/>
          </w:rPr>
          <w:noBreakHyphen/>
          <w:t>4</w:t>
        </w:r>
        <w:r w:rsidR="001872DC" w:rsidRPr="00B61363">
          <w:rPr>
            <w:rStyle w:val="Hyperlink"/>
            <w:rFonts w:eastAsia="Times New Roman" w:cs="Times New Roman"/>
            <w:noProof/>
          </w:rPr>
          <w:t xml:space="preserve"> Self diffusivities of boron isotopes</w:t>
        </w:r>
        <w:r w:rsidR="001872DC">
          <w:rPr>
            <w:noProof/>
            <w:webHidden/>
          </w:rPr>
          <w:tab/>
        </w:r>
        <w:r w:rsidR="001872DC">
          <w:rPr>
            <w:noProof/>
            <w:webHidden/>
          </w:rPr>
          <w:fldChar w:fldCharType="begin"/>
        </w:r>
        <w:r w:rsidR="001872DC">
          <w:rPr>
            <w:noProof/>
            <w:webHidden/>
          </w:rPr>
          <w:instrText xml:space="preserve"> PAGEREF _Toc490131688 \h </w:instrText>
        </w:r>
        <w:r w:rsidR="001872DC">
          <w:rPr>
            <w:noProof/>
            <w:webHidden/>
          </w:rPr>
        </w:r>
        <w:r w:rsidR="001872DC">
          <w:rPr>
            <w:noProof/>
            <w:webHidden/>
          </w:rPr>
          <w:fldChar w:fldCharType="separate"/>
        </w:r>
        <w:r w:rsidR="000C5FC3">
          <w:rPr>
            <w:noProof/>
            <w:webHidden/>
          </w:rPr>
          <w:t>83</w:t>
        </w:r>
        <w:r w:rsidR="001872DC">
          <w:rPr>
            <w:noProof/>
            <w:webHidden/>
          </w:rPr>
          <w:fldChar w:fldCharType="end"/>
        </w:r>
      </w:hyperlink>
    </w:p>
    <w:p w:rsidR="001872DC" w:rsidRDefault="00B920BD" w:rsidP="001872DC">
      <w:pPr>
        <w:pStyle w:val="TableofFigures"/>
        <w:tabs>
          <w:tab w:val="right" w:leader="dot" w:pos="8486"/>
        </w:tabs>
        <w:spacing w:after="240"/>
        <w:rPr>
          <w:rFonts w:asciiTheme="minorHAnsi" w:eastAsiaTheme="minorEastAsia" w:hAnsiTheme="minorHAnsi" w:cstheme="minorBidi"/>
          <w:noProof/>
          <w:sz w:val="22"/>
          <w:szCs w:val="22"/>
        </w:rPr>
      </w:pPr>
      <w:hyperlink w:anchor="_Toc490131689" w:history="1">
        <w:r w:rsidR="001872DC" w:rsidRPr="00B61363">
          <w:rPr>
            <w:rStyle w:val="Hyperlink"/>
            <w:noProof/>
          </w:rPr>
          <w:t>Table 4</w:t>
        </w:r>
        <w:r w:rsidR="001872DC" w:rsidRPr="00B61363">
          <w:rPr>
            <w:rStyle w:val="Hyperlink"/>
            <w:noProof/>
          </w:rPr>
          <w:noBreakHyphen/>
          <w:t>1</w:t>
        </w:r>
        <w:r w:rsidR="001872DC" w:rsidRPr="00B61363">
          <w:rPr>
            <w:rStyle w:val="Hyperlink"/>
            <w:rFonts w:eastAsia="Times New Roman" w:cs="Times New Roman"/>
            <w:noProof/>
          </w:rPr>
          <w:t xml:space="preserve"> Compositions of Starting Materials (SMs)</w:t>
        </w:r>
        <w:r w:rsidR="001872DC">
          <w:rPr>
            <w:noProof/>
            <w:webHidden/>
          </w:rPr>
          <w:tab/>
        </w:r>
        <w:r w:rsidR="001872DC">
          <w:rPr>
            <w:noProof/>
            <w:webHidden/>
          </w:rPr>
          <w:fldChar w:fldCharType="begin"/>
        </w:r>
        <w:r w:rsidR="001872DC">
          <w:rPr>
            <w:noProof/>
            <w:webHidden/>
          </w:rPr>
          <w:instrText xml:space="preserve"> PAGEREF _Toc490131689 \h </w:instrText>
        </w:r>
        <w:r w:rsidR="001872DC">
          <w:rPr>
            <w:noProof/>
            <w:webHidden/>
          </w:rPr>
        </w:r>
        <w:r w:rsidR="001872DC">
          <w:rPr>
            <w:noProof/>
            <w:webHidden/>
          </w:rPr>
          <w:fldChar w:fldCharType="separate"/>
        </w:r>
        <w:r w:rsidR="000C5FC3">
          <w:rPr>
            <w:noProof/>
            <w:webHidden/>
          </w:rPr>
          <w:t>110</w:t>
        </w:r>
        <w:r w:rsidR="001872DC">
          <w:rPr>
            <w:noProof/>
            <w:webHidden/>
          </w:rPr>
          <w:fldChar w:fldCharType="end"/>
        </w:r>
      </w:hyperlink>
    </w:p>
    <w:p w:rsidR="001872DC" w:rsidRDefault="00B920BD" w:rsidP="001872DC">
      <w:pPr>
        <w:pStyle w:val="TableofFigures"/>
        <w:tabs>
          <w:tab w:val="right" w:leader="dot" w:pos="8486"/>
        </w:tabs>
        <w:spacing w:after="240"/>
        <w:rPr>
          <w:rFonts w:asciiTheme="minorHAnsi" w:eastAsiaTheme="minorEastAsia" w:hAnsiTheme="minorHAnsi" w:cstheme="minorBidi"/>
          <w:noProof/>
          <w:sz w:val="22"/>
          <w:szCs w:val="22"/>
        </w:rPr>
      </w:pPr>
      <w:hyperlink w:anchor="_Toc490131690" w:history="1">
        <w:r w:rsidR="001872DC" w:rsidRPr="00B61363">
          <w:rPr>
            <w:rStyle w:val="Hyperlink"/>
            <w:noProof/>
          </w:rPr>
          <w:t>Table 4</w:t>
        </w:r>
        <w:r w:rsidR="001872DC" w:rsidRPr="00B61363">
          <w:rPr>
            <w:rStyle w:val="Hyperlink"/>
            <w:noProof/>
          </w:rPr>
          <w:noBreakHyphen/>
          <w:t>2</w:t>
        </w:r>
        <w:r w:rsidR="001872DC" w:rsidRPr="00B61363">
          <w:rPr>
            <w:rStyle w:val="Hyperlink"/>
            <w:rFonts w:eastAsia="Times New Roman" w:cs="Times New Roman"/>
            <w:noProof/>
          </w:rPr>
          <w:t xml:space="preserve"> P-T conditions for experiments and masses of glass and water</w:t>
        </w:r>
        <w:r w:rsidR="001872DC">
          <w:rPr>
            <w:noProof/>
            <w:webHidden/>
          </w:rPr>
          <w:tab/>
        </w:r>
        <w:r w:rsidR="001872DC">
          <w:rPr>
            <w:noProof/>
            <w:webHidden/>
          </w:rPr>
          <w:fldChar w:fldCharType="begin"/>
        </w:r>
        <w:r w:rsidR="001872DC">
          <w:rPr>
            <w:noProof/>
            <w:webHidden/>
          </w:rPr>
          <w:instrText xml:space="preserve"> PAGEREF _Toc490131690 \h </w:instrText>
        </w:r>
        <w:r w:rsidR="001872DC">
          <w:rPr>
            <w:noProof/>
            <w:webHidden/>
          </w:rPr>
        </w:r>
        <w:r w:rsidR="001872DC">
          <w:rPr>
            <w:noProof/>
            <w:webHidden/>
          </w:rPr>
          <w:fldChar w:fldCharType="separate"/>
        </w:r>
        <w:r w:rsidR="000C5FC3">
          <w:rPr>
            <w:noProof/>
            <w:webHidden/>
          </w:rPr>
          <w:t>111</w:t>
        </w:r>
        <w:r w:rsidR="001872DC">
          <w:rPr>
            <w:noProof/>
            <w:webHidden/>
          </w:rPr>
          <w:fldChar w:fldCharType="end"/>
        </w:r>
      </w:hyperlink>
    </w:p>
    <w:p w:rsidR="001872DC" w:rsidRDefault="00B920BD" w:rsidP="001872DC">
      <w:pPr>
        <w:pStyle w:val="TableofFigures"/>
        <w:tabs>
          <w:tab w:val="right" w:leader="dot" w:pos="8486"/>
        </w:tabs>
        <w:spacing w:after="240"/>
        <w:rPr>
          <w:rFonts w:asciiTheme="minorHAnsi" w:eastAsiaTheme="minorEastAsia" w:hAnsiTheme="minorHAnsi" w:cstheme="minorBidi"/>
          <w:noProof/>
          <w:sz w:val="22"/>
          <w:szCs w:val="22"/>
        </w:rPr>
      </w:pPr>
      <w:hyperlink w:anchor="_Toc490131691" w:history="1">
        <w:r w:rsidR="001872DC" w:rsidRPr="00B61363">
          <w:rPr>
            <w:rStyle w:val="Hyperlink"/>
            <w:noProof/>
          </w:rPr>
          <w:t>Table 4</w:t>
        </w:r>
        <w:r w:rsidR="001872DC" w:rsidRPr="00B61363">
          <w:rPr>
            <w:rStyle w:val="Hyperlink"/>
            <w:noProof/>
          </w:rPr>
          <w:noBreakHyphen/>
          <w:t>3</w:t>
        </w:r>
        <w:r w:rsidR="001872DC" w:rsidRPr="00B61363">
          <w:rPr>
            <w:rStyle w:val="Hyperlink"/>
            <w:rFonts w:eastAsia="Times New Roman" w:cs="Times New Roman"/>
            <w:noProof/>
          </w:rPr>
          <w:t xml:space="preserve"> Chemical composition of glass products</w:t>
        </w:r>
        <w:r w:rsidR="001872DC">
          <w:rPr>
            <w:noProof/>
            <w:webHidden/>
          </w:rPr>
          <w:tab/>
        </w:r>
        <w:r w:rsidR="001872DC">
          <w:rPr>
            <w:noProof/>
            <w:webHidden/>
          </w:rPr>
          <w:fldChar w:fldCharType="begin"/>
        </w:r>
        <w:r w:rsidR="001872DC">
          <w:rPr>
            <w:noProof/>
            <w:webHidden/>
          </w:rPr>
          <w:instrText xml:space="preserve"> PAGEREF _Toc490131691 \h </w:instrText>
        </w:r>
        <w:r w:rsidR="001872DC">
          <w:rPr>
            <w:noProof/>
            <w:webHidden/>
          </w:rPr>
        </w:r>
        <w:r w:rsidR="001872DC">
          <w:rPr>
            <w:noProof/>
            <w:webHidden/>
          </w:rPr>
          <w:fldChar w:fldCharType="separate"/>
        </w:r>
        <w:r w:rsidR="000C5FC3">
          <w:rPr>
            <w:noProof/>
            <w:webHidden/>
          </w:rPr>
          <w:t>112</w:t>
        </w:r>
        <w:r w:rsidR="001872DC">
          <w:rPr>
            <w:noProof/>
            <w:webHidden/>
          </w:rPr>
          <w:fldChar w:fldCharType="end"/>
        </w:r>
      </w:hyperlink>
    </w:p>
    <w:p w:rsidR="001872DC" w:rsidRDefault="00B920BD" w:rsidP="001872DC">
      <w:pPr>
        <w:pStyle w:val="TableofFigures"/>
        <w:tabs>
          <w:tab w:val="right" w:leader="dot" w:pos="8486"/>
        </w:tabs>
        <w:spacing w:after="240"/>
        <w:rPr>
          <w:rFonts w:asciiTheme="minorHAnsi" w:eastAsiaTheme="minorEastAsia" w:hAnsiTheme="minorHAnsi" w:cstheme="minorBidi"/>
          <w:noProof/>
          <w:sz w:val="22"/>
          <w:szCs w:val="22"/>
        </w:rPr>
      </w:pPr>
      <w:hyperlink w:anchor="_Toc490131692" w:history="1">
        <w:r w:rsidR="001872DC" w:rsidRPr="00B61363">
          <w:rPr>
            <w:rStyle w:val="Hyperlink"/>
            <w:noProof/>
          </w:rPr>
          <w:t>Table 4</w:t>
        </w:r>
        <w:r w:rsidR="001872DC" w:rsidRPr="00B61363">
          <w:rPr>
            <w:rStyle w:val="Hyperlink"/>
            <w:noProof/>
          </w:rPr>
          <w:noBreakHyphen/>
          <w:t>4</w:t>
        </w:r>
        <w:r w:rsidR="001872DC" w:rsidRPr="00B61363">
          <w:rPr>
            <w:rStyle w:val="Hyperlink"/>
            <w:rFonts w:eastAsia="Times New Roman" w:cs="Times New Roman"/>
            <w:noProof/>
          </w:rPr>
          <w:t xml:space="preserve"> Boron isotopic fractionation factors and partition coefficients</w:t>
        </w:r>
        <w:r w:rsidR="001872DC">
          <w:rPr>
            <w:noProof/>
            <w:webHidden/>
          </w:rPr>
          <w:tab/>
        </w:r>
        <w:r w:rsidR="001872DC">
          <w:rPr>
            <w:noProof/>
            <w:webHidden/>
          </w:rPr>
          <w:fldChar w:fldCharType="begin"/>
        </w:r>
        <w:r w:rsidR="001872DC">
          <w:rPr>
            <w:noProof/>
            <w:webHidden/>
          </w:rPr>
          <w:instrText xml:space="preserve"> PAGEREF _Toc490131692 \h </w:instrText>
        </w:r>
        <w:r w:rsidR="001872DC">
          <w:rPr>
            <w:noProof/>
            <w:webHidden/>
          </w:rPr>
        </w:r>
        <w:r w:rsidR="001872DC">
          <w:rPr>
            <w:noProof/>
            <w:webHidden/>
          </w:rPr>
          <w:fldChar w:fldCharType="separate"/>
        </w:r>
        <w:r w:rsidR="000C5FC3">
          <w:rPr>
            <w:noProof/>
            <w:webHidden/>
          </w:rPr>
          <w:t>113</w:t>
        </w:r>
        <w:r w:rsidR="001872DC">
          <w:rPr>
            <w:noProof/>
            <w:webHidden/>
          </w:rPr>
          <w:fldChar w:fldCharType="end"/>
        </w:r>
      </w:hyperlink>
    </w:p>
    <w:p w:rsidR="001872DC" w:rsidRDefault="00B920BD" w:rsidP="001872DC">
      <w:pPr>
        <w:pStyle w:val="TableofFigures"/>
        <w:tabs>
          <w:tab w:val="right" w:leader="dot" w:pos="8486"/>
        </w:tabs>
        <w:spacing w:after="240"/>
        <w:rPr>
          <w:rFonts w:asciiTheme="minorHAnsi" w:eastAsiaTheme="minorEastAsia" w:hAnsiTheme="minorHAnsi" w:cstheme="minorBidi"/>
          <w:noProof/>
          <w:sz w:val="22"/>
          <w:szCs w:val="22"/>
        </w:rPr>
      </w:pPr>
      <w:hyperlink w:anchor="_Toc490131693" w:history="1">
        <w:r w:rsidR="001872DC" w:rsidRPr="00B61363">
          <w:rPr>
            <w:rStyle w:val="Hyperlink"/>
            <w:noProof/>
          </w:rPr>
          <w:t>Table 5</w:t>
        </w:r>
        <w:r w:rsidR="001872DC" w:rsidRPr="00B61363">
          <w:rPr>
            <w:rStyle w:val="Hyperlink"/>
            <w:noProof/>
          </w:rPr>
          <w:noBreakHyphen/>
          <w:t>1</w:t>
        </w:r>
        <w:r w:rsidR="001872DC" w:rsidRPr="00B61363">
          <w:rPr>
            <w:rStyle w:val="Hyperlink"/>
            <w:rFonts w:eastAsia="Times New Roman" w:cs="Times New Roman"/>
            <w:noProof/>
          </w:rPr>
          <w:t xml:space="preserve"> Compositions of Starting Materials</w:t>
        </w:r>
        <w:r w:rsidR="001872DC">
          <w:rPr>
            <w:noProof/>
            <w:webHidden/>
          </w:rPr>
          <w:tab/>
        </w:r>
        <w:r w:rsidR="001872DC">
          <w:rPr>
            <w:noProof/>
            <w:webHidden/>
          </w:rPr>
          <w:fldChar w:fldCharType="begin"/>
        </w:r>
        <w:r w:rsidR="001872DC">
          <w:rPr>
            <w:noProof/>
            <w:webHidden/>
          </w:rPr>
          <w:instrText xml:space="preserve"> PAGEREF _Toc490131693 \h </w:instrText>
        </w:r>
        <w:r w:rsidR="001872DC">
          <w:rPr>
            <w:noProof/>
            <w:webHidden/>
          </w:rPr>
        </w:r>
        <w:r w:rsidR="001872DC">
          <w:rPr>
            <w:noProof/>
            <w:webHidden/>
          </w:rPr>
          <w:fldChar w:fldCharType="separate"/>
        </w:r>
        <w:r w:rsidR="000C5FC3">
          <w:rPr>
            <w:noProof/>
            <w:webHidden/>
          </w:rPr>
          <w:t>141</w:t>
        </w:r>
        <w:r w:rsidR="001872DC">
          <w:rPr>
            <w:noProof/>
            <w:webHidden/>
          </w:rPr>
          <w:fldChar w:fldCharType="end"/>
        </w:r>
      </w:hyperlink>
    </w:p>
    <w:p w:rsidR="001872DC" w:rsidRDefault="00B920BD" w:rsidP="001872DC">
      <w:pPr>
        <w:pStyle w:val="TableofFigures"/>
        <w:tabs>
          <w:tab w:val="right" w:leader="dot" w:pos="8486"/>
        </w:tabs>
        <w:spacing w:after="240"/>
        <w:rPr>
          <w:rFonts w:asciiTheme="minorHAnsi" w:eastAsiaTheme="minorEastAsia" w:hAnsiTheme="minorHAnsi" w:cstheme="minorBidi"/>
          <w:noProof/>
          <w:sz w:val="22"/>
          <w:szCs w:val="22"/>
        </w:rPr>
      </w:pPr>
      <w:hyperlink w:anchor="_Toc490131694" w:history="1">
        <w:r w:rsidR="001872DC" w:rsidRPr="00B61363">
          <w:rPr>
            <w:rStyle w:val="Hyperlink"/>
            <w:noProof/>
          </w:rPr>
          <w:t>Table 5</w:t>
        </w:r>
        <w:r w:rsidR="001872DC" w:rsidRPr="00B61363">
          <w:rPr>
            <w:rStyle w:val="Hyperlink"/>
            <w:noProof/>
          </w:rPr>
          <w:noBreakHyphen/>
          <w:t>2</w:t>
        </w:r>
        <w:r w:rsidR="001872DC" w:rsidRPr="00B61363">
          <w:rPr>
            <w:rStyle w:val="Hyperlink"/>
            <w:rFonts w:eastAsia="Times New Roman" w:cs="Times New Roman"/>
            <w:noProof/>
          </w:rPr>
          <w:t xml:space="preserve"> Garnet (Grt) compositions</w:t>
        </w:r>
        <w:r w:rsidR="001872DC">
          <w:rPr>
            <w:noProof/>
            <w:webHidden/>
          </w:rPr>
          <w:tab/>
        </w:r>
        <w:r w:rsidR="001872DC">
          <w:rPr>
            <w:noProof/>
            <w:webHidden/>
          </w:rPr>
          <w:fldChar w:fldCharType="begin"/>
        </w:r>
        <w:r w:rsidR="001872DC">
          <w:rPr>
            <w:noProof/>
            <w:webHidden/>
          </w:rPr>
          <w:instrText xml:space="preserve"> PAGEREF _Toc490131694 \h </w:instrText>
        </w:r>
        <w:r w:rsidR="001872DC">
          <w:rPr>
            <w:noProof/>
            <w:webHidden/>
          </w:rPr>
        </w:r>
        <w:r w:rsidR="001872DC">
          <w:rPr>
            <w:noProof/>
            <w:webHidden/>
          </w:rPr>
          <w:fldChar w:fldCharType="separate"/>
        </w:r>
        <w:r w:rsidR="000C5FC3">
          <w:rPr>
            <w:noProof/>
            <w:webHidden/>
          </w:rPr>
          <w:t>142</w:t>
        </w:r>
        <w:r w:rsidR="001872DC">
          <w:rPr>
            <w:noProof/>
            <w:webHidden/>
          </w:rPr>
          <w:fldChar w:fldCharType="end"/>
        </w:r>
      </w:hyperlink>
    </w:p>
    <w:p w:rsidR="001872DC" w:rsidRDefault="00B920BD" w:rsidP="001872DC">
      <w:pPr>
        <w:pStyle w:val="TableofFigures"/>
        <w:tabs>
          <w:tab w:val="right" w:leader="dot" w:pos="8486"/>
        </w:tabs>
        <w:spacing w:after="240"/>
        <w:rPr>
          <w:rFonts w:asciiTheme="minorHAnsi" w:eastAsiaTheme="minorEastAsia" w:hAnsiTheme="minorHAnsi" w:cstheme="minorBidi"/>
          <w:noProof/>
          <w:sz w:val="22"/>
          <w:szCs w:val="22"/>
        </w:rPr>
      </w:pPr>
      <w:hyperlink w:anchor="_Toc490131695" w:history="1">
        <w:r w:rsidR="001872DC" w:rsidRPr="00B61363">
          <w:rPr>
            <w:rStyle w:val="Hyperlink"/>
            <w:noProof/>
          </w:rPr>
          <w:t>Table 5</w:t>
        </w:r>
        <w:r w:rsidR="001872DC" w:rsidRPr="00B61363">
          <w:rPr>
            <w:rStyle w:val="Hyperlink"/>
            <w:noProof/>
          </w:rPr>
          <w:noBreakHyphen/>
          <w:t>3</w:t>
        </w:r>
        <w:r w:rsidR="001872DC" w:rsidRPr="00B61363">
          <w:rPr>
            <w:rStyle w:val="Hyperlink"/>
            <w:rFonts w:eastAsia="Times New Roman" w:cs="Times New Roman"/>
            <w:noProof/>
          </w:rPr>
          <w:t xml:space="preserve"> Tourmaline (tur) compositions</w:t>
        </w:r>
        <w:r w:rsidR="001872DC">
          <w:rPr>
            <w:noProof/>
            <w:webHidden/>
          </w:rPr>
          <w:tab/>
        </w:r>
        <w:r w:rsidR="001872DC">
          <w:rPr>
            <w:noProof/>
            <w:webHidden/>
          </w:rPr>
          <w:fldChar w:fldCharType="begin"/>
        </w:r>
        <w:r w:rsidR="001872DC">
          <w:rPr>
            <w:noProof/>
            <w:webHidden/>
          </w:rPr>
          <w:instrText xml:space="preserve"> PAGEREF _Toc490131695 \h </w:instrText>
        </w:r>
        <w:r w:rsidR="001872DC">
          <w:rPr>
            <w:noProof/>
            <w:webHidden/>
          </w:rPr>
        </w:r>
        <w:r w:rsidR="001872DC">
          <w:rPr>
            <w:noProof/>
            <w:webHidden/>
          </w:rPr>
          <w:fldChar w:fldCharType="separate"/>
        </w:r>
        <w:r w:rsidR="000C5FC3">
          <w:rPr>
            <w:noProof/>
            <w:webHidden/>
          </w:rPr>
          <w:t>144</w:t>
        </w:r>
        <w:r w:rsidR="001872DC">
          <w:rPr>
            <w:noProof/>
            <w:webHidden/>
          </w:rPr>
          <w:fldChar w:fldCharType="end"/>
        </w:r>
      </w:hyperlink>
    </w:p>
    <w:p w:rsidR="001872DC" w:rsidRDefault="00B920BD" w:rsidP="001872DC">
      <w:pPr>
        <w:pStyle w:val="TableofFigures"/>
        <w:tabs>
          <w:tab w:val="right" w:leader="dot" w:pos="8486"/>
        </w:tabs>
        <w:spacing w:after="240"/>
        <w:rPr>
          <w:rFonts w:asciiTheme="minorHAnsi" w:eastAsiaTheme="minorEastAsia" w:hAnsiTheme="minorHAnsi" w:cstheme="minorBidi"/>
          <w:noProof/>
          <w:sz w:val="22"/>
          <w:szCs w:val="22"/>
        </w:rPr>
      </w:pPr>
      <w:hyperlink w:anchor="_Toc490131696" w:history="1">
        <w:r w:rsidR="001872DC" w:rsidRPr="00B61363">
          <w:rPr>
            <w:rStyle w:val="Hyperlink"/>
            <w:noProof/>
          </w:rPr>
          <w:t>Table 5</w:t>
        </w:r>
        <w:r w:rsidR="001872DC" w:rsidRPr="00B61363">
          <w:rPr>
            <w:rStyle w:val="Hyperlink"/>
            <w:noProof/>
          </w:rPr>
          <w:noBreakHyphen/>
          <w:t>4</w:t>
        </w:r>
        <w:r w:rsidR="001872DC" w:rsidRPr="00B61363">
          <w:rPr>
            <w:rStyle w:val="Hyperlink"/>
            <w:rFonts w:eastAsia="Times New Roman" w:cs="Times New Roman"/>
            <w:noProof/>
          </w:rPr>
          <w:t xml:space="preserve"> Cordierite (Crd) compositions</w:t>
        </w:r>
        <w:r w:rsidR="001872DC">
          <w:rPr>
            <w:noProof/>
            <w:webHidden/>
          </w:rPr>
          <w:tab/>
        </w:r>
        <w:r w:rsidR="001872DC">
          <w:rPr>
            <w:noProof/>
            <w:webHidden/>
          </w:rPr>
          <w:fldChar w:fldCharType="begin"/>
        </w:r>
        <w:r w:rsidR="001872DC">
          <w:rPr>
            <w:noProof/>
            <w:webHidden/>
          </w:rPr>
          <w:instrText xml:space="preserve"> PAGEREF _Toc490131696 \h </w:instrText>
        </w:r>
        <w:r w:rsidR="001872DC">
          <w:rPr>
            <w:noProof/>
            <w:webHidden/>
          </w:rPr>
        </w:r>
        <w:r w:rsidR="001872DC">
          <w:rPr>
            <w:noProof/>
            <w:webHidden/>
          </w:rPr>
          <w:fldChar w:fldCharType="separate"/>
        </w:r>
        <w:r w:rsidR="000C5FC3">
          <w:rPr>
            <w:noProof/>
            <w:webHidden/>
          </w:rPr>
          <w:t>148</w:t>
        </w:r>
        <w:r w:rsidR="001872DC">
          <w:rPr>
            <w:noProof/>
            <w:webHidden/>
          </w:rPr>
          <w:fldChar w:fldCharType="end"/>
        </w:r>
      </w:hyperlink>
    </w:p>
    <w:p w:rsidR="001872DC" w:rsidRDefault="00B920BD" w:rsidP="001872DC">
      <w:pPr>
        <w:pStyle w:val="TableofFigures"/>
        <w:tabs>
          <w:tab w:val="right" w:leader="dot" w:pos="8486"/>
        </w:tabs>
        <w:spacing w:after="240"/>
        <w:rPr>
          <w:rFonts w:asciiTheme="minorHAnsi" w:eastAsiaTheme="minorEastAsia" w:hAnsiTheme="minorHAnsi" w:cstheme="minorBidi"/>
          <w:noProof/>
          <w:sz w:val="22"/>
          <w:szCs w:val="22"/>
        </w:rPr>
      </w:pPr>
      <w:hyperlink r:id="rId8" w:anchor="_Toc490131697" w:history="1">
        <w:r w:rsidR="001872DC" w:rsidRPr="00B61363">
          <w:rPr>
            <w:rStyle w:val="Hyperlink"/>
            <w:noProof/>
          </w:rPr>
          <w:t>Table 5</w:t>
        </w:r>
        <w:r w:rsidR="001872DC" w:rsidRPr="00B61363">
          <w:rPr>
            <w:rStyle w:val="Hyperlink"/>
            <w:noProof/>
          </w:rPr>
          <w:noBreakHyphen/>
          <w:t>5 EMPA Summary of Glasses</w:t>
        </w:r>
        <w:r w:rsidR="001872DC">
          <w:rPr>
            <w:noProof/>
            <w:webHidden/>
          </w:rPr>
          <w:tab/>
        </w:r>
        <w:r w:rsidR="001872DC">
          <w:rPr>
            <w:noProof/>
            <w:webHidden/>
          </w:rPr>
          <w:fldChar w:fldCharType="begin"/>
        </w:r>
        <w:r w:rsidR="001872DC">
          <w:rPr>
            <w:noProof/>
            <w:webHidden/>
          </w:rPr>
          <w:instrText xml:space="preserve"> PAGEREF _Toc490131697 \h </w:instrText>
        </w:r>
        <w:r w:rsidR="001872DC">
          <w:rPr>
            <w:noProof/>
            <w:webHidden/>
          </w:rPr>
        </w:r>
        <w:r w:rsidR="001872DC">
          <w:rPr>
            <w:noProof/>
            <w:webHidden/>
          </w:rPr>
          <w:fldChar w:fldCharType="separate"/>
        </w:r>
        <w:r w:rsidR="000C5FC3">
          <w:rPr>
            <w:noProof/>
            <w:webHidden/>
          </w:rPr>
          <w:t>150</w:t>
        </w:r>
        <w:r w:rsidR="001872DC">
          <w:rPr>
            <w:noProof/>
            <w:webHidden/>
          </w:rPr>
          <w:fldChar w:fldCharType="end"/>
        </w:r>
      </w:hyperlink>
    </w:p>
    <w:p w:rsidR="001872DC" w:rsidRDefault="00B920BD" w:rsidP="001872DC">
      <w:pPr>
        <w:pStyle w:val="TableofFigures"/>
        <w:tabs>
          <w:tab w:val="right" w:leader="dot" w:pos="8486"/>
        </w:tabs>
        <w:spacing w:after="240"/>
        <w:rPr>
          <w:rFonts w:asciiTheme="minorHAnsi" w:eastAsiaTheme="minorEastAsia" w:hAnsiTheme="minorHAnsi" w:cstheme="minorBidi"/>
          <w:noProof/>
          <w:sz w:val="22"/>
          <w:szCs w:val="22"/>
        </w:rPr>
      </w:pPr>
      <w:hyperlink w:anchor="_Toc490131698" w:history="1">
        <w:r w:rsidR="001872DC" w:rsidRPr="00B61363">
          <w:rPr>
            <w:rStyle w:val="Hyperlink"/>
            <w:noProof/>
          </w:rPr>
          <w:t>Table 5</w:t>
        </w:r>
        <w:r w:rsidR="001872DC" w:rsidRPr="00B61363">
          <w:rPr>
            <w:rStyle w:val="Hyperlink"/>
            <w:noProof/>
          </w:rPr>
          <w:noBreakHyphen/>
          <w:t>6</w:t>
        </w:r>
        <w:r w:rsidR="001872DC" w:rsidRPr="00B61363">
          <w:rPr>
            <w:rStyle w:val="Hyperlink"/>
            <w:rFonts w:eastAsia="Times New Roman" w:cs="Times New Roman"/>
            <w:noProof/>
          </w:rPr>
          <w:t xml:space="preserve"> Mineral-Melt Partition and Exchange Coefficients</w:t>
        </w:r>
        <w:r w:rsidR="001872DC">
          <w:rPr>
            <w:noProof/>
            <w:webHidden/>
          </w:rPr>
          <w:tab/>
        </w:r>
        <w:r w:rsidR="001872DC">
          <w:rPr>
            <w:noProof/>
            <w:webHidden/>
          </w:rPr>
          <w:fldChar w:fldCharType="begin"/>
        </w:r>
        <w:r w:rsidR="001872DC">
          <w:rPr>
            <w:noProof/>
            <w:webHidden/>
          </w:rPr>
          <w:instrText xml:space="preserve"> PAGEREF _Toc490131698 \h </w:instrText>
        </w:r>
        <w:r w:rsidR="001872DC">
          <w:rPr>
            <w:noProof/>
            <w:webHidden/>
          </w:rPr>
        </w:r>
        <w:r w:rsidR="001872DC">
          <w:rPr>
            <w:noProof/>
            <w:webHidden/>
          </w:rPr>
          <w:fldChar w:fldCharType="separate"/>
        </w:r>
        <w:r w:rsidR="000C5FC3">
          <w:rPr>
            <w:noProof/>
            <w:webHidden/>
          </w:rPr>
          <w:t>157</w:t>
        </w:r>
        <w:r w:rsidR="001872DC">
          <w:rPr>
            <w:noProof/>
            <w:webHidden/>
          </w:rPr>
          <w:fldChar w:fldCharType="end"/>
        </w:r>
      </w:hyperlink>
    </w:p>
    <w:p w:rsidR="00713274" w:rsidRPr="00E614FB" w:rsidRDefault="003F756D" w:rsidP="00410044">
      <w:pPr>
        <w:spacing w:after="0" w:line="480" w:lineRule="auto"/>
        <w:rPr>
          <w:rFonts w:asciiTheme="minorHAnsi" w:hAnsiTheme="minorHAnsi" w:cstheme="minorHAnsi"/>
        </w:rPr>
      </w:pPr>
      <w:r>
        <w:rPr>
          <w:rFonts w:asciiTheme="minorHAnsi" w:hAnsiTheme="minorHAnsi" w:cstheme="minorHAnsi"/>
        </w:rPr>
        <w:fldChar w:fldCharType="end"/>
      </w:r>
    </w:p>
    <w:p w:rsidR="00410044" w:rsidRPr="00E614FB" w:rsidRDefault="00410044">
      <w:pPr>
        <w:rPr>
          <w:rFonts w:asciiTheme="minorHAnsi" w:hAnsiTheme="minorHAnsi" w:cstheme="minorHAnsi"/>
        </w:rPr>
      </w:pPr>
      <w:r w:rsidRPr="00E614FB">
        <w:rPr>
          <w:rFonts w:asciiTheme="minorHAnsi" w:hAnsiTheme="minorHAnsi" w:cstheme="minorHAnsi"/>
        </w:rPr>
        <w:br w:type="page"/>
      </w:r>
    </w:p>
    <w:p w:rsidR="00F35019" w:rsidRPr="000A0A9D" w:rsidRDefault="00F35019" w:rsidP="00713274">
      <w:pPr>
        <w:pStyle w:val="TableofFigures"/>
        <w:tabs>
          <w:tab w:val="right" w:leader="dot" w:pos="8486"/>
        </w:tabs>
        <w:jc w:val="center"/>
        <w:outlineLvl w:val="0"/>
        <w:rPr>
          <w:rFonts w:asciiTheme="minorHAnsi" w:hAnsiTheme="minorHAnsi" w:cstheme="minorHAnsi"/>
          <w:sz w:val="32"/>
        </w:rPr>
      </w:pPr>
      <w:bookmarkStart w:id="4" w:name="_Toc491245973"/>
      <w:r w:rsidRPr="000A0A9D">
        <w:rPr>
          <w:rFonts w:asciiTheme="minorHAnsi" w:hAnsiTheme="minorHAnsi" w:cstheme="minorHAnsi"/>
          <w:sz w:val="32"/>
        </w:rPr>
        <w:lastRenderedPageBreak/>
        <w:t>List of Figures</w:t>
      </w:r>
      <w:bookmarkEnd w:id="4"/>
    </w:p>
    <w:p w:rsidR="00F35019" w:rsidRPr="00F35019" w:rsidRDefault="00F35019" w:rsidP="00F35019"/>
    <w:p w:rsidR="005D1BDD" w:rsidRDefault="00F65F32" w:rsidP="005D1BDD">
      <w:pPr>
        <w:pStyle w:val="TableofFigures"/>
        <w:tabs>
          <w:tab w:val="right" w:leader="dot" w:pos="8460"/>
        </w:tabs>
        <w:spacing w:after="240"/>
        <w:ind w:right="36"/>
        <w:rPr>
          <w:rFonts w:asciiTheme="minorHAnsi" w:eastAsiaTheme="minorEastAsia" w:hAnsiTheme="minorHAnsi" w:cstheme="minorBidi"/>
          <w:noProof/>
          <w:sz w:val="22"/>
          <w:szCs w:val="22"/>
        </w:rPr>
      </w:pPr>
      <w:r>
        <w:rPr>
          <w:rFonts w:asciiTheme="minorHAnsi" w:hAnsiTheme="minorHAnsi" w:cstheme="minorHAnsi"/>
        </w:rPr>
        <w:fldChar w:fldCharType="begin"/>
      </w:r>
      <w:r>
        <w:rPr>
          <w:rFonts w:asciiTheme="minorHAnsi" w:hAnsiTheme="minorHAnsi" w:cstheme="minorHAnsi"/>
        </w:rPr>
        <w:instrText xml:space="preserve"> TOC \h \z \c "Figure" </w:instrText>
      </w:r>
      <w:r>
        <w:rPr>
          <w:rFonts w:asciiTheme="minorHAnsi" w:hAnsiTheme="minorHAnsi" w:cstheme="minorHAnsi"/>
        </w:rPr>
        <w:fldChar w:fldCharType="separate"/>
      </w:r>
      <w:hyperlink r:id="rId9" w:anchor="_Toc490130632" w:history="1">
        <w:r w:rsidR="005D1BDD" w:rsidRPr="005455CB">
          <w:rPr>
            <w:rStyle w:val="Hyperlink"/>
            <w:noProof/>
          </w:rPr>
          <w:t>Figure 1</w:t>
        </w:r>
        <w:r w:rsidR="005D1BDD" w:rsidRPr="005455CB">
          <w:rPr>
            <w:rStyle w:val="Hyperlink"/>
            <w:noProof/>
          </w:rPr>
          <w:noBreakHyphen/>
          <w:t>1 Boron and boron isotopic zoning in Macusani obsidian held at 950˚C and 1 kilobar pressure for 7 days. Filled symbols are boron isotopic ratios. Error bars are 2 standard errors of the mean. The starting composition was ~-9‰. The small open symbols are total boron contents in ppm (by weight).</w:t>
        </w:r>
        <w:r w:rsidR="005D1BDD">
          <w:rPr>
            <w:noProof/>
            <w:webHidden/>
          </w:rPr>
          <w:tab/>
        </w:r>
        <w:r w:rsidR="005D1BDD">
          <w:rPr>
            <w:noProof/>
            <w:webHidden/>
          </w:rPr>
          <w:fldChar w:fldCharType="begin"/>
        </w:r>
        <w:r w:rsidR="005D1BDD">
          <w:rPr>
            <w:noProof/>
            <w:webHidden/>
          </w:rPr>
          <w:instrText xml:space="preserve"> PAGEREF _Toc490130632 \h </w:instrText>
        </w:r>
        <w:r w:rsidR="005D1BDD">
          <w:rPr>
            <w:noProof/>
            <w:webHidden/>
          </w:rPr>
        </w:r>
        <w:r w:rsidR="005D1BDD">
          <w:rPr>
            <w:noProof/>
            <w:webHidden/>
          </w:rPr>
          <w:fldChar w:fldCharType="separate"/>
        </w:r>
        <w:r w:rsidR="000C5FC3">
          <w:rPr>
            <w:noProof/>
            <w:webHidden/>
          </w:rPr>
          <w:t>8</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r:id="rId10" w:anchor="_Toc490130633" w:history="1">
        <w:r w:rsidR="005D1BDD" w:rsidRPr="005455CB">
          <w:rPr>
            <w:rStyle w:val="Hyperlink"/>
            <w:noProof/>
          </w:rPr>
          <w:t>Figure 2</w:t>
        </w:r>
        <w:r w:rsidR="005D1BDD" w:rsidRPr="005455CB">
          <w:rPr>
            <w:rStyle w:val="Hyperlink"/>
            <w:noProof/>
          </w:rPr>
          <w:noBreakHyphen/>
          <w:t>1</w:t>
        </w:r>
        <w:r w:rsidR="005D1BDD" w:rsidRPr="005455CB">
          <w:rPr>
            <w:rStyle w:val="Hyperlink"/>
            <w:rFonts w:cs="Times New Roman"/>
            <w:noProof/>
          </w:rPr>
          <w:t xml:space="preserve"> Photograph of Main dike outcrop. Pegmatite zones labeled in figure. A detailed discussion of the mineralogic zonation is presented in section 2.2</w:t>
        </w:r>
        <w:r w:rsidR="005D1BDD">
          <w:rPr>
            <w:noProof/>
            <w:webHidden/>
          </w:rPr>
          <w:tab/>
        </w:r>
        <w:r w:rsidR="005D1BDD">
          <w:rPr>
            <w:noProof/>
            <w:webHidden/>
          </w:rPr>
          <w:fldChar w:fldCharType="begin"/>
        </w:r>
        <w:r w:rsidR="005D1BDD">
          <w:rPr>
            <w:noProof/>
            <w:webHidden/>
          </w:rPr>
          <w:instrText xml:space="preserve"> PAGEREF _Toc490130633 \h </w:instrText>
        </w:r>
        <w:r w:rsidR="005D1BDD">
          <w:rPr>
            <w:noProof/>
            <w:webHidden/>
          </w:rPr>
        </w:r>
        <w:r w:rsidR="005D1BDD">
          <w:rPr>
            <w:noProof/>
            <w:webHidden/>
          </w:rPr>
          <w:fldChar w:fldCharType="separate"/>
        </w:r>
        <w:r w:rsidR="000C5FC3">
          <w:rPr>
            <w:noProof/>
            <w:webHidden/>
          </w:rPr>
          <w:t>36</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r:id="rId11" w:anchor="_Toc490130634" w:history="1">
        <w:r w:rsidR="005D1BDD" w:rsidRPr="005455CB">
          <w:rPr>
            <w:rStyle w:val="Hyperlink"/>
            <w:noProof/>
          </w:rPr>
          <w:t>Figure 2</w:t>
        </w:r>
        <w:r w:rsidR="005D1BDD" w:rsidRPr="005455CB">
          <w:rPr>
            <w:rStyle w:val="Hyperlink"/>
            <w:noProof/>
          </w:rPr>
          <w:noBreakHyphen/>
          <w:t>2</w:t>
        </w:r>
        <w:r w:rsidR="005D1BDD" w:rsidRPr="005455CB">
          <w:rPr>
            <w:rStyle w:val="Hyperlink"/>
            <w:rFonts w:cs="Times New Roman"/>
            <w:noProof/>
          </w:rPr>
          <w:t xml:space="preserve"> Photograph of a polished cross-section of the Swamp dike showing textural zonation and pegmatitic-zones. Italicized text, both in and out of parentheses, is from London et al. (2012). Non-italicized text outside parentheses is the nomenclature for zones used in the present study.</w:t>
        </w:r>
        <w:r w:rsidR="005D1BDD">
          <w:rPr>
            <w:noProof/>
            <w:webHidden/>
          </w:rPr>
          <w:tab/>
        </w:r>
        <w:r w:rsidR="005D1BDD">
          <w:rPr>
            <w:noProof/>
            <w:webHidden/>
          </w:rPr>
          <w:fldChar w:fldCharType="begin"/>
        </w:r>
        <w:r w:rsidR="005D1BDD">
          <w:rPr>
            <w:noProof/>
            <w:webHidden/>
          </w:rPr>
          <w:instrText xml:space="preserve"> PAGEREF _Toc490130634 \h </w:instrText>
        </w:r>
        <w:r w:rsidR="005D1BDD">
          <w:rPr>
            <w:noProof/>
            <w:webHidden/>
          </w:rPr>
        </w:r>
        <w:r w:rsidR="005D1BDD">
          <w:rPr>
            <w:noProof/>
            <w:webHidden/>
          </w:rPr>
          <w:fldChar w:fldCharType="separate"/>
        </w:r>
        <w:r w:rsidR="000C5FC3">
          <w:rPr>
            <w:noProof/>
            <w:webHidden/>
          </w:rPr>
          <w:t>37</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r:id="rId12" w:anchor="_Toc490130635" w:history="1">
        <w:r w:rsidR="005D1BDD" w:rsidRPr="005455CB">
          <w:rPr>
            <w:rStyle w:val="Hyperlink"/>
            <w:noProof/>
          </w:rPr>
          <w:t>Figure 2</w:t>
        </w:r>
        <w:r w:rsidR="005D1BDD" w:rsidRPr="005455CB">
          <w:rPr>
            <w:rStyle w:val="Hyperlink"/>
            <w:noProof/>
          </w:rPr>
          <w:noBreakHyphen/>
          <w:t xml:space="preserve">3 </w:t>
        </w:r>
        <w:r w:rsidR="005D1BDD" w:rsidRPr="005455CB">
          <w:rPr>
            <w:rStyle w:val="Hyperlink"/>
            <w:rFonts w:cs="Times New Roman"/>
            <w:noProof/>
            <w:kern w:val="28"/>
          </w:rPr>
          <w:t>Photographs of pocket mineralogy from the Main dike (A-F), Spessartine dike (G-J), and Swamp dike (K). (A) Hambergite. (B) Lepidolite. (C) Green elbaite. (D) Boromuscovite (bright white coating) on muscovite. (E) Fine-grained polychromatic elbaite. (F) Single tourmaline crystal extending from intermediate zone into pocket. (G) Fine-grained external tourmaline (tourmalinite). (H) Tourmaline intergrown with axinite. (I) Tourmaline-, muscovite-, garnet-bearing massive pegmatite from intermediate zone. (J) Muscovite on albite and quartz. (K) Danburite (yellow/orange crystal in center of image) on quartz.</w:t>
        </w:r>
        <w:r w:rsidR="005D1BDD">
          <w:rPr>
            <w:noProof/>
            <w:webHidden/>
          </w:rPr>
          <w:tab/>
        </w:r>
        <w:r w:rsidR="005D1BDD">
          <w:rPr>
            <w:noProof/>
            <w:webHidden/>
          </w:rPr>
          <w:fldChar w:fldCharType="begin"/>
        </w:r>
        <w:r w:rsidR="005D1BDD">
          <w:rPr>
            <w:noProof/>
            <w:webHidden/>
          </w:rPr>
          <w:instrText xml:space="preserve"> PAGEREF _Toc490130635 \h </w:instrText>
        </w:r>
        <w:r w:rsidR="005D1BDD">
          <w:rPr>
            <w:noProof/>
            <w:webHidden/>
          </w:rPr>
        </w:r>
        <w:r w:rsidR="005D1BDD">
          <w:rPr>
            <w:noProof/>
            <w:webHidden/>
          </w:rPr>
          <w:fldChar w:fldCharType="separate"/>
        </w:r>
        <w:r w:rsidR="000C5FC3">
          <w:rPr>
            <w:noProof/>
            <w:webHidden/>
          </w:rPr>
          <w:t>38</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r:id="rId13" w:anchor="_Toc490130636" w:history="1">
        <w:r w:rsidR="005D1BDD" w:rsidRPr="005455CB">
          <w:rPr>
            <w:rStyle w:val="Hyperlink"/>
            <w:noProof/>
          </w:rPr>
          <w:t>Figure 2</w:t>
        </w:r>
        <w:r w:rsidR="005D1BDD" w:rsidRPr="005455CB">
          <w:rPr>
            <w:rStyle w:val="Hyperlink"/>
            <w:noProof/>
          </w:rPr>
          <w:noBreakHyphen/>
          <w:t>4</w:t>
        </w:r>
        <w:r w:rsidR="005D1BDD" w:rsidRPr="005455CB">
          <w:rPr>
            <w:rStyle w:val="Hyperlink"/>
            <w:rFonts w:cs="Times New Roman"/>
            <w:noProof/>
          </w:rPr>
          <w:t xml:space="preserve"> Histogram of δ</w:t>
        </w:r>
        <w:r w:rsidR="005D1BDD" w:rsidRPr="005455CB">
          <w:rPr>
            <w:rStyle w:val="Hyperlink"/>
            <w:rFonts w:cs="Times New Roman"/>
            <w:noProof/>
            <w:vertAlign w:val="superscript"/>
          </w:rPr>
          <w:t>11</w:t>
        </w:r>
        <w:r w:rsidR="005D1BDD" w:rsidRPr="005455CB">
          <w:rPr>
            <w:rStyle w:val="Hyperlink"/>
            <w:rFonts w:cs="Times New Roman"/>
            <w:noProof/>
          </w:rPr>
          <w:t>B</w:t>
        </w:r>
        <w:r w:rsidR="005D1BDD" w:rsidRPr="005455CB">
          <w:rPr>
            <w:rStyle w:val="Hyperlink"/>
            <w:rFonts w:cs="Times New Roman"/>
            <w:noProof/>
            <w:vertAlign w:val="subscript"/>
          </w:rPr>
          <w:t>Tur</w:t>
        </w:r>
        <w:r w:rsidR="005D1BDD" w:rsidRPr="005455CB">
          <w:rPr>
            <w:rStyle w:val="Hyperlink"/>
            <w:rFonts w:cs="Times New Roman"/>
            <w:noProof/>
          </w:rPr>
          <w:t xml:space="preserve"> values for tourmaline from the footwall and hanging wall sections of the Main dike.</w:t>
        </w:r>
        <w:r w:rsidR="005D1BDD">
          <w:rPr>
            <w:noProof/>
            <w:webHidden/>
          </w:rPr>
          <w:tab/>
        </w:r>
        <w:r w:rsidR="005D1BDD">
          <w:rPr>
            <w:noProof/>
            <w:webHidden/>
          </w:rPr>
          <w:fldChar w:fldCharType="begin"/>
        </w:r>
        <w:r w:rsidR="005D1BDD">
          <w:rPr>
            <w:noProof/>
            <w:webHidden/>
          </w:rPr>
          <w:instrText xml:space="preserve"> PAGEREF _Toc490130636 \h </w:instrText>
        </w:r>
        <w:r w:rsidR="005D1BDD">
          <w:rPr>
            <w:noProof/>
            <w:webHidden/>
          </w:rPr>
        </w:r>
        <w:r w:rsidR="005D1BDD">
          <w:rPr>
            <w:noProof/>
            <w:webHidden/>
          </w:rPr>
          <w:fldChar w:fldCharType="separate"/>
        </w:r>
        <w:r w:rsidR="000C5FC3">
          <w:rPr>
            <w:noProof/>
            <w:webHidden/>
          </w:rPr>
          <w:t>39</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r:id="rId14" w:anchor="_Toc490130637" w:history="1">
        <w:r w:rsidR="005D1BDD" w:rsidRPr="005455CB">
          <w:rPr>
            <w:rStyle w:val="Hyperlink"/>
            <w:noProof/>
          </w:rPr>
          <w:t>Figure 2</w:t>
        </w:r>
        <w:r w:rsidR="005D1BDD" w:rsidRPr="005455CB">
          <w:rPr>
            <w:rStyle w:val="Hyperlink"/>
            <w:noProof/>
          </w:rPr>
          <w:noBreakHyphen/>
          <w:t>5</w:t>
        </w:r>
        <w:r w:rsidR="005D1BDD" w:rsidRPr="005455CB">
          <w:rPr>
            <w:rStyle w:val="Hyperlink"/>
            <w:rFonts w:cs="Times New Roman"/>
            <w:noProof/>
          </w:rPr>
          <w:t xml:space="preserve"> Histogram of δ</w:t>
        </w:r>
        <w:r w:rsidR="005D1BDD" w:rsidRPr="005455CB">
          <w:rPr>
            <w:rStyle w:val="Hyperlink"/>
            <w:rFonts w:cs="Times New Roman"/>
            <w:noProof/>
            <w:vertAlign w:val="superscript"/>
          </w:rPr>
          <w:t>11</w:t>
        </w:r>
        <w:r w:rsidR="005D1BDD" w:rsidRPr="005455CB">
          <w:rPr>
            <w:rStyle w:val="Hyperlink"/>
            <w:rFonts w:cs="Times New Roman"/>
            <w:noProof/>
          </w:rPr>
          <w:t>B</w:t>
        </w:r>
        <w:r w:rsidR="005D1BDD" w:rsidRPr="005455CB">
          <w:rPr>
            <w:rStyle w:val="Hyperlink"/>
            <w:rFonts w:cs="Times New Roman"/>
            <w:noProof/>
            <w:vertAlign w:val="subscript"/>
          </w:rPr>
          <w:t>Tur</w:t>
        </w:r>
        <w:r w:rsidR="005D1BDD" w:rsidRPr="005455CB">
          <w:rPr>
            <w:rStyle w:val="Hyperlink"/>
            <w:rFonts w:cs="Times New Roman"/>
            <w:noProof/>
          </w:rPr>
          <w:t xml:space="preserve"> values for tourmaline from the footwall and hanging wall sections of the Swamp dike.</w:t>
        </w:r>
        <w:r w:rsidR="005D1BDD">
          <w:rPr>
            <w:noProof/>
            <w:webHidden/>
          </w:rPr>
          <w:tab/>
        </w:r>
        <w:r w:rsidR="005D1BDD">
          <w:rPr>
            <w:noProof/>
            <w:webHidden/>
          </w:rPr>
          <w:fldChar w:fldCharType="begin"/>
        </w:r>
        <w:r w:rsidR="005D1BDD">
          <w:rPr>
            <w:noProof/>
            <w:webHidden/>
          </w:rPr>
          <w:instrText xml:space="preserve"> PAGEREF _Toc490130637 \h </w:instrText>
        </w:r>
        <w:r w:rsidR="005D1BDD">
          <w:rPr>
            <w:noProof/>
            <w:webHidden/>
          </w:rPr>
        </w:r>
        <w:r w:rsidR="005D1BDD">
          <w:rPr>
            <w:noProof/>
            <w:webHidden/>
          </w:rPr>
          <w:fldChar w:fldCharType="separate"/>
        </w:r>
        <w:r w:rsidR="000C5FC3">
          <w:rPr>
            <w:noProof/>
            <w:webHidden/>
          </w:rPr>
          <w:t>40</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r:id="rId15" w:anchor="_Toc490130638" w:history="1">
        <w:r w:rsidR="005D1BDD" w:rsidRPr="005455CB">
          <w:rPr>
            <w:rStyle w:val="Hyperlink"/>
            <w:noProof/>
          </w:rPr>
          <w:t>Figure 2</w:t>
        </w:r>
        <w:r w:rsidR="005D1BDD" w:rsidRPr="005455CB">
          <w:rPr>
            <w:rStyle w:val="Hyperlink"/>
            <w:noProof/>
          </w:rPr>
          <w:noBreakHyphen/>
          <w:t>6</w:t>
        </w:r>
        <w:r w:rsidR="005D1BDD" w:rsidRPr="005455CB">
          <w:rPr>
            <w:rStyle w:val="Hyperlink"/>
            <w:rFonts w:cs="Times New Roman"/>
            <w:noProof/>
          </w:rPr>
          <w:t xml:space="preserve"> Boron isotopic compositions of tourmaline, muscovite, and axinite from the Spessartine dike. Individual symbols represent individual analyses. Error bars are smaller than the size of the symbol. Units along the x-axis are arbitrary.</w:t>
        </w:r>
        <w:r w:rsidR="005D1BDD">
          <w:rPr>
            <w:noProof/>
            <w:webHidden/>
          </w:rPr>
          <w:tab/>
        </w:r>
        <w:r w:rsidR="005D1BDD">
          <w:rPr>
            <w:noProof/>
            <w:webHidden/>
          </w:rPr>
          <w:fldChar w:fldCharType="begin"/>
        </w:r>
        <w:r w:rsidR="005D1BDD">
          <w:rPr>
            <w:noProof/>
            <w:webHidden/>
          </w:rPr>
          <w:instrText xml:space="preserve"> PAGEREF _Toc490130638 \h </w:instrText>
        </w:r>
        <w:r w:rsidR="005D1BDD">
          <w:rPr>
            <w:noProof/>
            <w:webHidden/>
          </w:rPr>
        </w:r>
        <w:r w:rsidR="005D1BDD">
          <w:rPr>
            <w:noProof/>
            <w:webHidden/>
          </w:rPr>
          <w:fldChar w:fldCharType="separate"/>
        </w:r>
        <w:r w:rsidR="000C5FC3">
          <w:rPr>
            <w:noProof/>
            <w:webHidden/>
          </w:rPr>
          <w:t>41</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r:id="rId16" w:anchor="_Toc490130639" w:history="1">
        <w:r w:rsidR="005D1BDD" w:rsidRPr="005455CB">
          <w:rPr>
            <w:rStyle w:val="Hyperlink"/>
            <w:noProof/>
          </w:rPr>
          <w:t>Figure 2</w:t>
        </w:r>
        <w:r w:rsidR="005D1BDD" w:rsidRPr="005455CB">
          <w:rPr>
            <w:rStyle w:val="Hyperlink"/>
            <w:noProof/>
          </w:rPr>
          <w:noBreakHyphen/>
          <w:t>7</w:t>
        </w:r>
        <w:r w:rsidR="005D1BDD" w:rsidRPr="005455CB">
          <w:rPr>
            <w:rStyle w:val="Hyperlink"/>
            <w:rFonts w:cs="Times New Roman"/>
            <w:noProof/>
          </w:rPr>
          <w:t xml:space="preserve"> Boron isotopic compositions of various geological materials (data from Palmer and Swihart, 1996; Xiao et al., 2013).</w:t>
        </w:r>
        <w:r w:rsidR="005D1BDD">
          <w:rPr>
            <w:noProof/>
            <w:webHidden/>
          </w:rPr>
          <w:tab/>
        </w:r>
        <w:r w:rsidR="005D1BDD">
          <w:rPr>
            <w:noProof/>
            <w:webHidden/>
          </w:rPr>
          <w:fldChar w:fldCharType="begin"/>
        </w:r>
        <w:r w:rsidR="005D1BDD">
          <w:rPr>
            <w:noProof/>
            <w:webHidden/>
          </w:rPr>
          <w:instrText xml:space="preserve"> PAGEREF _Toc490130639 \h </w:instrText>
        </w:r>
        <w:r w:rsidR="005D1BDD">
          <w:rPr>
            <w:noProof/>
            <w:webHidden/>
          </w:rPr>
        </w:r>
        <w:r w:rsidR="005D1BDD">
          <w:rPr>
            <w:noProof/>
            <w:webHidden/>
          </w:rPr>
          <w:fldChar w:fldCharType="separate"/>
        </w:r>
        <w:r w:rsidR="000C5FC3">
          <w:rPr>
            <w:noProof/>
            <w:webHidden/>
          </w:rPr>
          <w:t>42</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r:id="rId17" w:anchor="_Toc490130640" w:history="1">
        <w:r w:rsidR="005D1BDD" w:rsidRPr="005455CB">
          <w:rPr>
            <w:rStyle w:val="Hyperlink"/>
            <w:noProof/>
          </w:rPr>
          <w:t>Figure 2</w:t>
        </w:r>
        <w:r w:rsidR="005D1BDD" w:rsidRPr="005455CB">
          <w:rPr>
            <w:rStyle w:val="Hyperlink"/>
            <w:noProof/>
          </w:rPr>
          <w:noBreakHyphen/>
          <w:t>8</w:t>
        </w:r>
        <w:r w:rsidR="005D1BDD" w:rsidRPr="005455CB">
          <w:rPr>
            <w:rStyle w:val="Hyperlink"/>
            <w:rFonts w:cs="Times New Roman"/>
            <w:noProof/>
          </w:rPr>
          <w:t xml:space="preserve"> Boron isotopic compositions of tourmaline, hambergite, and lepidolite from the Main dike as a function of their location relative to the base of the pegmatite. ‘IZ’ refers to the intermediate zone. ‘FW” refers to footwall and ‘HW’ refers to hanging wall. Elbaite 1 has a dark green core and light green rim. Elbaite 2 has a dark green base, light green rim, and a light pink cap. Dotted, black line represents a Rayleigh fractionation model for δ</w:t>
        </w:r>
        <w:r w:rsidR="005D1BDD" w:rsidRPr="005455CB">
          <w:rPr>
            <w:rStyle w:val="Hyperlink"/>
            <w:rFonts w:cs="Times New Roman"/>
            <w:noProof/>
            <w:vertAlign w:val="superscript"/>
          </w:rPr>
          <w:t>11</w:t>
        </w:r>
        <w:r w:rsidR="005D1BDD" w:rsidRPr="005455CB">
          <w:rPr>
            <w:rStyle w:val="Hyperlink"/>
            <w:rFonts w:cs="Times New Roman"/>
            <w:noProof/>
          </w:rPr>
          <w:t>B</w:t>
        </w:r>
        <w:r w:rsidR="005D1BDD" w:rsidRPr="005455CB">
          <w:rPr>
            <w:rStyle w:val="Hyperlink"/>
            <w:rFonts w:cs="Times New Roman"/>
            <w:noProof/>
            <w:vertAlign w:val="subscript"/>
          </w:rPr>
          <w:t>Tur</w:t>
        </w:r>
        <w:r w:rsidR="005D1BDD" w:rsidRPr="005455CB">
          <w:rPr>
            <w:rStyle w:val="Hyperlink"/>
            <w:rFonts w:cs="Times New Roman"/>
            <w:noProof/>
          </w:rPr>
          <w:t xml:space="preserve"> based on a Δ</w:t>
        </w:r>
        <w:r w:rsidR="005D1BDD" w:rsidRPr="005455CB">
          <w:rPr>
            <w:rStyle w:val="Hyperlink"/>
            <w:rFonts w:cs="Times New Roman"/>
            <w:noProof/>
            <w:vertAlign w:val="superscript"/>
          </w:rPr>
          <w:t>11</w:t>
        </w:r>
        <w:r w:rsidR="005D1BDD" w:rsidRPr="005455CB">
          <w:rPr>
            <w:rStyle w:val="Hyperlink"/>
            <w:rFonts w:cs="Times New Roman"/>
            <w:noProof/>
          </w:rPr>
          <w:t>B</w:t>
        </w:r>
        <w:r w:rsidR="005D1BDD" w:rsidRPr="005455CB">
          <w:rPr>
            <w:rStyle w:val="Hyperlink"/>
            <w:rFonts w:cs="Times New Roman"/>
            <w:noProof/>
            <w:vertAlign w:val="subscript"/>
          </w:rPr>
          <w:t>Tur-melt</w:t>
        </w:r>
        <w:r w:rsidR="005D1BDD" w:rsidRPr="005455CB">
          <w:rPr>
            <w:rStyle w:val="Hyperlink"/>
            <w:rFonts w:cs="Times New Roman"/>
            <w:noProof/>
          </w:rPr>
          <w:t xml:space="preserve"> of +6.5‰. Dashed, black line represents a Rayleigh model for δ</w:t>
        </w:r>
        <w:r w:rsidR="005D1BDD" w:rsidRPr="005455CB">
          <w:rPr>
            <w:rStyle w:val="Hyperlink"/>
            <w:rFonts w:cs="Times New Roman"/>
            <w:noProof/>
            <w:vertAlign w:val="superscript"/>
          </w:rPr>
          <w:t>11</w:t>
        </w:r>
        <w:r w:rsidR="005D1BDD" w:rsidRPr="005455CB">
          <w:rPr>
            <w:rStyle w:val="Hyperlink"/>
            <w:rFonts w:cs="Times New Roman"/>
            <w:noProof/>
          </w:rPr>
          <w:t>B</w:t>
        </w:r>
        <w:r w:rsidR="005D1BDD" w:rsidRPr="005455CB">
          <w:rPr>
            <w:rStyle w:val="Hyperlink"/>
            <w:rFonts w:cs="Times New Roman"/>
            <w:noProof/>
            <w:vertAlign w:val="subscript"/>
          </w:rPr>
          <w:t>Tur</w:t>
        </w:r>
        <w:r w:rsidR="005D1BDD" w:rsidRPr="005455CB">
          <w:rPr>
            <w:rStyle w:val="Hyperlink"/>
            <w:rFonts w:cs="Times New Roman"/>
            <w:noProof/>
          </w:rPr>
          <w:t xml:space="preserve"> based on a Δ</w:t>
        </w:r>
        <w:r w:rsidR="005D1BDD" w:rsidRPr="005455CB">
          <w:rPr>
            <w:rStyle w:val="Hyperlink"/>
            <w:rFonts w:cs="Times New Roman"/>
            <w:noProof/>
            <w:vertAlign w:val="superscript"/>
          </w:rPr>
          <w:t>11</w:t>
        </w:r>
        <w:r w:rsidR="005D1BDD" w:rsidRPr="005455CB">
          <w:rPr>
            <w:rStyle w:val="Hyperlink"/>
            <w:rFonts w:cs="Times New Roman"/>
            <w:noProof/>
          </w:rPr>
          <w:t>B</w:t>
        </w:r>
        <w:r w:rsidR="005D1BDD" w:rsidRPr="005455CB">
          <w:rPr>
            <w:rStyle w:val="Hyperlink"/>
            <w:rFonts w:cs="Times New Roman"/>
            <w:noProof/>
            <w:vertAlign w:val="subscript"/>
          </w:rPr>
          <w:t>Tur-melt</w:t>
        </w:r>
        <w:r w:rsidR="005D1BDD" w:rsidRPr="005455CB">
          <w:rPr>
            <w:rStyle w:val="Hyperlink"/>
            <w:rFonts w:cs="Times New Roman"/>
            <w:noProof/>
          </w:rPr>
          <w:t xml:space="preserve"> of +1.0‰. Solid, black line represent the average δ</w:t>
        </w:r>
        <w:r w:rsidR="005D1BDD" w:rsidRPr="005455CB">
          <w:rPr>
            <w:rStyle w:val="Hyperlink"/>
            <w:rFonts w:cs="Times New Roman"/>
            <w:noProof/>
            <w:vertAlign w:val="superscript"/>
          </w:rPr>
          <w:t>11</w:t>
        </w:r>
        <w:r w:rsidR="005D1BDD" w:rsidRPr="005455CB">
          <w:rPr>
            <w:rStyle w:val="Hyperlink"/>
            <w:rFonts w:cs="Times New Roman"/>
            <w:noProof/>
          </w:rPr>
          <w:t xml:space="preserve">B value for tourmaline across the footwall and hanging </w:t>
        </w:r>
        <w:r w:rsidR="005D1BDD" w:rsidRPr="005455CB">
          <w:rPr>
            <w:rStyle w:val="Hyperlink"/>
            <w:rFonts w:cs="Times New Roman"/>
            <w:noProof/>
          </w:rPr>
          <w:lastRenderedPageBreak/>
          <w:t>wall sections of the pegmatite. Each symbol represents an individual analysis. Errors are smaller than the symbol size.</w:t>
        </w:r>
        <w:r w:rsidR="005D1BDD">
          <w:rPr>
            <w:noProof/>
            <w:webHidden/>
          </w:rPr>
          <w:tab/>
        </w:r>
        <w:r w:rsidR="005D1BDD">
          <w:rPr>
            <w:noProof/>
            <w:webHidden/>
          </w:rPr>
          <w:fldChar w:fldCharType="begin"/>
        </w:r>
        <w:r w:rsidR="005D1BDD">
          <w:rPr>
            <w:noProof/>
            <w:webHidden/>
          </w:rPr>
          <w:instrText xml:space="preserve"> PAGEREF _Toc490130640 \h </w:instrText>
        </w:r>
        <w:r w:rsidR="005D1BDD">
          <w:rPr>
            <w:noProof/>
            <w:webHidden/>
          </w:rPr>
        </w:r>
        <w:r w:rsidR="005D1BDD">
          <w:rPr>
            <w:noProof/>
            <w:webHidden/>
          </w:rPr>
          <w:fldChar w:fldCharType="separate"/>
        </w:r>
        <w:r w:rsidR="000C5FC3">
          <w:rPr>
            <w:noProof/>
            <w:webHidden/>
          </w:rPr>
          <w:t>43</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r:id="rId18" w:anchor="_Toc490130641" w:history="1">
        <w:r w:rsidR="005D1BDD" w:rsidRPr="005455CB">
          <w:rPr>
            <w:rStyle w:val="Hyperlink"/>
            <w:noProof/>
          </w:rPr>
          <w:t>Figure 2</w:t>
        </w:r>
        <w:r w:rsidR="005D1BDD" w:rsidRPr="005455CB">
          <w:rPr>
            <w:rStyle w:val="Hyperlink"/>
            <w:noProof/>
          </w:rPr>
          <w:noBreakHyphen/>
          <w:t>9</w:t>
        </w:r>
        <w:r w:rsidR="005D1BDD" w:rsidRPr="005455CB">
          <w:rPr>
            <w:rStyle w:val="Hyperlink"/>
            <w:rFonts w:cs="Times New Roman"/>
            <w:noProof/>
          </w:rPr>
          <w:t xml:space="preserve"> Boron isotopic compositions of tourmaline, danburite, and muscovite from the Swamp dike as a function of their location relative to the base of the pegmatite. ‘IZ’ refers to the intermediate zone. Dotted, black line represents a Rayleigh fractionation model for δ</w:t>
        </w:r>
        <w:r w:rsidR="005D1BDD" w:rsidRPr="005455CB">
          <w:rPr>
            <w:rStyle w:val="Hyperlink"/>
            <w:rFonts w:cs="Times New Roman"/>
            <w:noProof/>
            <w:vertAlign w:val="superscript"/>
          </w:rPr>
          <w:t>11</w:t>
        </w:r>
        <w:r w:rsidR="005D1BDD" w:rsidRPr="005455CB">
          <w:rPr>
            <w:rStyle w:val="Hyperlink"/>
            <w:rFonts w:cs="Times New Roman"/>
            <w:noProof/>
          </w:rPr>
          <w:t>B</w:t>
        </w:r>
        <w:r w:rsidR="005D1BDD" w:rsidRPr="005455CB">
          <w:rPr>
            <w:rStyle w:val="Hyperlink"/>
            <w:rFonts w:cs="Times New Roman"/>
            <w:noProof/>
            <w:vertAlign w:val="subscript"/>
          </w:rPr>
          <w:t>Tur</w:t>
        </w:r>
        <w:r w:rsidR="005D1BDD" w:rsidRPr="005455CB">
          <w:rPr>
            <w:rStyle w:val="Hyperlink"/>
            <w:rFonts w:cs="Times New Roman"/>
            <w:noProof/>
          </w:rPr>
          <w:t xml:space="preserve"> based on a Δ</w:t>
        </w:r>
        <w:r w:rsidR="005D1BDD" w:rsidRPr="005455CB">
          <w:rPr>
            <w:rStyle w:val="Hyperlink"/>
            <w:rFonts w:cs="Times New Roman"/>
            <w:noProof/>
            <w:vertAlign w:val="superscript"/>
          </w:rPr>
          <w:t>11</w:t>
        </w:r>
        <w:r w:rsidR="005D1BDD" w:rsidRPr="005455CB">
          <w:rPr>
            <w:rStyle w:val="Hyperlink"/>
            <w:rFonts w:cs="Times New Roman"/>
            <w:noProof/>
          </w:rPr>
          <w:t>B</w:t>
        </w:r>
        <w:r w:rsidR="005D1BDD" w:rsidRPr="005455CB">
          <w:rPr>
            <w:rStyle w:val="Hyperlink"/>
            <w:rFonts w:cs="Times New Roman"/>
            <w:noProof/>
            <w:vertAlign w:val="subscript"/>
          </w:rPr>
          <w:t>Tur-melt</w:t>
        </w:r>
        <w:r w:rsidR="005D1BDD" w:rsidRPr="005455CB">
          <w:rPr>
            <w:rStyle w:val="Hyperlink"/>
            <w:rFonts w:cs="Times New Roman"/>
            <w:noProof/>
          </w:rPr>
          <w:t xml:space="preserve"> of +6.5‰. Dashed, black line represents a Rayleigh fractionation model for δ</w:t>
        </w:r>
        <w:r w:rsidR="005D1BDD" w:rsidRPr="005455CB">
          <w:rPr>
            <w:rStyle w:val="Hyperlink"/>
            <w:rFonts w:cs="Times New Roman"/>
            <w:noProof/>
            <w:vertAlign w:val="superscript"/>
          </w:rPr>
          <w:t>11</w:t>
        </w:r>
        <w:r w:rsidR="005D1BDD" w:rsidRPr="005455CB">
          <w:rPr>
            <w:rStyle w:val="Hyperlink"/>
            <w:rFonts w:cs="Times New Roman"/>
            <w:noProof/>
          </w:rPr>
          <w:t>B</w:t>
        </w:r>
        <w:r w:rsidR="005D1BDD" w:rsidRPr="005455CB">
          <w:rPr>
            <w:rStyle w:val="Hyperlink"/>
            <w:rFonts w:cs="Times New Roman"/>
            <w:noProof/>
            <w:vertAlign w:val="subscript"/>
          </w:rPr>
          <w:t>Tur</w:t>
        </w:r>
        <w:r w:rsidR="005D1BDD" w:rsidRPr="005455CB">
          <w:rPr>
            <w:rStyle w:val="Hyperlink"/>
            <w:rFonts w:cs="Times New Roman"/>
            <w:noProof/>
          </w:rPr>
          <w:t xml:space="preserve"> based on a Δ</w:t>
        </w:r>
        <w:r w:rsidR="005D1BDD" w:rsidRPr="005455CB">
          <w:rPr>
            <w:rStyle w:val="Hyperlink"/>
            <w:rFonts w:cs="Times New Roman"/>
            <w:noProof/>
            <w:vertAlign w:val="superscript"/>
          </w:rPr>
          <w:t>11</w:t>
        </w:r>
        <w:r w:rsidR="005D1BDD" w:rsidRPr="005455CB">
          <w:rPr>
            <w:rStyle w:val="Hyperlink"/>
            <w:rFonts w:cs="Times New Roman"/>
            <w:noProof/>
          </w:rPr>
          <w:t>B</w:t>
        </w:r>
        <w:r w:rsidR="005D1BDD" w:rsidRPr="005455CB">
          <w:rPr>
            <w:rStyle w:val="Hyperlink"/>
            <w:rFonts w:cs="Times New Roman"/>
            <w:noProof/>
            <w:vertAlign w:val="subscript"/>
          </w:rPr>
          <w:t>Tur-melt</w:t>
        </w:r>
        <w:r w:rsidR="005D1BDD" w:rsidRPr="005455CB">
          <w:rPr>
            <w:rStyle w:val="Hyperlink"/>
            <w:rFonts w:cs="Times New Roman"/>
            <w:noProof/>
          </w:rPr>
          <w:t xml:space="preserve"> of +1.0‰. Solid, black line represent the average δ</w:t>
        </w:r>
        <w:r w:rsidR="005D1BDD" w:rsidRPr="005455CB">
          <w:rPr>
            <w:rStyle w:val="Hyperlink"/>
            <w:rFonts w:cs="Times New Roman"/>
            <w:noProof/>
            <w:vertAlign w:val="superscript"/>
          </w:rPr>
          <w:t>11</w:t>
        </w:r>
        <w:r w:rsidR="005D1BDD" w:rsidRPr="005455CB">
          <w:rPr>
            <w:rStyle w:val="Hyperlink"/>
            <w:rFonts w:cs="Times New Roman"/>
            <w:noProof/>
          </w:rPr>
          <w:t>B value for tourmaline across the footwall and hanging wall sections of the pegmatite. Each symbol represents an individual analysis. Internal errors are smaller than the symbol size.</w:t>
        </w:r>
        <w:r w:rsidR="005D1BDD">
          <w:rPr>
            <w:noProof/>
            <w:webHidden/>
          </w:rPr>
          <w:tab/>
        </w:r>
        <w:r w:rsidR="005D1BDD">
          <w:rPr>
            <w:noProof/>
            <w:webHidden/>
          </w:rPr>
          <w:fldChar w:fldCharType="begin"/>
        </w:r>
        <w:r w:rsidR="005D1BDD">
          <w:rPr>
            <w:noProof/>
            <w:webHidden/>
          </w:rPr>
          <w:instrText xml:space="preserve"> PAGEREF _Toc490130641 \h </w:instrText>
        </w:r>
        <w:r w:rsidR="005D1BDD">
          <w:rPr>
            <w:noProof/>
            <w:webHidden/>
          </w:rPr>
        </w:r>
        <w:r w:rsidR="005D1BDD">
          <w:rPr>
            <w:noProof/>
            <w:webHidden/>
          </w:rPr>
          <w:fldChar w:fldCharType="separate"/>
        </w:r>
        <w:r w:rsidR="000C5FC3">
          <w:rPr>
            <w:noProof/>
            <w:webHidden/>
          </w:rPr>
          <w:t>44</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r:id="rId19" w:anchor="_Toc490130642" w:history="1">
        <w:r w:rsidR="005D1BDD" w:rsidRPr="005455CB">
          <w:rPr>
            <w:rStyle w:val="Hyperlink"/>
            <w:noProof/>
          </w:rPr>
          <w:t>Figure 2</w:t>
        </w:r>
        <w:r w:rsidR="005D1BDD" w:rsidRPr="005455CB">
          <w:rPr>
            <w:rStyle w:val="Hyperlink"/>
            <w:noProof/>
          </w:rPr>
          <w:noBreakHyphen/>
          <w:t>10</w:t>
        </w:r>
        <w:r w:rsidR="005D1BDD" w:rsidRPr="005455CB">
          <w:rPr>
            <w:rStyle w:val="Hyperlink"/>
            <w:rFonts w:cs="Times New Roman"/>
            <w:noProof/>
          </w:rPr>
          <w:t xml:space="preserve"> SIMS δ</w:t>
        </w:r>
        <w:r w:rsidR="005D1BDD" w:rsidRPr="005455CB">
          <w:rPr>
            <w:rStyle w:val="Hyperlink"/>
            <w:rFonts w:cs="Times New Roman"/>
            <w:noProof/>
            <w:vertAlign w:val="superscript"/>
          </w:rPr>
          <w:t>11</w:t>
        </w:r>
        <w:r w:rsidR="005D1BDD" w:rsidRPr="005455CB">
          <w:rPr>
            <w:rStyle w:val="Hyperlink"/>
            <w:rFonts w:cs="Times New Roman"/>
            <w:noProof/>
          </w:rPr>
          <w:t>B profile across B-diffusion profile in hydrous, metaluminous haplogranite glass (experiment CGB2). Internal errors per individual point analyzed (represented as vertical error bars in the diagram) are 2σ standard error of the mean.</w:t>
        </w:r>
        <w:r w:rsidR="005D1BDD">
          <w:rPr>
            <w:noProof/>
            <w:webHidden/>
          </w:rPr>
          <w:tab/>
        </w:r>
        <w:r w:rsidR="005D1BDD">
          <w:rPr>
            <w:noProof/>
            <w:webHidden/>
          </w:rPr>
          <w:fldChar w:fldCharType="begin"/>
        </w:r>
        <w:r w:rsidR="005D1BDD">
          <w:rPr>
            <w:noProof/>
            <w:webHidden/>
          </w:rPr>
          <w:instrText xml:space="preserve"> PAGEREF _Toc490130642 \h </w:instrText>
        </w:r>
        <w:r w:rsidR="005D1BDD">
          <w:rPr>
            <w:noProof/>
            <w:webHidden/>
          </w:rPr>
        </w:r>
        <w:r w:rsidR="005D1BDD">
          <w:rPr>
            <w:noProof/>
            <w:webHidden/>
          </w:rPr>
          <w:fldChar w:fldCharType="separate"/>
        </w:r>
        <w:r w:rsidR="000C5FC3">
          <w:rPr>
            <w:noProof/>
            <w:webHidden/>
          </w:rPr>
          <w:t>45</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r:id="rId20" w:anchor="_Toc490130643" w:history="1">
        <w:r w:rsidR="005D1BDD" w:rsidRPr="005455CB">
          <w:rPr>
            <w:rStyle w:val="Hyperlink"/>
            <w:noProof/>
          </w:rPr>
          <w:t>Figure 3</w:t>
        </w:r>
        <w:r w:rsidR="005D1BDD" w:rsidRPr="005455CB">
          <w:rPr>
            <w:rStyle w:val="Hyperlink"/>
            <w:noProof/>
          </w:rPr>
          <w:noBreakHyphen/>
          <w:t>1</w:t>
        </w:r>
        <w:r w:rsidR="005D1BDD" w:rsidRPr="005455CB">
          <w:rPr>
            <w:rStyle w:val="Hyperlink"/>
            <w:rFonts w:cs="Times New Roman"/>
            <w:noProof/>
          </w:rPr>
          <w:t xml:space="preserve"> Calibration curve for calculating B content. See section 2.5 in text for details.</w:t>
        </w:r>
        <w:r w:rsidR="005D1BDD">
          <w:rPr>
            <w:noProof/>
            <w:webHidden/>
          </w:rPr>
          <w:tab/>
        </w:r>
        <w:r w:rsidR="005D1BDD">
          <w:rPr>
            <w:noProof/>
            <w:webHidden/>
          </w:rPr>
          <w:fldChar w:fldCharType="begin"/>
        </w:r>
        <w:r w:rsidR="005D1BDD">
          <w:rPr>
            <w:noProof/>
            <w:webHidden/>
          </w:rPr>
          <w:instrText xml:space="preserve"> PAGEREF _Toc490130643 \h </w:instrText>
        </w:r>
        <w:r w:rsidR="005D1BDD">
          <w:rPr>
            <w:noProof/>
            <w:webHidden/>
          </w:rPr>
        </w:r>
        <w:r w:rsidR="005D1BDD">
          <w:rPr>
            <w:noProof/>
            <w:webHidden/>
          </w:rPr>
          <w:fldChar w:fldCharType="separate"/>
        </w:r>
        <w:r w:rsidR="000C5FC3">
          <w:rPr>
            <w:noProof/>
            <w:webHidden/>
          </w:rPr>
          <w:t>71</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r:id="rId21" w:anchor="_Toc490130644" w:history="1">
        <w:r w:rsidR="005D1BDD" w:rsidRPr="005455CB">
          <w:rPr>
            <w:rStyle w:val="Hyperlink"/>
            <w:noProof/>
          </w:rPr>
          <w:t>Figure 3</w:t>
        </w:r>
        <w:r w:rsidR="005D1BDD" w:rsidRPr="005455CB">
          <w:rPr>
            <w:rStyle w:val="Hyperlink"/>
            <w:noProof/>
          </w:rPr>
          <w:noBreakHyphen/>
          <w:t>2</w:t>
        </w:r>
        <w:r w:rsidR="005D1BDD" w:rsidRPr="005455CB">
          <w:rPr>
            <w:rStyle w:val="Hyperlink"/>
            <w:rFonts w:cs="Times New Roman"/>
            <w:noProof/>
          </w:rPr>
          <w:t xml:space="preserve"> Chemical composition (wt% oxides) of glass from experiment CGB91 as a function of distance (m) across the glass. Experiment CGB91 was held at 800°C for 14 days. The starting glasses differ in that one is B-free and the other contains ~ 5 wt% B</w:t>
        </w:r>
        <w:r w:rsidR="005D1BDD" w:rsidRPr="005455CB">
          <w:rPr>
            <w:rStyle w:val="Hyperlink"/>
            <w:rFonts w:cs="Times New Roman"/>
            <w:noProof/>
            <w:vertAlign w:val="subscript"/>
          </w:rPr>
          <w:t>2</w:t>
        </w:r>
        <w:r w:rsidR="005D1BDD" w:rsidRPr="005455CB">
          <w:rPr>
            <w:rStyle w:val="Hyperlink"/>
            <w:rFonts w:cs="Times New Roman"/>
            <w:noProof/>
          </w:rPr>
          <w:t>O</w:t>
        </w:r>
        <w:r w:rsidR="005D1BDD" w:rsidRPr="005455CB">
          <w:rPr>
            <w:rStyle w:val="Hyperlink"/>
            <w:rFonts w:cs="Times New Roman"/>
            <w:noProof/>
            <w:vertAlign w:val="subscript"/>
          </w:rPr>
          <w:t>3</w:t>
        </w:r>
        <w:r w:rsidR="005D1BDD" w:rsidRPr="005455CB">
          <w:rPr>
            <w:rStyle w:val="Hyperlink"/>
            <w:rFonts w:cs="Times New Roman"/>
            <w:noProof/>
          </w:rPr>
          <w:t xml:space="preserve"> (HGB5: Table 1). The concentrations of Al</w:t>
        </w:r>
        <w:r w:rsidR="005D1BDD" w:rsidRPr="005455CB">
          <w:rPr>
            <w:rStyle w:val="Hyperlink"/>
            <w:rFonts w:cs="Times New Roman"/>
            <w:noProof/>
            <w:vertAlign w:val="subscript"/>
          </w:rPr>
          <w:t>2</w:t>
        </w:r>
        <w:r w:rsidR="005D1BDD" w:rsidRPr="005455CB">
          <w:rPr>
            <w:rStyle w:val="Hyperlink"/>
            <w:rFonts w:cs="Times New Roman"/>
            <w:noProof/>
          </w:rPr>
          <w:t>O</w:t>
        </w:r>
        <w:r w:rsidR="005D1BDD" w:rsidRPr="005455CB">
          <w:rPr>
            <w:rStyle w:val="Hyperlink"/>
            <w:rFonts w:cs="Times New Roman"/>
            <w:noProof/>
            <w:vertAlign w:val="subscript"/>
          </w:rPr>
          <w:t>3</w:t>
        </w:r>
        <w:r w:rsidR="005D1BDD" w:rsidRPr="005455CB">
          <w:rPr>
            <w:rStyle w:val="Hyperlink"/>
            <w:rFonts w:cs="Times New Roman"/>
            <w:noProof/>
          </w:rPr>
          <w:t>, Na</w:t>
        </w:r>
        <w:r w:rsidR="005D1BDD" w:rsidRPr="005455CB">
          <w:rPr>
            <w:rStyle w:val="Hyperlink"/>
            <w:rFonts w:cs="Times New Roman"/>
            <w:noProof/>
            <w:vertAlign w:val="subscript"/>
          </w:rPr>
          <w:t>2</w:t>
        </w:r>
        <w:r w:rsidR="005D1BDD" w:rsidRPr="005455CB">
          <w:rPr>
            <w:rStyle w:val="Hyperlink"/>
            <w:rFonts w:cs="Times New Roman"/>
            <w:noProof/>
          </w:rPr>
          <w:t>O, K</w:t>
        </w:r>
        <w:r w:rsidR="005D1BDD" w:rsidRPr="005455CB">
          <w:rPr>
            <w:rStyle w:val="Hyperlink"/>
            <w:rFonts w:cs="Times New Roman"/>
            <w:noProof/>
            <w:vertAlign w:val="subscript"/>
          </w:rPr>
          <w:t>2</w:t>
        </w:r>
        <w:r w:rsidR="005D1BDD" w:rsidRPr="005455CB">
          <w:rPr>
            <w:rStyle w:val="Hyperlink"/>
            <w:rFonts w:cs="Times New Roman"/>
            <w:noProof/>
          </w:rPr>
          <w:t>O, and H</w:t>
        </w:r>
        <w:r w:rsidR="005D1BDD" w:rsidRPr="005455CB">
          <w:rPr>
            <w:rStyle w:val="Hyperlink"/>
            <w:rFonts w:cs="Times New Roman"/>
            <w:noProof/>
            <w:vertAlign w:val="subscript"/>
          </w:rPr>
          <w:t>2</w:t>
        </w:r>
        <w:r w:rsidR="005D1BDD" w:rsidRPr="005455CB">
          <w:rPr>
            <w:rStyle w:val="Hyperlink"/>
            <w:rFonts w:cs="Times New Roman"/>
            <w:noProof/>
          </w:rPr>
          <w:t>O do not vary across the glass. Where the concentration of B</w:t>
        </w:r>
        <w:r w:rsidR="005D1BDD" w:rsidRPr="005455CB">
          <w:rPr>
            <w:rStyle w:val="Hyperlink"/>
            <w:rFonts w:cs="Times New Roman"/>
            <w:noProof/>
            <w:vertAlign w:val="subscript"/>
          </w:rPr>
          <w:t>2</w:t>
        </w:r>
        <w:r w:rsidR="005D1BDD" w:rsidRPr="005455CB">
          <w:rPr>
            <w:rStyle w:val="Hyperlink"/>
            <w:rFonts w:cs="Times New Roman"/>
            <w:noProof/>
          </w:rPr>
          <w:t>O</w:t>
        </w:r>
        <w:r w:rsidR="005D1BDD" w:rsidRPr="005455CB">
          <w:rPr>
            <w:rStyle w:val="Hyperlink"/>
            <w:rFonts w:cs="Times New Roman"/>
            <w:noProof/>
            <w:vertAlign w:val="subscript"/>
          </w:rPr>
          <w:t xml:space="preserve">3 </w:t>
        </w:r>
        <w:r w:rsidR="005D1BDD" w:rsidRPr="005455CB">
          <w:rPr>
            <w:rStyle w:val="Hyperlink"/>
            <w:rFonts w:cs="Times New Roman"/>
            <w:noProof/>
          </w:rPr>
          <w:t>is highest (left-hand side), the concentration of SiO</w:t>
        </w:r>
        <w:r w:rsidR="005D1BDD" w:rsidRPr="005455CB">
          <w:rPr>
            <w:rStyle w:val="Hyperlink"/>
            <w:rFonts w:cs="Times New Roman"/>
            <w:noProof/>
            <w:vertAlign w:val="subscript"/>
          </w:rPr>
          <w:t>2</w:t>
        </w:r>
        <w:r w:rsidR="005D1BDD" w:rsidRPr="005455CB">
          <w:rPr>
            <w:rStyle w:val="Hyperlink"/>
            <w:rFonts w:cs="Times New Roman"/>
            <w:noProof/>
          </w:rPr>
          <w:t xml:space="preserve"> is lowest, and vice versa.</w:t>
        </w:r>
        <w:r w:rsidR="005D1BDD">
          <w:rPr>
            <w:noProof/>
            <w:webHidden/>
          </w:rPr>
          <w:tab/>
        </w:r>
        <w:r w:rsidR="005D1BDD">
          <w:rPr>
            <w:noProof/>
            <w:webHidden/>
          </w:rPr>
          <w:fldChar w:fldCharType="begin"/>
        </w:r>
        <w:r w:rsidR="005D1BDD">
          <w:rPr>
            <w:noProof/>
            <w:webHidden/>
          </w:rPr>
          <w:instrText xml:space="preserve"> PAGEREF _Toc490130644 \h </w:instrText>
        </w:r>
        <w:r w:rsidR="005D1BDD">
          <w:rPr>
            <w:noProof/>
            <w:webHidden/>
          </w:rPr>
        </w:r>
        <w:r w:rsidR="005D1BDD">
          <w:rPr>
            <w:noProof/>
            <w:webHidden/>
          </w:rPr>
          <w:fldChar w:fldCharType="separate"/>
        </w:r>
        <w:r w:rsidR="000C5FC3">
          <w:rPr>
            <w:noProof/>
            <w:webHidden/>
          </w:rPr>
          <w:t>72</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r:id="rId22" w:anchor="_Toc490130645" w:history="1">
        <w:r w:rsidR="005D1BDD" w:rsidRPr="005455CB">
          <w:rPr>
            <w:rStyle w:val="Hyperlink"/>
            <w:noProof/>
          </w:rPr>
          <w:t>Figure 3</w:t>
        </w:r>
        <w:r w:rsidR="005D1BDD" w:rsidRPr="005455CB">
          <w:rPr>
            <w:rStyle w:val="Hyperlink"/>
            <w:noProof/>
          </w:rPr>
          <w:noBreakHyphen/>
          <w:t>3</w:t>
        </w:r>
        <w:r w:rsidR="005D1BDD" w:rsidRPr="005455CB">
          <w:rPr>
            <w:rStyle w:val="Hyperlink"/>
            <w:rFonts w:cs="Times New Roman"/>
            <w:noProof/>
          </w:rPr>
          <w:t xml:space="preserve"> Chemical composition (wt% oxides) of glass from experiment CGB49 as a function of distance (m) across the glass. Experiment CGB49 was held at 800°C for 10 days. The starting glasses differ in that one is B-free and the other contains ~ 10 wt% B</w:t>
        </w:r>
        <w:r w:rsidR="005D1BDD" w:rsidRPr="005455CB">
          <w:rPr>
            <w:rStyle w:val="Hyperlink"/>
            <w:rFonts w:cs="Times New Roman"/>
            <w:noProof/>
            <w:vertAlign w:val="subscript"/>
          </w:rPr>
          <w:t>2</w:t>
        </w:r>
        <w:r w:rsidR="005D1BDD" w:rsidRPr="005455CB">
          <w:rPr>
            <w:rStyle w:val="Hyperlink"/>
            <w:rFonts w:cs="Times New Roman"/>
            <w:noProof/>
          </w:rPr>
          <w:t>O</w:t>
        </w:r>
        <w:r w:rsidR="005D1BDD" w:rsidRPr="005455CB">
          <w:rPr>
            <w:rStyle w:val="Hyperlink"/>
            <w:rFonts w:cs="Times New Roman"/>
            <w:noProof/>
            <w:vertAlign w:val="subscript"/>
          </w:rPr>
          <w:t>3</w:t>
        </w:r>
        <w:r w:rsidR="005D1BDD" w:rsidRPr="005455CB">
          <w:rPr>
            <w:rStyle w:val="Hyperlink"/>
            <w:rFonts w:cs="Times New Roman"/>
            <w:noProof/>
          </w:rPr>
          <w:t xml:space="preserve"> (11BHG: Table 1). The concentrations of Al</w:t>
        </w:r>
        <w:r w:rsidR="005D1BDD" w:rsidRPr="005455CB">
          <w:rPr>
            <w:rStyle w:val="Hyperlink"/>
            <w:rFonts w:cs="Times New Roman"/>
            <w:noProof/>
            <w:vertAlign w:val="subscript"/>
          </w:rPr>
          <w:t>2</w:t>
        </w:r>
        <w:r w:rsidR="005D1BDD" w:rsidRPr="005455CB">
          <w:rPr>
            <w:rStyle w:val="Hyperlink"/>
            <w:rFonts w:cs="Times New Roman"/>
            <w:noProof/>
          </w:rPr>
          <w:t>O</w:t>
        </w:r>
        <w:r w:rsidR="005D1BDD" w:rsidRPr="005455CB">
          <w:rPr>
            <w:rStyle w:val="Hyperlink"/>
            <w:rFonts w:cs="Times New Roman"/>
            <w:noProof/>
            <w:vertAlign w:val="subscript"/>
          </w:rPr>
          <w:t>3</w:t>
        </w:r>
        <w:r w:rsidR="005D1BDD" w:rsidRPr="005455CB">
          <w:rPr>
            <w:rStyle w:val="Hyperlink"/>
            <w:rFonts w:cs="Times New Roman"/>
            <w:noProof/>
          </w:rPr>
          <w:t>, Na</w:t>
        </w:r>
        <w:r w:rsidR="005D1BDD" w:rsidRPr="005455CB">
          <w:rPr>
            <w:rStyle w:val="Hyperlink"/>
            <w:rFonts w:cs="Times New Roman"/>
            <w:noProof/>
            <w:vertAlign w:val="subscript"/>
          </w:rPr>
          <w:t>2</w:t>
        </w:r>
        <w:r w:rsidR="005D1BDD" w:rsidRPr="005455CB">
          <w:rPr>
            <w:rStyle w:val="Hyperlink"/>
            <w:rFonts w:cs="Times New Roman"/>
            <w:noProof/>
          </w:rPr>
          <w:t>O, K</w:t>
        </w:r>
        <w:r w:rsidR="005D1BDD" w:rsidRPr="005455CB">
          <w:rPr>
            <w:rStyle w:val="Hyperlink"/>
            <w:rFonts w:cs="Times New Roman"/>
            <w:noProof/>
            <w:vertAlign w:val="subscript"/>
          </w:rPr>
          <w:t>2</w:t>
        </w:r>
        <w:r w:rsidR="005D1BDD" w:rsidRPr="005455CB">
          <w:rPr>
            <w:rStyle w:val="Hyperlink"/>
            <w:rFonts w:cs="Times New Roman"/>
            <w:noProof/>
          </w:rPr>
          <w:t>O, and H</w:t>
        </w:r>
        <w:r w:rsidR="005D1BDD" w:rsidRPr="005455CB">
          <w:rPr>
            <w:rStyle w:val="Hyperlink"/>
            <w:rFonts w:cs="Times New Roman"/>
            <w:noProof/>
            <w:vertAlign w:val="subscript"/>
          </w:rPr>
          <w:t>2</w:t>
        </w:r>
        <w:r w:rsidR="005D1BDD" w:rsidRPr="005455CB">
          <w:rPr>
            <w:rStyle w:val="Hyperlink"/>
            <w:rFonts w:cs="Times New Roman"/>
            <w:noProof/>
          </w:rPr>
          <w:t>O do not vary across the glass. Where the concentration of B</w:t>
        </w:r>
        <w:r w:rsidR="005D1BDD" w:rsidRPr="005455CB">
          <w:rPr>
            <w:rStyle w:val="Hyperlink"/>
            <w:rFonts w:cs="Times New Roman"/>
            <w:noProof/>
            <w:vertAlign w:val="subscript"/>
          </w:rPr>
          <w:t>2</w:t>
        </w:r>
        <w:r w:rsidR="005D1BDD" w:rsidRPr="005455CB">
          <w:rPr>
            <w:rStyle w:val="Hyperlink"/>
            <w:rFonts w:cs="Times New Roman"/>
            <w:noProof/>
          </w:rPr>
          <w:t>O</w:t>
        </w:r>
        <w:r w:rsidR="005D1BDD" w:rsidRPr="005455CB">
          <w:rPr>
            <w:rStyle w:val="Hyperlink"/>
            <w:rFonts w:cs="Times New Roman"/>
            <w:noProof/>
            <w:vertAlign w:val="subscript"/>
          </w:rPr>
          <w:t xml:space="preserve">3 </w:t>
        </w:r>
        <w:r w:rsidR="005D1BDD" w:rsidRPr="005455CB">
          <w:rPr>
            <w:rStyle w:val="Hyperlink"/>
            <w:rFonts w:cs="Times New Roman"/>
            <w:noProof/>
          </w:rPr>
          <w:t>is highest (left-hand side), the concentration of SiO</w:t>
        </w:r>
        <w:r w:rsidR="005D1BDD" w:rsidRPr="005455CB">
          <w:rPr>
            <w:rStyle w:val="Hyperlink"/>
            <w:rFonts w:cs="Times New Roman"/>
            <w:noProof/>
            <w:vertAlign w:val="subscript"/>
          </w:rPr>
          <w:t>2</w:t>
        </w:r>
        <w:r w:rsidR="005D1BDD" w:rsidRPr="005455CB">
          <w:rPr>
            <w:rStyle w:val="Hyperlink"/>
            <w:rFonts w:cs="Times New Roman"/>
            <w:noProof/>
          </w:rPr>
          <w:t xml:space="preserve"> is lowest, and vice versa.</w:t>
        </w:r>
        <w:r w:rsidR="005D1BDD">
          <w:rPr>
            <w:noProof/>
            <w:webHidden/>
          </w:rPr>
          <w:tab/>
        </w:r>
        <w:r w:rsidR="005D1BDD">
          <w:rPr>
            <w:noProof/>
            <w:webHidden/>
          </w:rPr>
          <w:fldChar w:fldCharType="begin"/>
        </w:r>
        <w:r w:rsidR="005D1BDD">
          <w:rPr>
            <w:noProof/>
            <w:webHidden/>
          </w:rPr>
          <w:instrText xml:space="preserve"> PAGEREF _Toc490130645 \h </w:instrText>
        </w:r>
        <w:r w:rsidR="005D1BDD">
          <w:rPr>
            <w:noProof/>
            <w:webHidden/>
          </w:rPr>
        </w:r>
        <w:r w:rsidR="005D1BDD">
          <w:rPr>
            <w:noProof/>
            <w:webHidden/>
          </w:rPr>
          <w:fldChar w:fldCharType="separate"/>
        </w:r>
        <w:r w:rsidR="000C5FC3">
          <w:rPr>
            <w:noProof/>
            <w:webHidden/>
          </w:rPr>
          <w:t>73</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r:id="rId23" w:anchor="_Toc490130646" w:history="1">
        <w:r w:rsidR="005D1BDD" w:rsidRPr="005455CB">
          <w:rPr>
            <w:rStyle w:val="Hyperlink"/>
            <w:noProof/>
          </w:rPr>
          <w:t>Figure 3</w:t>
        </w:r>
        <w:r w:rsidR="005D1BDD" w:rsidRPr="005455CB">
          <w:rPr>
            <w:rStyle w:val="Hyperlink"/>
            <w:noProof/>
          </w:rPr>
          <w:noBreakHyphen/>
          <w:t>4</w:t>
        </w:r>
        <w:r w:rsidR="005D1BDD" w:rsidRPr="005455CB">
          <w:rPr>
            <w:rStyle w:val="Hyperlink"/>
            <w:rFonts w:cs="Times New Roman"/>
            <w:noProof/>
          </w:rPr>
          <w:t xml:space="preserve"> 3-D plot of B concentration in glass from experiment CGB2 (Table 3). Plots represents a collection of over 500 EMPA data points that were smoothed using a loess based algorithm in SigmaPlot 13.0 (Systat Software). Units for the z-axis are weight percent (wt.%) and micrometers (</w:t>
        </w:r>
        <w:r w:rsidR="005D1BDD" w:rsidRPr="005455CB">
          <w:rPr>
            <w:rStyle w:val="Hyperlink"/>
            <w:noProof/>
          </w:rPr>
          <w:t>μ</w:t>
        </w:r>
        <w:r w:rsidR="005D1BDD" w:rsidRPr="005455CB">
          <w:rPr>
            <w:rStyle w:val="Hyperlink"/>
            <w:rFonts w:cs="Times New Roman"/>
            <w:noProof/>
          </w:rPr>
          <w:t>m) for the x- and y-axes. The illustration clearly shows that B diffused from the sides and end of the glass cylinder.</w:t>
        </w:r>
        <w:r w:rsidR="005D1BDD">
          <w:rPr>
            <w:noProof/>
            <w:webHidden/>
          </w:rPr>
          <w:tab/>
        </w:r>
        <w:r w:rsidR="005D1BDD">
          <w:rPr>
            <w:noProof/>
            <w:webHidden/>
          </w:rPr>
          <w:fldChar w:fldCharType="begin"/>
        </w:r>
        <w:r w:rsidR="005D1BDD">
          <w:rPr>
            <w:noProof/>
            <w:webHidden/>
          </w:rPr>
          <w:instrText xml:space="preserve"> PAGEREF _Toc490130646 \h </w:instrText>
        </w:r>
        <w:r w:rsidR="005D1BDD">
          <w:rPr>
            <w:noProof/>
            <w:webHidden/>
          </w:rPr>
        </w:r>
        <w:r w:rsidR="005D1BDD">
          <w:rPr>
            <w:noProof/>
            <w:webHidden/>
          </w:rPr>
          <w:fldChar w:fldCharType="separate"/>
        </w:r>
        <w:r w:rsidR="000C5FC3">
          <w:rPr>
            <w:noProof/>
            <w:webHidden/>
          </w:rPr>
          <w:t>74</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r:id="rId24" w:anchor="_Toc490130647" w:history="1">
        <w:r w:rsidR="005D1BDD" w:rsidRPr="005455CB">
          <w:rPr>
            <w:rStyle w:val="Hyperlink"/>
            <w:noProof/>
          </w:rPr>
          <w:t>Figure 3</w:t>
        </w:r>
        <w:r w:rsidR="005D1BDD" w:rsidRPr="005455CB">
          <w:rPr>
            <w:rStyle w:val="Hyperlink"/>
            <w:noProof/>
          </w:rPr>
          <w:noBreakHyphen/>
          <w:t>5</w:t>
        </w:r>
        <w:r w:rsidR="005D1BDD" w:rsidRPr="005455CB">
          <w:rPr>
            <w:rStyle w:val="Hyperlink"/>
            <w:rFonts w:cs="Times New Roman"/>
            <w:noProof/>
          </w:rPr>
          <w:t xml:space="preserve"> Normalized B content of glass in experiment CGB2 against distance (meters) relative to the Matano surface. Circles are EMPA data. Solid line represents a solution to the inverse error function using a diffusion coefficient for B of 10</w:t>
        </w:r>
        <w:r w:rsidR="005D1BDD" w:rsidRPr="005455CB">
          <w:rPr>
            <w:rStyle w:val="Hyperlink"/>
            <w:rFonts w:cs="Times New Roman"/>
            <w:noProof/>
            <w:vertAlign w:val="superscript"/>
          </w:rPr>
          <w:t>-13</w:t>
        </w:r>
        <w:r w:rsidR="005D1BDD" w:rsidRPr="005455CB">
          <w:rPr>
            <w:rStyle w:val="Hyperlink"/>
            <w:rFonts w:cs="Times New Roman"/>
            <w:noProof/>
          </w:rPr>
          <w:t xml:space="preserve"> m</w:t>
        </w:r>
        <w:r w:rsidR="005D1BDD" w:rsidRPr="005455CB">
          <w:rPr>
            <w:rStyle w:val="Hyperlink"/>
            <w:rFonts w:cs="Times New Roman"/>
            <w:noProof/>
            <w:vertAlign w:val="superscript"/>
          </w:rPr>
          <w:t>2</w:t>
        </w:r>
        <w:r w:rsidR="005D1BDD" w:rsidRPr="005455CB">
          <w:rPr>
            <w:rStyle w:val="Hyperlink"/>
            <w:rFonts w:cs="Times New Roman"/>
            <w:noProof/>
          </w:rPr>
          <w:t>/s. Dotted line represents 3</w:t>
        </w:r>
        <w:r w:rsidR="005D1BDD" w:rsidRPr="005455CB">
          <w:rPr>
            <w:rStyle w:val="Hyperlink"/>
            <w:rFonts w:cs="Times New Roman"/>
            <w:noProof/>
            <w:vertAlign w:val="superscript"/>
          </w:rPr>
          <w:t>rd</w:t>
        </w:r>
        <w:r w:rsidR="005D1BDD" w:rsidRPr="005455CB">
          <w:rPr>
            <w:rStyle w:val="Hyperlink"/>
            <w:rFonts w:cs="Times New Roman"/>
            <w:noProof/>
          </w:rPr>
          <w:t>-order polynomial expression fit to the EMPA data. Diffusion coefficients were calculated using the Boltzman-Matano equation from the 3</w:t>
        </w:r>
        <w:r w:rsidR="005D1BDD" w:rsidRPr="005455CB">
          <w:rPr>
            <w:rStyle w:val="Hyperlink"/>
            <w:rFonts w:cs="Times New Roman"/>
            <w:noProof/>
            <w:vertAlign w:val="superscript"/>
          </w:rPr>
          <w:t>rd</w:t>
        </w:r>
        <w:r w:rsidR="005D1BDD" w:rsidRPr="005455CB">
          <w:rPr>
            <w:rStyle w:val="Hyperlink"/>
            <w:rFonts w:cs="Times New Roman"/>
            <w:noProof/>
          </w:rPr>
          <w:t xml:space="preserve">-order polynomial expression. Diffusion coefficients calculated using both equations are similar for the high concentration end (higher y-axis values). At lower concentrations, the diffusion coefficient calculated using the Boltzman-Matano equation is an order of </w:t>
        </w:r>
        <w:r w:rsidR="005D1BDD" w:rsidRPr="005455CB">
          <w:rPr>
            <w:rStyle w:val="Hyperlink"/>
            <w:rFonts w:cs="Times New Roman"/>
            <w:noProof/>
          </w:rPr>
          <w:lastRenderedPageBreak/>
          <w:t>magnitude smaller (faster) than the coefficient used in the inverse error function equation.</w:t>
        </w:r>
        <w:r w:rsidR="005D1BDD">
          <w:rPr>
            <w:noProof/>
            <w:webHidden/>
          </w:rPr>
          <w:tab/>
        </w:r>
        <w:r w:rsidR="005D1BDD">
          <w:rPr>
            <w:noProof/>
            <w:webHidden/>
          </w:rPr>
          <w:fldChar w:fldCharType="begin"/>
        </w:r>
        <w:r w:rsidR="005D1BDD">
          <w:rPr>
            <w:noProof/>
            <w:webHidden/>
          </w:rPr>
          <w:instrText xml:space="preserve"> PAGEREF _Toc490130647 \h </w:instrText>
        </w:r>
        <w:r w:rsidR="005D1BDD">
          <w:rPr>
            <w:noProof/>
            <w:webHidden/>
          </w:rPr>
        </w:r>
        <w:r w:rsidR="005D1BDD">
          <w:rPr>
            <w:noProof/>
            <w:webHidden/>
          </w:rPr>
          <w:fldChar w:fldCharType="separate"/>
        </w:r>
        <w:r w:rsidR="000C5FC3">
          <w:rPr>
            <w:noProof/>
            <w:webHidden/>
          </w:rPr>
          <w:t>75</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r:id="rId25" w:anchor="_Toc490130648" w:history="1">
        <w:r w:rsidR="005D1BDD" w:rsidRPr="005455CB">
          <w:rPr>
            <w:rStyle w:val="Hyperlink"/>
            <w:noProof/>
          </w:rPr>
          <w:t>Figure 3</w:t>
        </w:r>
        <w:r w:rsidR="005D1BDD" w:rsidRPr="005455CB">
          <w:rPr>
            <w:rStyle w:val="Hyperlink"/>
            <w:noProof/>
          </w:rPr>
          <w:noBreakHyphen/>
          <w:t>6</w:t>
        </w:r>
        <w:r w:rsidR="005D1BDD" w:rsidRPr="005455CB">
          <w:rPr>
            <w:rStyle w:val="Hyperlink"/>
            <w:rFonts w:cs="Times New Roman"/>
            <w:noProof/>
          </w:rPr>
          <w:t xml:space="preserve"> Concentration-distance profile representative of experiments that were designed to assess the chemical diffusivity of individual B isotopes. Shown in this diagram is data from experiment CGB49 which used a </w:t>
        </w:r>
        <w:r w:rsidR="005D1BDD" w:rsidRPr="005455CB">
          <w:rPr>
            <w:rStyle w:val="Hyperlink"/>
            <w:rFonts w:cs="Times New Roman"/>
            <w:noProof/>
            <w:vertAlign w:val="superscript"/>
          </w:rPr>
          <w:t>11</w:t>
        </w:r>
        <w:r w:rsidR="005D1BDD" w:rsidRPr="005455CB">
          <w:rPr>
            <w:rStyle w:val="Hyperlink"/>
            <w:rFonts w:cs="Times New Roman"/>
            <w:noProof/>
          </w:rPr>
          <w:t>B enriched glass as a source of B. Y-axis is normalized B content of glass, X-axis is distance (meters) relative to the Matano surface. Circles are EMPA data. Solid line represents a solution to the inverse error function using a diffusion coefficient of 10</w:t>
        </w:r>
        <w:r w:rsidR="005D1BDD" w:rsidRPr="005455CB">
          <w:rPr>
            <w:rStyle w:val="Hyperlink"/>
            <w:rFonts w:cs="Times New Roman"/>
            <w:noProof/>
            <w:vertAlign w:val="superscript"/>
          </w:rPr>
          <w:t>-13</w:t>
        </w:r>
        <w:r w:rsidR="005D1BDD" w:rsidRPr="005455CB">
          <w:rPr>
            <w:rStyle w:val="Hyperlink"/>
            <w:rFonts w:cs="Times New Roman"/>
            <w:noProof/>
          </w:rPr>
          <w:t xml:space="preserve"> m</w:t>
        </w:r>
        <w:r w:rsidR="005D1BDD" w:rsidRPr="005455CB">
          <w:rPr>
            <w:rStyle w:val="Hyperlink"/>
            <w:rFonts w:cs="Times New Roman"/>
            <w:noProof/>
            <w:vertAlign w:val="superscript"/>
          </w:rPr>
          <w:t>2</w:t>
        </w:r>
        <w:r w:rsidR="005D1BDD" w:rsidRPr="005455CB">
          <w:rPr>
            <w:rStyle w:val="Hyperlink"/>
            <w:rFonts w:cs="Times New Roman"/>
            <w:noProof/>
          </w:rPr>
          <w:t>/s (Table 3).</w:t>
        </w:r>
        <w:r w:rsidR="005D1BDD">
          <w:rPr>
            <w:noProof/>
            <w:webHidden/>
          </w:rPr>
          <w:tab/>
        </w:r>
        <w:r w:rsidR="005D1BDD">
          <w:rPr>
            <w:noProof/>
            <w:webHidden/>
          </w:rPr>
          <w:fldChar w:fldCharType="begin"/>
        </w:r>
        <w:r w:rsidR="005D1BDD">
          <w:rPr>
            <w:noProof/>
            <w:webHidden/>
          </w:rPr>
          <w:instrText xml:space="preserve"> PAGEREF _Toc490130648 \h </w:instrText>
        </w:r>
        <w:r w:rsidR="005D1BDD">
          <w:rPr>
            <w:noProof/>
            <w:webHidden/>
          </w:rPr>
        </w:r>
        <w:r w:rsidR="005D1BDD">
          <w:rPr>
            <w:noProof/>
            <w:webHidden/>
          </w:rPr>
          <w:fldChar w:fldCharType="separate"/>
        </w:r>
        <w:r w:rsidR="000C5FC3">
          <w:rPr>
            <w:noProof/>
            <w:webHidden/>
          </w:rPr>
          <w:t>76</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r:id="rId26" w:anchor="_Toc490130649" w:history="1">
        <w:r w:rsidR="005D1BDD" w:rsidRPr="005455CB">
          <w:rPr>
            <w:rStyle w:val="Hyperlink"/>
            <w:noProof/>
          </w:rPr>
          <w:t>Figure 3</w:t>
        </w:r>
        <w:r w:rsidR="005D1BDD" w:rsidRPr="005455CB">
          <w:rPr>
            <w:rStyle w:val="Hyperlink"/>
            <w:noProof/>
          </w:rPr>
          <w:noBreakHyphen/>
          <w:t>7</w:t>
        </w:r>
        <w:r w:rsidR="005D1BDD" w:rsidRPr="005455CB">
          <w:rPr>
            <w:rStyle w:val="Hyperlink"/>
            <w:rFonts w:cs="Times New Roman"/>
            <w:noProof/>
          </w:rPr>
          <w:t xml:space="preserve"> Time-series of hydrous experiments involving the inter-diffusion of </w:t>
        </w:r>
        <w:r w:rsidR="005D1BDD" w:rsidRPr="005455CB">
          <w:rPr>
            <w:rStyle w:val="Hyperlink"/>
            <w:rFonts w:cs="Times New Roman"/>
            <w:noProof/>
            <w:vertAlign w:val="superscript"/>
          </w:rPr>
          <w:t>11</w:t>
        </w:r>
        <w:r w:rsidR="005D1BDD" w:rsidRPr="005455CB">
          <w:rPr>
            <w:rStyle w:val="Hyperlink"/>
            <w:rFonts w:cs="Times New Roman"/>
            <w:noProof/>
          </w:rPr>
          <w:t xml:space="preserve">B (a) and </w:t>
        </w:r>
        <w:r w:rsidR="005D1BDD" w:rsidRPr="005455CB">
          <w:rPr>
            <w:rStyle w:val="Hyperlink"/>
            <w:rFonts w:cs="Times New Roman"/>
            <w:noProof/>
            <w:vertAlign w:val="superscript"/>
          </w:rPr>
          <w:t>10</w:t>
        </w:r>
        <w:r w:rsidR="005D1BDD" w:rsidRPr="005455CB">
          <w:rPr>
            <w:rStyle w:val="Hyperlink"/>
            <w:rFonts w:cs="Times New Roman"/>
            <w:noProof/>
          </w:rPr>
          <w:t xml:space="preserve">B (b). Y-axis is the normalized </w:t>
        </w:r>
        <w:r w:rsidR="005D1BDD" w:rsidRPr="005455CB">
          <w:rPr>
            <w:rStyle w:val="Hyperlink"/>
            <w:rFonts w:cs="Times New Roman"/>
            <w:noProof/>
            <w:vertAlign w:val="superscript"/>
          </w:rPr>
          <w:t>11</w:t>
        </w:r>
        <w:r w:rsidR="005D1BDD" w:rsidRPr="005455CB">
          <w:rPr>
            <w:rStyle w:val="Hyperlink"/>
            <w:rFonts w:cs="Times New Roman"/>
            <w:noProof/>
          </w:rPr>
          <w:t>B/</w:t>
        </w:r>
        <w:r w:rsidR="005D1BDD" w:rsidRPr="005455CB">
          <w:rPr>
            <w:rStyle w:val="Hyperlink"/>
            <w:rFonts w:cs="Times New Roman"/>
            <w:noProof/>
            <w:vertAlign w:val="superscript"/>
          </w:rPr>
          <w:t>30</w:t>
        </w:r>
        <w:r w:rsidR="005D1BDD" w:rsidRPr="005455CB">
          <w:rPr>
            <w:rStyle w:val="Hyperlink"/>
            <w:rFonts w:cs="Times New Roman"/>
            <w:noProof/>
          </w:rPr>
          <w:t xml:space="preserve">Si (a) or </w:t>
        </w:r>
        <w:r w:rsidR="005D1BDD" w:rsidRPr="005455CB">
          <w:rPr>
            <w:rStyle w:val="Hyperlink"/>
            <w:rFonts w:cs="Times New Roman"/>
            <w:noProof/>
            <w:vertAlign w:val="superscript"/>
          </w:rPr>
          <w:t>10</w:t>
        </w:r>
        <w:r w:rsidR="005D1BDD" w:rsidRPr="005455CB">
          <w:rPr>
            <w:rStyle w:val="Hyperlink"/>
            <w:rFonts w:cs="Times New Roman"/>
            <w:noProof/>
          </w:rPr>
          <w:t>B/</w:t>
        </w:r>
        <w:r w:rsidR="005D1BDD" w:rsidRPr="005455CB">
          <w:rPr>
            <w:rStyle w:val="Hyperlink"/>
            <w:rFonts w:cs="Times New Roman"/>
            <w:noProof/>
            <w:vertAlign w:val="superscript"/>
          </w:rPr>
          <w:t>30</w:t>
        </w:r>
        <w:r w:rsidR="005D1BDD" w:rsidRPr="005455CB">
          <w:rPr>
            <w:rStyle w:val="Hyperlink"/>
            <w:rFonts w:cs="Times New Roman"/>
            <w:noProof/>
          </w:rPr>
          <w:t>Si (b) ratios measured using SIMS. X-axis is distance, relative to the Matano surface, across the glass (in meters). Lines represent solutions to the inverse error function equation. Long, dashed line is for a 1-day experiments; short, dashed line is for a 3-day experiment; solid line is for a 5-day experiment.</w:t>
        </w:r>
        <w:r w:rsidR="005D1BDD">
          <w:rPr>
            <w:noProof/>
            <w:webHidden/>
          </w:rPr>
          <w:tab/>
        </w:r>
        <w:r w:rsidR="005D1BDD">
          <w:rPr>
            <w:noProof/>
            <w:webHidden/>
          </w:rPr>
          <w:fldChar w:fldCharType="begin"/>
        </w:r>
        <w:r w:rsidR="005D1BDD">
          <w:rPr>
            <w:noProof/>
            <w:webHidden/>
          </w:rPr>
          <w:instrText xml:space="preserve"> PAGEREF _Toc490130649 \h </w:instrText>
        </w:r>
        <w:r w:rsidR="005D1BDD">
          <w:rPr>
            <w:noProof/>
            <w:webHidden/>
          </w:rPr>
        </w:r>
        <w:r w:rsidR="005D1BDD">
          <w:rPr>
            <w:noProof/>
            <w:webHidden/>
          </w:rPr>
          <w:fldChar w:fldCharType="separate"/>
        </w:r>
        <w:r w:rsidR="000C5FC3">
          <w:rPr>
            <w:noProof/>
            <w:webHidden/>
          </w:rPr>
          <w:t>77</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r:id="rId27" w:anchor="_Toc490130650" w:history="1">
        <w:r w:rsidR="005D1BDD" w:rsidRPr="005455CB">
          <w:rPr>
            <w:rStyle w:val="Hyperlink"/>
            <w:noProof/>
          </w:rPr>
          <w:t>Figure 3</w:t>
        </w:r>
        <w:r w:rsidR="005D1BDD" w:rsidRPr="005455CB">
          <w:rPr>
            <w:rStyle w:val="Hyperlink"/>
            <w:noProof/>
          </w:rPr>
          <w:noBreakHyphen/>
          <w:t>8</w:t>
        </w:r>
        <w:r w:rsidR="005D1BDD" w:rsidRPr="005455CB">
          <w:rPr>
            <w:rStyle w:val="Hyperlink"/>
            <w:rFonts w:cs="Times New Roman"/>
            <w:noProof/>
          </w:rPr>
          <w:t xml:space="preserve"> Boron and boron isotopic profile across glass in experiment CGB2. Y-axis on left-hand side is the concentration (wt.%) of B</w:t>
        </w:r>
        <w:r w:rsidR="005D1BDD" w:rsidRPr="005455CB">
          <w:rPr>
            <w:rStyle w:val="Hyperlink"/>
            <w:rFonts w:cs="Times New Roman"/>
            <w:noProof/>
            <w:vertAlign w:val="subscript"/>
          </w:rPr>
          <w:t>2</w:t>
        </w:r>
        <w:r w:rsidR="005D1BDD" w:rsidRPr="005455CB">
          <w:rPr>
            <w:rStyle w:val="Hyperlink"/>
            <w:rFonts w:cs="Times New Roman"/>
            <w:noProof/>
          </w:rPr>
          <w:t>O</w:t>
        </w:r>
        <w:r w:rsidR="005D1BDD" w:rsidRPr="005455CB">
          <w:rPr>
            <w:rStyle w:val="Hyperlink"/>
            <w:rFonts w:cs="Times New Roman"/>
            <w:noProof/>
            <w:vertAlign w:val="subscript"/>
          </w:rPr>
          <w:t>3</w:t>
        </w:r>
        <w:r w:rsidR="005D1BDD" w:rsidRPr="005455CB">
          <w:rPr>
            <w:rStyle w:val="Hyperlink"/>
            <w:rFonts w:cs="Times New Roman"/>
            <w:noProof/>
          </w:rPr>
          <w:t xml:space="preserve"> and, on the right-hand side, the boron isotopic composition. X-axis is distance (in meters) from the edge of the glass. The boron isotopic composition of the glass decreases by ~ 5‰ over ~ 500 </w:t>
        </w:r>
        <w:r w:rsidR="005D1BDD" w:rsidRPr="005455CB">
          <w:rPr>
            <w:rStyle w:val="Hyperlink"/>
            <w:noProof/>
          </w:rPr>
          <w:t>μ</w:t>
        </w:r>
        <w:r w:rsidR="005D1BDD" w:rsidRPr="005455CB">
          <w:rPr>
            <w:rStyle w:val="Hyperlink"/>
            <w:rFonts w:cs="Times New Roman"/>
            <w:noProof/>
          </w:rPr>
          <w:t>m, then plateaus across the remainder of the B diffusion profile.</w:t>
        </w:r>
        <w:r w:rsidR="005D1BDD">
          <w:rPr>
            <w:noProof/>
            <w:webHidden/>
          </w:rPr>
          <w:tab/>
        </w:r>
        <w:r w:rsidR="005D1BDD">
          <w:rPr>
            <w:noProof/>
            <w:webHidden/>
          </w:rPr>
          <w:fldChar w:fldCharType="begin"/>
        </w:r>
        <w:r w:rsidR="005D1BDD">
          <w:rPr>
            <w:noProof/>
            <w:webHidden/>
          </w:rPr>
          <w:instrText xml:space="preserve"> PAGEREF _Toc490130650 \h </w:instrText>
        </w:r>
        <w:r w:rsidR="005D1BDD">
          <w:rPr>
            <w:noProof/>
            <w:webHidden/>
          </w:rPr>
        </w:r>
        <w:r w:rsidR="005D1BDD">
          <w:rPr>
            <w:noProof/>
            <w:webHidden/>
          </w:rPr>
          <w:fldChar w:fldCharType="separate"/>
        </w:r>
        <w:r w:rsidR="000C5FC3">
          <w:rPr>
            <w:noProof/>
            <w:webHidden/>
          </w:rPr>
          <w:t>78</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r:id="rId28" w:anchor="_Toc490130651" w:history="1">
        <w:r w:rsidR="005D1BDD" w:rsidRPr="005455CB">
          <w:rPr>
            <w:rStyle w:val="Hyperlink"/>
            <w:noProof/>
          </w:rPr>
          <w:t>Figure 3</w:t>
        </w:r>
        <w:r w:rsidR="005D1BDD" w:rsidRPr="005455CB">
          <w:rPr>
            <w:rStyle w:val="Hyperlink"/>
            <w:noProof/>
          </w:rPr>
          <w:noBreakHyphen/>
          <w:t>9</w:t>
        </w:r>
        <w:r w:rsidR="005D1BDD" w:rsidRPr="005455CB">
          <w:rPr>
            <w:rStyle w:val="Hyperlink"/>
            <w:rFonts w:cs="Times New Roman"/>
            <w:noProof/>
          </w:rPr>
          <w:t xml:space="preserve"> Boron and boron isotopic profile across glass in experiment CGB96. Y-axis on left-hand side is the concentration (wt.%) of B</w:t>
        </w:r>
        <w:r w:rsidR="005D1BDD" w:rsidRPr="005455CB">
          <w:rPr>
            <w:rStyle w:val="Hyperlink"/>
            <w:rFonts w:cs="Times New Roman"/>
            <w:noProof/>
            <w:vertAlign w:val="subscript"/>
          </w:rPr>
          <w:t>2</w:t>
        </w:r>
        <w:r w:rsidR="005D1BDD" w:rsidRPr="005455CB">
          <w:rPr>
            <w:rStyle w:val="Hyperlink"/>
            <w:rFonts w:cs="Times New Roman"/>
            <w:noProof/>
          </w:rPr>
          <w:t>O</w:t>
        </w:r>
        <w:r w:rsidR="005D1BDD" w:rsidRPr="005455CB">
          <w:rPr>
            <w:rStyle w:val="Hyperlink"/>
            <w:rFonts w:cs="Times New Roman"/>
            <w:noProof/>
            <w:vertAlign w:val="subscript"/>
          </w:rPr>
          <w:t>3</w:t>
        </w:r>
        <w:r w:rsidR="005D1BDD" w:rsidRPr="005455CB">
          <w:rPr>
            <w:rStyle w:val="Hyperlink"/>
            <w:rFonts w:cs="Times New Roman"/>
            <w:noProof/>
          </w:rPr>
          <w:t xml:space="preserve"> and, on the right-hand side, the boron isotopic composition. X-axis is distance (in meters) from the edge of the glass. The boron isotopic composition of the glass decreases by ~ 10‰ over the first ~ 500 </w:t>
        </w:r>
        <w:r w:rsidR="005D1BDD" w:rsidRPr="005455CB">
          <w:rPr>
            <w:rStyle w:val="Hyperlink"/>
            <w:noProof/>
          </w:rPr>
          <w:t>μ</w:t>
        </w:r>
        <w:r w:rsidR="005D1BDD" w:rsidRPr="005455CB">
          <w:rPr>
            <w:rStyle w:val="Hyperlink"/>
            <w:rFonts w:cs="Times New Roman"/>
            <w:noProof/>
          </w:rPr>
          <w:t>m, plateaus across the center of the experiment (at the contact of the starting material glasses), then decreases ~ 10‰ at the right-hand side of the diffusion profile.</w:t>
        </w:r>
        <w:r w:rsidR="005D1BDD">
          <w:rPr>
            <w:noProof/>
            <w:webHidden/>
          </w:rPr>
          <w:tab/>
        </w:r>
        <w:r w:rsidR="005D1BDD">
          <w:rPr>
            <w:noProof/>
            <w:webHidden/>
          </w:rPr>
          <w:fldChar w:fldCharType="begin"/>
        </w:r>
        <w:r w:rsidR="005D1BDD">
          <w:rPr>
            <w:noProof/>
            <w:webHidden/>
          </w:rPr>
          <w:instrText xml:space="preserve"> PAGEREF _Toc490130651 \h </w:instrText>
        </w:r>
        <w:r w:rsidR="005D1BDD">
          <w:rPr>
            <w:noProof/>
            <w:webHidden/>
          </w:rPr>
        </w:r>
        <w:r w:rsidR="005D1BDD">
          <w:rPr>
            <w:noProof/>
            <w:webHidden/>
          </w:rPr>
          <w:fldChar w:fldCharType="separate"/>
        </w:r>
        <w:r w:rsidR="000C5FC3">
          <w:rPr>
            <w:noProof/>
            <w:webHidden/>
          </w:rPr>
          <w:t>79</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r:id="rId29" w:anchor="_Toc490130652" w:history="1">
        <w:r w:rsidR="005D1BDD" w:rsidRPr="005455CB">
          <w:rPr>
            <w:rStyle w:val="Hyperlink"/>
            <w:noProof/>
          </w:rPr>
          <w:t>Figure 4</w:t>
        </w:r>
        <w:r w:rsidR="005D1BDD" w:rsidRPr="005455CB">
          <w:rPr>
            <w:rStyle w:val="Hyperlink"/>
            <w:noProof/>
          </w:rPr>
          <w:noBreakHyphen/>
          <w:t>1</w:t>
        </w:r>
        <w:r w:rsidR="005D1BDD" w:rsidRPr="005455CB">
          <w:rPr>
            <w:rStyle w:val="Hyperlink"/>
            <w:rFonts w:cs="Times New Roman"/>
            <w:noProof/>
          </w:rPr>
          <w:t xml:space="preserve"> Comparison of B</w:t>
        </w:r>
        <w:r w:rsidR="005D1BDD" w:rsidRPr="005455CB">
          <w:rPr>
            <w:rStyle w:val="Hyperlink"/>
            <w:rFonts w:cs="Times New Roman"/>
            <w:noProof/>
            <w:vertAlign w:val="subscript"/>
          </w:rPr>
          <w:t>2</w:t>
        </w:r>
        <w:r w:rsidR="005D1BDD" w:rsidRPr="005455CB">
          <w:rPr>
            <w:rStyle w:val="Hyperlink"/>
            <w:rFonts w:cs="Times New Roman"/>
            <w:noProof/>
          </w:rPr>
          <w:t>O</w:t>
        </w:r>
        <w:r w:rsidR="005D1BDD" w:rsidRPr="005455CB">
          <w:rPr>
            <w:rStyle w:val="Hyperlink"/>
            <w:rFonts w:cs="Times New Roman"/>
            <w:noProof/>
            <w:vertAlign w:val="subscript"/>
          </w:rPr>
          <w:t>3</w:t>
        </w:r>
        <w:r w:rsidR="005D1BDD" w:rsidRPr="005455CB">
          <w:rPr>
            <w:rStyle w:val="Hyperlink"/>
            <w:rFonts w:cs="Times New Roman"/>
            <w:noProof/>
          </w:rPr>
          <w:t xml:space="preserve"> (wt%) measured by EMPA and SIMS. The solid black line represents a 1:1 correlation. Solid black circles represent average compositions of 13 glasses. Error bars are the propagated 2σ standard error of ~ 5 SIMS and 15-30 EMPA data points per glass sample. The dotted black line is a linear regression through the EMPA and SIMS data. At low concentration, &lt; 1 wt% B</w:t>
        </w:r>
        <w:r w:rsidR="005D1BDD" w:rsidRPr="005455CB">
          <w:rPr>
            <w:rStyle w:val="Hyperlink"/>
            <w:rFonts w:cs="Times New Roman"/>
            <w:noProof/>
            <w:vertAlign w:val="subscript"/>
          </w:rPr>
          <w:t>2</w:t>
        </w:r>
        <w:r w:rsidR="005D1BDD" w:rsidRPr="005455CB">
          <w:rPr>
            <w:rStyle w:val="Hyperlink"/>
            <w:rFonts w:cs="Times New Roman"/>
            <w:noProof/>
          </w:rPr>
          <w:t>O</w:t>
        </w:r>
        <w:r w:rsidR="005D1BDD" w:rsidRPr="005455CB">
          <w:rPr>
            <w:rStyle w:val="Hyperlink"/>
            <w:rFonts w:cs="Times New Roman"/>
            <w:noProof/>
            <w:vertAlign w:val="subscript"/>
          </w:rPr>
          <w:t>3</w:t>
        </w:r>
        <w:r w:rsidR="005D1BDD" w:rsidRPr="005455CB">
          <w:rPr>
            <w:rStyle w:val="Hyperlink"/>
            <w:rFonts w:cs="Times New Roman"/>
            <w:noProof/>
          </w:rPr>
          <w:t>, the relative difference between the EMPA and SIMS data approaches 50%; whereas, at higher concentrations, the relative difference is &lt; 10%. The SIMS measurement of B</w:t>
        </w:r>
        <w:r w:rsidR="005D1BDD" w:rsidRPr="005455CB">
          <w:rPr>
            <w:rStyle w:val="Hyperlink"/>
            <w:rFonts w:cs="Times New Roman"/>
            <w:noProof/>
            <w:vertAlign w:val="subscript"/>
          </w:rPr>
          <w:t>2</w:t>
        </w:r>
        <w:r w:rsidR="005D1BDD" w:rsidRPr="005455CB">
          <w:rPr>
            <w:rStyle w:val="Hyperlink"/>
            <w:rFonts w:cs="Times New Roman"/>
            <w:noProof/>
          </w:rPr>
          <w:t>O</w:t>
        </w:r>
        <w:r w:rsidR="005D1BDD" w:rsidRPr="005455CB">
          <w:rPr>
            <w:rStyle w:val="Hyperlink"/>
            <w:rFonts w:cs="Times New Roman"/>
            <w:noProof/>
            <w:vertAlign w:val="subscript"/>
          </w:rPr>
          <w:t>3</w:t>
        </w:r>
        <w:r w:rsidR="005D1BDD" w:rsidRPr="005455CB">
          <w:rPr>
            <w:rStyle w:val="Hyperlink"/>
            <w:rFonts w:cs="Times New Roman"/>
            <w:noProof/>
          </w:rPr>
          <w:t xml:space="preserve"> were used throughout this study to calculate partition coefficient and isotopic fractionation factors between melt and aqueous solution.</w:t>
        </w:r>
        <w:r w:rsidR="005D1BDD">
          <w:rPr>
            <w:noProof/>
            <w:webHidden/>
          </w:rPr>
          <w:tab/>
        </w:r>
        <w:r w:rsidR="005D1BDD">
          <w:rPr>
            <w:noProof/>
            <w:webHidden/>
          </w:rPr>
          <w:fldChar w:fldCharType="begin"/>
        </w:r>
        <w:r w:rsidR="005D1BDD">
          <w:rPr>
            <w:noProof/>
            <w:webHidden/>
          </w:rPr>
          <w:instrText xml:space="preserve"> PAGEREF _Toc490130652 \h </w:instrText>
        </w:r>
        <w:r w:rsidR="005D1BDD">
          <w:rPr>
            <w:noProof/>
            <w:webHidden/>
          </w:rPr>
        </w:r>
        <w:r w:rsidR="005D1BDD">
          <w:rPr>
            <w:noProof/>
            <w:webHidden/>
          </w:rPr>
          <w:fldChar w:fldCharType="separate"/>
        </w:r>
        <w:r w:rsidR="000C5FC3">
          <w:rPr>
            <w:noProof/>
            <w:webHidden/>
          </w:rPr>
          <w:t>106</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r:id="rId30" w:anchor="_Toc490130653" w:history="1">
        <w:r w:rsidR="005D1BDD" w:rsidRPr="005455CB">
          <w:rPr>
            <w:rStyle w:val="Hyperlink"/>
            <w:noProof/>
          </w:rPr>
          <w:t>Figure 4</w:t>
        </w:r>
        <w:r w:rsidR="005D1BDD" w:rsidRPr="005455CB">
          <w:rPr>
            <w:rStyle w:val="Hyperlink"/>
            <w:noProof/>
          </w:rPr>
          <w:noBreakHyphen/>
          <w:t>2</w:t>
        </w:r>
        <w:r w:rsidR="005D1BDD" w:rsidRPr="005455CB">
          <w:rPr>
            <w:rStyle w:val="Hyperlink"/>
            <w:rFonts w:cs="Times New Roman"/>
            <w:noProof/>
          </w:rPr>
          <w:t xml:space="preserve"> Partition coefficients for B, D</w:t>
        </w:r>
        <w:r w:rsidR="005D1BDD" w:rsidRPr="005455CB">
          <w:rPr>
            <w:rStyle w:val="Hyperlink"/>
            <w:rFonts w:cs="Times New Roman"/>
            <w:noProof/>
            <w:vertAlign w:val="subscript"/>
          </w:rPr>
          <w:t>B</w:t>
        </w:r>
        <w:r w:rsidR="005D1BDD" w:rsidRPr="005455CB">
          <w:rPr>
            <w:rStyle w:val="Hyperlink"/>
            <w:rFonts w:cs="Times New Roman"/>
            <w:noProof/>
          </w:rPr>
          <w:t>, between aqueous solution (vapor) and melt as a function of temperature. ‘High B’ and ‘Low B’ refer to experiments using starting materials with ~ 5 and ~ 2.5 wt% B</w:t>
        </w:r>
        <w:r w:rsidR="005D1BDD" w:rsidRPr="005455CB">
          <w:rPr>
            <w:rStyle w:val="Hyperlink"/>
            <w:rFonts w:cs="Times New Roman"/>
            <w:noProof/>
            <w:vertAlign w:val="subscript"/>
          </w:rPr>
          <w:t>2</w:t>
        </w:r>
        <w:r w:rsidR="005D1BDD" w:rsidRPr="005455CB">
          <w:rPr>
            <w:rStyle w:val="Hyperlink"/>
            <w:rFonts w:cs="Times New Roman"/>
            <w:noProof/>
          </w:rPr>
          <w:t>O</w:t>
        </w:r>
        <w:r w:rsidR="005D1BDD" w:rsidRPr="005455CB">
          <w:rPr>
            <w:rStyle w:val="Hyperlink"/>
            <w:rFonts w:cs="Times New Roman"/>
            <w:noProof/>
            <w:vertAlign w:val="subscript"/>
          </w:rPr>
          <w:t>3</w:t>
        </w:r>
        <w:r w:rsidR="005D1BDD" w:rsidRPr="005455CB">
          <w:rPr>
            <w:rStyle w:val="Hyperlink"/>
            <w:rFonts w:cs="Times New Roman"/>
            <w:noProof/>
          </w:rPr>
          <w:t xml:space="preserve">, respectively. Solid black triangles represent data from ‘High B’ experiments, and solid black circles for ‘Low B’ experiments. Data collected from experiment CGB88, using MAC glass (labeled ‘MAC’ on diagram), is plotted as a solid black square. Also plotted are data from Hervig et al. (2002) (open triangles), Pichavant (1981) (open square), and London et al. (1988) (open circles). </w:t>
        </w:r>
        <w:r w:rsidR="005D1BDD" w:rsidRPr="005455CB">
          <w:rPr>
            <w:rStyle w:val="Hyperlink"/>
            <w:rFonts w:cs="Times New Roman"/>
            <w:noProof/>
          </w:rPr>
          <w:lastRenderedPageBreak/>
          <w:t>Error bars represent 2σ standard errors which were propagated through the calculation of partition coefficients. Values of D</w:t>
        </w:r>
        <w:r w:rsidR="005D1BDD" w:rsidRPr="005455CB">
          <w:rPr>
            <w:rStyle w:val="Hyperlink"/>
            <w:rFonts w:cs="Times New Roman"/>
            <w:noProof/>
            <w:vertAlign w:val="subscript"/>
          </w:rPr>
          <w:t>B</w:t>
        </w:r>
        <w:r w:rsidR="005D1BDD" w:rsidRPr="005455CB">
          <w:rPr>
            <w:rStyle w:val="Hyperlink"/>
            <w:rFonts w:cs="Times New Roman"/>
            <w:noProof/>
          </w:rPr>
          <w:t xml:space="preserve"> from the current study are not temperature sensitive, but do increase with increasing B content of melt, and are similar to data reported by Hervig et al. (2002) and London et al. (1988).</w:t>
        </w:r>
        <w:r w:rsidR="005D1BDD">
          <w:rPr>
            <w:noProof/>
            <w:webHidden/>
          </w:rPr>
          <w:tab/>
        </w:r>
        <w:r w:rsidR="005D1BDD">
          <w:rPr>
            <w:noProof/>
            <w:webHidden/>
          </w:rPr>
          <w:fldChar w:fldCharType="begin"/>
        </w:r>
        <w:r w:rsidR="005D1BDD">
          <w:rPr>
            <w:noProof/>
            <w:webHidden/>
          </w:rPr>
          <w:instrText xml:space="preserve"> PAGEREF _Toc490130653 \h </w:instrText>
        </w:r>
        <w:r w:rsidR="005D1BDD">
          <w:rPr>
            <w:noProof/>
            <w:webHidden/>
          </w:rPr>
        </w:r>
        <w:r w:rsidR="005D1BDD">
          <w:rPr>
            <w:noProof/>
            <w:webHidden/>
          </w:rPr>
          <w:fldChar w:fldCharType="separate"/>
        </w:r>
        <w:r w:rsidR="000C5FC3">
          <w:rPr>
            <w:noProof/>
            <w:webHidden/>
          </w:rPr>
          <w:t>107</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r:id="rId31" w:anchor="_Toc490130654" w:history="1">
        <w:r w:rsidR="005D1BDD" w:rsidRPr="005455CB">
          <w:rPr>
            <w:rStyle w:val="Hyperlink"/>
            <w:noProof/>
          </w:rPr>
          <w:t>Figure 4</w:t>
        </w:r>
        <w:r w:rsidR="005D1BDD" w:rsidRPr="005455CB">
          <w:rPr>
            <w:rStyle w:val="Hyperlink"/>
            <w:noProof/>
          </w:rPr>
          <w:noBreakHyphen/>
          <w:t>3</w:t>
        </w:r>
        <w:r w:rsidR="005D1BDD" w:rsidRPr="005455CB">
          <w:rPr>
            <w:rStyle w:val="Hyperlink"/>
            <w:rFonts w:cs="Times New Roman"/>
            <w:noProof/>
          </w:rPr>
          <w:t xml:space="preserve"> Boron isotopic fractionation factors (1000*lnα) from the current study plotted against reciprocal temperature (1000/T(K)). Data from ‘High B’ and ‘Low B’ experiments are plotted as open diamonds and solid circles, respectively. The solid square represents data from experiment CGB88, which used MAC glass (labeled as ‘MAC’ on the diagram). The dash-dot line is a linear regression through the ‘High B’ data, and the dotted line is a linear regression through the ‘Low B’ data. The solid black line is the ‘III-IV’ fractionation trend of Hervig et al. (2002), Williams et al. (2001a), and Wunder et al. (2005). Error bars are 2σ standard errors propagated through the calculation of fractionation factors for melt-aqueous solution.</w:t>
        </w:r>
        <w:r w:rsidR="005D1BDD">
          <w:rPr>
            <w:noProof/>
            <w:webHidden/>
          </w:rPr>
          <w:tab/>
        </w:r>
        <w:r w:rsidR="005D1BDD">
          <w:rPr>
            <w:noProof/>
            <w:webHidden/>
          </w:rPr>
          <w:fldChar w:fldCharType="begin"/>
        </w:r>
        <w:r w:rsidR="005D1BDD">
          <w:rPr>
            <w:noProof/>
            <w:webHidden/>
          </w:rPr>
          <w:instrText xml:space="preserve"> PAGEREF _Toc490130654 \h </w:instrText>
        </w:r>
        <w:r w:rsidR="005D1BDD">
          <w:rPr>
            <w:noProof/>
            <w:webHidden/>
          </w:rPr>
        </w:r>
        <w:r w:rsidR="005D1BDD">
          <w:rPr>
            <w:noProof/>
            <w:webHidden/>
          </w:rPr>
          <w:fldChar w:fldCharType="separate"/>
        </w:r>
        <w:r w:rsidR="000C5FC3">
          <w:rPr>
            <w:noProof/>
            <w:webHidden/>
          </w:rPr>
          <w:t>108</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r:id="rId32" w:anchor="_Toc490130655" w:history="1">
        <w:r w:rsidR="005D1BDD" w:rsidRPr="005455CB">
          <w:rPr>
            <w:rStyle w:val="Hyperlink"/>
            <w:noProof/>
          </w:rPr>
          <w:t>Figure 4</w:t>
        </w:r>
        <w:r w:rsidR="005D1BDD" w:rsidRPr="005455CB">
          <w:rPr>
            <w:rStyle w:val="Hyperlink"/>
            <w:noProof/>
          </w:rPr>
          <w:noBreakHyphen/>
          <w:t>4</w:t>
        </w:r>
        <w:r w:rsidR="005D1BDD" w:rsidRPr="005455CB">
          <w:rPr>
            <w:rStyle w:val="Hyperlink"/>
            <w:rFonts w:cs="Times New Roman"/>
            <w:noProof/>
          </w:rPr>
          <w:t xml:space="preserve"> Comparison of boron isotopic fractionation factors (1000*lnα) measured in this and other studies plotted against reciprocal temperature (1000/T(K)). Data from other studies includes tourmaline-aqueous solution (Meyer et al., 2008: solid black line; Palmer et al., 1992: dashed line (200 MPa) and dash-dot line (100 MPa)), boromuscovite-aqueous solution (Wunder et al., 2005: open triangles (basic fluid) and solid triangles (neutral and acidic fluid)), illite-aqueous solution (Williams et al., 2001a: black squares with white asterix in center), and melt-aqueous solution (Hervig et al., 2002: solid squares (MAC) and open squares (basalt)). Open circles (‘High B’), solid circles (‘Low B’), open diamond (MAC230), and solid diamond (CGB88: using MAC glass) are from the current study. It is clear that the data from the current study plots, mostly, along a line through the data of Hervig et al. (2002), Williams et al. (2001a), and Wunder et al. (2005). Error bars represent 2σ standard errors propagated through the calculation of isotopic fractionation factors.</w:t>
        </w:r>
        <w:r w:rsidR="005D1BDD">
          <w:rPr>
            <w:noProof/>
            <w:webHidden/>
          </w:rPr>
          <w:tab/>
        </w:r>
        <w:r w:rsidR="005D1BDD">
          <w:rPr>
            <w:noProof/>
            <w:webHidden/>
          </w:rPr>
          <w:fldChar w:fldCharType="begin"/>
        </w:r>
        <w:r w:rsidR="005D1BDD">
          <w:rPr>
            <w:noProof/>
            <w:webHidden/>
          </w:rPr>
          <w:instrText xml:space="preserve"> PAGEREF _Toc490130655 \h </w:instrText>
        </w:r>
        <w:r w:rsidR="005D1BDD">
          <w:rPr>
            <w:noProof/>
            <w:webHidden/>
          </w:rPr>
        </w:r>
        <w:r w:rsidR="005D1BDD">
          <w:rPr>
            <w:noProof/>
            <w:webHidden/>
          </w:rPr>
          <w:fldChar w:fldCharType="separate"/>
        </w:r>
        <w:r w:rsidR="000C5FC3">
          <w:rPr>
            <w:noProof/>
            <w:webHidden/>
          </w:rPr>
          <w:t>109</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w:anchor="_Toc490130656" w:history="1">
        <w:r w:rsidR="005D1BDD" w:rsidRPr="005455CB">
          <w:rPr>
            <w:rStyle w:val="Hyperlink"/>
            <w:noProof/>
          </w:rPr>
          <w:t>Figure 5</w:t>
        </w:r>
        <w:r w:rsidR="005D1BDD" w:rsidRPr="005455CB">
          <w:rPr>
            <w:rStyle w:val="Hyperlink"/>
            <w:noProof/>
          </w:rPr>
          <w:noBreakHyphen/>
          <w:t>1</w:t>
        </w:r>
        <w:r w:rsidR="005D1BDD" w:rsidRPr="005455CB">
          <w:rPr>
            <w:rStyle w:val="Hyperlink"/>
            <w:rFonts w:cs="Times New Roman"/>
            <w:noProof/>
          </w:rPr>
          <w:t xml:space="preserve"> Back-scattered electron images (BSEI) of experimental run products. Grt garnet, Tur tourmaline, Crd cordierite, Qtz quartz, Gl glass. (A) Glass run product (Exp#: MnGT-80, 850°C). Experiments represented in (B) through (F), (H), and (I) were heated to 800°C or 850°C (pre-conditioning step) prior to quenching and ‘forward’ direction to crystallization temperature or ‘reverse’ direction from the pre-conditioning step. (B) Grt and Tur growth (Exp#: MnGT-49, ‘forward’ to 700°C). (C) Grt and Tur growth (Exp#: MnGT-56, ‘reverse’ to 700°C). (D) Grt, Tur, and Qtz growth (Exp#: MnGT-57, ‘forward’ to 600°C). (E) Grt and Tur growth (Exp#: MnGT-58, ‘reverse’ to 600°C). (F) Euhedral Grt and Tur crystals dissolved out of glass using hydrofluoric acid (Exp#: MnGT-56). (G) Crd growth (Exp#: GBT-90, 850°C). (H) Crd and qtz growth (Exp#: GBT-102, ‘forward’ to 700°C). (I) Crd, Tur, and Qtz growth (Exp#: GBT-103, ‘forward’ to 650°C).</w:t>
        </w:r>
        <w:r w:rsidR="005D1BDD">
          <w:rPr>
            <w:noProof/>
            <w:webHidden/>
          </w:rPr>
          <w:tab/>
        </w:r>
        <w:r w:rsidR="005D1BDD">
          <w:rPr>
            <w:noProof/>
            <w:webHidden/>
          </w:rPr>
          <w:fldChar w:fldCharType="begin"/>
        </w:r>
        <w:r w:rsidR="005D1BDD">
          <w:rPr>
            <w:noProof/>
            <w:webHidden/>
          </w:rPr>
          <w:instrText xml:space="preserve"> PAGEREF _Toc490130656 \h </w:instrText>
        </w:r>
        <w:r w:rsidR="005D1BDD">
          <w:rPr>
            <w:noProof/>
            <w:webHidden/>
          </w:rPr>
        </w:r>
        <w:r w:rsidR="005D1BDD">
          <w:rPr>
            <w:noProof/>
            <w:webHidden/>
          </w:rPr>
          <w:fldChar w:fldCharType="separate"/>
        </w:r>
        <w:r w:rsidR="000C5FC3">
          <w:rPr>
            <w:noProof/>
            <w:webHidden/>
          </w:rPr>
          <w:t>132</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r:id="rId33" w:anchor="_Toc490130657" w:history="1">
        <w:r w:rsidR="005D1BDD" w:rsidRPr="005455CB">
          <w:rPr>
            <w:rStyle w:val="Hyperlink"/>
            <w:noProof/>
          </w:rPr>
          <w:t>Figure 5</w:t>
        </w:r>
        <w:r w:rsidR="005D1BDD" w:rsidRPr="005455CB">
          <w:rPr>
            <w:rStyle w:val="Hyperlink"/>
            <w:noProof/>
          </w:rPr>
          <w:noBreakHyphen/>
          <w:t>2</w:t>
        </w:r>
        <w:r w:rsidR="005D1BDD" w:rsidRPr="005455CB">
          <w:rPr>
            <w:rStyle w:val="Hyperlink"/>
            <w:rFonts w:cs="Times New Roman"/>
            <w:noProof/>
          </w:rPr>
          <w:t xml:space="preserve"> Ternary diagram of end-member garnet components produced in experiments. Sps spessartine, Alm almandine, Prp pyrope. Solid circles represent data from experiments that produced cordierite with garnet. Open circles represent data from experiments that produced tourmaline with garnet. Note a general linear trend </w:t>
        </w:r>
        <w:r w:rsidR="005D1BDD" w:rsidRPr="005455CB">
          <w:rPr>
            <w:rStyle w:val="Hyperlink"/>
            <w:rFonts w:cs="Times New Roman"/>
            <w:noProof/>
          </w:rPr>
          <w:lastRenderedPageBreak/>
          <w:t>perpendicular to the almandine-pyrope binary at Alm</w:t>
        </w:r>
        <w:r w:rsidR="005D1BDD" w:rsidRPr="005455CB">
          <w:rPr>
            <w:rStyle w:val="Hyperlink"/>
            <w:rFonts w:cs="Times New Roman"/>
            <w:noProof/>
            <w:vertAlign w:val="subscript"/>
          </w:rPr>
          <w:t>50</w:t>
        </w:r>
        <w:r w:rsidR="005D1BDD" w:rsidRPr="005455CB">
          <w:rPr>
            <w:rStyle w:val="Hyperlink"/>
            <w:rFonts w:cs="Times New Roman"/>
            <w:noProof/>
          </w:rPr>
          <w:t>Prp</w:t>
        </w:r>
        <w:r w:rsidR="005D1BDD" w:rsidRPr="005455CB">
          <w:rPr>
            <w:rStyle w:val="Hyperlink"/>
            <w:rFonts w:cs="Times New Roman"/>
            <w:noProof/>
            <w:vertAlign w:val="subscript"/>
          </w:rPr>
          <w:t>50</w:t>
        </w:r>
        <w:r w:rsidR="005D1BDD" w:rsidRPr="005455CB">
          <w:rPr>
            <w:rStyle w:val="Hyperlink"/>
            <w:rFonts w:cs="Times New Roman"/>
            <w:noProof/>
          </w:rPr>
          <w:t>. Garnet compositions become more Mn-rich (move toward the Sps apex) with decreasing temperature.</w:t>
        </w:r>
        <w:r w:rsidR="005D1BDD">
          <w:rPr>
            <w:noProof/>
            <w:webHidden/>
          </w:rPr>
          <w:tab/>
        </w:r>
        <w:r w:rsidR="005D1BDD">
          <w:rPr>
            <w:noProof/>
            <w:webHidden/>
          </w:rPr>
          <w:fldChar w:fldCharType="begin"/>
        </w:r>
        <w:r w:rsidR="005D1BDD">
          <w:rPr>
            <w:noProof/>
            <w:webHidden/>
          </w:rPr>
          <w:instrText xml:space="preserve"> PAGEREF _Toc490130657 \h </w:instrText>
        </w:r>
        <w:r w:rsidR="005D1BDD">
          <w:rPr>
            <w:noProof/>
            <w:webHidden/>
          </w:rPr>
        </w:r>
        <w:r w:rsidR="005D1BDD">
          <w:rPr>
            <w:noProof/>
            <w:webHidden/>
          </w:rPr>
          <w:fldChar w:fldCharType="separate"/>
        </w:r>
        <w:r w:rsidR="000C5FC3">
          <w:rPr>
            <w:noProof/>
            <w:webHidden/>
          </w:rPr>
          <w:t>133</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r:id="rId34" w:anchor="_Toc490130658" w:history="1">
        <w:r w:rsidR="005D1BDD" w:rsidRPr="005455CB">
          <w:rPr>
            <w:rStyle w:val="Hyperlink"/>
            <w:noProof/>
          </w:rPr>
          <w:t>Figure 5</w:t>
        </w:r>
        <w:r w:rsidR="005D1BDD" w:rsidRPr="005455CB">
          <w:rPr>
            <w:rStyle w:val="Hyperlink"/>
            <w:noProof/>
          </w:rPr>
          <w:noBreakHyphen/>
          <w:t>3</w:t>
        </w:r>
        <w:r w:rsidR="005D1BDD" w:rsidRPr="005455CB">
          <w:rPr>
            <w:rStyle w:val="Hyperlink"/>
            <w:rFonts w:cs="Times New Roman"/>
            <w:noProof/>
          </w:rPr>
          <w:t xml:space="preserve"> Compositions of cordierites produced in experiments. Mn content increases with decreasing temperature. Note at Mg</w:t>
        </w:r>
        <w:r w:rsidR="005D1BDD" w:rsidRPr="005455CB">
          <w:rPr>
            <w:rStyle w:val="Hyperlink"/>
            <w:rFonts w:cs="Times New Roman"/>
            <w:noProof/>
            <w:vertAlign w:val="superscript"/>
          </w:rPr>
          <w:t>#</w:t>
        </w:r>
        <w:r w:rsidR="005D1BDD" w:rsidRPr="005455CB">
          <w:rPr>
            <w:rStyle w:val="Hyperlink"/>
            <w:rFonts w:cs="Times New Roman"/>
            <w:noProof/>
          </w:rPr>
          <w:t>=0, Mn≈Fe and Mn+Fe≈2 (a full M-site).</w:t>
        </w:r>
        <w:r w:rsidR="005D1BDD">
          <w:rPr>
            <w:noProof/>
            <w:webHidden/>
          </w:rPr>
          <w:tab/>
        </w:r>
        <w:r w:rsidR="005D1BDD">
          <w:rPr>
            <w:noProof/>
            <w:webHidden/>
          </w:rPr>
          <w:fldChar w:fldCharType="begin"/>
        </w:r>
        <w:r w:rsidR="005D1BDD">
          <w:rPr>
            <w:noProof/>
            <w:webHidden/>
          </w:rPr>
          <w:instrText xml:space="preserve"> PAGEREF _Toc490130658 \h </w:instrText>
        </w:r>
        <w:r w:rsidR="005D1BDD">
          <w:rPr>
            <w:noProof/>
            <w:webHidden/>
          </w:rPr>
        </w:r>
        <w:r w:rsidR="005D1BDD">
          <w:rPr>
            <w:noProof/>
            <w:webHidden/>
          </w:rPr>
          <w:fldChar w:fldCharType="separate"/>
        </w:r>
        <w:r w:rsidR="000C5FC3">
          <w:rPr>
            <w:noProof/>
            <w:webHidden/>
          </w:rPr>
          <w:t>134</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w:anchor="_Toc490130659" w:history="1">
        <w:r w:rsidR="005D1BDD" w:rsidRPr="005455CB">
          <w:rPr>
            <w:rStyle w:val="Hyperlink"/>
            <w:noProof/>
          </w:rPr>
          <w:t>Figure 5</w:t>
        </w:r>
        <w:r w:rsidR="005D1BDD" w:rsidRPr="005455CB">
          <w:rPr>
            <w:rStyle w:val="Hyperlink"/>
            <w:noProof/>
          </w:rPr>
          <w:noBreakHyphen/>
          <w:t>4</w:t>
        </w:r>
        <w:r w:rsidR="005D1BDD" w:rsidRPr="005455CB">
          <w:rPr>
            <w:rStyle w:val="Hyperlink"/>
            <w:rFonts w:cs="Times New Roman"/>
            <w:noProof/>
          </w:rPr>
          <w:t xml:space="preserve"> (a) Solubility of FeO in melt at garnet and tourmaline (MnGT-BC-4.1: solid squares). Open circles and open diamonds are data from Wolf and London (1997) for tourmaline growth and dissolution, respectively, from/into granitic melt. Open squares are from Acosta-Vigil et al. (2003) for tourmaline dissolution in granitic melt. Note the higher solubility of FeO in melt reported by Wolf and London (1997) for some of their experiments. The experiments reported by Wolf and London (1997) were conducted for a similar duration as those reported in this manuscript. We offer no explanation for the departure of their data from that reported in this manuscript. Error bars represent 2σ standard deviations. (b) Solubility of MnO in melt at garnet and tourmaline (from 650°C to 750°C). Data shown are from long-duration (720 hrs) experiments in which steady-state conditions have been validated via a time-series of experiments. Error bars represent 2σ standard deviations. Data from F-rich (~ 1wt.% F) experiments of Icenhower (1995) and from B- and F-free, hydrous (~ 5-7% H</w:t>
        </w:r>
        <w:r w:rsidR="005D1BDD" w:rsidRPr="005455CB">
          <w:rPr>
            <w:rStyle w:val="Hyperlink"/>
            <w:rFonts w:cs="Times New Roman"/>
            <w:noProof/>
            <w:vertAlign w:val="subscript"/>
          </w:rPr>
          <w:t>2</w:t>
        </w:r>
        <w:r w:rsidR="005D1BDD" w:rsidRPr="005455CB">
          <w:rPr>
            <w:rStyle w:val="Hyperlink"/>
            <w:rFonts w:cs="Times New Roman"/>
            <w:noProof/>
          </w:rPr>
          <w:t>O) experiments of London et al. (2012) are shown for comparison. The garnet saturation surface for B- and F-free, hydrous granitic melt (e.g. London et al. 2012) is lower than the B- and/or F-rich saturation surface. (c) Solubility of MgO in melt at garnet and tourmaline (MnGT-BC-4.1: solid squares) saturation. Open circles and open diamonds are data from Wolf and London (1997) for tourmaline growth and dissolution, respectively, from/into granitic melt. Open squares are from Acosta-Vigil et al. (2003) for tourmaline dissolution in granitic melt. Note the higher solubility of FeO in melt reported by Wolf and London (1997) for some of their experiments. The experiments reported by Wolf and London (1997) were conducted for a similar duration as those reported in this manuscript. We offer no explanation for the departure of their data from that reported in this manuscript. Error bars represent 2σ standard deviations.</w:t>
        </w:r>
        <w:r w:rsidR="005D1BDD">
          <w:rPr>
            <w:noProof/>
            <w:webHidden/>
          </w:rPr>
          <w:tab/>
        </w:r>
        <w:r w:rsidR="005D1BDD">
          <w:rPr>
            <w:noProof/>
            <w:webHidden/>
          </w:rPr>
          <w:fldChar w:fldCharType="begin"/>
        </w:r>
        <w:r w:rsidR="005D1BDD">
          <w:rPr>
            <w:noProof/>
            <w:webHidden/>
          </w:rPr>
          <w:instrText xml:space="preserve"> PAGEREF _Toc490130659 \h </w:instrText>
        </w:r>
        <w:r w:rsidR="005D1BDD">
          <w:rPr>
            <w:noProof/>
            <w:webHidden/>
          </w:rPr>
        </w:r>
        <w:r w:rsidR="005D1BDD">
          <w:rPr>
            <w:noProof/>
            <w:webHidden/>
          </w:rPr>
          <w:fldChar w:fldCharType="separate"/>
        </w:r>
        <w:r w:rsidR="000C5FC3">
          <w:rPr>
            <w:noProof/>
            <w:webHidden/>
          </w:rPr>
          <w:t>135</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r:id="rId35" w:anchor="_Toc490130660" w:history="1">
        <w:r w:rsidR="005D1BDD" w:rsidRPr="005455CB">
          <w:rPr>
            <w:rStyle w:val="Hyperlink"/>
            <w:noProof/>
          </w:rPr>
          <w:t>Figure 5</w:t>
        </w:r>
        <w:r w:rsidR="005D1BDD" w:rsidRPr="005455CB">
          <w:rPr>
            <w:rStyle w:val="Hyperlink"/>
            <w:noProof/>
          </w:rPr>
          <w:noBreakHyphen/>
          <w:t>5</w:t>
        </w:r>
        <w:r w:rsidR="005D1BDD" w:rsidRPr="005455CB">
          <w:rPr>
            <w:rStyle w:val="Hyperlink"/>
            <w:rFonts w:cs="Times New Roman"/>
            <w:noProof/>
          </w:rPr>
          <w:t xml:space="preserve"> (a) Normative corundum component of boron-bearing, peraluminous, hydrous granitic glasses (melts) that produced garnet and cordierite crystals (solid squares). Data from Acosta-Vigil et al. (2003) for dissolution of cordierite into boron-free, hydrous granitic glass (open squares). Errors for solid squares are 2σ standard deviations. Errors for open squares are similar to the size of the symbol. Note the lower normative corundum for cordierite dissolution into B-free granitic melt compared with the data for B-bearing granitic melt. (b) Normative corundum component of boron-bearing, peraluminous, hydrous granitic glasses (melts) that produced tourmaline crystals (solid triangles). Data from Acosta-Vigil et al. (2003) for dissolution of cordierite into boron-free, hydrous granitic glass (open triangles). Errors for solid squares are 2σ standard deviations. Errors for open squares are similar to the size of the symbol.</w:t>
        </w:r>
        <w:r w:rsidR="005D1BDD">
          <w:rPr>
            <w:noProof/>
            <w:webHidden/>
          </w:rPr>
          <w:tab/>
        </w:r>
        <w:r w:rsidR="005D1BDD">
          <w:rPr>
            <w:noProof/>
            <w:webHidden/>
          </w:rPr>
          <w:fldChar w:fldCharType="begin"/>
        </w:r>
        <w:r w:rsidR="005D1BDD">
          <w:rPr>
            <w:noProof/>
            <w:webHidden/>
          </w:rPr>
          <w:instrText xml:space="preserve"> PAGEREF _Toc490130660 \h </w:instrText>
        </w:r>
        <w:r w:rsidR="005D1BDD">
          <w:rPr>
            <w:noProof/>
            <w:webHidden/>
          </w:rPr>
        </w:r>
        <w:r w:rsidR="005D1BDD">
          <w:rPr>
            <w:noProof/>
            <w:webHidden/>
          </w:rPr>
          <w:fldChar w:fldCharType="separate"/>
        </w:r>
        <w:r w:rsidR="000C5FC3">
          <w:rPr>
            <w:noProof/>
            <w:webHidden/>
          </w:rPr>
          <w:t>136</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w:anchor="_Toc490130661" w:history="1">
        <w:r w:rsidR="005D1BDD" w:rsidRPr="005455CB">
          <w:rPr>
            <w:rStyle w:val="Hyperlink"/>
            <w:noProof/>
          </w:rPr>
          <w:t>Figure 5</w:t>
        </w:r>
        <w:r w:rsidR="005D1BDD" w:rsidRPr="005455CB">
          <w:rPr>
            <w:rStyle w:val="Hyperlink"/>
            <w:noProof/>
          </w:rPr>
          <w:noBreakHyphen/>
          <w:t>6</w:t>
        </w:r>
        <w:r w:rsidR="005D1BDD" w:rsidRPr="005455CB">
          <w:rPr>
            <w:rStyle w:val="Hyperlink"/>
            <w:rFonts w:cs="Times New Roman"/>
            <w:noProof/>
          </w:rPr>
          <w:t xml:space="preserve"> (a) Crd-melt partition coefficients, D</w:t>
        </w:r>
        <w:r w:rsidR="005D1BDD" w:rsidRPr="005455CB">
          <w:rPr>
            <w:rStyle w:val="Hyperlink"/>
            <w:rFonts w:cs="Times New Roman"/>
            <w:noProof/>
            <w:vertAlign w:val="subscript"/>
          </w:rPr>
          <w:t>M</w:t>
        </w:r>
        <w:r w:rsidR="005D1BDD" w:rsidRPr="005455CB">
          <w:rPr>
            <w:rStyle w:val="Hyperlink"/>
            <w:rFonts w:cs="Times New Roman"/>
            <w:noProof/>
          </w:rPr>
          <w:t>, plotted against temperature. Individual points represent average values from individual experiments. (b) Tur-melt partition coefficients, D</w:t>
        </w:r>
        <w:r w:rsidR="005D1BDD" w:rsidRPr="005455CB">
          <w:rPr>
            <w:rStyle w:val="Hyperlink"/>
            <w:rFonts w:cs="Times New Roman"/>
            <w:noProof/>
            <w:vertAlign w:val="subscript"/>
          </w:rPr>
          <w:t>M</w:t>
        </w:r>
        <w:r w:rsidR="005D1BDD" w:rsidRPr="005455CB">
          <w:rPr>
            <w:rStyle w:val="Hyperlink"/>
            <w:rFonts w:cs="Times New Roman"/>
            <w:noProof/>
          </w:rPr>
          <w:t xml:space="preserve">, plotted against temperature. Individual points represent </w:t>
        </w:r>
        <w:r w:rsidR="005D1BDD" w:rsidRPr="005455CB">
          <w:rPr>
            <w:rStyle w:val="Hyperlink"/>
            <w:rFonts w:cs="Times New Roman"/>
            <w:noProof/>
          </w:rPr>
          <w:lastRenderedPageBreak/>
          <w:t>average values of multiple experiments conducted at a given temperature. D values increase with decreasing temperature. (c) Grt-melt partition coefficients, D</w:t>
        </w:r>
        <w:r w:rsidR="005D1BDD" w:rsidRPr="005455CB">
          <w:rPr>
            <w:rStyle w:val="Hyperlink"/>
            <w:rFonts w:cs="Times New Roman"/>
            <w:noProof/>
            <w:vertAlign w:val="subscript"/>
          </w:rPr>
          <w:t>M</w:t>
        </w:r>
        <w:r w:rsidR="005D1BDD" w:rsidRPr="005455CB">
          <w:rPr>
            <w:rStyle w:val="Hyperlink"/>
            <w:rFonts w:cs="Times New Roman"/>
            <w:noProof/>
          </w:rPr>
          <w:t>, plotted against temperature. Individual points represent average values of multiple experiments conducted at a given temperature. D values increase with decreasing temperature, except for MgO (not shown in figure).</w:t>
        </w:r>
        <w:r w:rsidR="005D1BDD">
          <w:rPr>
            <w:noProof/>
            <w:webHidden/>
          </w:rPr>
          <w:tab/>
        </w:r>
        <w:r w:rsidR="005D1BDD">
          <w:rPr>
            <w:noProof/>
            <w:webHidden/>
          </w:rPr>
          <w:fldChar w:fldCharType="begin"/>
        </w:r>
        <w:r w:rsidR="005D1BDD">
          <w:rPr>
            <w:noProof/>
            <w:webHidden/>
          </w:rPr>
          <w:instrText xml:space="preserve"> PAGEREF _Toc490130661 \h </w:instrText>
        </w:r>
        <w:r w:rsidR="005D1BDD">
          <w:rPr>
            <w:noProof/>
            <w:webHidden/>
          </w:rPr>
        </w:r>
        <w:r w:rsidR="005D1BDD">
          <w:rPr>
            <w:noProof/>
            <w:webHidden/>
          </w:rPr>
          <w:fldChar w:fldCharType="separate"/>
        </w:r>
        <w:r w:rsidR="000C5FC3">
          <w:rPr>
            <w:noProof/>
            <w:webHidden/>
          </w:rPr>
          <w:t>137</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r:id="rId36" w:anchor="_Toc490130662" w:history="1">
        <w:r w:rsidR="005D1BDD" w:rsidRPr="005455CB">
          <w:rPr>
            <w:rStyle w:val="Hyperlink"/>
            <w:noProof/>
          </w:rPr>
          <w:t>Figure 5</w:t>
        </w:r>
        <w:r w:rsidR="005D1BDD" w:rsidRPr="005455CB">
          <w:rPr>
            <w:rStyle w:val="Hyperlink"/>
            <w:noProof/>
          </w:rPr>
          <w:noBreakHyphen/>
          <w:t>7</w:t>
        </w:r>
        <w:r w:rsidR="005D1BDD" w:rsidRPr="005455CB">
          <w:rPr>
            <w:rStyle w:val="Hyperlink"/>
            <w:rFonts w:cs="Times New Roman"/>
            <w:noProof/>
          </w:rPr>
          <w:t xml:space="preserve"> (a) Mineral-melt exchange coefficients, K</w:t>
        </w:r>
        <w:r w:rsidR="005D1BDD" w:rsidRPr="005455CB">
          <w:rPr>
            <w:rStyle w:val="Hyperlink"/>
            <w:rFonts w:cs="Times New Roman"/>
            <w:noProof/>
            <w:vertAlign w:val="subscript"/>
          </w:rPr>
          <w:t>DMgO/FeO</w:t>
        </w:r>
        <w:r w:rsidR="005D1BDD" w:rsidRPr="005455CB">
          <w:rPr>
            <w:rStyle w:val="Hyperlink"/>
            <w:rFonts w:cs="Times New Roman"/>
            <w:noProof/>
          </w:rPr>
          <w:t>, calculated as the slope of a linear regression through the D</w:t>
        </w:r>
        <w:r w:rsidR="005D1BDD" w:rsidRPr="005455CB">
          <w:rPr>
            <w:rStyle w:val="Hyperlink"/>
            <w:rFonts w:cs="Times New Roman"/>
            <w:noProof/>
            <w:vertAlign w:val="subscript"/>
          </w:rPr>
          <w:t xml:space="preserve">FeO </w:t>
        </w:r>
        <w:r w:rsidR="005D1BDD" w:rsidRPr="005455CB">
          <w:rPr>
            <w:rStyle w:val="Hyperlink"/>
            <w:rFonts w:cs="Times New Roman"/>
            <w:noProof/>
          </w:rPr>
          <w:t>and D</w:t>
        </w:r>
        <w:r w:rsidR="005D1BDD" w:rsidRPr="005455CB">
          <w:rPr>
            <w:rStyle w:val="Hyperlink"/>
            <w:rFonts w:cs="Times New Roman"/>
            <w:noProof/>
            <w:vertAlign w:val="subscript"/>
          </w:rPr>
          <w:t xml:space="preserve">MgO </w:t>
        </w:r>
        <w:r w:rsidR="005D1BDD" w:rsidRPr="005455CB">
          <w:rPr>
            <w:rStyle w:val="Hyperlink"/>
            <w:rFonts w:cs="Times New Roman"/>
            <w:noProof/>
          </w:rPr>
          <w:t>data for garnet-, tourmaline-, cordierite-, muscovite-, and biotite-melt. Solid symbols represent data described in from this manuscript. Open symbols represent data from Icenhower and London (1995) and Icenhower (1995). The solid black line without an arrow represents a one-to-one correlation of D</w:t>
        </w:r>
        <w:r w:rsidR="005D1BDD" w:rsidRPr="005455CB">
          <w:rPr>
            <w:rStyle w:val="Hyperlink"/>
            <w:rFonts w:cs="Times New Roman"/>
            <w:noProof/>
            <w:vertAlign w:val="subscript"/>
          </w:rPr>
          <w:t>FeO</w:t>
        </w:r>
        <w:r w:rsidR="005D1BDD" w:rsidRPr="005455CB">
          <w:rPr>
            <w:rStyle w:val="Hyperlink"/>
            <w:rFonts w:cs="Times New Roman"/>
            <w:noProof/>
          </w:rPr>
          <w:t xml:space="preserve"> and D</w:t>
        </w:r>
        <w:r w:rsidR="005D1BDD" w:rsidRPr="005455CB">
          <w:rPr>
            <w:rStyle w:val="Hyperlink"/>
            <w:rFonts w:cs="Times New Roman"/>
            <w:noProof/>
            <w:vertAlign w:val="subscript"/>
          </w:rPr>
          <w:t>MgO</w:t>
        </w:r>
        <w:r w:rsidR="005D1BDD" w:rsidRPr="005455CB">
          <w:rPr>
            <w:rStyle w:val="Hyperlink"/>
            <w:rFonts w:cs="Times New Roman"/>
            <w:noProof/>
          </w:rPr>
          <w:t>. The slope of each linear regression (red lines with arrows) represents an exchange coefficient for each mineral, K</w:t>
        </w:r>
        <w:r w:rsidR="005D1BDD" w:rsidRPr="005455CB">
          <w:rPr>
            <w:rStyle w:val="Hyperlink"/>
            <w:rFonts w:cs="Times New Roman"/>
            <w:noProof/>
            <w:vertAlign w:val="subscript"/>
          </w:rPr>
          <w:t>DMgO/FeO</w:t>
        </w:r>
        <w:r w:rsidR="005D1BDD" w:rsidRPr="005455CB">
          <w:rPr>
            <w:rStyle w:val="Hyperlink"/>
            <w:rFonts w:cs="Times New Roman"/>
            <w:noProof/>
          </w:rPr>
          <w:t>. Arrows point in the direction of decreasing temperature. Exchange coefficients for tourmaline-melt (diamonds), cordierite-melt (solid and open circles), and biotite-melt (open triangles) indicate that crystallization of these three minerals will consume MgO from melt at a faster rate than FeO thereby decreasing the MgO/FeO ratio of the residual melt. On the contrary, crystallization of garnet will result in an increase of the MgO/FeO ratio of melt. Note that the exchange coefficient for biotite is identical, within statistical certainty, to that of cordierite. Individual points represent average values calculated per individual experiment. Error bars show 2σ standard errors of the mean, which were propagated through the calculation of partition coefficients. (b) Mineral-melt exchange coefficients, K</w:t>
        </w:r>
        <w:r w:rsidR="005D1BDD" w:rsidRPr="005455CB">
          <w:rPr>
            <w:rStyle w:val="Hyperlink"/>
            <w:rFonts w:cs="Times New Roman"/>
            <w:noProof/>
            <w:vertAlign w:val="subscript"/>
          </w:rPr>
          <w:t>DMnO/FeO</w:t>
        </w:r>
        <w:r w:rsidR="005D1BDD" w:rsidRPr="005455CB">
          <w:rPr>
            <w:rStyle w:val="Hyperlink"/>
            <w:rFonts w:cs="Times New Roman"/>
            <w:noProof/>
          </w:rPr>
          <w:t>, calculated as the slope of a linear regression through the D</w:t>
        </w:r>
        <w:r w:rsidR="005D1BDD" w:rsidRPr="005455CB">
          <w:rPr>
            <w:rStyle w:val="Hyperlink"/>
            <w:rFonts w:cs="Times New Roman"/>
            <w:noProof/>
            <w:vertAlign w:val="subscript"/>
          </w:rPr>
          <w:t xml:space="preserve">FeO </w:t>
        </w:r>
        <w:r w:rsidR="005D1BDD" w:rsidRPr="005455CB">
          <w:rPr>
            <w:rStyle w:val="Hyperlink"/>
            <w:rFonts w:cs="Times New Roman"/>
            <w:noProof/>
          </w:rPr>
          <w:t>and D</w:t>
        </w:r>
        <w:r w:rsidR="005D1BDD" w:rsidRPr="005455CB">
          <w:rPr>
            <w:rStyle w:val="Hyperlink"/>
            <w:rFonts w:cs="Times New Roman"/>
            <w:noProof/>
            <w:vertAlign w:val="subscript"/>
          </w:rPr>
          <w:t xml:space="preserve">MnO </w:t>
        </w:r>
        <w:r w:rsidR="005D1BDD" w:rsidRPr="005455CB">
          <w:rPr>
            <w:rStyle w:val="Hyperlink"/>
            <w:rFonts w:cs="Times New Roman"/>
            <w:noProof/>
          </w:rPr>
          <w:t>data for garnet-, tourmaline-, cordierite-, muscovite-, and biotite-melt. Solid symbols represent data presented in this manuscript. Open symbols represent data from Icenhower and London (1995) and Icenhower (1995). The solid black line without an arrow represents a one-to-one correlation of D</w:t>
        </w:r>
        <w:r w:rsidR="005D1BDD" w:rsidRPr="005455CB">
          <w:rPr>
            <w:rStyle w:val="Hyperlink"/>
            <w:rFonts w:cs="Times New Roman"/>
            <w:noProof/>
            <w:vertAlign w:val="subscript"/>
          </w:rPr>
          <w:t>FeO</w:t>
        </w:r>
        <w:r w:rsidR="005D1BDD" w:rsidRPr="005455CB">
          <w:rPr>
            <w:rStyle w:val="Hyperlink"/>
            <w:rFonts w:cs="Times New Roman"/>
            <w:noProof/>
          </w:rPr>
          <w:t xml:space="preserve"> and D</w:t>
        </w:r>
        <w:r w:rsidR="005D1BDD" w:rsidRPr="005455CB">
          <w:rPr>
            <w:rStyle w:val="Hyperlink"/>
            <w:rFonts w:cs="Times New Roman"/>
            <w:noProof/>
            <w:vertAlign w:val="subscript"/>
          </w:rPr>
          <w:t>MnO</w:t>
        </w:r>
        <w:r w:rsidR="005D1BDD" w:rsidRPr="005455CB">
          <w:rPr>
            <w:rStyle w:val="Hyperlink"/>
            <w:rFonts w:cs="Times New Roman"/>
            <w:noProof/>
          </w:rPr>
          <w:t>. The slope of each linear regression (red lines with arrows) represents an exchange coefficient for each mineral, K</w:t>
        </w:r>
        <w:r w:rsidR="005D1BDD" w:rsidRPr="005455CB">
          <w:rPr>
            <w:rStyle w:val="Hyperlink"/>
            <w:rFonts w:cs="Times New Roman"/>
            <w:noProof/>
            <w:vertAlign w:val="subscript"/>
          </w:rPr>
          <w:t>DMnO/FeO</w:t>
        </w:r>
        <w:r w:rsidR="005D1BDD" w:rsidRPr="005455CB">
          <w:rPr>
            <w:rStyle w:val="Hyperlink"/>
            <w:rFonts w:cs="Times New Roman"/>
            <w:noProof/>
          </w:rPr>
          <w:t>. Arrows point in the direction of decreasing temperature. Exchange coefficients for tourmaline-melt (diamonds), cordierite-melt (solid and open circles), and biotite-melt (open triangles) indicate that crystallization of these three minerals will consume FeO from melt at a faster rate than MnO resulting in an increase of the MnO/FeO ratio of melt. Crystallization of garnet alone will result in a decrease of the MnO/FeO ratio of melt. Individual points represent average values calculated per individual experiment. Error bars show 2σ standard errors of the mean, which were propagated through the calculation of partition coefficients.</w:t>
        </w:r>
        <w:r w:rsidR="005D1BDD">
          <w:rPr>
            <w:noProof/>
            <w:webHidden/>
          </w:rPr>
          <w:tab/>
        </w:r>
        <w:r w:rsidR="005D1BDD">
          <w:rPr>
            <w:noProof/>
            <w:webHidden/>
          </w:rPr>
          <w:fldChar w:fldCharType="begin"/>
        </w:r>
        <w:r w:rsidR="005D1BDD">
          <w:rPr>
            <w:noProof/>
            <w:webHidden/>
          </w:rPr>
          <w:instrText xml:space="preserve"> PAGEREF _Toc490130662 \h </w:instrText>
        </w:r>
        <w:r w:rsidR="005D1BDD">
          <w:rPr>
            <w:noProof/>
            <w:webHidden/>
          </w:rPr>
        </w:r>
        <w:r w:rsidR="005D1BDD">
          <w:rPr>
            <w:noProof/>
            <w:webHidden/>
          </w:rPr>
          <w:fldChar w:fldCharType="separate"/>
        </w:r>
        <w:r w:rsidR="000C5FC3">
          <w:rPr>
            <w:noProof/>
            <w:webHidden/>
          </w:rPr>
          <w:t>138</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r:id="rId37" w:anchor="_Toc490130663" w:history="1">
        <w:r w:rsidR="005D1BDD" w:rsidRPr="005455CB">
          <w:rPr>
            <w:rStyle w:val="Hyperlink"/>
            <w:noProof/>
          </w:rPr>
          <w:t>Figure 5</w:t>
        </w:r>
        <w:r w:rsidR="005D1BDD" w:rsidRPr="005455CB">
          <w:rPr>
            <w:rStyle w:val="Hyperlink"/>
            <w:noProof/>
          </w:rPr>
          <w:noBreakHyphen/>
          <w:t>8 (a)</w:t>
        </w:r>
        <w:r w:rsidR="005D1BDD" w:rsidRPr="005455CB">
          <w:rPr>
            <w:rStyle w:val="Hyperlink"/>
            <w:rFonts w:cs="Times New Roman"/>
            <w:noProof/>
          </w:rPr>
          <w:t xml:space="preserve"> Evolution of the MgO/FeO ratio of granitic melt resulting from fractional crystallization involving garnet, biotite, tourmaline, and cordierite individually. F=1 represent 100% melt (liquid) and F=0 represents complete crystallization. The vertical axis represents values of C/C</w:t>
        </w:r>
        <w:r w:rsidR="005D1BDD" w:rsidRPr="005455CB">
          <w:rPr>
            <w:rStyle w:val="Hyperlink"/>
            <w:rFonts w:cs="Times New Roman"/>
            <w:noProof/>
            <w:vertAlign w:val="subscript"/>
          </w:rPr>
          <w:t>o</w:t>
        </w:r>
        <w:r w:rsidR="005D1BDD" w:rsidRPr="005455CB">
          <w:rPr>
            <w:rStyle w:val="Hyperlink"/>
            <w:rFonts w:cs="Times New Roman"/>
            <w:noProof/>
          </w:rPr>
          <w:t>. Values of C/C</w:t>
        </w:r>
        <w:r w:rsidR="005D1BDD" w:rsidRPr="005455CB">
          <w:rPr>
            <w:rStyle w:val="Hyperlink"/>
            <w:rFonts w:cs="Times New Roman"/>
            <w:noProof/>
            <w:vertAlign w:val="subscript"/>
          </w:rPr>
          <w:t>o</w:t>
        </w:r>
        <w:r w:rsidR="005D1BDD" w:rsidRPr="005455CB">
          <w:rPr>
            <w:rStyle w:val="Hyperlink"/>
            <w:rFonts w:cs="Times New Roman"/>
            <w:noProof/>
          </w:rPr>
          <w:t xml:space="preserve"> that are greater than one or less than one indicate MgO enrichment or depletion relative to FeO, respectively. Crystallization of garnet alone produces an increase in the MgO/FeO ratio (at 200 MPa). Higher pressures (&gt; 4 kb) may result in a different partitioning behavior. (b) Evolution of the MnO/FeO ratio of granitic melt resulting from fractional crystallization involving garnet, biotite, tourmaline, and cordierite individually. F=1 represent 100% melt and F=0 represents complete crystallization. The vertical axis represents values of C/C</w:t>
        </w:r>
        <w:r w:rsidR="005D1BDD" w:rsidRPr="005455CB">
          <w:rPr>
            <w:rStyle w:val="Hyperlink"/>
            <w:rFonts w:cs="Times New Roman"/>
            <w:noProof/>
            <w:vertAlign w:val="subscript"/>
          </w:rPr>
          <w:t>o</w:t>
        </w:r>
        <w:r w:rsidR="005D1BDD" w:rsidRPr="005455CB">
          <w:rPr>
            <w:rStyle w:val="Hyperlink"/>
            <w:rFonts w:cs="Times New Roman"/>
            <w:noProof/>
          </w:rPr>
          <w:t>. Values of C/C</w:t>
        </w:r>
        <w:r w:rsidR="005D1BDD" w:rsidRPr="005455CB">
          <w:rPr>
            <w:rStyle w:val="Hyperlink"/>
            <w:rFonts w:cs="Times New Roman"/>
            <w:noProof/>
            <w:vertAlign w:val="subscript"/>
          </w:rPr>
          <w:t>o</w:t>
        </w:r>
        <w:r w:rsidR="005D1BDD" w:rsidRPr="005455CB">
          <w:rPr>
            <w:rStyle w:val="Hyperlink"/>
            <w:rFonts w:cs="Times New Roman"/>
            <w:noProof/>
          </w:rPr>
          <w:t xml:space="preserve"> </w:t>
        </w:r>
        <w:r w:rsidR="005D1BDD" w:rsidRPr="005455CB">
          <w:rPr>
            <w:rStyle w:val="Hyperlink"/>
            <w:rFonts w:cs="Times New Roman"/>
            <w:noProof/>
          </w:rPr>
          <w:lastRenderedPageBreak/>
          <w:t>that are greater than one or less than one indicate MnO enrichment or depletion relative to FeO, respectively. Crystallization of garnet alone results in a decrease of MnO/FeO in melt, whereas, for all other minerals presented, the MnO/FeO ratio of melt increases.</w:t>
        </w:r>
        <w:r w:rsidR="005D1BDD">
          <w:rPr>
            <w:noProof/>
            <w:webHidden/>
          </w:rPr>
          <w:tab/>
        </w:r>
        <w:r w:rsidR="005D1BDD">
          <w:rPr>
            <w:noProof/>
            <w:webHidden/>
          </w:rPr>
          <w:fldChar w:fldCharType="begin"/>
        </w:r>
        <w:r w:rsidR="005D1BDD">
          <w:rPr>
            <w:noProof/>
            <w:webHidden/>
          </w:rPr>
          <w:instrText xml:space="preserve"> PAGEREF _Toc490130663 \h </w:instrText>
        </w:r>
        <w:r w:rsidR="005D1BDD">
          <w:rPr>
            <w:noProof/>
            <w:webHidden/>
          </w:rPr>
        </w:r>
        <w:r w:rsidR="005D1BDD">
          <w:rPr>
            <w:noProof/>
            <w:webHidden/>
          </w:rPr>
          <w:fldChar w:fldCharType="separate"/>
        </w:r>
        <w:r w:rsidR="000C5FC3">
          <w:rPr>
            <w:noProof/>
            <w:webHidden/>
          </w:rPr>
          <w:t>139</w:t>
        </w:r>
        <w:r w:rsidR="005D1BDD">
          <w:rPr>
            <w:noProof/>
            <w:webHidden/>
          </w:rPr>
          <w:fldChar w:fldCharType="end"/>
        </w:r>
      </w:hyperlink>
    </w:p>
    <w:p w:rsidR="005D1BDD" w:rsidRDefault="00B920BD" w:rsidP="005D1BDD">
      <w:pPr>
        <w:pStyle w:val="TableofFigures"/>
        <w:tabs>
          <w:tab w:val="right" w:leader="dot" w:pos="8460"/>
        </w:tabs>
        <w:spacing w:after="240"/>
        <w:ind w:right="36"/>
        <w:rPr>
          <w:rFonts w:asciiTheme="minorHAnsi" w:eastAsiaTheme="minorEastAsia" w:hAnsiTheme="minorHAnsi" w:cstheme="minorBidi"/>
          <w:noProof/>
          <w:sz w:val="22"/>
          <w:szCs w:val="22"/>
        </w:rPr>
      </w:pPr>
      <w:hyperlink r:id="rId38" w:anchor="_Toc490130664" w:history="1">
        <w:r w:rsidR="005D1BDD" w:rsidRPr="005455CB">
          <w:rPr>
            <w:rStyle w:val="Hyperlink"/>
            <w:noProof/>
          </w:rPr>
          <w:t>Figure 5</w:t>
        </w:r>
        <w:r w:rsidR="005D1BDD" w:rsidRPr="005455CB">
          <w:rPr>
            <w:rStyle w:val="Hyperlink"/>
            <w:noProof/>
          </w:rPr>
          <w:noBreakHyphen/>
          <w:t>9</w:t>
        </w:r>
        <w:r w:rsidR="005D1BDD" w:rsidRPr="005455CB">
          <w:rPr>
            <w:rStyle w:val="Hyperlink"/>
            <w:rFonts w:cs="Times New Roman"/>
            <w:noProof/>
          </w:rPr>
          <w:t xml:space="preserve"> Rayleigh fractional crystallization model for a parental, S-type granite liquid. The black line represents results of Rayleigh model and the red line denotes the MnO saturation surface for garnet in B-bearing, hydrous granitic melt. The model entails crystallization of a cordierite-biotite granite between F=1.0 and F=0.8, a biotite granite between F=0.8 and F=0.3, and a muscovite-biotite granite between F=0.3 and 0.0. The inflection of the red line at F=0.8 and F=0.3 is caused by a change in the slope of T/F (temperature/liquid fraction) at those points. Parameters for the Rayleigh model are reported in Table 7 (Appendix 2).</w:t>
        </w:r>
        <w:r w:rsidR="005D1BDD">
          <w:rPr>
            <w:noProof/>
            <w:webHidden/>
          </w:rPr>
          <w:tab/>
        </w:r>
        <w:r w:rsidR="005D1BDD">
          <w:rPr>
            <w:noProof/>
            <w:webHidden/>
          </w:rPr>
          <w:fldChar w:fldCharType="begin"/>
        </w:r>
        <w:r w:rsidR="005D1BDD">
          <w:rPr>
            <w:noProof/>
            <w:webHidden/>
          </w:rPr>
          <w:instrText xml:space="preserve"> PAGEREF _Toc490130664 \h </w:instrText>
        </w:r>
        <w:r w:rsidR="005D1BDD">
          <w:rPr>
            <w:noProof/>
            <w:webHidden/>
          </w:rPr>
        </w:r>
        <w:r w:rsidR="005D1BDD">
          <w:rPr>
            <w:noProof/>
            <w:webHidden/>
          </w:rPr>
          <w:fldChar w:fldCharType="separate"/>
        </w:r>
        <w:r w:rsidR="000C5FC3">
          <w:rPr>
            <w:noProof/>
            <w:webHidden/>
          </w:rPr>
          <w:t>140</w:t>
        </w:r>
        <w:r w:rsidR="005D1BDD">
          <w:rPr>
            <w:noProof/>
            <w:webHidden/>
          </w:rPr>
          <w:fldChar w:fldCharType="end"/>
        </w:r>
      </w:hyperlink>
    </w:p>
    <w:p w:rsidR="00522E3F" w:rsidRPr="00E614FB" w:rsidRDefault="00F65F32" w:rsidP="00410044">
      <w:pPr>
        <w:spacing w:after="0" w:line="480" w:lineRule="auto"/>
        <w:rPr>
          <w:rFonts w:asciiTheme="minorHAnsi" w:hAnsiTheme="minorHAnsi" w:cstheme="minorHAnsi"/>
        </w:rPr>
      </w:pPr>
      <w:r>
        <w:rPr>
          <w:rFonts w:asciiTheme="minorHAnsi" w:hAnsiTheme="minorHAnsi" w:cstheme="minorHAnsi"/>
        </w:rPr>
        <w:fldChar w:fldCharType="end"/>
      </w:r>
    </w:p>
    <w:p w:rsidR="00410044" w:rsidRPr="00E614FB" w:rsidRDefault="00410044">
      <w:pPr>
        <w:rPr>
          <w:rFonts w:asciiTheme="minorHAnsi" w:hAnsiTheme="minorHAnsi" w:cstheme="minorHAnsi"/>
        </w:rPr>
      </w:pPr>
      <w:r w:rsidRPr="00E614FB">
        <w:rPr>
          <w:rFonts w:asciiTheme="minorHAnsi" w:hAnsiTheme="minorHAnsi" w:cstheme="minorHAnsi"/>
        </w:rPr>
        <w:br w:type="page"/>
      </w:r>
    </w:p>
    <w:p w:rsidR="00410044" w:rsidRDefault="009D0897" w:rsidP="0024621D">
      <w:pPr>
        <w:pStyle w:val="Heading1"/>
        <w:numPr>
          <w:ilvl w:val="0"/>
          <w:numId w:val="0"/>
        </w:numPr>
        <w:spacing w:line="480" w:lineRule="auto"/>
        <w:jc w:val="center"/>
        <w:rPr>
          <w:rFonts w:asciiTheme="minorHAnsi" w:hAnsiTheme="minorHAnsi" w:cstheme="minorHAnsi"/>
        </w:rPr>
      </w:pPr>
      <w:bookmarkStart w:id="5" w:name="_Toc491245974"/>
      <w:r>
        <w:rPr>
          <w:rFonts w:asciiTheme="minorHAnsi" w:hAnsiTheme="minorHAnsi" w:cstheme="minorHAnsi"/>
        </w:rPr>
        <w:lastRenderedPageBreak/>
        <w:t>A</w:t>
      </w:r>
      <w:r w:rsidR="0032741E">
        <w:rPr>
          <w:rFonts w:asciiTheme="minorHAnsi" w:hAnsiTheme="minorHAnsi" w:cstheme="minorHAnsi"/>
        </w:rPr>
        <w:t>bstract</w:t>
      </w:r>
      <w:bookmarkEnd w:id="5"/>
    </w:p>
    <w:p w:rsidR="005D1BDD" w:rsidRPr="003E5D78" w:rsidRDefault="0024621D" w:rsidP="005D1BDD">
      <w:pPr>
        <w:spacing w:after="0" w:line="480" w:lineRule="auto"/>
        <w:ind w:firstLine="720"/>
        <w:rPr>
          <w:rFonts w:cs="Times New Roman"/>
        </w:rPr>
      </w:pPr>
      <w:r>
        <w:rPr>
          <w:rFonts w:asciiTheme="minorHAnsi" w:hAnsiTheme="minorHAnsi" w:cstheme="minorHAnsi"/>
        </w:rPr>
        <w:tab/>
      </w:r>
      <w:r w:rsidR="005D1BDD" w:rsidRPr="003E5D78">
        <w:rPr>
          <w:rFonts w:cs="Times New Roman"/>
        </w:rPr>
        <w:t>Partition</w:t>
      </w:r>
      <w:r w:rsidR="005D1BDD">
        <w:rPr>
          <w:rFonts w:cs="Times New Roman"/>
        </w:rPr>
        <w:t xml:space="preserve"> coefficients (D)</w:t>
      </w:r>
      <w:r w:rsidR="005D1BDD" w:rsidRPr="003E5D78">
        <w:rPr>
          <w:rFonts w:cs="Times New Roman"/>
        </w:rPr>
        <w:t xml:space="preserve"> and exchange</w:t>
      </w:r>
      <w:r w:rsidR="005D1BDD">
        <w:rPr>
          <w:rFonts w:cs="Times New Roman"/>
        </w:rPr>
        <w:t xml:space="preserve"> </w:t>
      </w:r>
      <w:r w:rsidR="005D1BDD" w:rsidRPr="003E5D78">
        <w:rPr>
          <w:rFonts w:cs="Times New Roman"/>
        </w:rPr>
        <w:t>coefficients</w:t>
      </w:r>
      <w:r w:rsidR="005D1BDD">
        <w:rPr>
          <w:rFonts w:cs="Times New Roman"/>
        </w:rPr>
        <w:t xml:space="preserve"> (</w:t>
      </w:r>
      <w:r w:rsidR="005D1BDD" w:rsidRPr="003E5D78">
        <w:rPr>
          <w:rFonts w:cs="Times New Roman"/>
        </w:rPr>
        <w:t>K</w:t>
      </w:r>
      <w:r w:rsidR="005D1BDD" w:rsidRPr="003E5D78">
        <w:rPr>
          <w:rFonts w:cs="Times New Roman"/>
          <w:vertAlign w:val="subscript"/>
        </w:rPr>
        <w:t>D</w:t>
      </w:r>
      <w:r w:rsidR="005D1BDD">
        <w:rPr>
          <w:rFonts w:cs="Times New Roman"/>
        </w:rPr>
        <w:t>)</w:t>
      </w:r>
      <w:r w:rsidR="005D1BDD" w:rsidRPr="003E5D78">
        <w:rPr>
          <w:rFonts w:cs="Times New Roman"/>
        </w:rPr>
        <w:t xml:space="preserve"> for Fe, Mn, and Mg between tourmaline (Tur), garnet (Grt), cordierite (Crd) and granitic melt were measured between 650°C and 850°C at 200 MPa</w:t>
      </w:r>
      <w:r w:rsidR="005D1BDD" w:rsidRPr="003E5D78">
        <w:rPr>
          <w:rFonts w:cs="Times New Roman"/>
          <w:vertAlign w:val="subscript"/>
        </w:rPr>
        <w:t>H2O</w:t>
      </w:r>
      <w:r w:rsidR="005D1BDD" w:rsidRPr="003E5D78">
        <w:rPr>
          <w:rFonts w:cs="Times New Roman"/>
        </w:rPr>
        <w:t>. Manganese is incompatible in tourmaline (D</w:t>
      </w:r>
      <w:r w:rsidR="005D1BDD" w:rsidRPr="003E5D78">
        <w:rPr>
          <w:rFonts w:cs="Times New Roman"/>
          <w:vertAlign w:val="subscript"/>
        </w:rPr>
        <w:t>Mn</w:t>
      </w:r>
      <w:r w:rsidR="005D1BDD" w:rsidRPr="003E5D78">
        <w:rPr>
          <w:rFonts w:cs="Times New Roman"/>
        </w:rPr>
        <w:t xml:space="preserve"> ≈ 0.3 to 0.9) at temperatures greater than 650°C and is highly compatible in garnet (D</w:t>
      </w:r>
      <w:r w:rsidR="005D1BDD" w:rsidRPr="003E5D78">
        <w:rPr>
          <w:rFonts w:cs="Times New Roman"/>
          <w:vertAlign w:val="subscript"/>
        </w:rPr>
        <w:t>Mn</w:t>
      </w:r>
      <w:r w:rsidR="005D1BDD" w:rsidRPr="003E5D78">
        <w:rPr>
          <w:rFonts w:cs="Times New Roman"/>
        </w:rPr>
        <w:t xml:space="preserve"> ≈ 15 to 39) and cordierite (D</w:t>
      </w:r>
      <w:r w:rsidR="005D1BDD" w:rsidRPr="003E5D78">
        <w:rPr>
          <w:rFonts w:cs="Times New Roman"/>
          <w:vertAlign w:val="subscript"/>
        </w:rPr>
        <w:t>Mn</w:t>
      </w:r>
      <w:r w:rsidR="005D1BDD" w:rsidRPr="003E5D78">
        <w:rPr>
          <w:rFonts w:cs="Times New Roman"/>
          <w:vertAlign w:val="superscript"/>
        </w:rPr>
        <w:t xml:space="preserve"> </w:t>
      </w:r>
      <w:r w:rsidR="005D1BDD" w:rsidRPr="003E5D78">
        <w:rPr>
          <w:rFonts w:cs="Times New Roman"/>
        </w:rPr>
        <w:t>≈ 2 to 7) at all temperatures. Tourmaline is not stable at temperatures greater than 750°C. The partition coefficients are used in a Rayleigh fractional crystallization model to test their ability to predict the point at which Mn-rich garnet (spessartine) would become saturated in an S-type granitic melt. As expected, approximately 90% of crystallization is necessary to bring the Mn content of an anatectic S-type granitic liquid to spessartine saturation</w:t>
      </w:r>
      <w:r w:rsidR="005D1BDD">
        <w:rPr>
          <w:rFonts w:cs="Times New Roman"/>
        </w:rPr>
        <w:t xml:space="preserve"> at ~ 665°C and 200 MPa</w:t>
      </w:r>
      <w:r w:rsidR="005D1BDD" w:rsidRPr="003E5D78">
        <w:rPr>
          <w:rFonts w:cs="Times New Roman"/>
        </w:rPr>
        <w:t>.</w:t>
      </w:r>
    </w:p>
    <w:p w:rsidR="005D1BDD" w:rsidRPr="003E5D78" w:rsidRDefault="005D1BDD" w:rsidP="005D1BDD">
      <w:pPr>
        <w:spacing w:after="0" w:line="480" w:lineRule="auto"/>
        <w:rPr>
          <w:rFonts w:cs="Times New Roman"/>
        </w:rPr>
      </w:pPr>
      <w:r w:rsidRPr="003E5D78">
        <w:rPr>
          <w:rFonts w:cs="Times New Roman"/>
        </w:rPr>
        <w:tab/>
        <w:t>The boron isotopic composition, δ</w:t>
      </w:r>
      <w:r w:rsidRPr="003E5D78">
        <w:rPr>
          <w:rFonts w:cs="Times New Roman"/>
          <w:vertAlign w:val="superscript"/>
        </w:rPr>
        <w:t>11</w:t>
      </w:r>
      <w:r w:rsidRPr="003E5D78">
        <w:rPr>
          <w:rFonts w:cs="Times New Roman"/>
        </w:rPr>
        <w:t xml:space="preserve">B, of borate and borosilicate minerals (including tourmaline (Tur)) from </w:t>
      </w:r>
      <w:r>
        <w:rPr>
          <w:rFonts w:cs="Times New Roman"/>
        </w:rPr>
        <w:t>three</w:t>
      </w:r>
      <w:r w:rsidRPr="003E5D78">
        <w:rPr>
          <w:rFonts w:cs="Times New Roman"/>
        </w:rPr>
        <w:t xml:space="preserve"> dikes at the Little Three (LT3) pegmatite mine, Ramona, CA, were measured using secondary ion mass spectrometry (SIMS). The tourmaline at the LT3 were found to be strikingly heavy compared to tourmaline from other pegmatites. At the LT3, average values of δ</w:t>
      </w:r>
      <w:r w:rsidRPr="003E5D78">
        <w:rPr>
          <w:rFonts w:cs="Times New Roman"/>
          <w:vertAlign w:val="superscript"/>
        </w:rPr>
        <w:t>11</w:t>
      </w:r>
      <w:r w:rsidRPr="003E5D78">
        <w:rPr>
          <w:rFonts w:cs="Times New Roman"/>
        </w:rPr>
        <w:t>B</w:t>
      </w:r>
      <w:r w:rsidRPr="003E5D78">
        <w:rPr>
          <w:rFonts w:cs="Times New Roman"/>
          <w:vertAlign w:val="subscript"/>
        </w:rPr>
        <w:t xml:space="preserve">Tur </w:t>
      </w:r>
      <w:r w:rsidRPr="003E5D78">
        <w:rPr>
          <w:rFonts w:cs="Times New Roman"/>
        </w:rPr>
        <w:t>are constant across magmatic portions of each dike. Values of δ</w:t>
      </w:r>
      <w:r w:rsidRPr="003E5D78">
        <w:rPr>
          <w:rFonts w:cs="Times New Roman"/>
          <w:vertAlign w:val="superscript"/>
        </w:rPr>
        <w:t>11</w:t>
      </w:r>
      <w:r w:rsidRPr="003E5D78">
        <w:rPr>
          <w:rFonts w:cs="Times New Roman"/>
        </w:rPr>
        <w:t>B</w:t>
      </w:r>
      <w:r w:rsidRPr="003E5D78">
        <w:rPr>
          <w:rFonts w:cs="Times New Roman"/>
          <w:vertAlign w:val="subscript"/>
        </w:rPr>
        <w:t xml:space="preserve">Tur </w:t>
      </w:r>
      <w:r w:rsidRPr="003E5D78">
        <w:rPr>
          <w:rFonts w:cs="Times New Roman"/>
        </w:rPr>
        <w:t>only increase from massive pegmatite into miarolitic cavity where other B-bearing minerals, whose B is in 4-fold coordination, occur with tourmaline. A thermal cooling model shows that the pegmatites would have crystallized in a matter of days, which is much faster than the diffusivity of B in hydrous granitic melt. Therefore, it is unlikely that the δ</w:t>
      </w:r>
      <w:r w:rsidRPr="003E5D78">
        <w:rPr>
          <w:rFonts w:cs="Times New Roman"/>
          <w:vertAlign w:val="superscript"/>
        </w:rPr>
        <w:t>11</w:t>
      </w:r>
      <w:r w:rsidRPr="003E5D78">
        <w:rPr>
          <w:rFonts w:cs="Times New Roman"/>
        </w:rPr>
        <w:t xml:space="preserve">B of tourmaline records an equilibrium composition with respect to melt (or aqueous solution). Altered oceanic </w:t>
      </w:r>
      <w:r w:rsidRPr="003E5D78">
        <w:rPr>
          <w:rFonts w:cs="Times New Roman"/>
        </w:rPr>
        <w:lastRenderedPageBreak/>
        <w:t xml:space="preserve">crust is a likely source of the pegmatite-forming melt, and B, based on similarities of boron isotopic composition and geochemistry of </w:t>
      </w:r>
      <w:r>
        <w:rPr>
          <w:rFonts w:cs="Times New Roman"/>
        </w:rPr>
        <w:t>potential</w:t>
      </w:r>
      <w:r w:rsidRPr="003E5D78">
        <w:rPr>
          <w:rFonts w:cs="Times New Roman"/>
        </w:rPr>
        <w:t xml:space="preserve"> source plutons.</w:t>
      </w:r>
    </w:p>
    <w:p w:rsidR="00A97FD6" w:rsidRPr="00F024B4" w:rsidRDefault="005D1BDD" w:rsidP="005D1BDD">
      <w:pPr>
        <w:spacing w:after="0" w:line="480" w:lineRule="auto"/>
        <w:ind w:firstLine="720"/>
        <w:rPr>
          <w:rFonts w:asciiTheme="minorHAnsi" w:hAnsiTheme="minorHAnsi" w:cstheme="minorHAnsi"/>
        </w:rPr>
      </w:pPr>
      <w:r w:rsidRPr="003E5D78">
        <w:rPr>
          <w:rFonts w:cs="Times New Roman"/>
        </w:rPr>
        <w:t xml:space="preserve">Dozens of experiments were conducted to measure the diffusivity of B in hydrous granitic melt at 800°C at 200 MPa, and to assess the diffusive separation of </w:t>
      </w:r>
      <w:r w:rsidRPr="003E5D78">
        <w:rPr>
          <w:rFonts w:cs="Times New Roman"/>
          <w:vertAlign w:val="superscript"/>
        </w:rPr>
        <w:t>10</w:t>
      </w:r>
      <w:r w:rsidRPr="003E5D78">
        <w:rPr>
          <w:rFonts w:cs="Times New Roman"/>
        </w:rPr>
        <w:t xml:space="preserve">B and </w:t>
      </w:r>
      <w:r w:rsidRPr="003E5D78">
        <w:rPr>
          <w:rFonts w:cs="Times New Roman"/>
          <w:vertAlign w:val="superscript"/>
        </w:rPr>
        <w:t>11</w:t>
      </w:r>
      <w:r w:rsidRPr="003E5D78">
        <w:rPr>
          <w:rFonts w:cs="Times New Roman"/>
        </w:rPr>
        <w:t xml:space="preserve">B. In a different series of experiments, the fractionation of boron isotopes between granitic melt and aqueous solution </w:t>
      </w:r>
      <w:r>
        <w:rPr>
          <w:rFonts w:cs="Times New Roman"/>
        </w:rPr>
        <w:t xml:space="preserve">was </w:t>
      </w:r>
      <w:r w:rsidRPr="003E5D78">
        <w:rPr>
          <w:rFonts w:cs="Times New Roman"/>
        </w:rPr>
        <w:t>measured at 700°C and 800°C at 200 MPa</w:t>
      </w:r>
      <w:r w:rsidRPr="003E5D78">
        <w:rPr>
          <w:rFonts w:cs="Times New Roman"/>
          <w:vertAlign w:val="subscript"/>
        </w:rPr>
        <w:t>H2O</w:t>
      </w:r>
      <w:r w:rsidRPr="003E5D78">
        <w:rPr>
          <w:rFonts w:cs="Times New Roman"/>
        </w:rPr>
        <w:t xml:space="preserve">. </w:t>
      </w:r>
      <w:r>
        <w:rPr>
          <w:rFonts w:cs="Times New Roman"/>
        </w:rPr>
        <w:t>Boron diffuses at a rate</w:t>
      </w:r>
      <w:r w:rsidRPr="003E5D78">
        <w:rPr>
          <w:rFonts w:cs="Times New Roman"/>
        </w:rPr>
        <w:t xml:space="preserve"> similar to Al (10</w:t>
      </w:r>
      <w:r w:rsidRPr="003E5D78">
        <w:rPr>
          <w:rFonts w:cs="Times New Roman"/>
          <w:vertAlign w:val="superscript"/>
        </w:rPr>
        <w:t>-13</w:t>
      </w:r>
      <w:r w:rsidRPr="003E5D78">
        <w:rPr>
          <w:rFonts w:cs="Times New Roman"/>
        </w:rPr>
        <w:t xml:space="preserve"> m</w:t>
      </w:r>
      <w:r w:rsidRPr="003E5D78">
        <w:rPr>
          <w:rFonts w:cs="Times New Roman"/>
          <w:vertAlign w:val="superscript"/>
        </w:rPr>
        <w:t>2</w:t>
      </w:r>
      <w:r>
        <w:rPr>
          <w:rFonts w:cs="Times New Roman"/>
        </w:rPr>
        <w:t xml:space="preserve">/s) in hydrous granitic melt, </w:t>
      </w:r>
      <w:r w:rsidRPr="003E5D78">
        <w:rPr>
          <w:rFonts w:cs="Times New Roman"/>
        </w:rPr>
        <w:t xml:space="preserve">and </w:t>
      </w:r>
      <w:r w:rsidRPr="003E5D78">
        <w:rPr>
          <w:rFonts w:cs="Times New Roman"/>
          <w:vertAlign w:val="superscript"/>
        </w:rPr>
        <w:t>10</w:t>
      </w:r>
      <w:r w:rsidRPr="003E5D78">
        <w:rPr>
          <w:rFonts w:cs="Times New Roman"/>
        </w:rPr>
        <w:t xml:space="preserve">B diffuses faster than </w:t>
      </w:r>
      <w:r w:rsidRPr="003E5D78">
        <w:rPr>
          <w:rFonts w:cs="Times New Roman"/>
          <w:vertAlign w:val="superscript"/>
        </w:rPr>
        <w:t>11</w:t>
      </w:r>
      <w:r>
        <w:rPr>
          <w:rFonts w:cs="Times New Roman"/>
        </w:rPr>
        <w:t>B. Fractionation of boron</w:t>
      </w:r>
      <w:r w:rsidRPr="003E5D78">
        <w:rPr>
          <w:rFonts w:cs="Times New Roman"/>
        </w:rPr>
        <w:t xml:space="preserve"> isotopes between granitic melt and aqueous solution is shown to be significant and corroborates the results of Hervig et al. (2002). However, in one experiment (MAC230) the δ</w:t>
      </w:r>
      <w:r w:rsidRPr="003E5D78">
        <w:rPr>
          <w:rFonts w:cs="Times New Roman"/>
          <w:vertAlign w:val="superscript"/>
        </w:rPr>
        <w:t>11</w:t>
      </w:r>
      <w:r w:rsidRPr="003E5D78">
        <w:rPr>
          <w:rFonts w:cs="Times New Roman"/>
        </w:rPr>
        <w:t xml:space="preserve">B of the final glass is identical to the starting glass (Macusani obsidian). The rapid crystallization of the melt in MAC230 must have exceeded the diffusivity of B through melt </w:t>
      </w:r>
      <w:r>
        <w:rPr>
          <w:rFonts w:cs="Times New Roman"/>
        </w:rPr>
        <w:t xml:space="preserve">at 500°C </w:t>
      </w:r>
      <w:r w:rsidRPr="003E5D78">
        <w:rPr>
          <w:rFonts w:cs="Times New Roman"/>
        </w:rPr>
        <w:t>such that the aqueous solution (i.e. miarolitic cavity) and melt could not equilibrate; a result that corroborates the findings at the LT3 pegmatite mine.</w:t>
      </w:r>
    </w:p>
    <w:p w:rsidR="00E753F4" w:rsidRDefault="00E753F4" w:rsidP="00410044">
      <w:pPr>
        <w:spacing w:after="0" w:line="480" w:lineRule="auto"/>
        <w:rPr>
          <w:rFonts w:asciiTheme="minorHAnsi" w:hAnsiTheme="minorHAnsi" w:cstheme="minorHAnsi"/>
        </w:rPr>
      </w:pPr>
    </w:p>
    <w:p w:rsidR="009D0897" w:rsidRPr="00E614FB" w:rsidRDefault="009D0897" w:rsidP="00410044">
      <w:pPr>
        <w:spacing w:after="0" w:line="480" w:lineRule="auto"/>
        <w:rPr>
          <w:rFonts w:asciiTheme="minorHAnsi" w:hAnsiTheme="minorHAnsi" w:cstheme="minorHAnsi"/>
        </w:rPr>
        <w:sectPr w:rsidR="009D0897" w:rsidRPr="00E614FB" w:rsidSect="00BA2F37">
          <w:footerReference w:type="default" r:id="rId39"/>
          <w:pgSz w:w="12240" w:h="15840"/>
          <w:pgMar w:top="1440" w:right="1440" w:bottom="1440" w:left="2304" w:header="720" w:footer="720" w:gutter="0"/>
          <w:pgNumType w:fmt="lowerRoman" w:start="4"/>
          <w:cols w:space="720"/>
          <w:docGrid w:linePitch="360"/>
        </w:sectPr>
      </w:pPr>
    </w:p>
    <w:p w:rsidR="00C231B3" w:rsidRPr="005D1BDD" w:rsidRDefault="00665C0F" w:rsidP="005D1BDD">
      <w:pPr>
        <w:pStyle w:val="Heading1"/>
        <w:spacing w:line="480" w:lineRule="auto"/>
      </w:pPr>
      <w:bookmarkStart w:id="6" w:name="_Toc491245975"/>
      <w:r w:rsidRPr="008C2BC6">
        <w:lastRenderedPageBreak/>
        <w:t>I</w:t>
      </w:r>
      <w:r w:rsidR="002018A9">
        <w:t>ntroduction</w:t>
      </w:r>
      <w:bookmarkEnd w:id="6"/>
    </w:p>
    <w:p w:rsidR="005D1BDD" w:rsidRPr="003E5D78" w:rsidRDefault="005D1BDD" w:rsidP="005D1BDD">
      <w:pPr>
        <w:spacing w:after="0" w:line="480" w:lineRule="auto"/>
        <w:ind w:firstLine="720"/>
        <w:rPr>
          <w:rFonts w:cs="Times New Roman"/>
        </w:rPr>
      </w:pPr>
      <w:r w:rsidRPr="003E5D78">
        <w:rPr>
          <w:rFonts w:cs="Times New Roman"/>
        </w:rPr>
        <w:t xml:space="preserve">The first project of my graduate </w:t>
      </w:r>
      <w:r>
        <w:rPr>
          <w:rFonts w:cs="Times New Roman"/>
        </w:rPr>
        <w:t>training</w:t>
      </w:r>
      <w:r w:rsidRPr="003E5D78">
        <w:rPr>
          <w:rFonts w:cs="Times New Roman"/>
        </w:rPr>
        <w:t xml:space="preserve"> was to investigate the partitioning of Fe-Mn and Fe-Mg among garnet, tourmaline, and biotite. The primary goal of that project was to assess the effect of Mn on the well-known Fe-Mg garnet-biotite geothermometer. A secondary goal was to measure the distribution of Fe-Mn and Fe-Mg between garnet and tourmaline toward calibrating a geothermometer </w:t>
      </w:r>
      <w:r>
        <w:rPr>
          <w:rFonts w:cs="Times New Roman"/>
        </w:rPr>
        <w:t>that</w:t>
      </w:r>
      <w:r w:rsidRPr="003E5D78">
        <w:rPr>
          <w:rFonts w:cs="Times New Roman"/>
        </w:rPr>
        <w:t xml:space="preserve"> could be applied to evolved granites and pegmatites. Although garnet and biotite crystallized from granitic melt in some experiments, biotite crystals were too small for chemical characterization using electron microprobe methods. In another, more extensive, series of experiments, in which a B-bearing granitic liquid was used as a starting material, tourmaline crystallized with garnet. In several experiments, especially those at T &gt; 750°C, cordierite crystallized (with garnet) instead of tourmaline. Tourmaline and garnet were saturated with Mn and Mg, respectively, at very low concentrations which severely limited their use for geothermometery. Thus, neither of the main goals of my first project were accomplished. Nevertheless, a substantial amount of mineral-melt partitioning data was collected from those experiments.</w:t>
      </w:r>
    </w:p>
    <w:p w:rsidR="005D1BDD" w:rsidRDefault="005D1BDD" w:rsidP="005D1BDD">
      <w:pPr>
        <w:spacing w:after="0" w:line="480" w:lineRule="auto"/>
        <w:ind w:firstLine="720"/>
        <w:rPr>
          <w:rFonts w:cs="Times New Roman"/>
        </w:rPr>
      </w:pPr>
      <w:r w:rsidRPr="003E5D78">
        <w:rPr>
          <w:rFonts w:cs="Times New Roman"/>
        </w:rPr>
        <w:t xml:space="preserve">Partition coefficients for Fe, Mn, and Mg between tourmaline, cordierite, garnet, and granitic melt have not been thoroughly investigated in prior experimental work. Partition coefficients for tourmaline and garnet would be useful for understanding the enrichment of Mn from source to evolved granite and pegmatite. Though it is apparent that the enrichment of Mn in residual granitic liquid must occur via the crystallization of other minerals in which Mn is incompatible, experimental studies have not directly confirmed this hypothesis. </w:t>
      </w:r>
    </w:p>
    <w:p w:rsidR="005D1BDD" w:rsidRPr="00B40902" w:rsidRDefault="005D1BDD" w:rsidP="005D1BDD">
      <w:pPr>
        <w:spacing w:after="0" w:line="480" w:lineRule="auto"/>
        <w:ind w:firstLine="720"/>
        <w:rPr>
          <w:rFonts w:cs="Times New Roman"/>
          <w:sz w:val="28"/>
        </w:rPr>
      </w:pPr>
      <w:r w:rsidRPr="003E5D78">
        <w:rPr>
          <w:rFonts w:cs="Times New Roman"/>
        </w:rPr>
        <w:lastRenderedPageBreak/>
        <w:t xml:space="preserve">Chapter 5 of this dissertation reports mineral-melt partitioning data and solubility data for cordierite, </w:t>
      </w:r>
      <w:r>
        <w:rPr>
          <w:rFonts w:cs="Times New Roman"/>
        </w:rPr>
        <w:t xml:space="preserve">tourmaline, and garnet. The </w:t>
      </w:r>
      <w:r w:rsidRPr="003E5D78">
        <w:rPr>
          <w:rFonts w:cs="Times New Roman"/>
        </w:rPr>
        <w:t>data are used, in conjunction with data from the literature for biotite and muscovite, in a Rayleigh fractional crystallization model to assess the amount of fractional crystallization necessary to bring an anatectic S-type granitic melt to spessartine saturation. The model predicts that ~ 90% crystallization of an anatectic S-type granitic melt is necessary to bring the Mn content of melt high enough to precipitate Mn-rich garnet at</w:t>
      </w:r>
      <w:r w:rsidR="00D104B6">
        <w:rPr>
          <w:rFonts w:cs="Times New Roman"/>
        </w:rPr>
        <w:t xml:space="preserve"> ~ 665°C and</w:t>
      </w:r>
      <w:r w:rsidRPr="003E5D78">
        <w:rPr>
          <w:rFonts w:cs="Times New Roman"/>
        </w:rPr>
        <w:t xml:space="preserve"> 200 MPa. Though there are caveats associated with how the model is constructed, the goal of the model was to test the applicability of the experimentally measured partition coefficients. The occurrence of Mn-rich garnet in granitic rocks is limited to only the highly evolved suites, which is consistent with the model presented in Chapter 5, which suggests to me that the partition coefficients are applicable to natural systems.</w:t>
      </w:r>
    </w:p>
    <w:p w:rsidR="005D1BDD" w:rsidRPr="003E5D78" w:rsidRDefault="005D1BDD" w:rsidP="005D1BDD">
      <w:pPr>
        <w:spacing w:after="0" w:line="480" w:lineRule="auto"/>
        <w:ind w:firstLine="720"/>
        <w:rPr>
          <w:rFonts w:cs="Times New Roman"/>
        </w:rPr>
      </w:pPr>
      <w:r>
        <w:rPr>
          <w:rFonts w:cs="Times New Roman"/>
        </w:rPr>
        <w:t>After completing my work with mineral-melt partitioning</w:t>
      </w:r>
      <w:r w:rsidRPr="003E5D78">
        <w:rPr>
          <w:rFonts w:cs="Times New Roman"/>
        </w:rPr>
        <w:t>, I began research that focused on the boron isotopic composition, δ</w:t>
      </w:r>
      <w:r w:rsidRPr="003E5D78">
        <w:rPr>
          <w:rFonts w:cs="Times New Roman"/>
          <w:vertAlign w:val="superscript"/>
        </w:rPr>
        <w:t>11</w:t>
      </w:r>
      <w:r w:rsidRPr="003E5D78">
        <w:rPr>
          <w:rFonts w:cs="Times New Roman"/>
        </w:rPr>
        <w:t>B, of tourmaline (Tur) in granites and pegmatites. The δ</w:t>
      </w:r>
      <w:r w:rsidRPr="003E5D78">
        <w:rPr>
          <w:rFonts w:cs="Times New Roman"/>
          <w:vertAlign w:val="superscript"/>
        </w:rPr>
        <w:t>11</w:t>
      </w:r>
      <w:r w:rsidRPr="003E5D78">
        <w:rPr>
          <w:rFonts w:cs="Times New Roman"/>
        </w:rPr>
        <w:t>B of tourmaline has been used to</w:t>
      </w:r>
    </w:p>
    <w:p w:rsidR="005D1BDD" w:rsidRPr="003E5D78" w:rsidRDefault="005D1BDD" w:rsidP="005D1BDD">
      <w:pPr>
        <w:spacing w:after="0" w:line="480" w:lineRule="auto"/>
        <w:ind w:firstLine="720"/>
        <w:rPr>
          <w:rFonts w:cs="Times New Roman"/>
        </w:rPr>
      </w:pPr>
      <w:r w:rsidRPr="003E5D78">
        <w:rPr>
          <w:rFonts w:cs="Times New Roman"/>
        </w:rPr>
        <w:t xml:space="preserve">(1) infer crystallization processes, </w:t>
      </w:r>
    </w:p>
    <w:p w:rsidR="005D1BDD" w:rsidRPr="003E5D78" w:rsidRDefault="005D1BDD" w:rsidP="005D1BDD">
      <w:pPr>
        <w:spacing w:after="0" w:line="480" w:lineRule="auto"/>
        <w:ind w:firstLine="720"/>
        <w:rPr>
          <w:rFonts w:cs="Times New Roman"/>
        </w:rPr>
      </w:pPr>
      <w:r w:rsidRPr="003E5D78">
        <w:rPr>
          <w:rFonts w:cs="Times New Roman"/>
        </w:rPr>
        <w:t xml:space="preserve">(2) identify sources of melt and aqueous fluid, and </w:t>
      </w:r>
    </w:p>
    <w:p w:rsidR="005D1BDD" w:rsidRPr="003E5D78" w:rsidRDefault="005D1BDD" w:rsidP="005D1BDD">
      <w:pPr>
        <w:spacing w:after="0" w:line="480" w:lineRule="auto"/>
        <w:ind w:left="720"/>
        <w:rPr>
          <w:rFonts w:cs="Times New Roman"/>
        </w:rPr>
      </w:pPr>
      <w:r>
        <w:rPr>
          <w:rFonts w:cs="Times New Roman"/>
        </w:rPr>
        <w:t>(3) test for</w:t>
      </w:r>
      <w:r w:rsidRPr="003E5D78">
        <w:rPr>
          <w:rFonts w:cs="Times New Roman"/>
        </w:rPr>
        <w:t xml:space="preserve"> the presence of an aqueous solution and understand its role in the crystallization of granites and pegmatites. </w:t>
      </w:r>
    </w:p>
    <w:p w:rsidR="005D1BDD" w:rsidRDefault="005D1BDD" w:rsidP="005D1BDD">
      <w:pPr>
        <w:spacing w:after="0" w:line="480" w:lineRule="auto"/>
        <w:rPr>
          <w:rFonts w:cs="Times New Roman"/>
        </w:rPr>
      </w:pPr>
      <w:r w:rsidRPr="003E5D78">
        <w:rPr>
          <w:rFonts w:cs="Times New Roman"/>
        </w:rPr>
        <w:t xml:space="preserve">The first and third points require a knowledge of equilibrium fractionation factors in the system tourmaline-granitic melt-aqueous solution, which is incompletely characterized. </w:t>
      </w:r>
      <w:r>
        <w:rPr>
          <w:rFonts w:cs="Times New Roman"/>
        </w:rPr>
        <w:t>Equilibrium between tourmaline, melt, and aqueous solution can be tested by comparing t</w:t>
      </w:r>
      <w:r w:rsidRPr="003E5D78">
        <w:rPr>
          <w:rFonts w:cs="Times New Roman"/>
        </w:rPr>
        <w:t>he δ</w:t>
      </w:r>
      <w:r w:rsidRPr="003E5D78">
        <w:rPr>
          <w:rFonts w:cs="Times New Roman"/>
          <w:vertAlign w:val="superscript"/>
        </w:rPr>
        <w:t>11</w:t>
      </w:r>
      <w:r>
        <w:rPr>
          <w:rFonts w:cs="Times New Roman"/>
        </w:rPr>
        <w:t>B of tourmaline with</w:t>
      </w:r>
      <w:r w:rsidRPr="003E5D78">
        <w:rPr>
          <w:rFonts w:cs="Times New Roman"/>
        </w:rPr>
        <w:t xml:space="preserve"> Rayleigh models</w:t>
      </w:r>
      <w:r>
        <w:rPr>
          <w:rFonts w:cs="Times New Roman"/>
        </w:rPr>
        <w:t xml:space="preserve">, for as long as the sequence of </w:t>
      </w:r>
      <w:r>
        <w:rPr>
          <w:rFonts w:cs="Times New Roman"/>
        </w:rPr>
        <w:lastRenderedPageBreak/>
        <w:t>crystallization is known and t</w:t>
      </w:r>
      <w:r w:rsidRPr="003E5D78">
        <w:rPr>
          <w:rFonts w:cs="Times New Roman"/>
        </w:rPr>
        <w:t>he spatial dist</w:t>
      </w:r>
      <w:r>
        <w:rPr>
          <w:rFonts w:cs="Times New Roman"/>
        </w:rPr>
        <w:t xml:space="preserve">ribution of tourmaline crystals in the pegmatite is preserved. </w:t>
      </w:r>
      <w:r w:rsidR="00B0051A">
        <w:rPr>
          <w:rFonts w:cs="Times New Roman"/>
        </w:rPr>
        <w:t>All previous</w:t>
      </w:r>
      <w:r>
        <w:rPr>
          <w:rFonts w:cs="Times New Roman"/>
        </w:rPr>
        <w:t xml:space="preserve"> studies o</w:t>
      </w:r>
      <w:r w:rsidR="00B0051A">
        <w:rPr>
          <w:rFonts w:cs="Times New Roman"/>
        </w:rPr>
        <w:t>f</w:t>
      </w:r>
      <w:r>
        <w:rPr>
          <w:rFonts w:cs="Times New Roman"/>
        </w:rPr>
        <w:t xml:space="preserve"> the δ</w:t>
      </w:r>
      <w:r>
        <w:rPr>
          <w:rFonts w:cs="Times New Roman"/>
          <w:vertAlign w:val="superscript"/>
        </w:rPr>
        <w:t>11</w:t>
      </w:r>
      <w:r>
        <w:rPr>
          <w:rFonts w:cs="Times New Roman"/>
        </w:rPr>
        <w:t xml:space="preserve">B of </w:t>
      </w:r>
      <w:r w:rsidRPr="003E5D78">
        <w:rPr>
          <w:rFonts w:cs="Times New Roman"/>
        </w:rPr>
        <w:t xml:space="preserve">tourmaline </w:t>
      </w:r>
      <w:r>
        <w:rPr>
          <w:rFonts w:cs="Times New Roman"/>
        </w:rPr>
        <w:t xml:space="preserve">from </w:t>
      </w:r>
      <w:r w:rsidRPr="003E5D78">
        <w:rPr>
          <w:rFonts w:cs="Times New Roman"/>
        </w:rPr>
        <w:t>pegmatite</w:t>
      </w:r>
      <w:r>
        <w:rPr>
          <w:rFonts w:cs="Times New Roman"/>
        </w:rPr>
        <w:t>s</w:t>
      </w:r>
      <w:r w:rsidRPr="003E5D78">
        <w:rPr>
          <w:rFonts w:cs="Times New Roman"/>
        </w:rPr>
        <w:t xml:space="preserve"> </w:t>
      </w:r>
      <w:r>
        <w:rPr>
          <w:rFonts w:cs="Times New Roman"/>
        </w:rPr>
        <w:t>have sampled crystals from massive pe</w:t>
      </w:r>
      <w:r w:rsidR="00B0051A">
        <w:rPr>
          <w:rFonts w:cs="Times New Roman"/>
        </w:rPr>
        <w:t>gmatite and miarolitic cavities.</w:t>
      </w:r>
      <w:r>
        <w:rPr>
          <w:rFonts w:cs="Times New Roman"/>
        </w:rPr>
        <w:t xml:space="preserve"> No study has systematically sampled tourmaline crystals from margin to core of a pegmatite; that would allow for an assessment of equilibrium crystallization in pegmatites.</w:t>
      </w:r>
    </w:p>
    <w:p w:rsidR="005D1BDD" w:rsidRPr="003E5D78" w:rsidRDefault="005D1BDD" w:rsidP="005D1BDD">
      <w:pPr>
        <w:spacing w:after="0" w:line="480" w:lineRule="auto"/>
        <w:ind w:firstLine="720"/>
        <w:rPr>
          <w:rFonts w:cs="Times New Roman"/>
          <w:sz w:val="28"/>
        </w:rPr>
      </w:pPr>
      <w:r w:rsidRPr="003E5D78">
        <w:rPr>
          <w:rFonts w:cs="Times New Roman"/>
        </w:rPr>
        <w:t>Chapter 2 reports δ</w:t>
      </w:r>
      <w:r w:rsidRPr="003E5D78">
        <w:rPr>
          <w:rFonts w:cs="Times New Roman"/>
          <w:vertAlign w:val="superscript"/>
        </w:rPr>
        <w:t>11</w:t>
      </w:r>
      <w:r>
        <w:rPr>
          <w:rFonts w:cs="Times New Roman"/>
        </w:rPr>
        <w:t>B values for</w:t>
      </w:r>
      <w:r w:rsidRPr="003E5D78">
        <w:rPr>
          <w:rFonts w:cs="Times New Roman"/>
        </w:rPr>
        <w:t xml:space="preserve"> borate and borosilicate minerals (including tourmaline) from three different mines (named Main, Swamp, and Spessartine) on the Little Three pegmatite property, Ramona, CA. This is the first study in which the spatial distribution of all minerals was preserved, to the centimeter, throughout the pegmatites. Moreover, London et al. (2012) and Morgan and London (1999) estimated a crystallization temperature of 450°C based on the compositions of feldspars</w:t>
      </w:r>
      <w:r>
        <w:rPr>
          <w:rFonts w:cs="Times New Roman"/>
        </w:rPr>
        <w:t>,</w:t>
      </w:r>
      <w:r w:rsidRPr="003E5D78">
        <w:rPr>
          <w:rFonts w:cs="Times New Roman"/>
        </w:rPr>
        <w:t xml:space="preserve"> and </w:t>
      </w:r>
      <w:r>
        <w:rPr>
          <w:rFonts w:cs="Times New Roman"/>
        </w:rPr>
        <w:t xml:space="preserve">they </w:t>
      </w:r>
      <w:r w:rsidRPr="003E5D78">
        <w:rPr>
          <w:rFonts w:cs="Times New Roman"/>
        </w:rPr>
        <w:t xml:space="preserve">recorded the modes of all minerals throughout the pegmatites. Therefore, the pegmatites at the Little Three mine are uniquely </w:t>
      </w:r>
      <w:r>
        <w:rPr>
          <w:rFonts w:cs="Times New Roman"/>
        </w:rPr>
        <w:t>suitable</w:t>
      </w:r>
      <w:r w:rsidRPr="003E5D78">
        <w:rPr>
          <w:rFonts w:cs="Times New Roman"/>
        </w:rPr>
        <w:t xml:space="preserve"> to test equilibrium fractionation factors for boron’s isotopes by comparing the compositions of tourmaline against a Rayleigh model.</w:t>
      </w:r>
    </w:p>
    <w:p w:rsidR="00006FA3" w:rsidRDefault="005D1BDD" w:rsidP="00006FA3">
      <w:pPr>
        <w:spacing w:after="0" w:line="480" w:lineRule="auto"/>
        <w:ind w:firstLine="720"/>
        <w:rPr>
          <w:rFonts w:cs="Times New Roman"/>
        </w:rPr>
      </w:pPr>
      <w:r w:rsidRPr="003E5D78">
        <w:rPr>
          <w:rFonts w:cs="Times New Roman"/>
        </w:rPr>
        <w:t>Two peculiarities emerged from the boron isotopic data reported in Chapter 2:</w:t>
      </w:r>
    </w:p>
    <w:p w:rsidR="005D1BDD" w:rsidRPr="003E5D78" w:rsidRDefault="005D1BDD" w:rsidP="00006FA3">
      <w:pPr>
        <w:spacing w:after="0" w:line="480" w:lineRule="auto"/>
        <w:ind w:left="720"/>
        <w:rPr>
          <w:rFonts w:cs="Times New Roman"/>
        </w:rPr>
      </w:pPr>
      <w:r w:rsidRPr="003E5D78">
        <w:rPr>
          <w:rFonts w:cs="Times New Roman"/>
        </w:rPr>
        <w:t>(1) The average δ</w:t>
      </w:r>
      <w:r w:rsidRPr="003E5D78">
        <w:rPr>
          <w:rFonts w:cs="Times New Roman"/>
          <w:vertAlign w:val="superscript"/>
        </w:rPr>
        <w:t>11</w:t>
      </w:r>
      <w:r w:rsidRPr="003E5D78">
        <w:rPr>
          <w:rFonts w:cs="Times New Roman"/>
        </w:rPr>
        <w:t xml:space="preserve">B of tourmaline from one zone to another is constant from margin to core of the Main dike and </w:t>
      </w:r>
    </w:p>
    <w:p w:rsidR="005D1BDD" w:rsidRPr="003E5D78" w:rsidRDefault="005D1BDD" w:rsidP="005D1BDD">
      <w:pPr>
        <w:spacing w:after="0" w:line="480" w:lineRule="auto"/>
        <w:ind w:left="720"/>
        <w:rPr>
          <w:rFonts w:cs="Times New Roman"/>
        </w:rPr>
      </w:pPr>
      <w:r w:rsidRPr="003E5D78">
        <w:rPr>
          <w:rFonts w:cs="Times New Roman"/>
        </w:rPr>
        <w:t>(2) that the δ</w:t>
      </w:r>
      <w:r w:rsidRPr="003E5D78">
        <w:rPr>
          <w:rFonts w:cs="Times New Roman"/>
          <w:vertAlign w:val="superscript"/>
        </w:rPr>
        <w:t>11</w:t>
      </w:r>
      <w:r w:rsidRPr="003E5D78">
        <w:rPr>
          <w:rFonts w:cs="Times New Roman"/>
        </w:rPr>
        <w:t xml:space="preserve">B of tourmaline is strikingly heavy compared to tourmaline from other pegmatites. </w:t>
      </w:r>
    </w:p>
    <w:p w:rsidR="005D1BDD" w:rsidRPr="003E5D78" w:rsidRDefault="005D1BDD" w:rsidP="00006FA3">
      <w:pPr>
        <w:spacing w:after="0" w:line="480" w:lineRule="auto"/>
        <w:rPr>
          <w:rFonts w:cs="Times New Roman"/>
        </w:rPr>
      </w:pPr>
      <w:r>
        <w:rPr>
          <w:rFonts w:cs="Times New Roman"/>
        </w:rPr>
        <w:t>T</w:t>
      </w:r>
      <w:r w:rsidRPr="003E5D78">
        <w:rPr>
          <w:rFonts w:cs="Times New Roman"/>
        </w:rPr>
        <w:t>he constancy of δ</w:t>
      </w:r>
      <w:r w:rsidRPr="003E5D78">
        <w:rPr>
          <w:rFonts w:cs="Times New Roman"/>
          <w:vertAlign w:val="superscript"/>
        </w:rPr>
        <w:t>11</w:t>
      </w:r>
      <w:r w:rsidRPr="003E5D78">
        <w:rPr>
          <w:rFonts w:cs="Times New Roman"/>
        </w:rPr>
        <w:t>B</w:t>
      </w:r>
      <w:r w:rsidRPr="003E5D78">
        <w:rPr>
          <w:rFonts w:cs="Times New Roman"/>
          <w:vertAlign w:val="subscript"/>
        </w:rPr>
        <w:t>Tur</w:t>
      </w:r>
      <w:r w:rsidRPr="003E5D78">
        <w:rPr>
          <w:rFonts w:cs="Times New Roman"/>
        </w:rPr>
        <w:t xml:space="preserve"> values across the Main dike could reflect an equilibrium distribution of boron’s isotopes between tourmaline and granitic melt</w:t>
      </w:r>
      <w:r>
        <w:rPr>
          <w:rFonts w:cs="Times New Roman"/>
        </w:rPr>
        <w:t xml:space="preserve"> i</w:t>
      </w:r>
      <w:r w:rsidRPr="003E5D78">
        <w:rPr>
          <w:rFonts w:cs="Times New Roman"/>
        </w:rPr>
        <w:t>f Δ</w:t>
      </w:r>
      <w:r w:rsidRPr="003E5D78">
        <w:rPr>
          <w:rFonts w:cs="Times New Roman"/>
          <w:vertAlign w:val="superscript"/>
        </w:rPr>
        <w:t>11</w:t>
      </w:r>
      <w:r w:rsidRPr="003E5D78">
        <w:rPr>
          <w:rFonts w:cs="Times New Roman"/>
        </w:rPr>
        <w:t>B</w:t>
      </w:r>
      <w:r w:rsidRPr="003E5D78">
        <w:rPr>
          <w:rFonts w:cs="Times New Roman"/>
          <w:vertAlign w:val="subscript"/>
        </w:rPr>
        <w:t>Tur-melt</w:t>
      </w:r>
      <w:r w:rsidRPr="003E5D78">
        <w:rPr>
          <w:rFonts w:cs="Times New Roman"/>
        </w:rPr>
        <w:t xml:space="preserve"> is zero</w:t>
      </w:r>
      <w:r>
        <w:rPr>
          <w:rFonts w:cs="Times New Roman"/>
        </w:rPr>
        <w:t xml:space="preserve">. </w:t>
      </w:r>
      <w:r w:rsidRPr="003E5D78">
        <w:rPr>
          <w:rFonts w:cs="Times New Roman"/>
        </w:rPr>
        <w:t>However, there is reason to believe that Δ</w:t>
      </w:r>
      <w:r w:rsidRPr="003E5D78">
        <w:rPr>
          <w:rFonts w:cs="Times New Roman"/>
          <w:vertAlign w:val="superscript"/>
        </w:rPr>
        <w:t>11</w:t>
      </w:r>
      <w:r w:rsidRPr="003E5D78">
        <w:rPr>
          <w:rFonts w:cs="Times New Roman"/>
        </w:rPr>
        <w:t>B</w:t>
      </w:r>
      <w:r w:rsidRPr="003E5D78">
        <w:rPr>
          <w:rFonts w:cs="Times New Roman"/>
          <w:vertAlign w:val="subscript"/>
        </w:rPr>
        <w:t>Tur-melt</w:t>
      </w:r>
      <w:r w:rsidRPr="003E5D78">
        <w:rPr>
          <w:rFonts w:cs="Times New Roman"/>
        </w:rPr>
        <w:t xml:space="preserve"> should be non-zero and </w:t>
      </w:r>
      <w:r w:rsidRPr="003E5D78">
        <w:rPr>
          <w:rFonts w:cs="Times New Roman"/>
        </w:rPr>
        <w:lastRenderedPageBreak/>
        <w:t>positive. The value for Δ</w:t>
      </w:r>
      <w:r w:rsidRPr="003E5D78">
        <w:rPr>
          <w:rFonts w:cs="Times New Roman"/>
          <w:vertAlign w:val="superscript"/>
        </w:rPr>
        <w:t>11</w:t>
      </w:r>
      <w:r w:rsidRPr="003E5D78">
        <w:rPr>
          <w:rFonts w:cs="Times New Roman"/>
        </w:rPr>
        <w:t>B</w:t>
      </w:r>
      <w:r w:rsidRPr="003E5D78">
        <w:rPr>
          <w:rFonts w:cs="Times New Roman"/>
          <w:vertAlign w:val="subscript"/>
        </w:rPr>
        <w:t>Tur-melt</w:t>
      </w:r>
      <w:r w:rsidRPr="003E5D78">
        <w:rPr>
          <w:rFonts w:cs="Times New Roman"/>
        </w:rPr>
        <w:t xml:space="preserve"> is positive (~ +12‰) when calculated using values for Δ</w:t>
      </w:r>
      <w:r w:rsidRPr="003E5D78">
        <w:rPr>
          <w:rFonts w:cs="Times New Roman"/>
          <w:vertAlign w:val="superscript"/>
        </w:rPr>
        <w:t>11</w:t>
      </w:r>
      <w:r w:rsidRPr="003E5D78">
        <w:rPr>
          <w:rFonts w:cs="Times New Roman"/>
        </w:rPr>
        <w:t>B</w:t>
      </w:r>
      <w:r w:rsidRPr="003E5D78">
        <w:rPr>
          <w:rFonts w:cs="Times New Roman"/>
          <w:vertAlign w:val="subscript"/>
        </w:rPr>
        <w:t>Melt-vapor</w:t>
      </w:r>
      <w:r>
        <w:rPr>
          <w:rFonts w:cs="Times New Roman"/>
          <w:vertAlign w:val="subscript"/>
        </w:rPr>
        <w:t xml:space="preserve"> </w:t>
      </w:r>
      <w:r>
        <w:rPr>
          <w:rFonts w:cs="Times New Roman"/>
        </w:rPr>
        <w:t>(Hervig et al. 2002)</w:t>
      </w:r>
      <w:r w:rsidRPr="003E5D78">
        <w:rPr>
          <w:rFonts w:cs="Times New Roman"/>
        </w:rPr>
        <w:t>, which are significantly negative at pegmatite-forming temperatures (e.g. 450°C), and Δ</w:t>
      </w:r>
      <w:r w:rsidRPr="003E5D78">
        <w:rPr>
          <w:rFonts w:cs="Times New Roman"/>
          <w:vertAlign w:val="superscript"/>
        </w:rPr>
        <w:t>11</w:t>
      </w:r>
      <w:r w:rsidRPr="003E5D78">
        <w:rPr>
          <w:rFonts w:cs="Times New Roman"/>
        </w:rPr>
        <w:t>B</w:t>
      </w:r>
      <w:r w:rsidRPr="003E5D78">
        <w:rPr>
          <w:rFonts w:cs="Times New Roman"/>
          <w:vertAlign w:val="subscript"/>
        </w:rPr>
        <w:t>Tur-vapor</w:t>
      </w:r>
      <w:r>
        <w:rPr>
          <w:rFonts w:cs="Times New Roman"/>
          <w:vertAlign w:val="subscript"/>
        </w:rPr>
        <w:t xml:space="preserve"> </w:t>
      </w:r>
      <w:r>
        <w:rPr>
          <w:rFonts w:cs="Times New Roman"/>
        </w:rPr>
        <w:t>(Palmer et al. 1992, Meyer et al. 2008)</w:t>
      </w:r>
      <w:r w:rsidRPr="003E5D78">
        <w:rPr>
          <w:rFonts w:cs="Times New Roman"/>
        </w:rPr>
        <w:t xml:space="preserve">. Therefore, </w:t>
      </w:r>
      <w:r>
        <w:rPr>
          <w:rFonts w:cs="Times New Roman"/>
        </w:rPr>
        <w:t xml:space="preserve">it is unlikely that </w:t>
      </w:r>
      <w:r w:rsidRPr="003E5D78">
        <w:rPr>
          <w:rFonts w:cs="Times New Roman"/>
        </w:rPr>
        <w:t>the flat profile of δ</w:t>
      </w:r>
      <w:r w:rsidRPr="003E5D78">
        <w:rPr>
          <w:rFonts w:cs="Times New Roman"/>
          <w:vertAlign w:val="superscript"/>
        </w:rPr>
        <w:t>11</w:t>
      </w:r>
      <w:r w:rsidRPr="003E5D78">
        <w:rPr>
          <w:rFonts w:cs="Times New Roman"/>
        </w:rPr>
        <w:t>B</w:t>
      </w:r>
      <w:r w:rsidRPr="003E5D78">
        <w:rPr>
          <w:rFonts w:cs="Times New Roman"/>
          <w:vertAlign w:val="subscript"/>
        </w:rPr>
        <w:t>Tur</w:t>
      </w:r>
      <w:r w:rsidRPr="003E5D78">
        <w:rPr>
          <w:rFonts w:cs="Times New Roman"/>
        </w:rPr>
        <w:t xml:space="preserve"> values across the Main dike </w:t>
      </w:r>
      <w:r>
        <w:rPr>
          <w:rFonts w:cs="Times New Roman"/>
        </w:rPr>
        <w:t>reflects</w:t>
      </w:r>
      <w:r w:rsidRPr="003E5D78">
        <w:rPr>
          <w:rFonts w:cs="Times New Roman"/>
        </w:rPr>
        <w:t xml:space="preserve"> an </w:t>
      </w:r>
      <w:r w:rsidRPr="007870C3">
        <w:rPr>
          <w:rFonts w:cs="Times New Roman"/>
        </w:rPr>
        <w:t>equilibrium</w:t>
      </w:r>
      <w:r w:rsidRPr="003E5D78">
        <w:rPr>
          <w:rFonts w:cs="Times New Roman"/>
        </w:rPr>
        <w:t xml:space="preserve"> distribution of boron’s isotopes between tourmaline and granitic melt. Even so, uncertainties related to Δ</w:t>
      </w:r>
      <w:r w:rsidRPr="003E5D78">
        <w:rPr>
          <w:rFonts w:cs="Times New Roman"/>
          <w:vertAlign w:val="superscript"/>
        </w:rPr>
        <w:t>11</w:t>
      </w:r>
      <w:r w:rsidRPr="003E5D78">
        <w:rPr>
          <w:rFonts w:cs="Times New Roman"/>
        </w:rPr>
        <w:t>B</w:t>
      </w:r>
      <w:r w:rsidRPr="003E5D78">
        <w:rPr>
          <w:rFonts w:cs="Times New Roman"/>
          <w:vertAlign w:val="subscript"/>
        </w:rPr>
        <w:t>Tur-melt</w:t>
      </w:r>
      <w:r w:rsidRPr="003E5D78">
        <w:rPr>
          <w:rFonts w:cs="Times New Roman"/>
        </w:rPr>
        <w:t xml:space="preserve"> and Δ</w:t>
      </w:r>
      <w:r w:rsidRPr="003E5D78">
        <w:rPr>
          <w:rFonts w:cs="Times New Roman"/>
          <w:vertAlign w:val="superscript"/>
        </w:rPr>
        <w:t>11</w:t>
      </w:r>
      <w:r w:rsidRPr="003E5D78">
        <w:rPr>
          <w:rFonts w:cs="Times New Roman"/>
        </w:rPr>
        <w:t>B</w:t>
      </w:r>
      <w:r w:rsidRPr="003E5D78">
        <w:rPr>
          <w:rFonts w:cs="Times New Roman"/>
          <w:vertAlign w:val="subscript"/>
        </w:rPr>
        <w:t>Melt-vapor</w:t>
      </w:r>
      <w:r w:rsidRPr="003E5D78">
        <w:rPr>
          <w:rFonts w:cs="Times New Roman"/>
        </w:rPr>
        <w:t xml:space="preserve"> preclude using the δ</w:t>
      </w:r>
      <w:r w:rsidRPr="003E5D78">
        <w:rPr>
          <w:rFonts w:cs="Times New Roman"/>
          <w:vertAlign w:val="superscript"/>
        </w:rPr>
        <w:t>11</w:t>
      </w:r>
      <w:r w:rsidRPr="003E5D78">
        <w:rPr>
          <w:rFonts w:cs="Times New Roman"/>
        </w:rPr>
        <w:t>B of tourmaline to assess equilibrium conditions in pegmatites. Moreover, a decrease in the δ</w:t>
      </w:r>
      <w:r w:rsidRPr="003E5D78">
        <w:rPr>
          <w:rFonts w:cs="Times New Roman"/>
          <w:vertAlign w:val="superscript"/>
        </w:rPr>
        <w:t>11</w:t>
      </w:r>
      <w:r w:rsidRPr="003E5D78">
        <w:rPr>
          <w:rFonts w:cs="Times New Roman"/>
        </w:rPr>
        <w:t xml:space="preserve">B of tourmaline from core to rim could reflect a faster diffusivity of </w:t>
      </w:r>
      <w:r w:rsidRPr="003E5D78">
        <w:rPr>
          <w:rFonts w:cs="Times New Roman"/>
          <w:vertAlign w:val="superscript"/>
        </w:rPr>
        <w:t>10</w:t>
      </w:r>
      <w:r w:rsidRPr="003E5D78">
        <w:rPr>
          <w:rFonts w:cs="Times New Roman"/>
        </w:rPr>
        <w:t xml:space="preserve">B compared to </w:t>
      </w:r>
      <w:r w:rsidRPr="003E5D78">
        <w:rPr>
          <w:rFonts w:cs="Times New Roman"/>
          <w:vertAlign w:val="superscript"/>
        </w:rPr>
        <w:t>11</w:t>
      </w:r>
      <w:r w:rsidRPr="003E5D78">
        <w:rPr>
          <w:rFonts w:cs="Times New Roman"/>
        </w:rPr>
        <w:t>B and not to a positive value for Δ</w:t>
      </w:r>
      <w:r w:rsidRPr="003E5D78">
        <w:rPr>
          <w:rFonts w:cs="Times New Roman"/>
          <w:vertAlign w:val="superscript"/>
        </w:rPr>
        <w:t>11</w:t>
      </w:r>
      <w:r w:rsidRPr="003E5D78">
        <w:rPr>
          <w:rFonts w:cs="Times New Roman"/>
        </w:rPr>
        <w:t>B</w:t>
      </w:r>
      <w:r w:rsidRPr="003E5D78">
        <w:rPr>
          <w:rFonts w:cs="Times New Roman"/>
          <w:vertAlign w:val="subscript"/>
        </w:rPr>
        <w:t>Tur-melt</w:t>
      </w:r>
      <w:r>
        <w:rPr>
          <w:rFonts w:cs="Times New Roman"/>
          <w:vertAlign w:val="subscript"/>
        </w:rPr>
        <w:t xml:space="preserve"> </w:t>
      </w:r>
      <w:r w:rsidRPr="002173B2">
        <w:rPr>
          <w:rFonts w:cs="Times New Roman"/>
        </w:rPr>
        <w:t>or</w:t>
      </w:r>
      <w:r>
        <w:rPr>
          <w:rFonts w:cs="Times New Roman"/>
        </w:rPr>
        <w:t xml:space="preserve"> to the partioning of </w:t>
      </w:r>
      <w:r>
        <w:rPr>
          <w:rFonts w:cs="Times New Roman"/>
          <w:vertAlign w:val="superscript"/>
        </w:rPr>
        <w:t>11</w:t>
      </w:r>
      <w:r>
        <w:rPr>
          <w:rFonts w:cs="Times New Roman"/>
        </w:rPr>
        <w:t xml:space="preserve">B to an aqueous solution from melt, </w:t>
      </w:r>
      <w:r w:rsidRPr="003E5D78">
        <w:rPr>
          <w:rFonts w:cs="Times New Roman"/>
        </w:rPr>
        <w:t xml:space="preserve">if </w:t>
      </w:r>
      <w:r w:rsidRPr="003E5D78">
        <w:rPr>
          <w:rFonts w:cs="Times New Roman"/>
          <w:vertAlign w:val="superscript"/>
        </w:rPr>
        <w:t>10</w:t>
      </w:r>
      <w:r w:rsidRPr="003E5D78">
        <w:rPr>
          <w:rFonts w:cs="Times New Roman"/>
        </w:rPr>
        <w:t xml:space="preserve">B and </w:t>
      </w:r>
      <w:r w:rsidRPr="003E5D78">
        <w:rPr>
          <w:rFonts w:cs="Times New Roman"/>
          <w:vertAlign w:val="superscript"/>
        </w:rPr>
        <w:t>11</w:t>
      </w:r>
      <w:r w:rsidRPr="003E5D78">
        <w:rPr>
          <w:rFonts w:cs="Times New Roman"/>
        </w:rPr>
        <w:t>B diffuse at different rates</w:t>
      </w:r>
      <w:r>
        <w:rPr>
          <w:rFonts w:cs="Times New Roman"/>
        </w:rPr>
        <w:t xml:space="preserve">, and </w:t>
      </w:r>
      <w:r>
        <w:rPr>
          <w:rFonts w:cs="Times New Roman"/>
          <w:vertAlign w:val="superscript"/>
        </w:rPr>
        <w:t>10</w:t>
      </w:r>
      <w:r>
        <w:rPr>
          <w:rFonts w:cs="Times New Roman"/>
        </w:rPr>
        <w:t xml:space="preserve">B is faster than </w:t>
      </w:r>
      <w:r>
        <w:rPr>
          <w:rFonts w:cs="Times New Roman"/>
          <w:vertAlign w:val="superscript"/>
        </w:rPr>
        <w:t>11</w:t>
      </w:r>
      <w:r>
        <w:rPr>
          <w:rFonts w:cs="Times New Roman"/>
        </w:rPr>
        <w:t>B.</w:t>
      </w:r>
    </w:p>
    <w:p w:rsidR="005D1BDD" w:rsidRDefault="005D1BDD" w:rsidP="005D1BDD">
      <w:pPr>
        <w:spacing w:after="0" w:line="480" w:lineRule="auto"/>
        <w:ind w:firstLine="720"/>
        <w:rPr>
          <w:rFonts w:cs="Times New Roman"/>
        </w:rPr>
      </w:pPr>
      <w:r w:rsidRPr="003E5D78">
        <w:rPr>
          <w:rFonts w:cs="Times New Roman"/>
        </w:rPr>
        <w:t>It is likely that the flat profile of δ</w:t>
      </w:r>
      <w:r w:rsidRPr="003E5D78">
        <w:rPr>
          <w:rFonts w:cs="Times New Roman"/>
          <w:vertAlign w:val="superscript"/>
        </w:rPr>
        <w:t>11</w:t>
      </w:r>
      <w:r w:rsidRPr="003E5D78">
        <w:rPr>
          <w:rFonts w:cs="Times New Roman"/>
        </w:rPr>
        <w:t>B</w:t>
      </w:r>
      <w:r w:rsidRPr="003E5D78">
        <w:rPr>
          <w:rFonts w:cs="Times New Roman"/>
          <w:vertAlign w:val="subscript"/>
        </w:rPr>
        <w:t xml:space="preserve">Tur </w:t>
      </w:r>
      <w:r w:rsidRPr="003E5D78">
        <w:rPr>
          <w:rFonts w:cs="Times New Roman"/>
        </w:rPr>
        <w:t>values reflects the bulk composition of the melt due to the slower rate of diffusion of B in hydrous granitic melt compared to the rapid rate of crystallization of the pegmatite. A comparison of the modeled cooling rate of the pegmatite with the diffusivity of B in hydrous, granitic melt reveals that the pegmatite crystallized much faster than B could have diffused through melt. Based in part on the boron isotopic composition of the pegmatites, it is likely that the source of the pegmatite-forming melt was altered oceanic crust.</w:t>
      </w:r>
    </w:p>
    <w:p w:rsidR="00006FA3" w:rsidRPr="003E5D78" w:rsidRDefault="00006FA3" w:rsidP="00006FA3">
      <w:pPr>
        <w:spacing w:after="0" w:line="480" w:lineRule="auto"/>
        <w:ind w:firstLine="720"/>
        <w:rPr>
          <w:rFonts w:cs="Times New Roman"/>
        </w:rPr>
      </w:pPr>
      <w:r w:rsidRPr="003E5D78">
        <w:rPr>
          <w:rFonts w:cs="Times New Roman"/>
        </w:rPr>
        <w:t>The δ</w:t>
      </w:r>
      <w:r w:rsidRPr="003E5D78">
        <w:rPr>
          <w:rFonts w:cs="Times New Roman"/>
          <w:vertAlign w:val="superscript"/>
        </w:rPr>
        <w:t>11</w:t>
      </w:r>
      <w:r w:rsidRPr="003E5D78">
        <w:rPr>
          <w:rFonts w:cs="Times New Roman"/>
        </w:rPr>
        <w:t>B of tourmaline increases from coarse pegmatite into miarolitic cavity where other B-bearing minerals, whose B is in 4-fold structural coordination, occur with tourmaline in the miarolitic cavity. In miarolitic cavities where tourmaline is the sole, or dominant, host of B, the δ</w:t>
      </w:r>
      <w:r w:rsidRPr="003E5D78">
        <w:rPr>
          <w:rFonts w:cs="Times New Roman"/>
          <w:vertAlign w:val="superscript"/>
        </w:rPr>
        <w:t>11</w:t>
      </w:r>
      <w:r w:rsidRPr="003E5D78">
        <w:rPr>
          <w:rFonts w:cs="Times New Roman"/>
        </w:rPr>
        <w:t xml:space="preserve">B of tourmaline does not change from coarse pegmatite into miarolitic cavity. </w:t>
      </w:r>
      <w:r>
        <w:rPr>
          <w:rFonts w:cs="Times New Roman"/>
        </w:rPr>
        <w:t xml:space="preserve">It would seem, therefore, that if miarolitic cavities represent </w:t>
      </w:r>
      <w:r>
        <w:rPr>
          <w:rFonts w:cs="Times New Roman"/>
        </w:rPr>
        <w:lastRenderedPageBreak/>
        <w:t xml:space="preserve">crystallization from an aqueous solution, then boron isotopic fractionation between granitic melt and aqueous solution should be nil (if equilibrium prevails). Experiments by Hervig et al. (2002) suggest that the fractionation of boron isotopes between granitic melt and aqueous solution is large, even at liquidus temperature. </w:t>
      </w:r>
    </w:p>
    <w:p w:rsidR="005D1BDD" w:rsidRPr="002173B2" w:rsidRDefault="005D1BDD" w:rsidP="005D1BDD">
      <w:pPr>
        <w:spacing w:after="0" w:line="480" w:lineRule="auto"/>
        <w:ind w:firstLine="720"/>
        <w:rPr>
          <w:rFonts w:cs="Times New Roman"/>
        </w:rPr>
      </w:pPr>
      <w:r w:rsidRPr="003E5D78">
        <w:rPr>
          <w:rFonts w:cs="Times New Roman"/>
        </w:rPr>
        <w:t>The results from the study of</w:t>
      </w:r>
      <w:r>
        <w:rPr>
          <w:rFonts w:cs="Times New Roman"/>
        </w:rPr>
        <w:t xml:space="preserve"> the Little Three pegmatites posed two questions. </w:t>
      </w:r>
      <w:r w:rsidRPr="003E5D78">
        <w:rPr>
          <w:rFonts w:cs="Times New Roman"/>
        </w:rPr>
        <w:t xml:space="preserve">Do </w:t>
      </w:r>
      <w:r w:rsidRPr="003E5D78">
        <w:rPr>
          <w:rFonts w:cs="Times New Roman"/>
          <w:vertAlign w:val="superscript"/>
        </w:rPr>
        <w:t>11</w:t>
      </w:r>
      <w:r w:rsidRPr="003E5D78">
        <w:rPr>
          <w:rFonts w:cs="Times New Roman"/>
        </w:rPr>
        <w:t xml:space="preserve">B and </w:t>
      </w:r>
      <w:r w:rsidRPr="003E5D78">
        <w:rPr>
          <w:rFonts w:cs="Times New Roman"/>
          <w:vertAlign w:val="superscript"/>
        </w:rPr>
        <w:t>10</w:t>
      </w:r>
      <w:r w:rsidRPr="003E5D78">
        <w:rPr>
          <w:rFonts w:cs="Times New Roman"/>
        </w:rPr>
        <w:t>B have different diffusion coefficients in hydrous granitic melt? What is the magnitude and direction of Δ</w:t>
      </w:r>
      <w:r w:rsidRPr="003E5D78">
        <w:rPr>
          <w:rFonts w:cs="Times New Roman"/>
          <w:vertAlign w:val="superscript"/>
        </w:rPr>
        <w:t>11</w:t>
      </w:r>
      <w:r w:rsidRPr="003E5D78">
        <w:rPr>
          <w:rFonts w:cs="Times New Roman"/>
        </w:rPr>
        <w:t>B</w:t>
      </w:r>
      <w:r w:rsidRPr="003E5D78">
        <w:rPr>
          <w:rFonts w:cs="Times New Roman"/>
          <w:vertAlign w:val="subscript"/>
        </w:rPr>
        <w:t>Tur-melt</w:t>
      </w:r>
      <w:r w:rsidRPr="003E5D78">
        <w:rPr>
          <w:rFonts w:cs="Times New Roman"/>
        </w:rPr>
        <w:t xml:space="preserve"> and Δ</w:t>
      </w:r>
      <w:r w:rsidRPr="003E5D78">
        <w:rPr>
          <w:rFonts w:cs="Times New Roman"/>
          <w:vertAlign w:val="superscript"/>
        </w:rPr>
        <w:t>11</w:t>
      </w:r>
      <w:r w:rsidRPr="003E5D78">
        <w:rPr>
          <w:rFonts w:cs="Times New Roman"/>
        </w:rPr>
        <w:t>B</w:t>
      </w:r>
      <w:r w:rsidRPr="003E5D78">
        <w:rPr>
          <w:rFonts w:cs="Times New Roman"/>
          <w:vertAlign w:val="subscript"/>
        </w:rPr>
        <w:t>Melt-vapor</w:t>
      </w:r>
      <w:r w:rsidRPr="003E5D78">
        <w:rPr>
          <w:rFonts w:cs="Times New Roman"/>
        </w:rPr>
        <w:t>?</w:t>
      </w:r>
      <w:r>
        <w:rPr>
          <w:rFonts w:cs="Times New Roman"/>
        </w:rPr>
        <w:t xml:space="preserve"> </w:t>
      </w:r>
    </w:p>
    <w:p w:rsidR="005D1BDD" w:rsidRPr="003E5D78" w:rsidRDefault="005D1BDD" w:rsidP="005D1BDD">
      <w:pPr>
        <w:spacing w:after="0" w:line="480" w:lineRule="auto"/>
        <w:rPr>
          <w:rFonts w:cs="Times New Roman"/>
        </w:rPr>
      </w:pPr>
      <w:r w:rsidRPr="00A2239E">
        <w:rPr>
          <w:rFonts w:cs="Times New Roman"/>
        </w:rPr>
        <w:tab/>
      </w:r>
      <w:r>
        <w:rPr>
          <w:rFonts w:cs="Times New Roman"/>
        </w:rPr>
        <w:t xml:space="preserve">In </w:t>
      </w:r>
      <w:r w:rsidRPr="003E5D78">
        <w:rPr>
          <w:rFonts w:cs="Times New Roman"/>
        </w:rPr>
        <w:t>Chapter 3</w:t>
      </w:r>
      <w:r>
        <w:rPr>
          <w:rFonts w:cs="Times New Roman"/>
        </w:rPr>
        <w:t>, I</w:t>
      </w:r>
      <w:r w:rsidRPr="003E5D78">
        <w:rPr>
          <w:rFonts w:cs="Times New Roman"/>
        </w:rPr>
        <w:t xml:space="preserve"> </w:t>
      </w:r>
      <w:r>
        <w:rPr>
          <w:rFonts w:cs="Times New Roman"/>
        </w:rPr>
        <w:t>report experimental data showing</w:t>
      </w:r>
      <w:r w:rsidRPr="003E5D78">
        <w:rPr>
          <w:rFonts w:cs="Times New Roman"/>
        </w:rPr>
        <w:t xml:space="preserve"> that </w:t>
      </w:r>
      <w:r w:rsidRPr="003E5D78">
        <w:rPr>
          <w:rFonts w:cs="Times New Roman"/>
          <w:vertAlign w:val="superscript"/>
        </w:rPr>
        <w:t>11</w:t>
      </w:r>
      <w:r w:rsidRPr="003E5D78">
        <w:rPr>
          <w:rFonts w:cs="Times New Roman"/>
        </w:rPr>
        <w:t xml:space="preserve">B diffuses at a slower rate compared to </w:t>
      </w:r>
      <w:r w:rsidRPr="003E5D78">
        <w:rPr>
          <w:rFonts w:cs="Times New Roman"/>
          <w:vertAlign w:val="superscript"/>
        </w:rPr>
        <w:t>10</w:t>
      </w:r>
      <w:r w:rsidRPr="003E5D78">
        <w:rPr>
          <w:rFonts w:cs="Times New Roman"/>
        </w:rPr>
        <w:t>B. Moreover, the data in Chapter 3 show that the diffusivity of B in hydrous granitic melt at 800°C is similar to Al. The diffusion data for B in hydrous granitic melt support the hypothesis that the δ</w:t>
      </w:r>
      <w:r w:rsidRPr="003E5D78">
        <w:rPr>
          <w:rFonts w:cs="Times New Roman"/>
          <w:vertAlign w:val="superscript"/>
        </w:rPr>
        <w:t>11</w:t>
      </w:r>
      <w:r w:rsidRPr="003E5D78">
        <w:rPr>
          <w:rFonts w:cs="Times New Roman"/>
        </w:rPr>
        <w:t>B of tourmaline from pegmatite dikes that crystallize rapidly cannot reflect an equilibrium composition with respect to melt. Nevertheless, the δ</w:t>
      </w:r>
      <w:r w:rsidRPr="003E5D78">
        <w:rPr>
          <w:rFonts w:cs="Times New Roman"/>
          <w:vertAlign w:val="superscript"/>
        </w:rPr>
        <w:t>11</w:t>
      </w:r>
      <w:r w:rsidRPr="003E5D78">
        <w:rPr>
          <w:rFonts w:cs="Times New Roman"/>
        </w:rPr>
        <w:t>B of tourmaline can still be used to identify potential source materials.</w:t>
      </w:r>
    </w:p>
    <w:p w:rsidR="005D1BDD" w:rsidRPr="003E5D78" w:rsidRDefault="005D1BDD" w:rsidP="005D1BDD">
      <w:pPr>
        <w:spacing w:line="480" w:lineRule="auto"/>
        <w:rPr>
          <w:rFonts w:cs="Times New Roman"/>
        </w:rPr>
      </w:pPr>
      <w:r w:rsidRPr="00A2239E">
        <w:rPr>
          <w:rFonts w:cs="Times New Roman"/>
        </w:rPr>
        <w:tab/>
      </w:r>
      <w:r w:rsidRPr="003E5D78">
        <w:rPr>
          <w:rFonts w:cs="Times New Roman"/>
        </w:rPr>
        <w:t xml:space="preserve">Chapter 4 reports data from experiments designed to measure the fractionation of </w:t>
      </w:r>
      <w:r w:rsidRPr="003E5D78">
        <w:rPr>
          <w:rFonts w:cs="Times New Roman"/>
          <w:vertAlign w:val="superscript"/>
        </w:rPr>
        <w:t>11</w:t>
      </w:r>
      <w:r w:rsidRPr="003E5D78">
        <w:rPr>
          <w:rFonts w:cs="Times New Roman"/>
        </w:rPr>
        <w:t xml:space="preserve">B and </w:t>
      </w:r>
      <w:r w:rsidRPr="003E5D78">
        <w:rPr>
          <w:rFonts w:cs="Times New Roman"/>
          <w:vertAlign w:val="superscript"/>
        </w:rPr>
        <w:t>10</w:t>
      </w:r>
      <w:r w:rsidRPr="003E5D78">
        <w:rPr>
          <w:rFonts w:cs="Times New Roman"/>
        </w:rPr>
        <w:t>B between granitic melt and aqueous solution. The fractionation of boron isotopes between granitic melt (Macusani obsidian) and aqueous fluid was first investigated by Hervig et al. (2002). In their study, they found significant fractionation between melt and aqueous solution</w:t>
      </w:r>
      <w:r>
        <w:rPr>
          <w:rFonts w:cs="Times New Roman"/>
        </w:rPr>
        <w:t xml:space="preserve"> at 750°C and 850°C (500 MPa)</w:t>
      </w:r>
      <w:r w:rsidRPr="003E5D78">
        <w:rPr>
          <w:rFonts w:cs="Times New Roman"/>
        </w:rPr>
        <w:t>. However, some studies have questioned the values reported by Hervig et al. (2002) based on similarities of δ</w:t>
      </w:r>
      <w:r w:rsidRPr="003E5D78">
        <w:rPr>
          <w:rFonts w:cs="Times New Roman"/>
          <w:vertAlign w:val="superscript"/>
        </w:rPr>
        <w:t>11</w:t>
      </w:r>
      <w:r w:rsidRPr="003E5D78">
        <w:rPr>
          <w:rFonts w:cs="Times New Roman"/>
        </w:rPr>
        <w:t>B</w:t>
      </w:r>
      <w:r w:rsidRPr="003E5D78">
        <w:rPr>
          <w:rFonts w:cs="Times New Roman"/>
          <w:vertAlign w:val="subscript"/>
        </w:rPr>
        <w:t>Tur</w:t>
      </w:r>
      <w:r w:rsidRPr="003E5D78">
        <w:rPr>
          <w:rFonts w:cs="Times New Roman"/>
        </w:rPr>
        <w:t xml:space="preserve"> values in associated magmatic and vapor-saturated environments (e.g. miarolitic pegmatites and veins emanating from granitic plutons</w:t>
      </w:r>
      <w:r>
        <w:rPr>
          <w:rFonts w:cs="Times New Roman"/>
        </w:rPr>
        <w:t xml:space="preserve"> </w:t>
      </w:r>
      <w:r w:rsidR="00F25D4E">
        <w:rPr>
          <w:rFonts w:cs="Times New Roman"/>
        </w:rPr>
        <w:fldChar w:fldCharType="begin" w:fldLock="1"/>
      </w:r>
      <w:r w:rsidR="00F25D4E">
        <w:rPr>
          <w:rFonts w:cs="Times New Roman"/>
        </w:rPr>
        <w:instrText>ADDIN CSL_CITATION { "citationItems" : [ { "id" : "ITEM-1", "itemData" : { "DOI" : "10.1016/0016-7037(96)00007-5", "ISBN" : "0016-7037", "ISSN" : "00167037", "abstract" : "The boron isotopic composition (??11B) and chemistry of tourmalines from a series of sites in the western southwest England orefield has been determined using ion microprobe and electron microprobe techniques, respectively. The range of ??11B values determined is relatively wide (+0.6 to -12.7%o) and falls at the lighter end of the range for typical continental crust. Within this range granite tourmalines show a depletion in 11B from coarse grained early magmatic examples to fine-grained late magmatic tourmaline. We attribute this to fractionation of boron isotopes between aqueous and melt species during the exsolution of an aqueous fluid phase from the magma. The aqueous phase formed by degassing of the magma is considered to have crystallised to form the tourmalinites and quartz-topaz-tourmaline rocks common throughout the area. Decreases in the ??11B values occur within certain zones of individual tourmaline crystals from these rocks. This is ascribed to loss of 11B in the vapour phase during boiling caused by decompression of the aqueous fluid on fracturing. The calculated boron isotope composition of fluids in equilibrium with tourmalines from the Cligga Head greisen bordered vein system agrees closely with that calculated for the tourmalinite fluid and suggests a constant, granite-derived source of boron during the early hydrothermal evolution of the stock. The lack of isotopic zoning within the tourmalines from the Cligga Head hydrothermal veins suggests that phase separation did not occur or was very limited during hydrothermal circulation in the vein system.", "author" : [ { "dropping-particle" : "", "family" : "Smith", "given" : "M. P.", "non-dropping-particle" : "", "parse-names" : false, "suffix" : "" }, { "dropping-particle" : "", "family" : "Yardley", "given" : "B. W D", "non-dropping-particle" : "", "parse-names" : false, "suffix" : "" } ], "container-title" : "Geochimica et Cosmochimica Acta", "id" : "ITEM-1", "issue" : "8", "issued" : { "date-parts" : [ [ "1996" ] ] }, "page" : "1415-1427", "title" : "The boron isotopic composition of tourmaline as a guide to fluid processes in the southwestern England orefield: An ion microprobe study", "type" : "article-journal", "volume" : "60" }, "uris" : [ "http://www.mendeley.com/documents/?uuid=c83fe0d7-5670-4006-a539-846bf6d3cc59" ] }, { "id" : "ITEM-2", "itemData" : { "ISBN" : "0935-1221", "ISSN" : "09351221", "author" : [ { "dropping-particle" : "", "family" : "Jiang", "given" : "Shao-Yong", "non-dropping-particle" : "", "parse-names" : false, "suffix" : "" }, { "dropping-particle" : "", "family" : "Palmer", "given" : "Martin R.", "non-dropping-particle" : "", "parse-names" : false, "suffix" : "" } ], "container-title" : "European journal of Mineralogy", "id" : "ITEM-2", "issued" : { "date-parts" : [ [ "1998" ] ] }, "page" : "1253-1265", "title" : "Boron isotope systematics of tourmaline from granites and pegmatites; a synthesis", "type" : "article-journal", "volume" : "10" }, "uris" : [ "http://www.mendeley.com/documents/?uuid=a4aaef1e-3834-4df8-9846-3b3cd66bb1e4" ] }, { "id" : "ITEM-3", "itemData" : { "ISBN" : "0935-1221", "ISSN" : "09351221", "abstract" : "Baron isotopic compositions are found to be nearly uniform within progressive growth sectors of three zoned tourmaline samples, each from a different miarolitic pegmatite on Elba Island. Chemistry (schorl to elbaite) and textures of these samples indicate that they formed from an evolving medium that varied from melt, through melt + vapor, to vapor only assemblages (here designated simply as \"melt/fluid\") with decreasing temperature (ca. 650-300 degrees C). Closed-system crystallization conditions are inferred in two cases whereas, in one case, late fracturing and open-system conditions resulted in development of fibrous schorl overgrowths. The negligible variation in tourmaline isotopic composition (delta(11)B from -9.6 to -8.5 parts per thousand) is tentatively explained in two different ways. In the first case, the isotopic fractionation factor between tourmaline and either fluid-unsaturated melt, fluid-saturated melt, or aqueous fluids is near-constant near Delta(fluid-tour) = 0 (i.e., no isotopic fractionation occurs). In the second case, \"melt/fluid\" composition was increasingly enriched in B-11 due to increasing \"melt/fluid\"-tourmaline isotopic fractionation as temperature dropped. The latter scenario is more consistent with the few presently available experimental data on tourmaline-fluid isotopic fractionation at high temperatures, and implies that evolving magmatic fluids will be relatively enriched in B-11 compared to associated crystalline assemblages.", "author" : [ { "dropping-particle" : "", "family" : "Tonarini", "given" : "Sonia", "non-dropping-particle" : "", "parse-names" : false, "suffix" : "" }, { "dropping-particle" : "", "family" : "Dini", "given" : "A", "non-dropping-particle" : "", "parse-names" : false, "suffix" : "" }, { "dropping-particle" : "", "family" : "Pezzotta", "given" : "Federico", "non-dropping-particle" : "", "parse-names" : false, "suffix" : "" }, { "dropping-particle" : "", "family" : "Leeman", "given" : "William P", "non-dropping-particle" : "", "parse-names" : false, "suffix" : "" } ], "container-title" : "European Journal Of Mineralogy", "id" : "ITEM-3", "issue" : "5", "issued" : { "date-parts" : [ [ "1998" ] ] }, "page" : "941-951", "title" : "Boron isotopic composition of zoned (schorl-elbaite) tourmalines, Mt. Capanne Li-Cs pegmatites, Elba (Italy)", "type" : "article-journal", "volume" : "10" }, "uris" : [ "http://www.mendeley.com/documents/?uuid=fa8ed009-9b16-4d69-9a79-2e39519f39a0" ] }, { "id" : "ITEM-4", "itemData" : { "DOI" : "10.1016/S0009-2541(98)00155-7", "ISSN" : "00092541", "abstract" : "The Archean Sinceni granite is a geologically and geochemically well-studied example of the transition from granite to pegmatite, with subsequent development of hydrothermal alteration in metatonalite wallrocks. Tourmaline occurs in all settings of this system, from the granite to the pegmatites and in the hydrothermal rocks. The chemical and B-isotopic composition of tourmalines was studied by electron- and ion microprobe to understand how tourmaline composition varies during the stages of magmatic to hydrothermal development. The chemical composition of tourmaline from each rock type (granite, pegmatite, hydrothermal vein in metatonalite) is distinctive. In terms of their Na/Na + Ca and Fe/Fe + Mg ratios, the tourmalines correlate with the whole-rock ratios of the corresponding host rock. Tourmalines from the pegmatites show significantly higher Al contents than those from the parental granite, and a correspondingly greater degree of alkali-site vacancies (ca. 30% in pegmatite, 15-20% in granite). Tourmalines in granite have a narrow range of isotopic composition (??11B, mean -15.7???, ?? = 1.3), which is considered to approximate the composition of the magma from which they crystallized. Tourmalines from aplitic zones in pegmatite have the same range of boron isotopic composition as the granite (mean -15.2???, ?? = 1.7). In contrast, tourmaline from a coarse, zoned pegmatite and hydrothermal tourmalines are isotopically lighter (??11B values of -16.6 to -23.0???). These differences are consistent with a model of isotopic fractionation due to fluid exsolution. Tourmaline-fluid fractionation factors allow us to estimate that the exsolved fluid had a ??11B composition of about -13???. The B-isotopic compositions of hydrothermal tourmalines are consistent with formation from this fluid at temperatures of 350 to 500??C, which are in line with temperatures from fluid inclusion microthermometry.", "author" : [ { "dropping-particle" : "", "family" : "Trumbull", "given" : "Robert B.", "non-dropping-particle" : "", "parse-names" : false, "suffix" : "" }, { "dropping-particle" : "", "family" : "Chaussidon", "given" : "Marc", "non-dropping-particle" : "", "parse-names" : false, "suffix" : "" } ], "container-title" : "Chemical Geology", "id" : "ITEM-4", "issue" : "1-4", "issued" : { "date-parts" : [ [ "1999" ] ] }, "page" : "125-137", "title" : "Chemical and boron isotopic composition of magmatic and hydrothermal tourmalines from the Sinceni granite-pegmatite system in Swaziland", "type" : "article-journal", "volume" : "153" }, "uris" : [ "http://www.mendeley.com/documents/?uuid=abb5d9e1-98bd-4b37-a28c-1376eb5cb0ac" ] }, { "id" : "ITEM-5", "itemData" : { "DOI" : "10.2343/geochemj.37.545", "ISBN" : "0016-7002", "ISSN" : "00167002", "abstract" : "Abundant tourmaline occurs in the Lavicky leucogranite, Czech Republic as spherical to ovoid quartz-tourmaline orbicules, typically 5 to 7 cm in diameter. The tourmalines also occur as fine-grained quartz-tourmaline veins (&lt;1 cm thick) that cut the orbicule-rich granite. Electron microprobe analyses reveal that tourmaline from the quartz-tourmaline orbicules is Fe-rich schorl with a range of Fe/(Fe+Mg) ratio 0.62 to 0.77 and Na/(Na+Ca) ratio 0.82 to 0.95. In contrast, tourmaline from quartz-tourmaline veins is Mg-rich dravite with a range of Fe/(Fe+Mg) ratio 0.23 to 0.45 and Na/(Na+Ca) ratio 0.67 to 0.90. Very low ?11B values of -37.3 to -32.1? are found in the tourmalines from the orbicules, whereas tourmalines from the veins display relatively higher ?11B values of -28.2 to -21.3?. The overall large ?11B variation is suggested to reflect mixing of different boron sources and boron isotope fractionation during magmatic degassing and magmatic-hydrothermal evolution at late solidus to early subsolidus stages of granite crystallization. Only non-marine evaporites show very negative ?11B values (&lt;-20?) in all natural boron reservoirs, hence, the very low ?11B values of the quartz-tourmaline orbicules likely indicate a major contribution of boron from non-marine evaporites that probably exist in the magma source regions or assimilated into the magma during its ascent. Quartz-tourmaline orbicules may have formed during a transition from magmatic to hydrothermal processes, whereas the vein tourmalines formed by mixing of the exsolved magmatic-hydrothermal fluids with an external fluid rich in Ca and Mg and having higher ?11B than the exsolved magmatic fluids", "author" : [ { "dropping-particle" : "", "family" : "Jiang", "given" : "Shao Yong", "non-dropping-particle" : "", "parse-names" : false, "suffix" : "" }, { "dropping-particle" : "", "family" : "Yang", "given" : "Jing Hong", "non-dropping-particle" : "", "parse-names" : false, "suffix" : "" }, { "dropping-particle" : "", "family" : "Nov\u00e1k", "given" : "Milan", "non-dropping-particle" : "", "parse-names" : false, "suffix" : "" }, { "dropping-particle" : "", "family" : "Selway", "given" : "Julie", "non-dropping-particle" : "", "parse-names" : false, "suffix" : "" } ], "container-title" : "Geochemical Journal", "id" : "ITEM-5", "issue" : "5", "issued" : { "date-parts" : [ [ "2003" ] ] }, "page" : "545-556", "title" : "Chemical and boron isotopic compositions of tourmaline from the Lavicky leucogranite, Czech Republic", "type" : "article-journal", "volume" : "37" }, "uris" : [ "http://www.mendeley.com/documents/?uuid=85a19234-5864-41de-bc0c-2e865d38a23d" ] }, { "id" : "ITEM-6", "itemData" : { "DOI" : "10.1093/petrology/egi009", "ISBN" : "0022-3530", "ISSN" : "00223530", "abstract" : "Tourmaline in the Martinamor antiform occurs in tourmalinites (rocks with &gt;15\u201320% tourmaline by volume), clastic metasedimentary rocks of the Upper Proterozoic Monterrubio formation, quartz veins, pre-Variscan orthogneisses and Variscan granitic rocks. Petrographic observations, back-scattered electron (BSE) images, and microprobe data document a multistaged development of tourmaline. Overall, variations in the Mg/(Mg + Fe) ratios decrease from tourmalinites (0\u00b736\u20130\u00b775), through veins (0\u00b738\u20130\u00b766) to granitic rocks (0\u00b723\u20130\u00b746), whereas Al increases in the same order from 5\u00b784\u20136\u00b765 to 6\u00b722\u20136\u00b788\u2009apfu. The incorporation of Al into tourmaline is consistent with combinations of x\u03c7Al(NaR)\u22121 and AlO(R(OH))\u22121 exchange vectors, where x\u03c7 represents X-site vacancy and R is (Mg + Fe2+ + Mn). Variations in x\u03c7/(x\u03c7 + Na) ratios are similar in all the types of tourmaline occurrences, from 0\u00b710 to 0\u00b753, with low Ca-contents (mostly &lt;0\u00b710\u2009apfu). Based on field and textural criteria, two groups of tourmaline-rich rocks are distinguished: (1) pre-Variscan tourmalinites (probably Cadomian), affected by both deformation and regional metamorphism during the Variscan orogeny; (2) tourmalinites related to the synkinematic granitic complex of Martinamor. Textural and geochemical data are consistent with a psammopelitic parentage for the protolith of the tourmalinites. Boron isotope analyses of tourmaline have a total range of \u03b411B values from \u221215\u00b76 to 6\u00b78\u2030; the lowest corresponding to granitic tourmalines (\u221215\u00b76 to \u221211\u00b77\u2030) and the highest to veins (1\u00b79 to 6\u00b78\u2030). Tourmalines from tourmalinites have intermediate \u03b411B values of \u22128\u00b70 to +2\u00b70\u2030. The observed variations in \u03b411B support an important crustal recycling of boron in the Martinamor area, in which pre-Variscan tourmalinites were remobilized by a combination of mechanical and chemical processes during Variscan deformation, metamorphism and anatexis, leading to the formation of multiple tourmaline-bearing veins and a new stage of boron metasomatism.", "author" : [ { "dropping-particle" : "", "family" : "Pesquera", "given" : "A.", "non-dropping-particle" : "", "parse-names" : false, "suffix" : "" }, { "dropping-particle" : "", "family" : "Torres-Ruiz", "given" : "J.", "non-dropping-particle" : "", "parse-names" : false, "suffix" : "" }, { "dropping-particle" : "", "family" : "Gil-Crespo", "given" : "P. P.", "non-dropping-particle" : "", "parse-names" : false, "suffix" : "" }, { "dropping-particle" : "", "family" : "Jiang", "given" : "S. Y.", "non-dropping-particle" : "", "parse-names" : false, "suffix" : "" } ], "container-title" : "Journal of Petrology", "id" : "ITEM-6", "issue" : "5", "issued" : { "date-parts" : [ [ "2005" ] ] }, "page" : "1013-1044", "title" : "Petrographic, chemical and B-isotopic insights into the origin of Tourmaline-Rich rocks and boron recycling in the Martinamor Antiform (Central Iberian Zone, Salamanca, Spain)", "type" : "article-journal", "volume" : "46" }, "uris" : [ "http://www.mendeley.com/documents/?uuid=317d8a1a-4ee7-4e72-9320-f45c51802e55" ] }, { "id" : "ITEM-7", "itemData" : { "DOI" : "10.1016/j.lithos.2008.04.004", "ISBN" : "00244937", "ISSN" : "00244937", "abstract" : "Multi-stage formation of tourmaline occurs in the Hnilec granite-related hydrothermal tin mineralisation system from the Western Carpathians, Slovakia. The tourmalines belong to the schorl-dravite series and have two major stages of formation: the majority crystallized during the first stage (defined as M-stage), forming zoned tourmaline crystals with the cores being generally more Fe, Al, and Mn rich than the rims. During the second stage (defined as L-stage), tourmaline formed as small veins or irregular patches along fractures and cracks in the M-stage tourmaline grains. In the contact metapelites near the granite body, the L-stage tourmalines are more Mg-rich and Fe, Al, Mn depleted than the M-stage tourmalines. In the granites, the L-stage tourmalines have generally similar compositions to those of the M-stage tourmaline rims. The boron isotopic compositions of the M-stage tourmalines vary from - 10.3??? to - 15.4???; with no clear variation between the cores and the rims, however, some of the tourmaline grains from the contact metapelites show a slightly higher ??11B in the cores than in the rims. The L-stage tourmalines have lower ??11B value of - 16.0??? to - 17.1???. We suggest that these trends reflect a changing fluid source from a dominant magmatic-hydrothermal fluid derived from the granites to a late-stage metamorphic fluid derived from the regional metamorphism (chlorite and biotite zone) in the metapelites. The significantly higher Fe3+ in the L-stage than the M-stage tourmalines reflect changing redox conditions towards a more oxidising environment. This redox condition change may have important implications for the hydrothermal tin mineralisation in the area. ?? 2008 Elsevier B.V. All rights reserved.", "author" : [ { "dropping-particle" : "", "family" : "Jiang", "given" : "Shao Yong", "non-dropping-particle" : "", "parse-names" : false, "suffix" : "" }, { "dropping-particle" : "", "family" : "Radvanec", "given" : "Martin", "non-dropping-particle" : "", "parse-names" : false, "suffix" : "" }, { "dropping-particle" : "", "family" : "Nakamura", "given" : "Eizo", "non-dropping-particle" : "", "parse-names" : false, "suffix" : "" }, { "dropping-particle" : "", "family" : "Palmer", "given" : "Martin", "non-dropping-particle" : "", "parse-names" : false, "suffix" : "" }, { "dropping-particle" : "", "family" : "Kobayashi", "given" : "Katsura", "non-dropping-particle" : "", "parse-names" : false, "suffix" : "" }, { "dropping-particle" : "", "family" : "Zhao", "given" : "Hai Xiang", "non-dropping-particle" : "", "parse-names" : false, "suffix" : "" }, { "dropping-particle" : "", "family" : "Zhao", "given" : "Kui Dong", "non-dropping-particle" : "", "parse-names" : false, "suffix" : "" } ], "container-title" : "Lithos", "id" : "ITEM-7", "issue" : "1-2", "issued" : { "date-parts" : [ [ "2008" ] ] }, "page" : "1-11", "publisher" : "Elsevier B.V.", "title" : "Chemical and boron isotopic variations of tourmaline in the Hnilec granite-related hydrothermal system, Slovakia: Constraints on magmatic and metamorphic fluid evolution", "type" : "article-journal", "volume" : "106" }, "uris" : [ "http://www.mendeley.com/documents/?uuid=0d447733-304a-4304-b003-d87256d337bc" ] }, { "id" : "ITEM-8", "itemData" : { "DOI" : "10.1007/s00410-007-0227-3", "ISBN" : "0041000702273", "ISSN" : "00107999", "abstract" : "Tourmaline is widespread in metapelites and pegmatites from the Neoproterozoic Damara Belt, which form the basement and potential source rocks of the Cretaceous Erongo granite. This study traces the B-isotope variations in tourmalines from the basement, from the Erongo granite and from its hydrothermal stage. Tourmalines from the basement are alkali-deficient schorl-dravites, with B-isotope ratios typical for continental crust (\u03b411B average \u22128.4\u2030 \u00b1 1.4, n = 11; one sample at \u221213\u2030, n = 2). Virtually all tourmaline in the Erongo granite occurs in distinctive tourmaline-quartz orbicules. This \u201cmain-stage\u201d tourmaline is alkali-deficient schorl (20\u201330% X-site vacancy, Fe/(Fe + Mg) 0.8\u20131), with uniform B-isotope compositions (\u03b411B \u22128.7\u2030 \u00b1 1.5, n = 49) that are indistinguishable from the basement average, suggesting that boron was derived from anatexis of the local basement rocks with no significant shift in isotopic composition. Secondary, hydrothermal tourmaline in the granite has a bimodal B-isotope distribution with one peak at about \u22129\u2030, like the main-stage tourmaline, and a second at \u22122\u2030. We propose that the tourmaline-rich orbicules formed late in the crystallization history from an immiscible Na\u2013B\u2013Fe-rich hydrous melt. The massive precipitation of orbicular tourmaline nearly exhausted the melt in boron and the shift of \u03b411B to \u22122\u2030 in secondary tourmaline can be explained by Rayleigh fractionation after about 90% B-depletion in the residual fluid.", "author" : [ { "dropping-particle" : "", "family" : "Trumbull", "given" : "R. Bobby", "non-dropping-particle" : "", "parse-names" : false, "suffix" : "" }, { "dropping-particle" : "", "family" : "Krienitz", "given" : "M. S.", "non-dropping-particle" : "", "parse-names" : false, "suffix" : "" }, { "dropping-particle" : "", "family" : "Gottesmann", "given" : "B.", "non-dropping-particle" : "", "parse-names" : false, "suffix" : "" }, { "dropping-particle" : "", "family" : "Wiedenbeck", "given" : "M.", "non-dropping-particle" : "", "parse-names" : false, "suffix" : "" } ], "container-title" : "Contributions to Mineralogy and Petrology", "id" : "ITEM-8", "issue" : "1", "issued" : { "date-parts" : [ [ "2008" ] ] }, "page" : "1-18", "title" : "Chemical and boron-isotope variations in tourmalines from an S-type granite and its source rocks: The Erongo granite and tourmalinites in the Damara Belt, Namibia", "type" : "article-journal", "volume" : "155" }, "uris" : [ "http://www.mendeley.com/documents/?uuid=72c52a9c-d73c-4e1d-ae65-cc0da41bc1a4" ] }, { "id" : "ITEM-9", "itemData" : { "author" : [ { "dropping-particle" : "", "family" : "Beurlen", "given" : "Hartmut", "non-dropping-particle" : "", "parse-names" : false, "suffix" : "" }, { "dropping-particle" : "", "family" : "Trumbull", "given" : "Robert B", "non-dropping-particle" : "", "parse-names" : false, "suffix" : "" }, { "dropping-particle" : "", "family" : "Wiedenbeck", "given" : "Michael", "non-dropping-particle" : "", "parse-names" : false, "suffix" : "" }, { "dropping-particle" : "", "family" : "Soares", "given" : "Dwight R", "non-dropping-particle" : "", "parse-names" : false, "suffix" : "" } ], "container-title" : "PEG 2011", "id" : "ITEM-9", "issued" : { "date-parts" : [ [ "2011" ] ] }, "page" : "37-39", "title" : "Boron-isotope variations in tourmaline from granitic pegmatites of the Borborema pegmatite province, NE-Brazil", "type" : "article-journal", "volume" : "14" }, "uris" : [ "http://www.mendeley.com/documents/?uuid=dac8590e-9906-4269-aa91-518e68161ff4" ] }, { "id" : "ITEM-10", "itemData" : { "DOI" : "10.1016/j.chemgeo.2013.05.021", "ISSN" : "0009-2541", "author" : [ { "dropping-particle" : "", "family" : "Trumbull", "given" : "Robert B", "non-dropping-particle" : "", "parse-names" : false, "suffix" : "" }, { "dropping-particle" : "", "family" : "Beurlen", "given" : "Hartmut", "non-dropping-particle" : "", "parse-names" : false, "suffix" : "" }, { "dropping-particle" : "", "family" : "Wiedenbeck", "given" : "Michael", "non-dropping-particle" : "", "parse-names" : false, "suffix" : "" }, { "dropping-particle" : "", "family" : "Soares", "given" : "Dwight R", "non-dropping-particle" : "", "parse-names" : false, "suffix" : "" } ], "container-title" : "Chemical Geology", "id" : "ITEM-10", "issued" : { "date-parts" : [ [ "2013" ] ] }, "page" : "47-62", "publisher" : "Elsevier B.V.", "title" : "The diversity of B-isotope variations in tourmaline from rare-element pegmatites in the Borborema Province of Brazil", "type" : "article-journal", "volume" : "352" }, "uris" : [ "http://www.mendeley.com/documents/?uuid=42e5d20c-a3f5-4b24-9b2e-8f7ffb58d592" ] }, { "id" : "ITEM-11", "itemData" : { "DOI" : "10.1007/s00410-014-0993-7", "author" : [ { "dropping-particle" : "", "family" : "Costa", "given" : "I. Ribeiro", "non-dropping-particle" : "da", "parse-names" : false, "suffix" : "" }, { "dropping-particle" : "", "family" : "Mourao", "given" : "C.", "non-dropping-particle" : "", "parse-names" : false, "suffix" : "" }, { "dropping-particle" : "", "family" : "Recio", "given" : "C.", "non-dropping-particle" : "", "parse-names" : false, "suffix" : "" }, { "dropping-particle" : "", "family" : "Guimaraes", "given" : "F.", "non-dropping-particle" : "", "parse-names" : false, "suffix" : "" }, { "dropping-particle" : "", "family" : "Antunes", "given" : "I.M.", "non-dropping-particle" : "", "parse-names" : false, "suffix" : "" }, { "dropping-particle" : "", "family" : "Ramos", "given" : "J. Farinha", "non-dropping-particle" : "", "parse-names" : false, "suffix" : "" }, { "dropping-particle" : "", "family" : "Barriga", "given" : "F.J.A.S.", "non-dropping-particle" : "", "parse-names" : false, "suffix" : "" }, { "dropping-particle" : "", "family" : "Palmer", "given" : "M.R.", "non-dropping-particle" : "", "parse-names" : false, "suffix" : "" }, { "dropping-particle" : "", "family" : "Milton", "given" : "J.A.", "non-dropping-particle" : "", "parse-names" : false, "suffix" : "" } ], "container-title" : "Contributions to Mineralogy and Petrology", "id" : "ITEM-11", "issued" : { "date-parts" : [ [ "2014" ] ] }, "page" : "1-23", "title" : "Tourmaline occurrences within the Penamacor-Monsanto granitic pluton and host-rocks (Central Portugal): genetic implications of crystal-chemical and isotopic features", "type" : "article-journal", "volume" : "167" }, "uris" : [ "http://www.mendeley.com/documents/?uuid=b45eb58b-0b3a-43b5-bd21-9f7adb2578fd" ] }, { "id" : "ITEM-12", "itemData" : { "DOI" : "10.1007/s00410-015-1151-6", "ISSN" : "1432-0967", "author" : [ { "dropping-particle" : "", "family" : "Drivenes", "given" : "Kristian", "non-dropping-particle" : "", "parse-names" : false, "suffix" : "" }, { "dropping-particle" : "", "family" : "Larsen", "given" : "Rune B", "non-dropping-particle" : "", "parse-names" : false, "suffix" : "" }, { "dropping-particle" : "", "family" : "M\u00fcller", "given" : "Axel", "non-dropping-particle" : "", "parse-names" : false, "suffix" : "" }, { "dropping-particle" : "", "family" : "S\u00f8rensen", "given" : "Bj\u00f8rn E", "non-dropping-particle" : "", "parse-names" : false, "suffix" : "" }, { "dropping-particle" : "", "family" : "Wiedenbeck", "given" : "Michael", "non-dropping-particle" : "", "parse-names" : false, "suffix" : "" }, { "dropping-particle" : "", "family" : "Raanes", "given" : "Morten P.", "non-dropping-particle" : "", "parse-names" : false, "suffix" : "" } ], "container-title" : "Contributions to Mineralogy and Petrology", "id" : "ITEM-12", "issue" : "6", "issued" : { "date-parts" : [ [ "2015" ] ] }, "page" : "1-27", "publisher" : "Springer Berlin Heidelberg", "title" : "Late-magmatic immiscibility during batholith formation : assessment of B isotopes and trace elements in tourmaline from the Land \u2019 s End granite , SW England", "type" : "article-journal", "volume" : "169" }, "uris" : [ "http://www.mendeley.com/documents/?uuid=9d1a1f68-89fd-49ef-ac1a-27885f911789" ] }, { "id" : "ITEM-13", "itemData" : { "DOI" : "10.1016/j.chemgeo.2015.10.026", "ISBN" : "0009-2541", "ISSN" : "00092541", "abstract" : "The Miocene Nyalam leucogranites from the South Tibetan Himalaya consist of two-mica leucogranite and tourmaline leucogranite, in which tourmaline is an important constituent in nodular tourmaline-quartz segregations. Within the two-mica leucogranite these nodules display two basic morphologies: rounded (2mg-ro type) and radial or dendritic (2mg-ra type). The nodules in the tourmaline leucogranite share similar textural features with the 2mg-ro type tourmaline nodules, but without the leucocratic halo. Tourmaline crystals in the tourmaline leucogranite display overgrowth textures - most commonly in the form of homogeneous cores (Tg-I type) surrounded by oscillatory-zoned rims (Tg-II type). Based on the petrography, chemical and boron isotopic compositions of the various types of tourmaline, it is hypothesized that the 2mg-ro type tourmaline nodules crystallized during the transition from magmatic to hydrothermal evolution of the granite, while the 2mg-ra type tourmaline nodules likely formed during syn-magmatic crystallization from boron-rich melts. In this hypothesis, the Tg-I type tourmalines also formed during the transitional stage from late magmatic to early hydrothermal process. Tg-II type tourmalines were obviously formed after the Tg-I type tourmaline, and can be attributed to the mixing of juvenile fluids and volatiles coming from the wall rocks to the nodule in a post-magmatic hydrothermal environment where Tg-I type tourmaline has already crystallized. Thus, the origin of the tourmaline nodules is related to the different stages of syn-magmatic crystallization from a B-rich melt, or the subsequent transition from magmatic to hydrothermal environment, or crystallized in the post-magmatic hydrothermal fluids. The average ??11B values of the 2mg-ra type and 2mg-ro type tourmaline are -15.1??? and -14.4???, respectively. The tourmalines in tourmaline leucogranite have slightly higher ??11B values, with the Tg-I type tourmalines averaging -12.5??? and the Tg-II type tourmalines averaging -12.1???. The boron isotopic composition of the tourmalines has implications for the origin of the leucogranites. We suggest that the distinction of the boron isotopic compositions between the source rocks of the two types of leucogranite could account for this boron isotope distinction in tourmalines.", "author" : [ { "dropping-particle" : "", "family" : "Yang", "given" : "Shui Yuan", "non-dropping-particle" : "", "parse-names" : false, "suffix" : "" }, { "dropping-particle" : "", "family" : "Jiang", "given" : "Shao Yong", "non-dropping-particle" : "", "parse-names" : false, "suffix" : "" }, { "dropping-particle" : "", "family" : "Palmer", "given" : "Martin R.", "non-dropping-particle" : "", "parse-names" : false, "suffix" : "" } ], "container-title" : "Chemical Geology", "id" : "ITEM-13", "issued" : { "date-parts" : [ [ "2015" ] ] }, "page" : "102-113", "publisher" : "Elsevier B.V.", "title" : "Chemical and boron isotopic compositions of tourmaline from the Nyalam leucogranites, South Tibetan Himalaya: Implication for their formation from B-rich melt to hydrothermal fluids", "type" : "article-journal", "volume" : "419" }, "uris" : [ "http://www.mendeley.com/documents/?uuid=551a67a6-b9d0-4ee9-9870-95a0cbb96202" ] }, { "id" : "ITEM-14", "itemData" : { "DOI" : "10.1016/j.chemgeo.2015.11.025", "ISSN" : "00092541", "abstract" : "The internal evolution of the Varutr\u00e4sk rare-element pegmatite (Skellefte District, Northern Sweden) has been investigated using stable isotope (B, H, O) geochemistry of tourmaline and coexisting micas, feldspar and quartz. Varutr\u00e4sk is a classic and typical example of highly fractionated LCT-type pegmatites, with a pronounced concentric zoning pattern composed of well-developed border, wall and intermediate zones and a quartz core. The pegmatite displays considerable rare-element enrichment, culminating in the formation of albite-lepidolite and pollucite units in the innermost zones. Major and trace element variations in tourmaline from the main pegmatite zones correlate well with the internal zoning pattern. Mineral compositions record an abrupt change in fractionation trends between the barren outer and intermediate zones and the inner, late-stage assemblages that carry rare-element mineralization. This change is also shown by the B-isotope variations of tourmaline. Early and mid-stage tourmalines record a systematic increase in \u03b411B from -14.6\u2030 to -6.2\u2030 which can be explained by closed-system melt-mineral isotope fractionation whereby crystallization of large amounts of muscovite preferentially removes 10B from the residual melt. In contrast, tourmaline from late-stage assemblages in the inner zones and cross-cutting veinlets shows a reversal in the B isotope trend, with a decrease in \u03b411B from -8\u2030 to -14.1\u2030. This reversal cannot be explained by mineral-melt isotope fractionation, but requires fluid-melt partitioning and partial fluid loss. Hydrogen isotope variations in mica support this model. The systematic increase in \u03b4D from -75\u2030 in the outer zones (muscovite) to -63\u2030 and -53\u2030 in the inner zones (Li-micas) cannot be explained by closed-system variations in temperature or melt-mica fractionation, but it is consistent with late fluid exsolution. Oxygen isotope compositions of tourmaline (\u03b418O from 9.7\u2030 to 11.6\u2030), quartz (13.3\u2030 to 14\u2030) and mica (10.3\u2030 to 11.3\u2030) show good agreement with equilibrium partitioning and yield temperatures in the range 450\u00b0C to 600\u00b0C. Combining this with the stability fields of Li-aluminosilicates petalite and spodumene indicates crystallization pressures of 2-3kbar. Taken together, the stable isotope and mineral chemistry data demonstrate that rare-element enrichment in the innermost fractionated assemblages in the Varutr\u00e4sk pegmatite was associated with the transition from purely magmatic crystallization to conditions \u2026", "author" : [ { "dropping-particle" : "", "family" : "Siegel", "given" : "Karin", "non-dropping-particle" : "", "parse-names" : false, "suffix" : "" }, { "dropping-particle" : "", "family" : "Wagner", "given" : "Thomas", "non-dropping-particle" : "", "parse-names" : false, "suffix" : "" }, { "dropping-particle" : "", "family" : "Trumbull", "given" : "Robert B.", "non-dropping-particle" : "", "parse-names" : false, "suffix" : "" }, { "dropping-particle" : "", "family" : "Jonsson", "given" : "Erik", "non-dropping-particle" : "", "parse-names" : false, "suffix" : "" }, { "dropping-particle" : "", "family" : "Matalin", "given" : "Gabriella", "non-dropping-particle" : "", "parse-names" : false, "suffix" : "" }, { "dropping-particle" : "", "family" : "W\u00e4lle", "given" : "Markus", "non-dropping-particle" : "", "parse-names" : false, "suffix" : "" }, { "dropping-particle" : "", "family" : "Heinrich", "given" : "Christoph A.", "non-dropping-particle" : "", "parse-names" : false, "suffix" : "" } ], "container-title" : "Chemical Geology", "id" : "ITEM-14", "issued" : { "date-parts" : [ [ "2016" ] ] }, "page" : "1-16", "publisher" : "Elsevier B.V.", "title" : "Stable isotope (B, H, O) and mineral-chemistry constraints on the magmatic to hydrothermal evolution of the Varutr\u00e4sk rare-element pegmatite (Northern Sweden)", "type" : "article-journal", "volume" : "421" }, "uris" : [ "http://www.mendeley.com/documents/?uuid=86c56466-e0c4-4297-83f2-ada62f7f82f2" ] } ], "mendeley" : { "formattedCitation" : "(Beurlen et al., 2011; da Costa et al., 2014; Drivenes et al., 2015; Jiang and Palmer, 1998; Jiang et al., 2008, 2003; Pesquera et al., 2005; Siegel et al., 2016; Smith and Yardley, 1996; Tonarini et al., 1998; Trumbull et al., 2013, 2008; Trumbull and Chaussidon, 1999; Yang et al., 2015)", "plainTextFormattedCitation" : "(Beurlen et al., 2011; da Costa et al., 2014; Drivenes et al., 2015; Jiang and Palmer, 1998; Jiang et al., 2008, 2003; Pesquera et al., 2005; Siegel et al., 2016; Smith and Yardley, 1996; Tonarini et al., 1998; Trumbull et al., 2013, 2008; Trumbull and Chaussidon, 1999; Yang et al., 2015)", "previouslyFormattedCitation" : "(Smith and Yardley 1996; Jiang and Palmer 1998; Tonarini et al. 1998; Trumbull and Chaussidon 1999; Jiang et al. 2003, 2008; Pesquera et al. 2005; Trumbull et al. 2008, 2013; Beurlen et al. 2011; da Costa et al. 2014; Yang et al. 2015; Drivenes et al. 2015; Siegel et al. 2016)" }, "properties" : { "noteIndex" : 0 }, "schema" : "https://github.com/citation-style-language/schema/raw/master/csl-citation.json" }</w:instrText>
      </w:r>
      <w:r w:rsidR="00F25D4E">
        <w:rPr>
          <w:rFonts w:cs="Times New Roman"/>
        </w:rPr>
        <w:fldChar w:fldCharType="separate"/>
      </w:r>
      <w:r w:rsidR="00F25D4E" w:rsidRPr="00266290">
        <w:rPr>
          <w:rFonts w:cs="Times New Roman"/>
          <w:noProof/>
        </w:rPr>
        <w:t xml:space="preserve">(Beurlen et al., 2011; da Costa et al., 2014; Drivenes et al., 2015; Jiang and Palmer, 1998; Jiang et al., 2008, </w:t>
      </w:r>
      <w:r w:rsidR="00F25D4E" w:rsidRPr="00266290">
        <w:rPr>
          <w:rFonts w:cs="Times New Roman"/>
          <w:noProof/>
        </w:rPr>
        <w:lastRenderedPageBreak/>
        <w:t>2003; Pesquera et al., 2005; Siegel et al., 2016; Smith and Yardley, 1996; Tonarini et al., 1998; Trumbull et al., 2013, 2008; Trumbull and Chaussidon, 1999; Yang et al., 2015)</w:t>
      </w:r>
      <w:r w:rsidR="00F25D4E">
        <w:rPr>
          <w:rFonts w:cs="Times New Roman"/>
        </w:rPr>
        <w:fldChar w:fldCharType="end"/>
      </w:r>
      <w:r w:rsidRPr="003E5D78">
        <w:rPr>
          <w:rFonts w:cs="Times New Roman"/>
        </w:rPr>
        <w:t>. The experiments reported by Hervig et al. (2002) were conducted using a chip of Macusani obsidian at 850°C and 750°C for 24 and 48 hours, respectively. In 2014, Rick Hervig provided me with a SIMS transect of a glass (Macusani obsidian) that had been heated to 950°C (100 MPa) for 7 days. The profile shows an abrupt 15‰ decrease in δ</w:t>
      </w:r>
      <w:r w:rsidRPr="003E5D78">
        <w:rPr>
          <w:rFonts w:cs="Times New Roman"/>
          <w:vertAlign w:val="superscript"/>
        </w:rPr>
        <w:t>11</w:t>
      </w:r>
      <w:r w:rsidRPr="003E5D78">
        <w:rPr>
          <w:rFonts w:cs="Times New Roman"/>
        </w:rPr>
        <w:t>B at the melt-aqueous fluid interface and the δ</w:t>
      </w:r>
      <w:r w:rsidRPr="003E5D78">
        <w:rPr>
          <w:rFonts w:cs="Times New Roman"/>
          <w:vertAlign w:val="superscript"/>
        </w:rPr>
        <w:t>11</w:t>
      </w:r>
      <w:r w:rsidRPr="003E5D78">
        <w:rPr>
          <w:rFonts w:cs="Times New Roman"/>
        </w:rPr>
        <w:t xml:space="preserve">B of glass &lt; 400 µm from the interface has the same composition as the initial, unreacted </w:t>
      </w:r>
      <w:r w:rsidRPr="00F25D4E">
        <w:rPr>
          <w:rFonts w:cs="Times New Roman"/>
        </w:rPr>
        <w:t>glass (Fig. 1-1). Therefore</w:t>
      </w:r>
      <w:r w:rsidRPr="003E5D78">
        <w:rPr>
          <w:rFonts w:cs="Times New Roman"/>
        </w:rPr>
        <w:t xml:space="preserve">, the data reported in Hervig et al. (2002), which was conducted at lower temperature and for a shorter duration, </w:t>
      </w:r>
      <w:r>
        <w:rPr>
          <w:rFonts w:cs="Times New Roman"/>
        </w:rPr>
        <w:t>appears unlikely to</w:t>
      </w:r>
      <w:r w:rsidRPr="003E5D78">
        <w:rPr>
          <w:rFonts w:cs="Times New Roman"/>
        </w:rPr>
        <w:t xml:space="preserve"> reflect an equilibrium distribution of boron’s isotopes between melt and aqueous solution.</w:t>
      </w:r>
    </w:p>
    <w:p w:rsidR="005D1BDD" w:rsidRPr="003E5D78" w:rsidRDefault="005D1BDD" w:rsidP="005D1BDD">
      <w:pPr>
        <w:spacing w:line="480" w:lineRule="auto"/>
        <w:ind w:firstLine="720"/>
        <w:rPr>
          <w:rFonts w:cs="Times New Roman"/>
        </w:rPr>
      </w:pPr>
      <w:r>
        <w:rPr>
          <w:rFonts w:cs="Times New Roman"/>
        </w:rPr>
        <w:t>The e</w:t>
      </w:r>
      <w:r w:rsidRPr="003E5D78">
        <w:rPr>
          <w:rFonts w:cs="Times New Roman"/>
        </w:rPr>
        <w:t xml:space="preserve">xperiments </w:t>
      </w:r>
      <w:r>
        <w:rPr>
          <w:rFonts w:cs="Times New Roman"/>
        </w:rPr>
        <w:t xml:space="preserve">reported in Chapter 4 </w:t>
      </w:r>
      <w:r w:rsidRPr="003E5D78">
        <w:rPr>
          <w:rFonts w:cs="Times New Roman"/>
        </w:rPr>
        <w:t>used the Macusani obsidian and a glass whose composition is close to the thermal minimum in the haplogranite system at 200 MPa</w:t>
      </w:r>
      <w:r w:rsidRPr="003E5D78">
        <w:rPr>
          <w:rFonts w:cs="Times New Roman"/>
          <w:vertAlign w:val="subscript"/>
        </w:rPr>
        <w:t>H2O</w:t>
      </w:r>
      <w:r w:rsidRPr="003E5D78">
        <w:rPr>
          <w:rFonts w:cs="Times New Roman"/>
        </w:rPr>
        <w:t>. Each experiment was heated to either 700°C or 800°C (200 MPa</w:t>
      </w:r>
      <w:r w:rsidRPr="003E5D78">
        <w:rPr>
          <w:rFonts w:cs="Times New Roman"/>
          <w:vertAlign w:val="subscript"/>
        </w:rPr>
        <w:t>H2O</w:t>
      </w:r>
      <w:r w:rsidRPr="003E5D78">
        <w:rPr>
          <w:rFonts w:cs="Times New Roman"/>
        </w:rPr>
        <w:t>) for 30 days. The δ</w:t>
      </w:r>
      <w:r w:rsidRPr="003E5D78">
        <w:rPr>
          <w:rFonts w:cs="Times New Roman"/>
          <w:vertAlign w:val="superscript"/>
        </w:rPr>
        <w:t>11</w:t>
      </w:r>
      <w:r w:rsidRPr="003E5D78">
        <w:rPr>
          <w:rFonts w:cs="Times New Roman"/>
        </w:rPr>
        <w:t>B of the resultant glass was measured by SIMS and the δ</w:t>
      </w:r>
      <w:r w:rsidRPr="003E5D78">
        <w:rPr>
          <w:rFonts w:cs="Times New Roman"/>
          <w:vertAlign w:val="superscript"/>
        </w:rPr>
        <w:t>11</w:t>
      </w:r>
      <w:r w:rsidRPr="003E5D78">
        <w:rPr>
          <w:rFonts w:cs="Times New Roman"/>
        </w:rPr>
        <w:t>B of the final aqueous solution was calculated using mass-balance equations. Values of Δ</w:t>
      </w:r>
      <w:r w:rsidRPr="003E5D78">
        <w:rPr>
          <w:rFonts w:cs="Times New Roman"/>
          <w:vertAlign w:val="superscript"/>
        </w:rPr>
        <w:t>11</w:t>
      </w:r>
      <w:r w:rsidRPr="003E5D78">
        <w:rPr>
          <w:rFonts w:cs="Times New Roman"/>
        </w:rPr>
        <w:t>B</w:t>
      </w:r>
      <w:r w:rsidRPr="003E5D78">
        <w:rPr>
          <w:rFonts w:cs="Times New Roman"/>
          <w:vertAlign w:val="subscript"/>
        </w:rPr>
        <w:t>Melt-vapor</w:t>
      </w:r>
      <w:r w:rsidRPr="003E5D78">
        <w:rPr>
          <w:rFonts w:cs="Times New Roman"/>
        </w:rPr>
        <w:t xml:space="preserve"> are similar to those reported by Hervig et al. (2002). </w:t>
      </w:r>
    </w:p>
    <w:p w:rsidR="005D1BDD" w:rsidRDefault="005D1BDD" w:rsidP="005D1BDD">
      <w:pPr>
        <w:spacing w:line="480" w:lineRule="auto"/>
        <w:ind w:firstLine="720"/>
        <w:rPr>
          <w:rFonts w:cs="Times New Roman"/>
        </w:rPr>
      </w:pPr>
      <w:r w:rsidRPr="003E5D78">
        <w:rPr>
          <w:rFonts w:cs="Times New Roman"/>
        </w:rPr>
        <w:t>Glass from one experiment, MAC230 (London and Morgan 2017), in which a core of Macusani obsidian was allowed to crystallize almost completely and formed a large miarolitic cavity</w:t>
      </w:r>
      <w:r>
        <w:rPr>
          <w:rFonts w:cs="Times New Roman"/>
        </w:rPr>
        <w:t xml:space="preserve"> in residual melt</w:t>
      </w:r>
      <w:r w:rsidRPr="003E5D78">
        <w:rPr>
          <w:rFonts w:cs="Times New Roman"/>
        </w:rPr>
        <w:t>, was analyzed by SIMS. The δ</w:t>
      </w:r>
      <w:r w:rsidRPr="003E5D78">
        <w:rPr>
          <w:rFonts w:cs="Times New Roman"/>
          <w:vertAlign w:val="superscript"/>
        </w:rPr>
        <w:t>11</w:t>
      </w:r>
      <w:r w:rsidRPr="003E5D78">
        <w:rPr>
          <w:rFonts w:cs="Times New Roman"/>
        </w:rPr>
        <w:t xml:space="preserve">B of the residual glass in MAC230 is identical to the starting glass. The rapid crystallization of the Macusani glass in MAC230 must not have allowed the fluid in the miarolitic cavity to </w:t>
      </w:r>
      <w:r w:rsidRPr="003E5D78">
        <w:rPr>
          <w:rFonts w:cs="Times New Roman"/>
        </w:rPr>
        <w:lastRenderedPageBreak/>
        <w:t>equilibrate with melt. The result from MAC230 appears to be directly applicable to pegmatite systems, e.g. Little Three pegmatites (Chapter 2).</w:t>
      </w:r>
    </w:p>
    <w:p w:rsidR="005D1BDD" w:rsidRDefault="005D1BDD">
      <w:pPr>
        <w:rPr>
          <w:rFonts w:cs="Times New Roman"/>
        </w:rPr>
      </w:pPr>
      <w:r>
        <w:rPr>
          <w:rFonts w:cs="Times New Roman"/>
        </w:rPr>
        <w:br w:type="page"/>
      </w:r>
    </w:p>
    <w:p w:rsidR="005D1BDD" w:rsidRPr="003E5D78" w:rsidRDefault="005D1BDD" w:rsidP="005D1BDD">
      <w:pPr>
        <w:spacing w:line="480" w:lineRule="auto"/>
        <w:ind w:firstLine="720"/>
        <w:rPr>
          <w:rFonts w:cs="Times New Roman"/>
          <w:sz w:val="28"/>
        </w:rPr>
      </w:pPr>
      <w:r>
        <w:rPr>
          <w:noProof/>
        </w:rPr>
        <w:lastRenderedPageBreak/>
        <mc:AlternateContent>
          <mc:Choice Requires="wps">
            <w:drawing>
              <wp:anchor distT="0" distB="0" distL="114300" distR="114300" simplePos="0" relativeHeight="251790336" behindDoc="0" locked="0" layoutInCell="1" allowOverlap="1" wp14:anchorId="4D2B2DD0" wp14:editId="0C895E41">
                <wp:simplePos x="0" y="0"/>
                <wp:positionH relativeFrom="column">
                  <wp:posOffset>0</wp:posOffset>
                </wp:positionH>
                <wp:positionV relativeFrom="paragraph">
                  <wp:posOffset>4657090</wp:posOffset>
                </wp:positionV>
                <wp:extent cx="5394960" cy="635"/>
                <wp:effectExtent l="0" t="0" r="0" b="0"/>
                <wp:wrapSquare wrapText="bothSides"/>
                <wp:docPr id="95" name="Text Box 95"/>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rsidR="006D3B9B" w:rsidRPr="005D1BDD" w:rsidRDefault="006D3B9B" w:rsidP="005D1BDD">
                            <w:pPr>
                              <w:pStyle w:val="Caption"/>
                              <w:rPr>
                                <w:i w:val="0"/>
                                <w:noProof/>
                                <w:sz w:val="24"/>
                                <w:szCs w:val="24"/>
                              </w:rPr>
                            </w:pPr>
                            <w:bookmarkStart w:id="7" w:name="_Toc490130632"/>
                            <w:r w:rsidRPr="005D1BDD">
                              <w:rPr>
                                <w:sz w:val="24"/>
                                <w:szCs w:val="24"/>
                              </w:rPr>
                              <w:t xml:space="preserve">Figure </w:t>
                            </w:r>
                            <w:r w:rsidRPr="005D1BDD">
                              <w:rPr>
                                <w:sz w:val="24"/>
                                <w:szCs w:val="24"/>
                              </w:rPr>
                              <w:fldChar w:fldCharType="begin"/>
                            </w:r>
                            <w:r w:rsidRPr="005D1BDD">
                              <w:rPr>
                                <w:sz w:val="24"/>
                                <w:szCs w:val="24"/>
                              </w:rPr>
                              <w:instrText xml:space="preserve"> STYLEREF 1 \s </w:instrText>
                            </w:r>
                            <w:r w:rsidRPr="005D1BDD">
                              <w:rPr>
                                <w:sz w:val="24"/>
                                <w:szCs w:val="24"/>
                              </w:rPr>
                              <w:fldChar w:fldCharType="separate"/>
                            </w:r>
                            <w:r w:rsidR="000C5FC3">
                              <w:rPr>
                                <w:noProof/>
                                <w:sz w:val="24"/>
                                <w:szCs w:val="24"/>
                              </w:rPr>
                              <w:t>1</w:t>
                            </w:r>
                            <w:r w:rsidRPr="005D1BDD">
                              <w:rPr>
                                <w:sz w:val="24"/>
                                <w:szCs w:val="24"/>
                              </w:rPr>
                              <w:fldChar w:fldCharType="end"/>
                            </w:r>
                            <w:r w:rsidRPr="005D1BDD">
                              <w:rPr>
                                <w:sz w:val="24"/>
                                <w:szCs w:val="24"/>
                              </w:rPr>
                              <w:noBreakHyphen/>
                            </w:r>
                            <w:r w:rsidRPr="005D1BDD">
                              <w:rPr>
                                <w:sz w:val="24"/>
                                <w:szCs w:val="24"/>
                              </w:rPr>
                              <w:fldChar w:fldCharType="begin"/>
                            </w:r>
                            <w:r w:rsidRPr="005D1BDD">
                              <w:rPr>
                                <w:sz w:val="24"/>
                                <w:szCs w:val="24"/>
                              </w:rPr>
                              <w:instrText xml:space="preserve"> SEQ Figure \* ARABIC \s 1 </w:instrText>
                            </w:r>
                            <w:r w:rsidRPr="005D1BDD">
                              <w:rPr>
                                <w:sz w:val="24"/>
                                <w:szCs w:val="24"/>
                              </w:rPr>
                              <w:fldChar w:fldCharType="separate"/>
                            </w:r>
                            <w:r w:rsidR="000C5FC3">
                              <w:rPr>
                                <w:noProof/>
                                <w:sz w:val="24"/>
                                <w:szCs w:val="24"/>
                              </w:rPr>
                              <w:t>1</w:t>
                            </w:r>
                            <w:r w:rsidRPr="005D1BDD">
                              <w:rPr>
                                <w:sz w:val="24"/>
                                <w:szCs w:val="24"/>
                              </w:rPr>
                              <w:fldChar w:fldCharType="end"/>
                            </w:r>
                            <w:r w:rsidRPr="005D1BDD">
                              <w:rPr>
                                <w:sz w:val="24"/>
                                <w:szCs w:val="24"/>
                              </w:rPr>
                              <w:t xml:space="preserve"> </w:t>
                            </w:r>
                            <w:r w:rsidRPr="005D1BDD">
                              <w:rPr>
                                <w:i w:val="0"/>
                                <w:sz w:val="24"/>
                                <w:szCs w:val="24"/>
                              </w:rPr>
                              <w:t>Boro</w:t>
                            </w:r>
                            <w:r>
                              <w:rPr>
                                <w:i w:val="0"/>
                                <w:sz w:val="24"/>
                                <w:szCs w:val="24"/>
                              </w:rPr>
                              <w:t>n and boron isotopic zoning in Macusani obsidian</w:t>
                            </w:r>
                            <w:r w:rsidRPr="005D1BDD">
                              <w:rPr>
                                <w:i w:val="0"/>
                                <w:sz w:val="24"/>
                                <w:szCs w:val="24"/>
                              </w:rPr>
                              <w:t xml:space="preserve"> held at 950˚C and 1 kilobar pressure for 7 days. Filled symbols are boron isotopic ratios. Error bars are 2 standard errors of the mean. The starting composition was ~-9‰. The small open symbols are total boron contents in ppm (by weight)</w:t>
                            </w:r>
                            <w:r>
                              <w:rPr>
                                <w:i w:val="0"/>
                                <w:sz w:val="24"/>
                                <w:szCs w:val="24"/>
                              </w:rPr>
                              <w:t>.</w:t>
                            </w:r>
                            <w:bookmarkEnd w:id="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D2B2DD0" id="_x0000_t202" coordsize="21600,21600" o:spt="202" path="m,l,21600r21600,l21600,xe">
                <v:stroke joinstyle="miter"/>
                <v:path gradientshapeok="t" o:connecttype="rect"/>
              </v:shapetype>
              <v:shape id="Text Box 95" o:spid="_x0000_s1026" type="#_x0000_t202" style="position:absolute;left:0;text-align:left;margin-left:0;margin-top:366.7pt;width:424.8pt;height:.05pt;z-index:25179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" stroked="f">
                <v:textbox style="mso-fit-shape-to-text:t" inset="0,0,0,0">
                  <w:txbxContent>
                    <w:p w:rsidR="006D3B9B" w:rsidRPr="005D1BDD" w:rsidRDefault="006D3B9B" w:rsidP="005D1BDD">
                      <w:pPr>
                        <w:pStyle w:val="Caption"/>
                        <w:rPr>
                          <w:i w:val="0"/>
                          <w:noProof/>
                          <w:sz w:val="24"/>
                          <w:szCs w:val="24"/>
                        </w:rPr>
                      </w:pPr>
                      <w:bookmarkStart w:id="8" w:name="_Toc490130632"/>
                      <w:r w:rsidRPr="005D1BDD">
                        <w:rPr>
                          <w:sz w:val="24"/>
                          <w:szCs w:val="24"/>
                        </w:rPr>
                        <w:t xml:space="preserve">Figure </w:t>
                      </w:r>
                      <w:r w:rsidRPr="005D1BDD">
                        <w:rPr>
                          <w:sz w:val="24"/>
                          <w:szCs w:val="24"/>
                        </w:rPr>
                        <w:fldChar w:fldCharType="begin"/>
                      </w:r>
                      <w:r w:rsidRPr="005D1BDD">
                        <w:rPr>
                          <w:sz w:val="24"/>
                          <w:szCs w:val="24"/>
                        </w:rPr>
                        <w:instrText xml:space="preserve"> STYLEREF 1 \s </w:instrText>
                      </w:r>
                      <w:r w:rsidRPr="005D1BDD">
                        <w:rPr>
                          <w:sz w:val="24"/>
                          <w:szCs w:val="24"/>
                        </w:rPr>
                        <w:fldChar w:fldCharType="separate"/>
                      </w:r>
                      <w:r w:rsidR="000C5FC3">
                        <w:rPr>
                          <w:noProof/>
                          <w:sz w:val="24"/>
                          <w:szCs w:val="24"/>
                        </w:rPr>
                        <w:t>1</w:t>
                      </w:r>
                      <w:r w:rsidRPr="005D1BDD">
                        <w:rPr>
                          <w:sz w:val="24"/>
                          <w:szCs w:val="24"/>
                        </w:rPr>
                        <w:fldChar w:fldCharType="end"/>
                      </w:r>
                      <w:r w:rsidRPr="005D1BDD">
                        <w:rPr>
                          <w:sz w:val="24"/>
                          <w:szCs w:val="24"/>
                        </w:rPr>
                        <w:noBreakHyphen/>
                      </w:r>
                      <w:r w:rsidRPr="005D1BDD">
                        <w:rPr>
                          <w:sz w:val="24"/>
                          <w:szCs w:val="24"/>
                        </w:rPr>
                        <w:fldChar w:fldCharType="begin"/>
                      </w:r>
                      <w:r w:rsidRPr="005D1BDD">
                        <w:rPr>
                          <w:sz w:val="24"/>
                          <w:szCs w:val="24"/>
                        </w:rPr>
                        <w:instrText xml:space="preserve"> SEQ Figure \* ARABIC \s 1 </w:instrText>
                      </w:r>
                      <w:r w:rsidRPr="005D1BDD">
                        <w:rPr>
                          <w:sz w:val="24"/>
                          <w:szCs w:val="24"/>
                        </w:rPr>
                        <w:fldChar w:fldCharType="separate"/>
                      </w:r>
                      <w:r w:rsidR="000C5FC3">
                        <w:rPr>
                          <w:noProof/>
                          <w:sz w:val="24"/>
                          <w:szCs w:val="24"/>
                        </w:rPr>
                        <w:t>1</w:t>
                      </w:r>
                      <w:r w:rsidRPr="005D1BDD">
                        <w:rPr>
                          <w:sz w:val="24"/>
                          <w:szCs w:val="24"/>
                        </w:rPr>
                        <w:fldChar w:fldCharType="end"/>
                      </w:r>
                      <w:r w:rsidRPr="005D1BDD">
                        <w:rPr>
                          <w:sz w:val="24"/>
                          <w:szCs w:val="24"/>
                        </w:rPr>
                        <w:t xml:space="preserve"> </w:t>
                      </w:r>
                      <w:r w:rsidRPr="005D1BDD">
                        <w:rPr>
                          <w:i w:val="0"/>
                          <w:sz w:val="24"/>
                          <w:szCs w:val="24"/>
                        </w:rPr>
                        <w:t>Boro</w:t>
                      </w:r>
                      <w:r>
                        <w:rPr>
                          <w:i w:val="0"/>
                          <w:sz w:val="24"/>
                          <w:szCs w:val="24"/>
                        </w:rPr>
                        <w:t>n and boron isotopic zoning in Macusani obsidian</w:t>
                      </w:r>
                      <w:r w:rsidRPr="005D1BDD">
                        <w:rPr>
                          <w:i w:val="0"/>
                          <w:sz w:val="24"/>
                          <w:szCs w:val="24"/>
                        </w:rPr>
                        <w:t xml:space="preserve"> held at 950˚C and 1 kilobar pressure for 7 days. Filled symbols are boron isotopic ratios. Error bars are 2 standard errors of the mean. The starting composition was ~-9‰. The small open symbols are total boron contents in ppm (by weight)</w:t>
                      </w:r>
                      <w:r>
                        <w:rPr>
                          <w:i w:val="0"/>
                          <w:sz w:val="24"/>
                          <w:szCs w:val="24"/>
                        </w:rPr>
                        <w:t>.</w:t>
                      </w:r>
                      <w:bookmarkEnd w:id="8"/>
                    </w:p>
                  </w:txbxContent>
                </v:textbox>
                <w10:wrap type="square"/>
              </v:shape>
            </w:pict>
          </mc:Fallback>
        </mc:AlternateContent>
      </w:r>
      <w:r>
        <w:rPr>
          <w:noProof/>
        </w:rPr>
        <w:drawing>
          <wp:anchor distT="0" distB="0" distL="114300" distR="114300" simplePos="0" relativeHeight="251788288" behindDoc="0" locked="0" layoutInCell="1" allowOverlap="1">
            <wp:simplePos x="1924050" y="914400"/>
            <wp:positionH relativeFrom="margin">
              <wp:align>center</wp:align>
            </wp:positionH>
            <wp:positionV relativeFrom="margin">
              <wp:align>top</wp:align>
            </wp:positionV>
            <wp:extent cx="5394960" cy="4600209"/>
            <wp:effectExtent l="0" t="0" r="0" b="0"/>
            <wp:wrapSquare wrapText="bothSides"/>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94960" cy="4600209"/>
                    </a:xfrm>
                    <a:prstGeom prst="rect">
                      <a:avLst/>
                    </a:prstGeom>
                    <a:noFill/>
                    <a:ln>
                      <a:noFill/>
                    </a:ln>
                  </pic:spPr>
                </pic:pic>
              </a:graphicData>
            </a:graphic>
          </wp:anchor>
        </w:drawing>
      </w:r>
    </w:p>
    <w:p w:rsidR="00665C0F" w:rsidRDefault="00665C0F">
      <w:pPr>
        <w:rPr>
          <w:rFonts w:asciiTheme="minorHAnsi" w:hAnsiTheme="minorHAnsi" w:cstheme="minorHAnsi"/>
        </w:rPr>
      </w:pPr>
      <w:r>
        <w:rPr>
          <w:rFonts w:asciiTheme="minorHAnsi" w:hAnsiTheme="minorHAnsi" w:cstheme="minorHAnsi"/>
        </w:rPr>
        <w:br w:type="page"/>
      </w:r>
    </w:p>
    <w:p w:rsidR="00897EBE" w:rsidRPr="00D87CEE" w:rsidRDefault="00665C0F" w:rsidP="00455E45">
      <w:pPr>
        <w:pStyle w:val="Heading1"/>
        <w:spacing w:line="480" w:lineRule="auto"/>
        <w:rPr>
          <w:rFonts w:cs="Times New Roman"/>
          <w:bCs/>
          <w:color w:val="000000" w:themeColor="text1"/>
          <w:szCs w:val="24"/>
        </w:rPr>
      </w:pPr>
      <w:bookmarkStart w:id="9" w:name="_Toc491245976"/>
      <w:r w:rsidRPr="00D87CEE">
        <w:rPr>
          <w:rFonts w:cs="Times New Roman"/>
          <w:bCs/>
          <w:color w:val="000000" w:themeColor="text1"/>
          <w:szCs w:val="24"/>
        </w:rPr>
        <w:lastRenderedPageBreak/>
        <w:t>The boron isotopic evolution of the Little Three pegmatites, Ramona, CA</w:t>
      </w:r>
      <w:bookmarkEnd w:id="9"/>
    </w:p>
    <w:p w:rsidR="00665C0F" w:rsidRPr="002018A9" w:rsidRDefault="00665C0F" w:rsidP="002018A9">
      <w:pPr>
        <w:pStyle w:val="Heading2"/>
        <w:spacing w:line="480" w:lineRule="auto"/>
        <w:rPr>
          <w:rFonts w:asciiTheme="minorHAnsi" w:hAnsiTheme="minorHAnsi" w:cstheme="minorHAnsi"/>
          <w:sz w:val="24"/>
          <w:szCs w:val="24"/>
        </w:rPr>
      </w:pPr>
      <w:bookmarkStart w:id="10" w:name="_Toc491245977"/>
      <w:r w:rsidRPr="002018A9">
        <w:rPr>
          <w:rFonts w:asciiTheme="minorHAnsi" w:hAnsiTheme="minorHAnsi" w:cs="Times New Roman"/>
          <w:bCs/>
          <w:sz w:val="24"/>
          <w:szCs w:val="24"/>
        </w:rPr>
        <w:t>1.</w:t>
      </w:r>
      <w:r w:rsidRPr="002018A9">
        <w:rPr>
          <w:rFonts w:asciiTheme="minorHAnsi" w:hAnsiTheme="minorHAnsi" w:cstheme="minorHAnsi"/>
          <w:sz w:val="24"/>
          <w:szCs w:val="24"/>
        </w:rPr>
        <w:t xml:space="preserve"> Introduction</w:t>
      </w:r>
      <w:bookmarkEnd w:id="10"/>
    </w:p>
    <w:p w:rsidR="00665C0F" w:rsidRDefault="00665C0F" w:rsidP="00874981">
      <w:pPr>
        <w:spacing w:after="0" w:line="480" w:lineRule="auto"/>
        <w:ind w:firstLine="360"/>
        <w:rPr>
          <w:rFonts w:cs="Times New Roman"/>
        </w:rPr>
      </w:pPr>
      <w:r w:rsidRPr="002018A9">
        <w:rPr>
          <w:rFonts w:cs="Times New Roman"/>
        </w:rPr>
        <w:t>Tourmaline</w:t>
      </w:r>
      <w:r w:rsidRPr="003D1B42">
        <w:rPr>
          <w:rFonts w:cs="Times New Roman"/>
        </w:rPr>
        <w:t xml:space="preserve"> (Tur) is the most abundant boron-rich mineral in the continental crust </w:t>
      </w:r>
      <w:r w:rsidRPr="003D1B42">
        <w:rPr>
          <w:rFonts w:cs="Times New Roman"/>
        </w:rPr>
        <w:fldChar w:fldCharType="begin" w:fldLock="1"/>
      </w:r>
      <w:r w:rsidR="00266290">
        <w:rPr>
          <w:rFonts w:cs="Times New Roman"/>
        </w:rPr>
        <w:instrText>ADDIN CSL_CITATION { "citationItems" : [ { "id" : "ITEM-1", "itemData" : { "author" : [ { "dropping-particle" : "", "family" : "Grew", "given" : "Edward S", "non-dropping-particle" : "", "parse-names" : false, "suffix" : "" } ], "container-title" : "Reviews in Mineralogy and Geochemistry", "id" : "ITEM-1", "issued" : { "date-parts" : [ [ "1996" ] ] }, "page" : "387-502", "title" : "Borosilicates (exclusive of tourmaline) and Boron in rock-forming minerals in metamorphic environments", "type" : "article-journal", "volume" : "33" }, "uris" : [ "http://www.mendeley.com/documents/?uuid=ccb7097d-c794-48e6-941c-44fdaede7202" ] } ], "mendeley" : { "formattedCitation" : "(Grew, 1996)", "plainTextFormattedCitation" : "(Grew, 1996)", "previouslyFormattedCitation" : "(Grew 1996)" }, "properties" : { "noteIndex" : 0 }, "schema" : "https://github.com/citation-style-language/schema/raw/master/csl-citation.json" }</w:instrText>
      </w:r>
      <w:r w:rsidRPr="003D1B42">
        <w:rPr>
          <w:rFonts w:cs="Times New Roman"/>
        </w:rPr>
        <w:fldChar w:fldCharType="separate"/>
      </w:r>
      <w:r w:rsidR="00266290" w:rsidRPr="00266290">
        <w:rPr>
          <w:rFonts w:cs="Times New Roman"/>
          <w:noProof/>
        </w:rPr>
        <w:t>(Grew, 1996)</w:t>
      </w:r>
      <w:r w:rsidRPr="003D1B42">
        <w:rPr>
          <w:rFonts w:cs="Times New Roman"/>
        </w:rPr>
        <w:fldChar w:fldCharType="end"/>
      </w:r>
      <w:r>
        <w:rPr>
          <w:rFonts w:cs="Times New Roman"/>
        </w:rPr>
        <w:t>,</w:t>
      </w:r>
      <w:r w:rsidRPr="003D1B42">
        <w:rPr>
          <w:rFonts w:cs="Times New Roman"/>
        </w:rPr>
        <w:t xml:space="preserve"> where it is commonly associated with evolved S-type granites and their derivative LCT (Li, Cs, Ta) pegmatite</w:t>
      </w:r>
      <w:r>
        <w:rPr>
          <w:rFonts w:cs="Times New Roman"/>
        </w:rPr>
        <w:t>s</w:t>
      </w:r>
      <w:r w:rsidRPr="003D1B42">
        <w:rPr>
          <w:rFonts w:cs="Times New Roman"/>
        </w:rPr>
        <w:t xml:space="preserve"> </w:t>
      </w:r>
      <w:r>
        <w:rPr>
          <w:rFonts w:cs="Times New Roman"/>
        </w:rPr>
        <w:fldChar w:fldCharType="begin" w:fldLock="1"/>
      </w:r>
      <w:r w:rsidR="00266290">
        <w:rPr>
          <w:rFonts w:cs="Times New Roman"/>
        </w:rPr>
        <w:instrText>ADDIN CSL_CITATION { "citationItems" : [ { "id" : "ITEM-1", "itemData" : { "author" : [ { "dropping-particle" : "", "family" : "\u010cern\u00fd", "given" : "P.", "non-dropping-particle" : "", "parse-names" : false, "suffix" : "" }, { "dropping-particle" : "", "family" : "Ercit", "given" : "T.S.", "non-dropping-particle" : "", "parse-names" : false, "suffix" : "" } ], "container-title" : "Canadian Mineralogist", "id" : "ITEM-1", "issued" : { "date-parts" : [ [ "2005" ] ] }, "page" : "2005-2026", "title" : "The classification of granitic pegmatites revisited", "type" : "article-journal", "volume" : "43" }, "uris" : [ "http://www.mendeley.com/documents/?uuid=ce74f0b2-9d40-4331-8893-9921f384988e" ] }, { "id" : "ITEM-2", "itemData" : { "author" : [ { "dropping-particle" : "", "family" : "London", "given" : "David", "non-dropping-particle" : "", "parse-names" : false, "suffix" : "" }, { "dropping-particle" : "", "family" : "Morgan VI", "given" : "George B.", "non-dropping-particle" : "", "parse-names" : false, "suffix" : "" }, { "dropping-particle" : "", "family" : "Wolf", "given" : "Michael B.", "non-dropping-particle" : "", "parse-names" : false, "suffix" : "" } ], "container-title" : "Reviews in Mineralogy and Geochemistry", "id" : "ITEM-2", "issued" : { "date-parts" : [ [ "1996" ] ] }, "page" : "299-330", "title" : "Boron in granitic rocks and their contact aureoles", "type" : "article-journal", "volume" : "33" }, "uris" : [ "http://www.mendeley.com/documents/?uuid=c7abebaa-e17b-4c1b-942a-cc31d79f929f" ] } ], "mendeley" : { "formattedCitation" : "(\u010cern\u00fd and Ercit, 2005; London et al., 1996)", "plainTextFormattedCitation" : "(\u010cern\u00fd and Ercit, 2005; London et al., 1996)", "previouslyFormattedCitation" : "(London et al. 1996; \u010cern\u00fd and Ercit 2005)" }, "properties" : { "noteIndex" : 0 }, "schema" : "https://github.com/citation-style-language/schema/raw/master/csl-citation.json" }</w:instrText>
      </w:r>
      <w:r>
        <w:rPr>
          <w:rFonts w:cs="Times New Roman"/>
        </w:rPr>
        <w:fldChar w:fldCharType="separate"/>
      </w:r>
      <w:r w:rsidR="00266290" w:rsidRPr="00266290">
        <w:rPr>
          <w:rFonts w:cs="Times New Roman"/>
          <w:noProof/>
        </w:rPr>
        <w:t>(Černý and Ercit, 2005; London et al., 1996)</w:t>
      </w:r>
      <w:r>
        <w:rPr>
          <w:rFonts w:cs="Times New Roman"/>
        </w:rPr>
        <w:fldChar w:fldCharType="end"/>
      </w:r>
      <w:r w:rsidRPr="003D1B42">
        <w:rPr>
          <w:rFonts w:cs="Times New Roman"/>
        </w:rPr>
        <w:t>. The boron isotopic composition, δ</w:t>
      </w:r>
      <w:r w:rsidRPr="003D1B42">
        <w:rPr>
          <w:rFonts w:cs="Times New Roman"/>
          <w:vertAlign w:val="superscript"/>
        </w:rPr>
        <w:t>11</w:t>
      </w:r>
      <w:r w:rsidRPr="003D1B42">
        <w:rPr>
          <w:rFonts w:cs="Times New Roman"/>
        </w:rPr>
        <w:t xml:space="preserve">B, of tourmaline and the fractionation of boron’s isotopes, </w:t>
      </w:r>
      <w:r w:rsidRPr="003D1B42">
        <w:rPr>
          <w:rFonts w:cs="Times New Roman"/>
          <w:vertAlign w:val="superscript"/>
        </w:rPr>
        <w:t>10</w:t>
      </w:r>
      <w:r w:rsidRPr="003D1B42">
        <w:rPr>
          <w:rFonts w:cs="Times New Roman"/>
        </w:rPr>
        <w:t xml:space="preserve">B and </w:t>
      </w:r>
      <w:r w:rsidRPr="003D1B42">
        <w:rPr>
          <w:rFonts w:cs="Times New Roman"/>
          <w:vertAlign w:val="superscript"/>
        </w:rPr>
        <w:t>11</w:t>
      </w:r>
      <w:r w:rsidRPr="003D1B42">
        <w:rPr>
          <w:rFonts w:cs="Times New Roman"/>
        </w:rPr>
        <w:t>B, in the system tourmaline-gr</w:t>
      </w:r>
      <w:r>
        <w:rPr>
          <w:rFonts w:cs="Times New Roman"/>
        </w:rPr>
        <w:t>anitic melt-aqueous solution have</w:t>
      </w:r>
      <w:r w:rsidRPr="003D1B42">
        <w:rPr>
          <w:rFonts w:cs="Times New Roman"/>
        </w:rPr>
        <w:t xml:space="preserve"> been the focus of many studies, all with the intent of assessing the roles and sources of melt and aqueous solution in the formation of granites and pegmatites </w:t>
      </w:r>
      <w:r>
        <w:rPr>
          <w:rFonts w:cs="Times New Roman"/>
        </w:rPr>
        <w:fldChar w:fldCharType="begin" w:fldLock="1"/>
      </w:r>
      <w:r w:rsidR="00266290">
        <w:rPr>
          <w:rFonts w:cs="Times New Roman"/>
        </w:rPr>
        <w:instrText>ADDIN CSL_CITATION { "citationItems" : [ { "id" : "ITEM-1", "itemData" : { "DOI" : "10.1016/0016-7037(96)00007-5", "ISBN" : "0016-7037", "ISSN" : "00167037", "abstract" : "The boron isotopic composition (??11B) and chemistry of tourmalines from a series of sites in the western southwest England orefield has been determined using ion microprobe and electron microprobe techniques, respectively. The range of ??11B values determined is relatively wide (+0.6 to -12.7%o) and falls at the lighter end of the range for typical continental crust. Within this range granite tourmalines show a depletion in 11B from coarse grained early magmatic examples to fine-grained late magmatic tourmaline. We attribute this to fractionation of boron isotopes between aqueous and melt species during the exsolution of an aqueous fluid phase from the magma. The aqueous phase formed by degassing of the magma is considered to have crystallised to form the tourmalinites and quartz-topaz-tourmaline rocks common throughout the area. Decreases in the ??11B values occur within certain zones of individual tourmaline crystals from these rocks. This is ascribed to loss of 11B in the vapour phase during boiling caused by decompression of the aqueous fluid on fracturing. The calculated boron isotope composition of fluids in equilibrium with tourmalines from the Cligga Head greisen bordered vein system agrees closely with that calculated for the tourmalinite fluid and suggests a constant, granite-derived source of boron during the early hydrothermal evolution of the stock. The lack of isotopic zoning within the tourmalines from the Cligga Head hydrothermal veins suggests that phase separation did not occur or was very limited during hydrothermal circulation in the vein system.", "author" : [ { "dropping-particle" : "", "family" : "Smith", "given" : "M. P.", "non-dropping-particle" : "", "parse-names" : false, "suffix" : "" }, { "dropping-particle" : "", "family" : "Yardley", "given" : "B. W D", "non-dropping-particle" : "", "parse-names" : false, "suffix" : "" } ], "container-title" : "Geochimica et Cosmochimica Acta", "id" : "ITEM-1", "issue" : "8", "issued" : { "date-parts" : [ [ "1996" ] ] }, "page" : "1415-1427", "title" : "The boron isotopic composition of tourmaline as a guide to fluid processes in the southwestern England orefield: An ion microprobe study", "type" : "article-journal", "volume" : "60" }, "uris" : [ "http://www.mendeley.com/documents/?uuid=c83fe0d7-5670-4006-a539-846bf6d3cc59" ] }, { "id" : "ITEM-2", "itemData" : { "ISBN" : "0935-1221", "ISSN" : "09351221", "author" : [ { "dropping-particle" : "", "family" : "Jiang", "given" : "Shao-Yong", "non-dropping-particle" : "", "parse-names" : false, "suffix" : "" }, { "dropping-particle" : "", "family" : "Palmer", "given" : "Martin R.", "non-dropping-particle" : "", "parse-names" : false, "suffix" : "" } ], "container-title" : "European journal of Mineralogy", "id" : "ITEM-2", "issued" : { "date-parts" : [ [ "1998" ] ] }, "page" : "1253-1265", "title" : "Boron isotope systematics of tourmaline from granites and pegmatites; a synthesis", "type" : "article-journal", "volume" : "10" }, "uris" : [ "http://www.mendeley.com/documents/?uuid=a4aaef1e-3834-4df8-9846-3b3cd66bb1e4" ] }, { "id" : "ITEM-3", "itemData" : { "ISBN" : "0935-1221", "ISSN" : "09351221", "abstract" : "Baron isotopic compositions are found to be nearly uniform within progressive growth sectors of three zoned tourmaline samples, each from a different miarolitic pegmatite on Elba Island. Chemistry (schorl to elbaite) and textures of these samples indicate that they formed from an evolving medium that varied from melt, through melt + vapor, to vapor only assemblages (here designated simply as \"melt/fluid\") with decreasing temperature (ca. 650-300 degrees C). Closed-system crystallization conditions are inferred in two cases whereas, in one case, late fracturing and open-system conditions resulted in development of fibrous schorl overgrowths. The negligible variation in tourmaline isotopic composition (delta(11)B from -9.6 to -8.5 parts per thousand) is tentatively explained in two different ways. In the first case, the isotopic fractionation factor between tourmaline and either fluid-unsaturated melt, fluid-saturated melt, or aqueous fluids is near-constant near Delta(fluid-tour) = 0 (i.e., no isotopic fractionation occurs). In the second case, \"melt/fluid\" composition was increasingly enriched in B-11 due to increasing \"melt/fluid\"-tourmaline isotopic fractionation as temperature dropped. The latter scenario is more consistent with the few presently available experimental data on tourmaline-fluid isotopic fractionation at high temperatures, and implies that evolving magmatic fluids will be relatively enriched in B-11 compared to associated crystalline assemblages.", "author" : [ { "dropping-particle" : "", "family" : "Tonarini", "given" : "Sonia", "non-dropping-particle" : "", "parse-names" : false, "suffix" : "" }, { "dropping-particle" : "", "family" : "Dini", "given" : "A", "non-dropping-particle" : "", "parse-names" : false, "suffix" : "" }, { "dropping-particle" : "", "family" : "Pezzotta", "given" : "Federico", "non-dropping-particle" : "", "parse-names" : false, "suffix" : "" }, { "dropping-particle" : "", "family" : "Leeman", "given" : "William P", "non-dropping-particle" : "", "parse-names" : false, "suffix" : "" } ], "container-title" : "European Journal Of Mineralogy", "id" : "ITEM-3", "issue" : "5", "issued" : { "date-parts" : [ [ "1998" ] ] }, "page" : "941-951", "title" : "Boron isotopic composition of zoned (schorl-elbaite) tourmalines, Mt. Capanne Li-Cs pegmatites, Elba (Italy)", "type" : "article-journal", "volume" : "10" }, "uris" : [ "http://www.mendeley.com/documents/?uuid=fa8ed009-9b16-4d69-9a79-2e39519f39a0" ] }, { "id" : "ITEM-4", "itemData" : { "DOI" : "10.1016/S0009-2541(98)00155-7", "ISSN" : "00092541", "abstract" : "The Archean Sinceni granite is a geologically and geochemically well-studied example of the transition from granite to pegmatite, with subsequent development of hydrothermal alteration in metatonalite wallrocks. Tourmaline occurs in all settings of this system, from the granite to the pegmatites and in the hydrothermal rocks. The chemical and B-isotopic composition of tourmalines was studied by electron- and ion microprobe to understand how tourmaline composition varies during the stages of magmatic to hydrothermal development. The chemical composition of tourmaline from each rock type (granite, pegmatite, hydrothermal vein in metatonalite) is distinctive. In terms of their Na/Na + Ca and Fe/Fe + Mg ratios, the tourmalines correlate with the whole-rock ratios of the corresponding host rock. Tourmalines from the pegmatites show significantly higher Al contents than those from the parental granite, and a correspondingly greater degree of alkali-site vacancies (ca. 30% in pegmatite, 15-20% in granite). Tourmalines in granite have a narrow range of isotopic composition (??11B, mean -15.7???, ?? = 1.3), which is considered to approximate the composition of the magma from which they crystallized. Tourmalines from aplitic zones in pegmatite have the same range of boron isotopic composition as the granite (mean -15.2???, ?? = 1.7). In contrast, tourmaline from a coarse, zoned pegmatite and hydrothermal tourmalines are isotopically lighter (??11B values of -16.6 to -23.0???). These differences are consistent with a model of isotopic fractionation due to fluid exsolution. Tourmaline-fluid fractionation factors allow us to estimate that the exsolved fluid had a ??11B composition of about -13???. The B-isotopic compositions of hydrothermal tourmalines are consistent with formation from this fluid at temperatures of 350 to 500??C, which are in line with temperatures from fluid inclusion microthermometry.", "author" : [ { "dropping-particle" : "", "family" : "Trumbull", "given" : "Robert B.", "non-dropping-particle" : "", "parse-names" : false, "suffix" : "" }, { "dropping-particle" : "", "family" : "Chaussidon", "given" : "Marc", "non-dropping-particle" : "", "parse-names" : false, "suffix" : "" } ], "container-title" : "Chemical Geology", "id" : "ITEM-4", "issue" : "1-4", "issued" : { "date-parts" : [ [ "1999" ] ] }, "page" : "125-137", "title" : "Chemical and boron isotopic composition of magmatic and hydrothermal tourmalines from the Sinceni granite-pegmatite system in Swaziland", "type" : "article-journal", "volume" : "153" }, "uris" : [ "http://www.mendeley.com/documents/?uuid=abb5d9e1-98bd-4b37-a28c-1376eb5cb0ac" ] }, { "id" : "ITEM-5", "itemData" : { "DOI" : "10.2343/geochemj.37.545", "ISBN" : "0016-7002", "ISSN" : "00167002", "abstract" : "Abundant tourmaline occurs in the Lavicky leucogranite, Czech Republic as spherical to ovoid quartz-tourmaline orbicules, typically 5 to 7 cm in diameter. The tourmalines also occur as fine-grained quartz-tourmaline veins (&lt;1 cm thick) that cut the orbicule-rich granite. Electron microprobe analyses reveal that tourmaline from the quartz-tourmaline orbicules is Fe-rich schorl with a range of Fe/(Fe+Mg) ratio 0.62 to 0.77 and Na/(Na+Ca) ratio 0.82 to 0.95. In contrast, tourmaline from quartz-tourmaline veins is Mg-rich dravite with a range of Fe/(Fe+Mg) ratio 0.23 to 0.45 and Na/(Na+Ca) ratio 0.67 to 0.90. Very low ?11B values of -37.3 to -32.1? are found in the tourmalines from the orbicules, whereas tourmalines from the veins display relatively higher ?11B values of -28.2 to -21.3?. The overall large ?11B variation is suggested to reflect mixing of different boron sources and boron isotope fractionation during magmatic degassing and magmatic-hydrothermal evolution at late solidus to early subsolidus stages of granite crystallization. Only non-marine evaporites show very negative ?11B values (&lt;-20?) in all natural boron reservoirs, hence, the very low ?11B values of the quartz-tourmaline orbicules likely indicate a major contribution of boron from non-marine evaporites that probably exist in the magma source regions or assimilated into the magma during its ascent. Quartz-tourmaline orbicules may have formed during a transition from magmatic to hydrothermal processes, whereas the vein tourmalines formed by mixing of the exsolved magmatic-hydrothermal fluids with an external fluid rich in Ca and Mg and having higher ?11B than the exsolved magmatic fluids", "author" : [ { "dropping-particle" : "", "family" : "Jiang", "given" : "Shao Yong", "non-dropping-particle" : "", "parse-names" : false, "suffix" : "" }, { "dropping-particle" : "", "family" : "Yang", "given" : "Jing Hong", "non-dropping-particle" : "", "parse-names" : false, "suffix" : "" }, { "dropping-particle" : "", "family" : "Nov\u00e1k", "given" : "Milan", "non-dropping-particle" : "", "parse-names" : false, "suffix" : "" }, { "dropping-particle" : "", "family" : "Selway", "given" : "Julie", "non-dropping-particle" : "", "parse-names" : false, "suffix" : "" } ], "container-title" : "Geochemical Journal", "id" : "ITEM-5", "issue" : "5", "issued" : { "date-parts" : [ [ "2003" ] ] }, "page" : "545-556", "title" : "Chemical and boron isotopic compositions of tourmaline from the Lavicky leucogranite, Czech Republic", "type" : "article-journal", "volume" : "37" }, "uris" : [ "http://www.mendeley.com/documents/?uuid=85a19234-5864-41de-bc0c-2e865d38a23d" ] }, { "id" : "ITEM-6", "itemData" : { "DOI" : "10.1093/petrology/egi009", "ISBN" : "0022-3530", "ISSN" : "00223530", "abstract" : "Tourmaline in the Martinamor antiform occurs in tourmalinites (rocks with &gt;15\u201320% tourmaline by volume), clastic metasedimentary rocks of the Upper Proterozoic Monterrubio formation, quartz veins, pre-Variscan orthogneisses and Variscan granitic rocks. Petrographic observations, back-scattered electron (BSE) images, and microprobe data document a multistaged development of tourmaline. Overall, variations in the Mg/(Mg + Fe) ratios decrease from tourmalinites (0\u00b736\u20130\u00b775), through veins (0\u00b738\u20130\u00b766) to granitic rocks (0\u00b723\u20130\u00b746), whereas Al increases in the same order from 5\u00b784\u20136\u00b765 to 6\u00b722\u20136\u00b788\u2009apfu. The incorporation of Al into tourmaline is consistent with combinations of x\u03c7Al(NaR)\u22121 and AlO(R(OH))\u22121 exchange vectors, where x\u03c7 represents X-site vacancy and R is (Mg + Fe2+ + Mn). Variations in x\u03c7/(x\u03c7 + Na) ratios are similar in all the types of tourmaline occurrences, from 0\u00b710 to 0\u00b753, with low Ca-contents (mostly &lt;0\u00b710\u2009apfu). Based on field and textural criteria, two groups of tourmaline-rich rocks are distinguished: (1) pre-Variscan tourmalinites (probably Cadomian), affected by both deformation and regional metamorphism during the Variscan orogeny; (2) tourmalinites related to the synkinematic granitic complex of Martinamor. Textural and geochemical data are consistent with a psammopelitic parentage for the protolith of the tourmalinites. Boron isotope analyses of tourmaline have a total range of \u03b411B values from \u221215\u00b76 to 6\u00b78\u2030; the lowest corresponding to granitic tourmalines (\u221215\u00b76 to \u221211\u00b77\u2030) and the highest to veins (1\u00b79 to 6\u00b78\u2030). Tourmalines from tourmalinites have intermediate \u03b411B values of \u22128\u00b70 to +2\u00b70\u2030. The observed variations in \u03b411B support an important crustal recycling of boron in the Martinamor area, in which pre-Variscan tourmalinites were remobilized by a combination of mechanical and chemical processes during Variscan deformation, metamorphism and anatexis, leading to the formation of multiple tourmaline-bearing veins and a new stage of boron metasomatism.", "author" : [ { "dropping-particle" : "", "family" : "Pesquera", "given" : "A.", "non-dropping-particle" : "", "parse-names" : false, "suffix" : "" }, { "dropping-particle" : "", "family" : "Torres-Ruiz", "given" : "J.", "non-dropping-particle" : "", "parse-names" : false, "suffix" : "" }, { "dropping-particle" : "", "family" : "Gil-Crespo", "given" : "P. P.", "non-dropping-particle" : "", "parse-names" : false, "suffix" : "" }, { "dropping-particle" : "", "family" : "Jiang", "given" : "S. Y.", "non-dropping-particle" : "", "parse-names" : false, "suffix" : "" } ], "container-title" : "Journal of Petrology", "id" : "ITEM-6", "issue" : "5", "issued" : { "date-parts" : [ [ "2005" ] ] }, "page" : "1013-1044", "title" : "Petrographic, chemical and B-isotopic insights into the origin of Tourmaline-Rich rocks and boron recycling in the Martinamor Antiform (Central Iberian Zone, Salamanca, Spain)", "type" : "article-journal", "volume" : "46" }, "uris" : [ "http://www.mendeley.com/documents/?uuid=317d8a1a-4ee7-4e72-9320-f45c51802e55" ] }, { "id" : "ITEM-7", "itemData" : { "DOI" : "10.1016/j.lithos.2008.04.004", "ISBN" : "00244937", "ISSN" : "00244937", "abstract" : "Multi-stage formation of tourmaline occurs in the Hnilec granite-related hydrothermal tin mineralisation system from the Western Carpathians, Slovakia. The tourmalines belong to the schorl-dravite series and have two major stages of formation: the majority crystallized during the first stage (defined as M-stage), forming zoned tourmaline crystals with the cores being generally more Fe, Al, and Mn rich than the rims. During the second stage (defined as L-stage), tourmaline formed as small veins or irregular patches along fractures and cracks in the M-stage tourmaline grains. In the contact metapelites near the granite body, the L-stage tourmalines are more Mg-rich and Fe, Al, Mn depleted than the M-stage tourmalines. In the granites, the L-stage tourmalines have generally similar compositions to those of the M-stage tourmaline rims. The boron isotopic compositions of the M-stage tourmalines vary from - 10.3??? to - 15.4???; with no clear variation between the cores and the rims, however, some of the tourmaline grains from the contact metapelites show a slightly higher ??11B in the cores than in the rims. The L-stage tourmalines have lower ??11B value of - 16.0??? to - 17.1???. We suggest that these trends reflect a changing fluid source from a dominant magmatic-hydrothermal fluid derived from the granites to a late-stage metamorphic fluid derived from the regional metamorphism (chlorite and biotite zone) in the metapelites. The significantly higher Fe3+ in the L-stage than the M-stage tourmalines reflect changing redox conditions towards a more oxidising environment. This redox condition change may have important implications for the hydrothermal tin mineralisation in the area. ?? 2008 Elsevier B.V. All rights reserved.", "author" : [ { "dropping-particle" : "", "family" : "Jiang", "given" : "Shao Yong", "non-dropping-particle" : "", "parse-names" : false, "suffix" : "" }, { "dropping-particle" : "", "family" : "Radvanec", "given" : "Martin", "non-dropping-particle" : "", "parse-names" : false, "suffix" : "" }, { "dropping-particle" : "", "family" : "Nakamura", "given" : "Eizo", "non-dropping-particle" : "", "parse-names" : false, "suffix" : "" }, { "dropping-particle" : "", "family" : "Palmer", "given" : "Martin", "non-dropping-particle" : "", "parse-names" : false, "suffix" : "" }, { "dropping-particle" : "", "family" : "Kobayashi", "given" : "Katsura", "non-dropping-particle" : "", "parse-names" : false, "suffix" : "" }, { "dropping-particle" : "", "family" : "Zhao", "given" : "Hai Xiang", "non-dropping-particle" : "", "parse-names" : false, "suffix" : "" }, { "dropping-particle" : "", "family" : "Zhao", "given" : "Kui Dong", "non-dropping-particle" : "", "parse-names" : false, "suffix" : "" } ], "container-title" : "Lithos", "id" : "ITEM-7", "issue" : "1-2", "issued" : { "date-parts" : [ [ "2008" ] ] }, "page" : "1-11", "publisher" : "Elsevier B.V.", "title" : "Chemical and boron isotopic variations of tourmaline in the Hnilec granite-related hydrothermal system, Slovakia: Constraints on magmatic and metamorphic fluid evolution", "type" : "article-journal", "volume" : "106" }, "uris" : [ "http://www.mendeley.com/documents/?uuid=0d447733-304a-4304-b003-d87256d337bc" ] }, { "id" : "ITEM-8", "itemData" : { "DOI" : "10.1007/s00410-007-0227-3", "ISBN" : "0041000702273", "ISSN" : "00107999", "abstract" : "Tourmaline is widespread in metapelites and pegmatites from the Neoproterozoic Damara Belt, which form the basement and potential source rocks of the Cretaceous Erongo granite. This study traces the B-isotope variations in tourmalines from the basement, from the Erongo granite and from its hydrothermal stage. Tourmalines from the basement are alkali-deficient schorl-dravites, with B-isotope ratios typical for continental crust (\u03b411B average \u22128.4\u2030 \u00b1 1.4, n = 11; one sample at \u221213\u2030, n = 2). Virtually all tourmaline in the Erongo granite occurs in distinctive tourmaline-quartz orbicules. This \u201cmain-stage\u201d tourmaline is alkali-deficient schorl (20\u201330% X-site vacancy, Fe/(Fe + Mg) 0.8\u20131), with uniform B-isotope compositions (\u03b411B \u22128.7\u2030 \u00b1 1.5, n = 49) that are indistinguishable from the basement average, suggesting that boron was derived from anatexis of the local basement rocks with no significant shift in isotopic composition. Secondary, hydrothermal tourmaline in the granite has a bimodal B-isotope distribution with one peak at about \u22129\u2030, like the main-stage tourmaline, and a second at \u22122\u2030. We propose that the tourmaline-rich orbicules formed late in the crystallization history from an immiscible Na\u2013B\u2013Fe-rich hydrous melt. The massive precipitation of orbicular tourmaline nearly exhausted the melt in boron and the shift of \u03b411B to \u22122\u2030 in secondary tourmaline can be explained by Rayleigh fractionation after about 90% B-depletion in the residual fluid.", "author" : [ { "dropping-particle" : "", "family" : "Trumbull", "given" : "R. Bobby", "non-dropping-particle" : "", "parse-names" : false, "suffix" : "" }, { "dropping-particle" : "", "family" : "Krienitz", "given" : "M. S.", "non-dropping-particle" : "", "parse-names" : false, "suffix" : "" }, { "dropping-particle" : "", "family" : "Gottesmann", "given" : "B.", "non-dropping-particle" : "", "parse-names" : false, "suffix" : "" }, { "dropping-particle" : "", "family" : "Wiedenbeck", "given" : "M.", "non-dropping-particle" : "", "parse-names" : false, "suffix" : "" } ], "container-title" : "Contributions to Mineralogy and Petrology", "id" : "ITEM-8", "issue" : "1", "issued" : { "date-parts" : [ [ "2008" ] ] }, "page" : "1-18", "title" : "Chemical and boron-isotope variations in tourmalines from an S-type granite and its source rocks: The Erongo granite and tourmalinites in the Damara Belt, Namibia", "type" : "article-journal", "volume" : "155" }, "uris" : [ "http://www.mendeley.com/documents/?uuid=72c52a9c-d73c-4e1d-ae65-cc0da41bc1a4" ] }, { "id" : "ITEM-9", "itemData" : { "author" : [ { "dropping-particle" : "", "family" : "Beurlen", "given" : "Hartmut", "non-dropping-particle" : "", "parse-names" : false, "suffix" : "" }, { "dropping-particle" : "", "family" : "Trumbull", "given" : "Robert B", "non-dropping-particle" : "", "parse-names" : false, "suffix" : "" }, { "dropping-particle" : "", "family" : "Wiedenbeck", "given" : "Michael", "non-dropping-particle" : "", "parse-names" : false, "suffix" : "" }, { "dropping-particle" : "", "family" : "Soares", "given" : "Dwight R", "non-dropping-particle" : "", "parse-names" : false, "suffix" : "" } ], "container-title" : "PEG 2011", "id" : "ITEM-9", "issued" : { "date-parts" : [ [ "2011" ] ] }, "page" : "37-39", "title" : "Boron-isotope variations in tourmaline from granitic pegmatites of the Borborema pegmatite province, NE-Brazil", "type" : "article-journal", "volume" : "14" }, "uris" : [ "http://www.mendeley.com/documents/?uuid=dac8590e-9906-4269-aa91-518e68161ff4" ] }, { "id" : "ITEM-10", "itemData" : { "DOI" : "10.1016/j.chemgeo.2013.05.021", "ISSN" : "0009-2541", "author" : [ { "dropping-particle" : "", "family" : "Trumbull", "given" : "Robert B", "non-dropping-particle" : "", "parse-names" : false, "suffix" : "" }, { "dropping-particle" : "", "family" : "Beurlen", "given" : "Hartmut", "non-dropping-particle" : "", "parse-names" : false, "suffix" : "" }, { "dropping-particle" : "", "family" : "Wiedenbeck", "given" : "Michael", "non-dropping-particle" : "", "parse-names" : false, "suffix" : "" }, { "dropping-particle" : "", "family" : "Soares", "given" : "Dwight R", "non-dropping-particle" : "", "parse-names" : false, "suffix" : "" } ], "container-title" : "Chemical Geology", "id" : "ITEM-10", "issued" : { "date-parts" : [ [ "2013" ] ] }, "page" : "47-62", "publisher" : "Elsevier B.V.", "title" : "The diversity of B-isotope variations in tourmaline from rare-element pegmatites in the Borborema Province of Brazil", "type" : "article-journal", "volume" : "352" }, "uris" : [ "http://www.mendeley.com/documents/?uuid=42e5d20c-a3f5-4b24-9b2e-8f7ffb58d592" ] }, { "id" : "ITEM-11", "itemData" : { "DOI" : "10.1007/s00410-014-0993-7", "author" : [ { "dropping-particle" : "", "family" : "Costa", "given" : "I. Ribeiro", "non-dropping-particle" : "da", "parse-names" : false, "suffix" : "" }, { "dropping-particle" : "", "family" : "Mourao", "given" : "C.", "non-dropping-particle" : "", "parse-names" : false, "suffix" : "" }, { "dropping-particle" : "", "family" : "Recio", "given" : "C.", "non-dropping-particle" : "", "parse-names" : false, "suffix" : "" }, { "dropping-particle" : "", "family" : "Guimaraes", "given" : "F.", "non-dropping-particle" : "", "parse-names" : false, "suffix" : "" }, { "dropping-particle" : "", "family" : "Antunes", "given" : "I.M.", "non-dropping-particle" : "", "parse-names" : false, "suffix" : "" }, { "dropping-particle" : "", "family" : "Ramos", "given" : "J. Farinha", "non-dropping-particle" : "", "parse-names" : false, "suffix" : "" }, { "dropping-particle" : "", "family" : "Barriga", "given" : "F.J.A.S.", "non-dropping-particle" : "", "parse-names" : false, "suffix" : "" }, { "dropping-particle" : "", "family" : "Palmer", "given" : "M.R.", "non-dropping-particle" : "", "parse-names" : false, "suffix" : "" }, { "dropping-particle" : "", "family" : "Milton", "given" : "J.A.", "non-dropping-particle" : "", "parse-names" : false, "suffix" : "" } ], "container-title" : "Contributions to Mineralogy and Petrology", "id" : "ITEM-11", "issued" : { "date-parts" : [ [ "2014" ] ] }, "page" : "1-23", "title" : "Tourmaline occurrences within the Penamacor-Monsanto granitic pluton and host-rocks (Central Portugal): genetic implications of crystal-chemical and isotopic features", "type" : "article-journal", "volume" : "167" }, "uris" : [ "http://www.mendeley.com/documents/?uuid=b45eb58b-0b3a-43b5-bd21-9f7adb2578fd" ] }, { "id" : "ITEM-12", "itemData" : { "DOI" : "10.1007/s00410-015-1151-6", "ISSN" : "1432-0967", "author" : [ { "dropping-particle" : "", "family" : "Drivenes", "given" : "Kristian", "non-dropping-particle" : "", "parse-names" : false, "suffix" : "" }, { "dropping-particle" : "", "family" : "Larsen", "given" : "Rune B", "non-dropping-particle" : "", "parse-names" : false, "suffix" : "" }, { "dropping-particle" : "", "family" : "M\u00fcller", "given" : "Axel", "non-dropping-particle" : "", "parse-names" : false, "suffix" : "" }, { "dropping-particle" : "", "family" : "S\u00f8rensen", "given" : "Bj\u00f8rn E", "non-dropping-particle" : "", "parse-names" : false, "suffix" : "" }, { "dropping-particle" : "", "family" : "Wiedenbeck", "given" : "Michael", "non-dropping-particle" : "", "parse-names" : false, "suffix" : "" }, { "dropping-particle" : "", "family" : "Raanes", "given" : "Morten P.", "non-dropping-particle" : "", "parse-names" : false, "suffix" : "" } ], "container-title" : "Contributions to Mineralogy and Petrology", "id" : "ITEM-12", "issue" : "6", "issued" : { "date-parts" : [ [ "2015" ] ] }, "page" : "1-27", "publisher" : "Springer Berlin Heidelberg", "title" : "Late-magmatic immiscibility during batholith formation : assessment of B isotopes and trace elements in tourmaline from the Land \u2019 s End granite , SW England", "type" : "article-journal", "volume" : "169" }, "uris" : [ "http://www.mendeley.com/documents/?uuid=9d1a1f68-89fd-49ef-ac1a-27885f911789" ] }, { "id" : "ITEM-13", "itemData" : { "DOI" : "10.1016/j.chemgeo.2015.10.026", "ISBN" : "0009-2541", "ISSN" : "00092541", "abstract" : "The Miocene Nyalam leucogranites from the South Tibetan Himalaya consist of two-mica leucogranite and tourmaline leucogranite, in which tourmaline is an important constituent in nodular tourmaline-quartz segregations. Within the two-mica leucogranite these nodules display two basic morphologies: rounded (2mg-ro type) and radial or dendritic (2mg-ra type). The nodules in the tourmaline leucogranite share similar textural features with the 2mg-ro type tourmaline nodules, but without the leucocratic halo. Tourmaline crystals in the tourmaline leucogranite display overgrowth textures - most commonly in the form of homogeneous cores (Tg-I type) surrounded by oscillatory-zoned rims (Tg-II type). Based on the petrography, chemical and boron isotopic compositions of the various types of tourmaline, it is hypothesized that the 2mg-ro type tourmaline nodules crystallized during the transition from magmatic to hydrothermal evolution of the granite, while the 2mg-ra type tourmaline nodules likely formed during syn-magmatic crystallization from boron-rich melts. In this hypothesis, the Tg-I type tourmalines also formed during the transitional stage from late magmatic to early hydrothermal process. Tg-II type tourmalines were obviously formed after the Tg-I type tourmaline, and can be attributed to the mixing of juvenile fluids and volatiles coming from the wall rocks to the nodule in a post-magmatic hydrothermal environment where Tg-I type tourmaline has already crystallized. Thus, the origin of the tourmaline nodules is related to the different stages of syn-magmatic crystallization from a B-rich melt, or the subsequent transition from magmatic to hydrothermal environment, or crystallized in the post-magmatic hydrothermal fluids. The average ??11B values of the 2mg-ra type and 2mg-ro type tourmaline are -15.1??? and -14.4???, respectively. The tourmalines in tourmaline leucogranite have slightly higher ??11B values, with the Tg-I type tourmalines averaging -12.5??? and the Tg-II type tourmalines averaging -12.1???. The boron isotopic composition of the tourmalines has implications for the origin of the leucogranites. We suggest that the distinction of the boron isotopic compositions between the source rocks of the two types of leucogranite could account for this boron isotope distinction in tourmalines.", "author" : [ { "dropping-particle" : "", "family" : "Yang", "given" : "Shui Yuan", "non-dropping-particle" : "", "parse-names" : false, "suffix" : "" }, { "dropping-particle" : "", "family" : "Jiang", "given" : "Shao Yong", "non-dropping-particle" : "", "parse-names" : false, "suffix" : "" }, { "dropping-particle" : "", "family" : "Palmer", "given" : "Martin R.", "non-dropping-particle" : "", "parse-names" : false, "suffix" : "" } ], "container-title" : "Chemical Geology", "id" : "ITEM-13", "issued" : { "date-parts" : [ [ "2015" ] ] }, "page" : "102-113", "publisher" : "Elsevier B.V.", "title" : "Chemical and boron isotopic compositions of tourmaline from the Nyalam leucogranites, South Tibetan Himalaya: Implication for their formation from B-rich melt to hydrothermal fluids", "type" : "article-journal", "volume" : "419" }, "uris" : [ "http://www.mendeley.com/documents/?uuid=551a67a6-b9d0-4ee9-9870-95a0cbb96202" ] }, { "id" : "ITEM-14", "itemData" : { "DOI" : "10.1016/j.chemgeo.2015.11.025", "ISSN" : "00092541", "abstract" : "The internal evolution of the Varutr\u00e4sk rare-element pegmatite (Skellefte District, Northern Sweden) has been investigated using stable isotope (B, H, O) geochemistry of tourmaline and coexisting micas, feldspar and quartz. Varutr\u00e4sk is a classic and typical example of highly fractionated LCT-type pegmatites, with a pronounced concentric zoning pattern composed of well-developed border, wall and intermediate zones and a quartz core. The pegmatite displays considerable rare-element enrichment, culminating in the formation of albite-lepidolite and pollucite units in the innermost zones. Major and trace element variations in tourmaline from the main pegmatite zones correlate well with the internal zoning pattern. Mineral compositions record an abrupt change in fractionation trends between the barren outer and intermediate zones and the inner, late-stage assemblages that carry rare-element mineralization. This change is also shown by the B-isotope variations of tourmaline. Early and mid-stage tourmalines record a systematic increase in \u03b411B from -14.6\u2030 to -6.2\u2030 which can be explained by closed-system melt-mineral isotope fractionation whereby crystallization of large amounts of muscovite preferentially removes 10B from the residual melt. In contrast, tourmaline from late-stage assemblages in the inner zones and cross-cutting veinlets shows a reversal in the B isotope trend, with a decrease in \u03b411B from -8\u2030 to -14.1\u2030. This reversal cannot be explained by mineral-melt isotope fractionation, but requires fluid-melt partitioning and partial fluid loss. Hydrogen isotope variations in mica support this model. The systematic increase in \u03b4D from -75\u2030 in the outer zones (muscovite) to -63\u2030 and -53\u2030 in the inner zones (Li-micas) cannot be explained by closed-system variations in temperature or melt-mica fractionation, but it is consistent with late fluid exsolution. Oxygen isotope compositions of tourmaline (\u03b418O from 9.7\u2030 to 11.6\u2030), quartz (13.3\u2030 to 14\u2030) and mica (10.3\u2030 to 11.3\u2030) show good agreement with equilibrium partitioning and yield temperatures in the range 450\u00b0C to 600\u00b0C. Combining this with the stability fields of Li-aluminosilicates petalite and spodumene indicates crystallization pressures of 2-3kbar. Taken together, the stable isotope and mineral chemistry data demonstrate that rare-element enrichment in the innermost fractionated assemblages in the Varutr\u00e4sk pegmatite was associated with the transition from purely magmatic crystallization to conditions \u2026", "author" : [ { "dropping-particle" : "", "family" : "Siegel", "given" : "Karin", "non-dropping-particle" : "", "parse-names" : false, "suffix" : "" }, { "dropping-particle" : "", "family" : "Wagner", "given" : "Thomas", "non-dropping-particle" : "", "parse-names" : false, "suffix" : "" }, { "dropping-particle" : "", "family" : "Trumbull", "given" : "Robert B.", "non-dropping-particle" : "", "parse-names" : false, "suffix" : "" }, { "dropping-particle" : "", "family" : "Jonsson", "given" : "Erik", "non-dropping-particle" : "", "parse-names" : false, "suffix" : "" }, { "dropping-particle" : "", "family" : "Matalin", "given" : "Gabriella", "non-dropping-particle" : "", "parse-names" : false, "suffix" : "" }, { "dropping-particle" : "", "family" : "W\u00e4lle", "given" : "Markus", "non-dropping-particle" : "", "parse-names" : false, "suffix" : "" }, { "dropping-particle" : "", "family" : "Heinrich", "given" : "Christoph A.", "non-dropping-particle" : "", "parse-names" : false, "suffix" : "" } ], "container-title" : "Chemical Geology", "id" : "ITEM-14", "issued" : { "date-parts" : [ [ "2016" ] ] }, "page" : "1-16", "publisher" : "Elsevier B.V.", "title" : "Stable isotope (B, H, O) and mineral-chemistry constraints on the magmatic to hydrothermal evolution of the Varutr\u00e4sk rare-element pegmatite (Northern Sweden)", "type" : "article-journal", "volume" : "421" }, "uris" : [ "http://www.mendeley.com/documents/?uuid=86c56466-e0c4-4297-83f2-ada62f7f82f2" ] } ], "mendeley" : { "formattedCitation" : "(Beurlen et al., 2011; da Costa et al., 2014; Drivenes et al., 2015; Jiang and Palmer, 1998; Jiang et al., 2008, 2003; Pesquera et al., 2005; Siegel et al., 2016; Smith and Yardley, 1996; Tonarini et al., 1998; Trumbull et al., 2013, 2008; Trumbull and Chaussidon, 1999; Yang et al., 2015)", "plainTextFormattedCitation" : "(Beurlen et al., 2011; da Costa et al., 2014; Drivenes et al., 2015; Jiang and Palmer, 1998; Jiang et al., 2008, 2003; Pesquera et al., 2005; Siegel et al., 2016; Smith and Yardley, 1996; Tonarini et al., 1998; Trumbull et al., 2013, 2008; Trumbull and Chaussidon, 1999; Yang et al., 2015)", "previouslyFormattedCitation" : "(Smith and Yardley 1996; Jiang and Palmer 1998; Tonarini et al. 1998; Trumbull and Chaussidon 1999; Jiang et al. 2003, 2008; Pesquera et al. 2005; Trumbull et al. 2008, 2013; Beurlen et al. 2011; da Costa et al. 2014; Yang et al. 2015; Drivenes et al. 2015; Siegel et al. 2016)" }, "properties" : { "noteIndex" : 0 }, "schema" : "https://github.com/citation-style-language/schema/raw/master/csl-citation.json" }</w:instrText>
      </w:r>
      <w:r>
        <w:rPr>
          <w:rFonts w:cs="Times New Roman"/>
        </w:rPr>
        <w:fldChar w:fldCharType="separate"/>
      </w:r>
      <w:r w:rsidR="00266290" w:rsidRPr="00266290">
        <w:rPr>
          <w:rFonts w:cs="Times New Roman"/>
          <w:noProof/>
        </w:rPr>
        <w:t>(Beurlen et al., 2011; da Costa et al., 2014; Drivenes et al., 2015; Jiang and Palmer, 1998; Jiang et al., 2008, 2003; Pesquera et al., 2005; Siegel et al., 2016; Smith and Yardley, 1996; Tonarini et al., 1998; Trumbull et al., 2013, 2008; Trumbull and Chaussidon, 1999; Yang et al., 2015)</w:t>
      </w:r>
      <w:r>
        <w:rPr>
          <w:rFonts w:cs="Times New Roman"/>
        </w:rPr>
        <w:fldChar w:fldCharType="end"/>
      </w:r>
      <w:r w:rsidRPr="003D1B42">
        <w:rPr>
          <w:rFonts w:cs="Times New Roman"/>
        </w:rPr>
        <w:t>. Among these studies, some have reported little or no change in the values of δ</w:t>
      </w:r>
      <w:r w:rsidRPr="003D1B42">
        <w:rPr>
          <w:rFonts w:cs="Times New Roman"/>
          <w:vertAlign w:val="superscript"/>
        </w:rPr>
        <w:t>11</w:t>
      </w:r>
      <w:r w:rsidRPr="003D1B42">
        <w:rPr>
          <w:rFonts w:cs="Times New Roman"/>
        </w:rPr>
        <w:t>B</w:t>
      </w:r>
      <w:r w:rsidRPr="003D1B42">
        <w:rPr>
          <w:rFonts w:cs="Times New Roman"/>
          <w:vertAlign w:val="subscript"/>
        </w:rPr>
        <w:t>Tur</w:t>
      </w:r>
      <w:r w:rsidRPr="003D1B42">
        <w:rPr>
          <w:rFonts w:cs="Times New Roman"/>
        </w:rPr>
        <w:t xml:space="preserve"> from the </w:t>
      </w:r>
      <w:r>
        <w:rPr>
          <w:rFonts w:cs="Times New Roman"/>
        </w:rPr>
        <w:t>juvenile</w:t>
      </w:r>
      <w:r w:rsidRPr="003D1B42">
        <w:rPr>
          <w:rFonts w:cs="Times New Roman"/>
        </w:rPr>
        <w:t xml:space="preserve"> source granites all the way through to tourmaline </w:t>
      </w:r>
      <w:r>
        <w:rPr>
          <w:rFonts w:cs="Times New Roman"/>
        </w:rPr>
        <w:t xml:space="preserve">that </w:t>
      </w:r>
      <w:r w:rsidRPr="003D1B42">
        <w:rPr>
          <w:rFonts w:cs="Times New Roman"/>
        </w:rPr>
        <w:t xml:space="preserve">crystallized in the miarolitic cavities of highly fractionated pegmatites </w:t>
      </w:r>
      <w:r w:rsidRPr="003D1B42">
        <w:rPr>
          <w:rFonts w:cs="Times New Roman"/>
        </w:rPr>
        <w:fldChar w:fldCharType="begin" w:fldLock="1"/>
      </w:r>
      <w:r w:rsidR="00266290">
        <w:rPr>
          <w:rFonts w:cs="Times New Roman"/>
        </w:rPr>
        <w:instrText>ADDIN CSL_CITATION { "citationItems" : [ { "id" : "ITEM-1", "itemData" : { "ISBN" : "0935-1221", "ISSN" : "09351221", "abstract" : "Baron isotopic compositions are found to be nearly uniform within progressive growth sectors of three zoned tourmaline samples, each from a different miarolitic pegmatite on Elba Island. Chemistry (schorl to elbaite) and textures of these samples indicate that they formed from an evolving medium that varied from melt, through melt + vapor, to vapor only assemblages (here designated simply as \"melt/fluid\") with decreasing temperature (ca. 650-300 degrees C). Closed-system crystallization conditions are inferred in two cases whereas, in one case, late fracturing and open-system conditions resulted in development of fibrous schorl overgrowths. The negligible variation in tourmaline isotopic composition (delta(11)B from -9.6 to -8.5 parts per thousand) is tentatively explained in two different ways. In the first case, the isotopic fractionation factor between tourmaline and either fluid-unsaturated melt, fluid-saturated melt, or aqueous fluids is near-constant near Delta(fluid-tour) = 0 (i.e., no isotopic fractionation occurs). In the second case, \"melt/fluid\" composition was increasingly enriched in B-11 due to increasing \"melt/fluid\"-tourmaline isotopic fractionation as temperature dropped. The latter scenario is more consistent with the few presently available experimental data on tourmaline-fluid isotopic fractionation at high temperatures, and implies that evolving magmatic fluids will be relatively enriched in B-11 compared to associated crystalline assemblages.", "author" : [ { "dropping-particle" : "", "family" : "Tonarini", "given" : "Sonia", "non-dropping-particle" : "", "parse-names" : false, "suffix" : "" }, { "dropping-particle" : "", "family" : "Dini", "given" : "A", "non-dropping-particle" : "", "parse-names" : false, "suffix" : "" }, { "dropping-particle" : "", "family" : "Pezzotta", "given" : "Federico", "non-dropping-particle" : "", "parse-names" : false, "suffix" : "" }, { "dropping-particle" : "", "family" : "Leeman", "given" : "William P", "non-dropping-particle" : "", "parse-names" : false, "suffix" : "" } ], "container-title" : "European Journal Of Mineralogy", "id" : "ITEM-1", "issue" : "5", "issued" : { "date-parts" : [ [ "1998" ] ] }, "page" : "941-951", "title" : "Boron isotopic composition of zoned (schorl-elbaite) tourmalines, Mt. Capanne Li-Cs pegmatites, Elba (Italy)", "type" : "article-journal", "volume" : "10" }, "uris" : [ "http://www.mendeley.com/documents/?uuid=fa8ed009-9b16-4d69-9a79-2e39519f39a0" ] } ], "mendeley" : { "formattedCitation" : "(Tonarini et al., 1998)", "plainTextFormattedCitation" : "(Tonarini et al., 1998)", "previouslyFormattedCitation" : "(Tonarini et al. 1998)" }, "properties" : { "noteIndex" : 0 }, "schema" : "https://github.com/citation-style-language/schema/raw/master/csl-citation.json" }</w:instrText>
      </w:r>
      <w:r w:rsidRPr="003D1B42">
        <w:rPr>
          <w:rFonts w:cs="Times New Roman"/>
        </w:rPr>
        <w:fldChar w:fldCharType="separate"/>
      </w:r>
      <w:r w:rsidR="00266290" w:rsidRPr="00266290">
        <w:rPr>
          <w:rFonts w:cs="Times New Roman"/>
          <w:noProof/>
        </w:rPr>
        <w:t>(Tonarini et al., 1998)</w:t>
      </w:r>
      <w:r w:rsidRPr="003D1B42">
        <w:rPr>
          <w:rFonts w:cs="Times New Roman"/>
        </w:rPr>
        <w:fldChar w:fldCharType="end"/>
      </w:r>
      <w:r w:rsidRPr="003D1B42">
        <w:rPr>
          <w:rFonts w:cs="Times New Roman"/>
        </w:rPr>
        <w:t>, whereas in other individual pegmatites, the range of δ</w:t>
      </w:r>
      <w:r w:rsidRPr="003D1B42">
        <w:rPr>
          <w:rFonts w:cs="Times New Roman"/>
          <w:vertAlign w:val="superscript"/>
        </w:rPr>
        <w:t>11</w:t>
      </w:r>
      <w:r w:rsidRPr="003D1B42">
        <w:rPr>
          <w:rFonts w:cs="Times New Roman"/>
        </w:rPr>
        <w:t xml:space="preserve">B values for tourmaline is nearly 20‰ </w:t>
      </w:r>
      <w:r w:rsidRPr="003D1B42">
        <w:rPr>
          <w:rFonts w:cs="Times New Roman"/>
        </w:rPr>
        <w:fldChar w:fldCharType="begin" w:fldLock="1"/>
      </w:r>
      <w:r w:rsidR="00266290">
        <w:rPr>
          <w:rFonts w:cs="Times New Roman"/>
        </w:rPr>
        <w:instrText>ADDIN CSL_CITATION { "citationItems" : [ { "id" : "ITEM-1", "itemData" : { "DOI" : "10.1016/j.chemgeo.2013.05.021", "ISSN" : "0009-2541", "author" : [ { "dropping-particle" : "", "family" : "Trumbull", "given" : "Robert B", "non-dropping-particle" : "", "parse-names" : false, "suffix" : "" }, { "dropping-particle" : "", "family" : "Beurlen", "given" : "Hartmut", "non-dropping-particle" : "", "parse-names" : false, "suffix" : "" }, { "dropping-particle" : "", "family" : "Wiedenbeck", "given" : "Michael", "non-dropping-particle" : "", "parse-names" : false, "suffix" : "" }, { "dropping-particle" : "", "family" : "Soares", "given" : "Dwight R", "non-dropping-particle" : "", "parse-names" : false, "suffix" : "" } ], "container-title" : "Chemical Geology", "id" : "ITEM-1", "issued" : { "date-parts" : [ [ "2013" ] ] }, "page" : "47-62", "publisher" : "Elsevier B.V.", "title" : "The diversity of B-isotope variations in tourmaline from rare-element pegmatites in the Borborema Province of Brazil", "type" : "article-journal", "volume" : "352" }, "uris" : [ "http://www.mendeley.com/documents/?uuid=42e5d20c-a3f5-4b24-9b2e-8f7ffb58d592" ] } ], "mendeley" : { "formattedCitation" : "(Trumbull et al., 2013)", "manualFormatting" : "(Trumbull et al., 2013)", "plainTextFormattedCitation" : "(Trumbull et al., 2013)", "previouslyFormattedCitation" : "(Trumbull et al. 2013)" }, "properties" : { "noteIndex" : 0 }, "schema" : "https://github.com/citation-style-language/schema/raw/master/csl-citation.json" }</w:instrText>
      </w:r>
      <w:r w:rsidRPr="003D1B42">
        <w:rPr>
          <w:rFonts w:cs="Times New Roman"/>
        </w:rPr>
        <w:fldChar w:fldCharType="separate"/>
      </w:r>
      <w:r w:rsidRPr="003D1B42">
        <w:rPr>
          <w:rFonts w:cs="Times New Roman"/>
          <w:noProof/>
        </w:rPr>
        <w:t>(Trumbull et al., 2013)</w:t>
      </w:r>
      <w:r w:rsidRPr="003D1B42">
        <w:rPr>
          <w:rFonts w:cs="Times New Roman"/>
        </w:rPr>
        <w:fldChar w:fldCharType="end"/>
      </w:r>
      <w:r w:rsidRPr="003D1B42">
        <w:rPr>
          <w:rFonts w:cs="Times New Roman"/>
        </w:rPr>
        <w:t>. Where variations in δ</w:t>
      </w:r>
      <w:r w:rsidRPr="003D1B42">
        <w:rPr>
          <w:rFonts w:cs="Times New Roman"/>
          <w:vertAlign w:val="superscript"/>
        </w:rPr>
        <w:t>11</w:t>
      </w:r>
      <w:r w:rsidRPr="003D1B42">
        <w:rPr>
          <w:rFonts w:cs="Times New Roman"/>
        </w:rPr>
        <w:t>B</w:t>
      </w:r>
      <w:r w:rsidRPr="003D1B42">
        <w:rPr>
          <w:rFonts w:cs="Times New Roman"/>
          <w:vertAlign w:val="subscript"/>
        </w:rPr>
        <w:t>Tur</w:t>
      </w:r>
      <w:r w:rsidRPr="003D1B42">
        <w:rPr>
          <w:rFonts w:cs="Times New Roman"/>
        </w:rPr>
        <w:t xml:space="preserve"> are observed, </w:t>
      </w:r>
      <w:r>
        <w:rPr>
          <w:rFonts w:cs="Times New Roman"/>
        </w:rPr>
        <w:t>they are</w:t>
      </w:r>
      <w:r w:rsidRPr="003D1B42">
        <w:rPr>
          <w:rFonts w:cs="Times New Roman"/>
        </w:rPr>
        <w:t xml:space="preserve"> thought to represent a variety of processes, including</w:t>
      </w:r>
      <w:r>
        <w:rPr>
          <w:rFonts w:cs="Times New Roman"/>
        </w:rPr>
        <w:t xml:space="preserve">: </w:t>
      </w:r>
    </w:p>
    <w:p w:rsidR="00665C0F" w:rsidRDefault="00665C0F" w:rsidP="00665C0F">
      <w:pPr>
        <w:pStyle w:val="ListParagraph"/>
        <w:numPr>
          <w:ilvl w:val="0"/>
          <w:numId w:val="13"/>
        </w:numPr>
        <w:spacing w:after="0" w:line="480" w:lineRule="auto"/>
        <w:contextualSpacing w:val="0"/>
        <w:rPr>
          <w:rFonts w:cs="Times New Roman"/>
        </w:rPr>
      </w:pPr>
      <w:r w:rsidRPr="003D1B42">
        <w:rPr>
          <w:rFonts w:cs="Times New Roman"/>
        </w:rPr>
        <w:t xml:space="preserve">fractional crystallization with concomitant isotopic fractionation between tourmaline, melt and/or aqueous fluid </w:t>
      </w:r>
      <w:r w:rsidRPr="003D1B42">
        <w:rPr>
          <w:rFonts w:cs="Times New Roman"/>
        </w:rPr>
        <w:fldChar w:fldCharType="begin" w:fldLock="1"/>
      </w:r>
      <w:r w:rsidR="00266290">
        <w:rPr>
          <w:rFonts w:cs="Times New Roman"/>
        </w:rPr>
        <w:instrText>ADDIN CSL_CITATION { "citationItems" : [ { "id" : "ITEM-1", "itemData" : { "DOI" : "10.1016/j.chemgeo.2013.05.021", "ISSN" : "0009-2541", "author" : [ { "dropping-particle" : "", "family" : "Trumbull", "given" : "Robert B", "non-dropping-particle" : "", "parse-names" : false, "suffix" : "" }, { "dropping-particle" : "", "family" : "Beurlen", "given" : "Hartmut", "non-dropping-particle" : "", "parse-names" : false, "suffix" : "" }, { "dropping-particle" : "", "family" : "Wiedenbeck", "given" : "Michael", "non-dropping-particle" : "", "parse-names" : false, "suffix" : "" }, { "dropping-particle" : "", "family" : "Soares", "given" : "Dwight R", "non-dropping-particle" : "", "parse-names" : false, "suffix" : "" } ], "container-title" : "Chemical Geology", "id" : "ITEM-1", "issued" : { "date-parts" : [ [ "2013" ] ] }, "page" : "47-62", "publisher" : "Elsevier B.V.", "title" : "The diversity of B-isotope variations in tourmaline from rare-element pegmatites in the Borborema Province of Brazil", "type" : "article-journal", "volume" : "352" }, "uris" : [ "http://www.mendeley.com/documents/?uuid=42e5d20c-a3f5-4b24-9b2e-8f7ffb58d592" ] }, { "id" : "ITEM-2", "itemData" : { "DOI" : "10.1016/j.chemgeo.2015.11.025", "ISSN" : "00092541", "abstract" : "The internal evolution of the Varutr\u00e4sk rare-element pegmatite (Skellefte District, Northern Sweden) has been investigated using stable isotope (B, H, O) geochemistry of tourmaline and coexisting micas, feldspar and quartz. Varutr\u00e4sk is a classic and typical example of highly fractionated LCT-type pegmatites, with a pronounced concentric zoning pattern composed of well-developed border, wall and intermediate zones and a quartz core. The pegmatite displays considerable rare-element enrichment, culminating in the formation of albite-lepidolite and pollucite units in the innermost zones. Major and trace element variations in tourmaline from the main pegmatite zones correlate well with the internal zoning pattern. Mineral compositions record an abrupt change in fractionation trends between the barren outer and intermediate zones and the inner, late-stage assemblages that carry rare-element mineralization. This change is also shown by the B-isotope variations of tourmaline. Early and mid-stage tourmalines record a systematic increase in \u03b411B from -14.6\u2030 to -6.2\u2030 which can be explained by closed-system melt-mineral isotope fractionation whereby crystallization of large amounts of muscovite preferentially removes 10B from the residual melt. In contrast, tourmaline from late-stage assemblages in the inner zones and cross-cutting veinlets shows a reversal in the B isotope trend, with a decrease in \u03b411B from -8\u2030 to -14.1\u2030. This reversal cannot be explained by mineral-melt isotope fractionation, but requires fluid-melt partitioning and partial fluid loss. Hydrogen isotope variations in mica support this model. The systematic increase in \u03b4D from -75\u2030 in the outer zones (muscovite) to -63\u2030 and -53\u2030 in the inner zones (Li-micas) cannot be explained by closed-system variations in temperature or melt-mica fractionation, but it is consistent with late fluid exsolution. Oxygen isotope compositions of tourmaline (\u03b418O from 9.7\u2030 to 11.6\u2030), quartz (13.3\u2030 to 14\u2030) and mica (10.3\u2030 to 11.3\u2030) show good agreement with equilibrium partitioning and yield temperatures in the range 450\u00b0C to 600\u00b0C. Combining this with the stability fields of Li-aluminosilicates petalite and spodumene indicates crystallization pressures of 2-3kbar. Taken together, the stable isotope and mineral chemistry data demonstrate that rare-element enrichment in the innermost fractionated assemblages in the Varutr\u00e4sk pegmatite was associated with the transition from purely magmatic crystallization to conditions \u2026", "author" : [ { "dropping-particle" : "", "family" : "Siegel", "given" : "Karin", "non-dropping-particle" : "", "parse-names" : false, "suffix" : "" }, { "dropping-particle" : "", "family" : "Wagner", "given" : "Thomas", "non-dropping-particle" : "", "parse-names" : false, "suffix" : "" }, { "dropping-particle" : "", "family" : "Trumbull", "given" : "Robert B.", "non-dropping-particle" : "", "parse-names" : false, "suffix" : "" }, { "dropping-particle" : "", "family" : "Jonsson", "given" : "Erik", "non-dropping-particle" : "", "parse-names" : false, "suffix" : "" }, { "dropping-particle" : "", "family" : "Matalin", "given" : "Gabriella", "non-dropping-particle" : "", "parse-names" : false, "suffix" : "" }, { "dropping-particle" : "", "family" : "W\u00e4lle", "given" : "Markus", "non-dropping-particle" : "", "parse-names" : false, "suffix" : "" }, { "dropping-particle" : "", "family" : "Heinrich", "given" : "Christoph A.", "non-dropping-particle" : "", "parse-names" : false, "suffix" : "" } ], "container-title" : "Chemical Geology", "id" : "ITEM-2", "issued" : { "date-parts" : [ [ "2016" ] ] }, "page" : "1-16", "publisher" : "Elsevier B.V.", "title" : "Stable isotope (B, H, O) and mineral-chemistry constraints on the magmatic to hydrothermal evolution of the Varutr\u00e4sk rare-element pegmatite (Northern Sweden)", "type" : "article-journal", "volume" : "421" }, "uris" : [ "http://www.mendeley.com/documents/?uuid=86c56466-e0c4-4297-83f2-ada62f7f82f2" ] } ], "mendeley" : { "formattedCitation" : "(Siegel et al., 2016; Trumbull et al., 2013)", "manualFormatting" : "(Trumbull et al., 2013; Siegel et al., 2016)", "plainTextFormattedCitation" : "(Siegel et al., 2016; Trumbull et al., 2013)", "previouslyFormattedCitation" : "(Trumbull et al. 2013; Siegel et al. 2016)" }, "properties" : { "noteIndex" : 0 }, "schema" : "https://github.com/citation-style-language/schema/raw/master/csl-citation.json" }</w:instrText>
      </w:r>
      <w:r w:rsidRPr="003D1B42">
        <w:rPr>
          <w:rFonts w:cs="Times New Roman"/>
        </w:rPr>
        <w:fldChar w:fldCharType="separate"/>
      </w:r>
      <w:r w:rsidRPr="003D1B42">
        <w:rPr>
          <w:rFonts w:cs="Times New Roman"/>
          <w:noProof/>
        </w:rPr>
        <w:t>(Trumbull et al., 2013; Siegel et al., 2016)</w:t>
      </w:r>
      <w:r w:rsidRPr="003D1B42">
        <w:rPr>
          <w:rFonts w:cs="Times New Roman"/>
        </w:rPr>
        <w:fldChar w:fldCharType="end"/>
      </w:r>
      <w:r w:rsidRPr="003D1B42">
        <w:rPr>
          <w:rFonts w:cs="Times New Roman"/>
        </w:rPr>
        <w:t>,</w:t>
      </w:r>
    </w:p>
    <w:p w:rsidR="00665C0F" w:rsidRDefault="00665C0F" w:rsidP="00665C0F">
      <w:pPr>
        <w:pStyle w:val="ListParagraph"/>
        <w:numPr>
          <w:ilvl w:val="0"/>
          <w:numId w:val="13"/>
        </w:numPr>
        <w:spacing w:after="0" w:line="480" w:lineRule="auto"/>
        <w:contextualSpacing w:val="0"/>
        <w:rPr>
          <w:rFonts w:cs="Times New Roman"/>
        </w:rPr>
      </w:pPr>
      <w:r w:rsidRPr="003D1B42">
        <w:rPr>
          <w:rFonts w:cs="Times New Roman"/>
        </w:rPr>
        <w:lastRenderedPageBreak/>
        <w:t xml:space="preserve">the co-crystallization of micas </w:t>
      </w:r>
      <w:r w:rsidRPr="003D1B42">
        <w:rPr>
          <w:rFonts w:cs="Times New Roman"/>
        </w:rPr>
        <w:fldChar w:fldCharType="begin" w:fldLock="1"/>
      </w:r>
      <w:r w:rsidR="00266290">
        <w:rPr>
          <w:rFonts w:cs="Times New Roman"/>
        </w:rPr>
        <w:instrText>ADDIN CSL_CITATION { "citationItems" : [ { "id" : "ITEM-1", "itemData" : { "DOI" : "10.1016/j.chemgeo.2015.11.025", "ISSN" : "00092541", "abstract" : "The internal evolution of the Varutr\u00e4sk rare-element pegmatite (Skellefte District, Northern Sweden) has been investigated using stable isotope (B, H, O) geochemistry of tourmaline and coexisting micas, feldspar and quartz. Varutr\u00e4sk is a classic and typical example of highly fractionated LCT-type pegmatites, with a pronounced concentric zoning pattern composed of well-developed border, wall and intermediate zones and a quartz core. The pegmatite displays considerable rare-element enrichment, culminating in the formation of albite-lepidolite and pollucite units in the innermost zones. Major and trace element variations in tourmaline from the main pegmatite zones correlate well with the internal zoning pattern. Mineral compositions record an abrupt change in fractionation trends between the barren outer and intermediate zones and the inner, late-stage assemblages that carry rare-element mineralization. This change is also shown by the B-isotope variations of tourmaline. Early and mid-stage tourmalines record a systematic increase in \u03b411B from -14.6\u2030 to -6.2\u2030 which can be explained by closed-system melt-mineral isotope fractionation whereby crystallization of large amounts of muscovite preferentially removes 10B from the residual melt. In contrast, tourmaline from late-stage assemblages in the inner zones and cross-cutting veinlets shows a reversal in the B isotope trend, with a decrease in \u03b411B from -8\u2030 to -14.1\u2030. This reversal cannot be explained by mineral-melt isotope fractionation, but requires fluid-melt partitioning and partial fluid loss. Hydrogen isotope variations in mica support this model. The systematic increase in \u03b4D from -75\u2030 in the outer zones (muscovite) to -63\u2030 and -53\u2030 in the inner zones (Li-micas) cannot be explained by closed-system variations in temperature or melt-mica fractionation, but it is consistent with late fluid exsolution. Oxygen isotope compositions of tourmaline (\u03b418O from 9.7\u2030 to 11.6\u2030), quartz (13.3\u2030 to 14\u2030) and mica (10.3\u2030 to 11.3\u2030) show good agreement with equilibrium partitioning and yield temperatures in the range 450\u00b0C to 600\u00b0C. Combining this with the stability fields of Li-aluminosilicates petalite and spodumene indicates crystallization pressures of 2-3kbar. Taken together, the stable isotope and mineral chemistry data demonstrate that rare-element enrichment in the innermost fractionated assemblages in the Varutr\u00e4sk pegmatite was associated with the transition from purely magmatic crystallization to conditions \u2026", "author" : [ { "dropping-particle" : "", "family" : "Siegel", "given" : "Karin", "non-dropping-particle" : "", "parse-names" : false, "suffix" : "" }, { "dropping-particle" : "", "family" : "Wagner", "given" : "Thomas", "non-dropping-particle" : "", "parse-names" : false, "suffix" : "" }, { "dropping-particle" : "", "family" : "Trumbull", "given" : "Robert B.", "non-dropping-particle" : "", "parse-names" : false, "suffix" : "" }, { "dropping-particle" : "", "family" : "Jonsson", "given" : "Erik", "non-dropping-particle" : "", "parse-names" : false, "suffix" : "" }, { "dropping-particle" : "", "family" : "Matalin", "given" : "Gabriella", "non-dropping-particle" : "", "parse-names" : false, "suffix" : "" }, { "dropping-particle" : "", "family" : "W\u00e4lle", "given" : "Markus", "non-dropping-particle" : "", "parse-names" : false, "suffix" : "" }, { "dropping-particle" : "", "family" : "Heinrich", "given" : "Christoph A.", "non-dropping-particle" : "", "parse-names" : false, "suffix" : "" } ], "container-title" : "Chemical Geology", "id" : "ITEM-1", "issued" : { "date-parts" : [ [ "2016" ] ] }, "page" : "1-16", "publisher" : "Elsevier B.V.", "title" : "Stable isotope (B, H, O) and mineral-chemistry constraints on the magmatic to hydrothermal evolution of the Varutr\u00e4sk rare-element pegmatite (Northern Sweden)", "type" : "article-journal", "volume" : "421" }, "uris" : [ "http://www.mendeley.com/documents/?uuid=86c56466-e0c4-4297-83f2-ada62f7f82f2" ] } ], "mendeley" : { "formattedCitation" : "(Siegel et al., 2016)", "manualFormatting" : "(Siegel et al., 2016)", "plainTextFormattedCitation" : "(Siegel et al., 2016)", "previouslyFormattedCitation" : "(Siegel et al. 2016)" }, "properties" : { "noteIndex" : 0 }, "schema" : "https://github.com/citation-style-language/schema/raw/master/csl-citation.json" }</w:instrText>
      </w:r>
      <w:r w:rsidRPr="003D1B42">
        <w:rPr>
          <w:rFonts w:cs="Times New Roman"/>
        </w:rPr>
        <w:fldChar w:fldCharType="separate"/>
      </w:r>
      <w:r w:rsidRPr="003D1B42">
        <w:rPr>
          <w:rFonts w:cs="Times New Roman"/>
          <w:noProof/>
        </w:rPr>
        <w:t>(Siegel et al., 2016)</w:t>
      </w:r>
      <w:r w:rsidRPr="003D1B42">
        <w:rPr>
          <w:rFonts w:cs="Times New Roman"/>
        </w:rPr>
        <w:fldChar w:fldCharType="end"/>
      </w:r>
      <w:r w:rsidRPr="003D1B42">
        <w:rPr>
          <w:rFonts w:cs="Times New Roman"/>
        </w:rPr>
        <w:t xml:space="preserve"> and borates/borosilicates </w:t>
      </w:r>
      <w:r w:rsidRPr="003D1B42">
        <w:rPr>
          <w:rFonts w:cs="Times New Roman"/>
        </w:rPr>
        <w:fldChar w:fldCharType="begin" w:fldLock="1"/>
      </w:r>
      <w:r w:rsidR="00266290">
        <w:rPr>
          <w:rFonts w:cs="Times New Roman"/>
        </w:rPr>
        <w:instrText>ADDIN CSL_CITATION { "citationItems" : [ { "id" : "ITEM-1", "itemData" : { "author" : [ { "dropping-particle" : "", "family" : "Vito", "given" : "C.", "non-dropping-particle" : "De", "parse-names" : false, "suffix" : "" }, { "dropping-particle" : "", "family" : "Aurisicchio", "given" : "C.", "non-dropping-particle" : "", "parse-names" : false, "suffix" : "" }, { "dropping-particle" : "", "family" : "Ferrini", "given" : "V.", "non-dropping-particle" : "", "parse-names" : false, "suffix" : "" }, { "dropping-particle" : "", "family" : "Pezzotta", "given" : "F.", "non-dropping-particle" : "", "parse-names" : false, "suffix" : "" } ], "container-title" : "International Mineralogical Association Abstract", "id" : "ITEM-1", "issued" : { "date-parts" : [ [ "2002" ] ] }, "page" : "208", "title" : "Chemical composition and B, O and H isotopes of tourmaline from Anjanabonoina pegmatite", "type" : "article-journal" }, "uris" : [ "http://www.mendeley.com/documents/?uuid=9fa4ec63-be04-46d0-bf7c-b0fc420ecd6e" ] }, { "id" : "ITEM-2", "itemData" : { "author" : [ { "dropping-particle" : "", "family" : "Dini", "given" : "A", "non-dropping-particle" : "", "parse-names" : false, "suffix" : "" }, { "dropping-particle" : "", "family" : "Tonarini", "given" : "S", "non-dropping-particle" : "", "parse-names" : false, "suffix" : "" } ], "container-title" : "International Mineralogical Association Abstract", "id" : "ITEM-2", "issued" : { "date-parts" : [ [ "2002" ] ] }, "page" : "205", "title" : "Boron isotope geochemistry: new insights from the study of borates and boro-silicates in granite-pegmatite systems", "type" : "article-journal" }, "uris" : [ "http://www.mendeley.com/documents/?uuid=8917c4e6-df32-4734-a6da-817c7f5364f4" ] }, { "id" : "ITEM-3", "itemData" : { "author" : [ { "dropping-particle" : "", "family" : "Dini", "given" : "A", "non-dropping-particle" : "", "parse-names" : false, "suffix" : "" }, { "dropping-particle" : "", "family" : "Tonarini", "given" : "S", "non-dropping-particle" : "", "parse-names" : false, "suffix" : "" }, { "dropping-particle" : "", "family" : "Pezzotta", "given" : "F.", "non-dropping-particle" : "", "parse-names" : false, "suffix" : "" }, { "dropping-particle" : "", "family" : "Vito", "given" : "C.", "non-dropping-particle" : "De", "parse-names" : false, "suffix" : "" } ], "container-title" : "International Mineralogical Association Abstract", "id" : "ITEM-3", "issued" : { "date-parts" : [ [ "2002" ] ] }, "page" : "210", "title" : "Boron isotopes study of borates and boro-silicates from Anjanabonoina and Tetezantsio pegmatites (Central Madagascar)", "type" : "article-journal" }, "uris" : [ "http://www.mendeley.com/documents/?uuid=b1e4b302-a563-4a3d-8b58-8620df9941f6" ] } ], "mendeley" : { "formattedCitation" : "(De Vito et al., 2002; Dini et al., 2002; Dini and Tonarini, 2002)", "plainTextFormattedCitation" : "(De Vito et al., 2002; Dini et al., 2002; Dini and Tonarini, 2002)", "previouslyFormattedCitation" : "(De Vito et al. 2002; Dini and Tonarini 2002; Dini et al. 2002)" }, "properties" : { "noteIndex" : 0 }, "schema" : "https://github.com/citation-style-language/schema/raw/master/csl-citation.json" }</w:instrText>
      </w:r>
      <w:r w:rsidRPr="003D1B42">
        <w:rPr>
          <w:rFonts w:cs="Times New Roman"/>
        </w:rPr>
        <w:fldChar w:fldCharType="separate"/>
      </w:r>
      <w:r w:rsidR="00266290" w:rsidRPr="00266290">
        <w:rPr>
          <w:rFonts w:cs="Times New Roman"/>
          <w:noProof/>
        </w:rPr>
        <w:t>(De Vito et al., 2002; Dini et al., 2002; Dini and Tonarini, 2002)</w:t>
      </w:r>
      <w:r w:rsidRPr="003D1B42">
        <w:rPr>
          <w:rFonts w:cs="Times New Roman"/>
        </w:rPr>
        <w:fldChar w:fldCharType="end"/>
      </w:r>
      <w:r w:rsidRPr="003D1B42">
        <w:rPr>
          <w:rFonts w:cs="Times New Roman"/>
        </w:rPr>
        <w:t xml:space="preserve"> whose B is structurally bound in 4-fold coordination, resulting in a strong preference for </w:t>
      </w:r>
      <w:r w:rsidRPr="003D1B42">
        <w:rPr>
          <w:rFonts w:cs="Times New Roman"/>
          <w:vertAlign w:val="superscript"/>
        </w:rPr>
        <w:t>10</w:t>
      </w:r>
      <w:r w:rsidRPr="003D1B42">
        <w:rPr>
          <w:rFonts w:cs="Times New Roman"/>
        </w:rPr>
        <w:t xml:space="preserve">B over </w:t>
      </w:r>
      <w:r w:rsidRPr="003D1B42">
        <w:rPr>
          <w:rFonts w:cs="Times New Roman"/>
          <w:vertAlign w:val="superscript"/>
        </w:rPr>
        <w:t>11</w:t>
      </w:r>
      <w:r w:rsidRPr="003D1B42">
        <w:rPr>
          <w:rFonts w:cs="Times New Roman"/>
        </w:rPr>
        <w:t>B, and</w:t>
      </w:r>
    </w:p>
    <w:p w:rsidR="00665C0F" w:rsidRPr="00660796" w:rsidRDefault="00665C0F" w:rsidP="00665C0F">
      <w:pPr>
        <w:pStyle w:val="ListParagraph"/>
        <w:numPr>
          <w:ilvl w:val="0"/>
          <w:numId w:val="13"/>
        </w:numPr>
        <w:spacing w:after="240" w:line="480" w:lineRule="auto"/>
        <w:contextualSpacing w:val="0"/>
        <w:rPr>
          <w:rFonts w:cs="Times New Roman"/>
        </w:rPr>
      </w:pPr>
      <w:r w:rsidRPr="003D1B42">
        <w:rPr>
          <w:rFonts w:cs="Times New Roman"/>
        </w:rPr>
        <w:t xml:space="preserve">the influx of fluids from the host rock into the pegmatite </w:t>
      </w:r>
      <w:r w:rsidRPr="003D1B42">
        <w:rPr>
          <w:rFonts w:cs="Times New Roman"/>
        </w:rPr>
        <w:fldChar w:fldCharType="begin" w:fldLock="1"/>
      </w:r>
      <w:r w:rsidR="00266290">
        <w:rPr>
          <w:rFonts w:cs="Times New Roman"/>
        </w:rPr>
        <w:instrText>ADDIN CSL_CITATION { "citationItems" : [ { "id" : "ITEM-1", "itemData" : { "DOI" : "10.1016/j.chemgeo.2013.05.021", "ISSN" : "0009-2541", "author" : [ { "dropping-particle" : "", "family" : "Trumbull", "given" : "Robert B", "non-dropping-particle" : "", "parse-names" : false, "suffix" : "" }, { "dropping-particle" : "", "family" : "Beurlen", "given" : "Hartmut", "non-dropping-particle" : "", "parse-names" : false, "suffix" : "" }, { "dropping-particle" : "", "family" : "Wiedenbeck", "given" : "Michael", "non-dropping-particle" : "", "parse-names" : false, "suffix" : "" }, { "dropping-particle" : "", "family" : "Soares", "given" : "Dwight R", "non-dropping-particle" : "", "parse-names" : false, "suffix" : "" } ], "container-title" : "Chemical Geology", "id" : "ITEM-1", "issued" : { "date-parts" : [ [ "2013" ] ] }, "page" : "47-62", "publisher" : "Elsevier B.V.", "title" : "The diversity of B-isotope variations in tourmaline from rare-element pegmatites in the Borborema Province of Brazil", "type" : "article-journal", "volume" : "352" }, "uris" : [ "http://www.mendeley.com/documents/?uuid=42e5d20c-a3f5-4b24-9b2e-8f7ffb58d592" ] } ], "mendeley" : { "formattedCitation" : "(Trumbull et al., 2013)", "plainTextFormattedCitation" : "(Trumbull et al., 2013)", "previouslyFormattedCitation" : "(Trumbull et al. 2013)" }, "properties" : { "noteIndex" : 0 }, "schema" : "https://github.com/citation-style-language/schema/raw/master/csl-citation.json" }</w:instrText>
      </w:r>
      <w:r w:rsidRPr="003D1B42">
        <w:rPr>
          <w:rFonts w:cs="Times New Roman"/>
        </w:rPr>
        <w:fldChar w:fldCharType="separate"/>
      </w:r>
      <w:r w:rsidR="00266290" w:rsidRPr="00266290">
        <w:rPr>
          <w:rFonts w:cs="Times New Roman"/>
          <w:noProof/>
        </w:rPr>
        <w:t>(Trumbull et al., 2013)</w:t>
      </w:r>
      <w:r w:rsidRPr="003D1B42">
        <w:rPr>
          <w:rFonts w:cs="Times New Roman"/>
        </w:rPr>
        <w:fldChar w:fldCharType="end"/>
      </w:r>
      <w:r w:rsidRPr="003D1B42">
        <w:rPr>
          <w:rFonts w:cs="Times New Roman"/>
        </w:rPr>
        <w:t>.</w:t>
      </w:r>
    </w:p>
    <w:p w:rsidR="00665C0F" w:rsidRDefault="00665C0F" w:rsidP="00874981">
      <w:pPr>
        <w:spacing w:after="240" w:line="480" w:lineRule="auto"/>
        <w:ind w:firstLine="360"/>
        <w:rPr>
          <w:rFonts w:cs="Times New Roman"/>
        </w:rPr>
      </w:pPr>
      <w:r w:rsidRPr="003D1B42">
        <w:rPr>
          <w:rFonts w:cs="Times New Roman"/>
        </w:rPr>
        <w:t>Interpretation of δ</w:t>
      </w:r>
      <w:r w:rsidRPr="003D1B42">
        <w:rPr>
          <w:rFonts w:cs="Times New Roman"/>
          <w:vertAlign w:val="superscript"/>
        </w:rPr>
        <w:t>11</w:t>
      </w:r>
      <w:r w:rsidRPr="003D1B42">
        <w:rPr>
          <w:rFonts w:cs="Times New Roman"/>
        </w:rPr>
        <w:t>B</w:t>
      </w:r>
      <w:r w:rsidRPr="003D1B42">
        <w:rPr>
          <w:rFonts w:cs="Times New Roman"/>
          <w:vertAlign w:val="subscript"/>
        </w:rPr>
        <w:t>Tur</w:t>
      </w:r>
      <w:r w:rsidRPr="003D1B42">
        <w:rPr>
          <w:rFonts w:cs="Times New Roman"/>
        </w:rPr>
        <w:t xml:space="preserve"> values relies upon two precepts: (1) a knowledge of equilibrium boron isotopic fractionation factors, particularly in the system tourmaline-melt-aqueous fluid, and (2) a presumption that the values measured in natural systems are those attained at isotopic equilibrium. Boron isotopic fractionation, Δ</w:t>
      </w:r>
      <w:r w:rsidRPr="003D1B42">
        <w:rPr>
          <w:rFonts w:cs="Times New Roman"/>
          <w:vertAlign w:val="superscript"/>
        </w:rPr>
        <w:t>11</w:t>
      </w:r>
      <w:r w:rsidRPr="003D1B42">
        <w:rPr>
          <w:rFonts w:cs="Times New Roman"/>
        </w:rPr>
        <w:t xml:space="preserve">B, </w:t>
      </w:r>
      <w:r>
        <w:rPr>
          <w:rFonts w:cs="Times New Roman"/>
        </w:rPr>
        <w:t xml:space="preserve">between </w:t>
      </w:r>
      <w:r w:rsidRPr="003D1B42">
        <w:rPr>
          <w:rFonts w:cs="Times New Roman"/>
        </w:rPr>
        <w:t>melt-aqueous solution</w:t>
      </w:r>
      <w:r>
        <w:rPr>
          <w:rFonts w:cs="Times New Roman"/>
        </w:rPr>
        <w:t xml:space="preserve"> has been experimentally measured</w:t>
      </w:r>
      <w:r w:rsidRPr="003D1B42">
        <w:rPr>
          <w:rFonts w:cs="Times New Roman"/>
        </w:rPr>
        <w:t xml:space="preserve"> </w:t>
      </w:r>
      <w:r w:rsidRPr="003D1B42">
        <w:rPr>
          <w:rFonts w:cs="Times New Roman"/>
        </w:rPr>
        <w:fldChar w:fldCharType="begin" w:fldLock="1"/>
      </w:r>
      <w:r w:rsidR="00266290">
        <w:rPr>
          <w:rFonts w:cs="Times New Roman"/>
        </w:rPr>
        <w:instrText>ADDIN CSL_CITATION { "citationItems" : [ { "id" : "ITEM-1",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"ITEM-1", "issue" : "5-6", "issued" : { "date-parts" : [ [ "2002" ] ] }, "page" : "769-774", "title" : "Isotopic and elemental partitioning of boron between hydrous fluid and silicate melt", "type" : "article-journal", "volume" : "87" }, "uris" : [ "http://www.mendeley.com/documents/?uuid=6b1d0590-ae63-44d0-990b-7cd3b5a05b06" ] } ], "mendeley" : { "formattedCitation" : "(Hervig et al., 2002)", "plainTextFormattedCitation" : "(Hervig et al., 2002)", "previouslyFormattedCitation" : "(Hervig et al. 2002)" }, "properties" : { "noteIndex" : 0 }, "schema" : "https://github.com/citation-style-language/schema/raw/master/csl-citation.json" }</w:instrText>
      </w:r>
      <w:r w:rsidRPr="003D1B42">
        <w:rPr>
          <w:rFonts w:cs="Times New Roman"/>
        </w:rPr>
        <w:fldChar w:fldCharType="separate"/>
      </w:r>
      <w:r w:rsidR="00266290" w:rsidRPr="00266290">
        <w:rPr>
          <w:rFonts w:cs="Times New Roman"/>
          <w:noProof/>
        </w:rPr>
        <w:t>(Hervig et al., 2002)</w:t>
      </w:r>
      <w:r w:rsidRPr="003D1B42">
        <w:rPr>
          <w:rFonts w:cs="Times New Roman"/>
        </w:rPr>
        <w:fldChar w:fldCharType="end"/>
      </w:r>
      <w:r>
        <w:rPr>
          <w:rFonts w:cs="Times New Roman"/>
        </w:rPr>
        <w:t xml:space="preserve">, and those results show an enrichment of </w:t>
      </w:r>
      <w:r>
        <w:rPr>
          <w:rFonts w:cs="Times New Roman"/>
          <w:vertAlign w:val="superscript"/>
        </w:rPr>
        <w:t>11</w:t>
      </w:r>
      <w:r>
        <w:rPr>
          <w:rFonts w:cs="Times New Roman"/>
        </w:rPr>
        <w:t>B in aqueous fluid relative to melt; however, t</w:t>
      </w:r>
      <w:r w:rsidRPr="003D1B42">
        <w:rPr>
          <w:rFonts w:cs="Times New Roman"/>
        </w:rPr>
        <w:t xml:space="preserve">he magnitude of </w:t>
      </w:r>
      <w:r>
        <w:rPr>
          <w:rFonts w:cs="Times New Roman"/>
        </w:rPr>
        <w:t>these</w:t>
      </w:r>
      <w:r w:rsidRPr="003D1B42">
        <w:rPr>
          <w:rFonts w:cs="Times New Roman"/>
        </w:rPr>
        <w:t xml:space="preserve"> fractionation factors</w:t>
      </w:r>
      <w:r>
        <w:rPr>
          <w:rFonts w:cs="Times New Roman"/>
        </w:rPr>
        <w:t xml:space="preserve"> </w:t>
      </w:r>
      <w:r w:rsidRPr="003D1B42">
        <w:rPr>
          <w:rFonts w:cs="Times New Roman"/>
        </w:rPr>
        <w:t xml:space="preserve">have </w:t>
      </w:r>
      <w:r>
        <w:rPr>
          <w:rFonts w:cs="Times New Roman"/>
        </w:rPr>
        <w:t xml:space="preserve">been questioned by some scientists </w:t>
      </w:r>
      <w:r w:rsidRPr="003D1B42">
        <w:rPr>
          <w:rFonts w:cs="Times New Roman"/>
        </w:rPr>
        <w:fldChar w:fldCharType="begin" w:fldLock="1"/>
      </w:r>
      <w:r w:rsidR="00266290">
        <w:rPr>
          <w:rFonts w:cs="Times New Roman"/>
        </w:rPr>
        <w:instrText>ADDIN CSL_CITATION { "citationItems" : [ { "id" : "ITEM-1", "itemData" : { "DOI" : "10.1016/j.chemgeo.2013.05.021", "ISSN" : "0009-2541", "author" : [ { "dropping-particle" : "", "family" : "Trumbull", "given" : "Robert B", "non-dropping-particle" : "", "parse-names" : false, "suffix" : "" }, { "dropping-particle" : "", "family" : "Beurlen", "given" : "Hartmut", "non-dropping-particle" : "", "parse-names" : false, "suffix" : "" }, { "dropping-particle" : "", "family" : "Wiedenbeck", "given" : "Michael", "non-dropping-particle" : "", "parse-names" : false, "suffix" : "" }, { "dropping-particle" : "", "family" : "Soares", "given" : "Dwight R", "non-dropping-particle" : "", "parse-names" : false, "suffix" : "" } ], "container-title" : "Chemical Geology", "id" : "ITEM-1", "issued" : { "date-parts" : [ [ "2013" ] ] }, "page" : "47-62", "publisher" : "Elsevier B.V.", "title" : "The diversity of B-isotope variations in tourmaline from rare-element pegmatites in the Borborema Province of Brazil", "type" : "article-journal", "volume" : "352" }, "uris" : [ "http://www.mendeley.com/documents/?uuid=42e5d20c-a3f5-4b24-9b2e-8f7ffb58d592" ] } ], "mendeley" : { "formattedCitation" : "(Trumbull et al., 2013)", "plainTextFormattedCitation" : "(Trumbull et al., 2013)", "previouslyFormattedCitation" : "(Trumbull et al. 2013)" }, "properties" : { "noteIndex" : 0 }, "schema" : "https://github.com/citation-style-language/schema/raw/master/csl-citation.json" }</w:instrText>
      </w:r>
      <w:r w:rsidRPr="003D1B42">
        <w:rPr>
          <w:rFonts w:cs="Times New Roman"/>
        </w:rPr>
        <w:fldChar w:fldCharType="separate"/>
      </w:r>
      <w:r w:rsidR="00266290" w:rsidRPr="00266290">
        <w:rPr>
          <w:rFonts w:cs="Times New Roman"/>
          <w:noProof/>
        </w:rPr>
        <w:t>(Trumbull et al., 2013)</w:t>
      </w:r>
      <w:r w:rsidRPr="003D1B42">
        <w:rPr>
          <w:rFonts w:cs="Times New Roman"/>
        </w:rPr>
        <w:fldChar w:fldCharType="end"/>
      </w:r>
      <w:r w:rsidRPr="003D1B42">
        <w:rPr>
          <w:rFonts w:cs="Times New Roman"/>
        </w:rPr>
        <w:t xml:space="preserve">. </w:t>
      </w:r>
      <w:r>
        <w:rPr>
          <w:rFonts w:cs="Times New Roman"/>
        </w:rPr>
        <w:t>Fractionation factors for the system</w:t>
      </w:r>
      <w:r w:rsidRPr="003D1B42">
        <w:rPr>
          <w:rFonts w:cs="Times New Roman"/>
        </w:rPr>
        <w:t xml:space="preserve"> tourmaline-aqueous solution</w:t>
      </w:r>
      <w:r>
        <w:rPr>
          <w:rFonts w:cs="Times New Roman"/>
        </w:rPr>
        <w:t xml:space="preserve"> have been experimentally measured</w:t>
      </w:r>
      <w:r w:rsidRPr="003D1B42">
        <w:rPr>
          <w:rFonts w:cs="Times New Roman"/>
        </w:rPr>
        <w:t xml:space="preserve"> </w:t>
      </w:r>
      <w:r w:rsidRPr="003D1B42">
        <w:rPr>
          <w:rFonts w:cs="Times New Roman"/>
        </w:rPr>
        <w:fldChar w:fldCharType="begin" w:fldLock="1"/>
      </w:r>
      <w:r w:rsidR="00266290">
        <w:rPr>
          <w:rFonts w:cs="Times New Roman"/>
        </w:rPr>
        <w:instrText>ADDIN CSL_CITATION { "citationItems" : [ { "id" : "ITEM-1", "itemData" : { "DOI" : "http://dx.doi.org/10.1016/0009-2541(92)90209-N", "ISBN" : "0168-9622", "ISSN" : "00092541", "abstract" : "The extent of boron isotope fractionation between tourmaline and aqueous vapor has been determined over theP-T range 50-200 MPa and 350-750\u00b0C. The results show that the extent of fractionation is inversely dependent on temperature. An unusual feature of the reaction is that the isotope fractionation is less of extensive at higher pressures for an equivalent temperature. Due to its refractory nature the experiments involved synthesis of tourmaline from constituents rather than equilibration of the preformed mineral with an isotopically distinct aqueous phase. For this reason we cannot, as yet, be certain whether the pressure effect is the result of equilibrium or kinetic processes.", "author" : [ { "dropping-particle" : "", "family" : "Palmer", "given" : "MR", "non-dropping-particle" : "", "parse-names" : false, "suffix" : "" }, { "dropping-particle" : "", "family" : "London", "given" : "D", "non-dropping-particle" : "", "parse-names" : false, "suffix" : "" }, { "dropping-particle" : "", "family" : "Morgan VI", "given" : "GB", "non-dropping-particle" : "", "parse-names" : false, "suffix" : "" }, { "dropping-particle" : "", "family" : "Babb", "given" : "HA", "non-dropping-particle" : "", "parse-names" : false, "suffix" : "" } ], "container-title" : "Chemical Geology", "id" : "ITEM-1", "issued" : { "date-parts" : [ [ "1992" ] ] }, "page" : "123-129", "title" : "Experimental determination of fractionation of 11B/10B between tourmaline and aqueous vapor: A temperature- and pressure-dependent isotopic system", "type" : "article-journal", "volume" : "101" }, "uris" : [ "http://www.mendeley.com/documents/?uuid=551614f3-36a5-485e-9b7a-dec99baa6926" ] }, { "id" : "ITEM-2", "itemData" : { "DOI" : "10.1007/s00410-008-0285-1", "ISBN" : "0010-7999", "ISSN" : "00107999", "abstract" : "The fractionation of boron isotopes between synthetic dravitic tourmaline and fluid was determined by hydrothermal experiments between 400 and 700 degrees C at 200 MPa and at 500 degrees C, 500 MPa. Tourmaline was crystallized from an oxide mix in presence of water that contained boron in excess. In one series of experiments, [B](fluid)/[B](tour) was 9 after the run; in another series it was 0.1. All experiments produced tourmaline as the sole boron-bearing solid, along with traces of quartz and talc. Powder XRD and Rietveld refinements revealed no significant amounts of tetrahedrally coordinated boron in tourmaline. B-11 always preferentially fractionated into the fluid. For experiments where [B](fluid)/[B](tour) was 9, a consistent temperature-dependent boron isotope fractionation curve resulted, approximated by Delta B-11((tour-fluid)) = -4.20 . [1,000/T (K)] + 3.52; R-2 = 0.77, and valid from 400 to 700 degrees C. No pressure dependence was observed. The fractionation (-2.7 +/- 0.5 parts per thousand at 400 degrees C; and -0.8 +/- 0.5 parts per thousand at 700 degrees C) is much lower than that previously presented by Palmer et al. (1992). Experiments where [B](fluid)/[B](tour) was 0.1 showed a significant larger apparent fractionation of up to -4.7 parts per thousand. In one of these runs, the isotopic composition of handpicked tourmaline crystals of different size varied by 1.3%. This is interpreted as resulting from fractional crystallization of boron isotopes during tourmaline growth due to the small boron reservoir of the fluid relative to tourmaline, thus indicating larger fractionation than observed at equilibrium. The effect is eliminated or minimized in experiments with very high boron excess in the fluid. We therefore suggest that values given by the above relation represent the true equilibrium fractionations.", "author" : [ { "dropping-particle" : "", "family" : "Meyer", "given" : "Christian", "non-dropping-particle" : "", "parse-names" : false, "suffix" : "" }, { "dropping-particle" : "", "family" : "Wunder", "given" : "Bernd", "non-dropping-particle" : "", "parse-names" : false, "suffix" : "" }, { "dropping-particle" : "", "family" : "Meixner", "given" : "Anette", "non-dropping-particle" : "", "parse-names" : false, "suffix" : "" }, { "dropping-particle" : "", "family" : "Romer", "given" : "Rolf L.", "non-dropping-particle" : "", "parse-names" : false, "suffix" : "" }, { "dropping-particle" : "", "family" : "Heinrich", "given" : "Wilhelm", "non-dropping-particle" : "", "parse-names" : false, "suffix" : "" } ], "container-title" : "Contributions to Mineralogy and Petrology", "id" : "ITEM-2", "issue" : "2", "issued" : { "date-parts" : [ [ "2008" ] ] }, "page" : "259-267", "title" : "Boron-isotope fractionation between tourmaline and fluid: An experimental re-investigation", "type" : "article-journal", "volume" : "156" }, "uris" : [ "http://www.mendeley.com/documents/?uuid=02c37c62-9b3e-4dfe-99ce-a807defc9a6f" ] } ], "mendeley" : { "formattedCitation" : "(Meyer et al., 2008; Palmer et al., 1992)", "plainTextFormattedCitation" : "(Meyer et al., 2008; Palmer et al., 1992)", "previouslyFormattedCitation" : "(Palmer et al. 1992; Meyer et al. 2008)" }, "properties" : { "noteIndex" : 0 }, "schema" : "https://github.com/citation-style-language/schema/raw/master/csl-citation.json" }</w:instrText>
      </w:r>
      <w:r w:rsidRPr="003D1B42">
        <w:rPr>
          <w:rFonts w:cs="Times New Roman"/>
        </w:rPr>
        <w:fldChar w:fldCharType="separate"/>
      </w:r>
      <w:r w:rsidR="00266290" w:rsidRPr="00266290">
        <w:rPr>
          <w:rFonts w:cs="Times New Roman"/>
          <w:noProof/>
        </w:rPr>
        <w:t>(Meyer et al., 2008; Palmer et al., 1992)</w:t>
      </w:r>
      <w:r w:rsidRPr="003D1B42">
        <w:rPr>
          <w:rFonts w:cs="Times New Roman"/>
        </w:rPr>
        <w:fldChar w:fldCharType="end"/>
      </w:r>
      <w:r w:rsidRPr="003D1B42">
        <w:rPr>
          <w:rFonts w:cs="Times New Roman"/>
        </w:rPr>
        <w:t xml:space="preserve"> and</w:t>
      </w:r>
      <w:r>
        <w:rPr>
          <w:rFonts w:cs="Times New Roman"/>
        </w:rPr>
        <w:t xml:space="preserve"> calculated using </w:t>
      </w:r>
      <w:r>
        <w:rPr>
          <w:rFonts w:cs="Times New Roman"/>
          <w:i/>
          <w:iCs/>
        </w:rPr>
        <w:t>ab initio</w:t>
      </w:r>
      <w:r>
        <w:rPr>
          <w:rFonts w:cs="Times New Roman"/>
        </w:rPr>
        <w:t xml:space="preserve"> first principles methods (</w:t>
      </w:r>
      <w:r>
        <w:rPr>
          <w:rFonts w:cs="Times New Roman"/>
        </w:rPr>
        <w:fldChar w:fldCharType="begin" w:fldLock="1"/>
      </w:r>
      <w:r w:rsidR="00266290">
        <w:rPr>
          <w:rFonts w:cs="Times New Roman"/>
        </w:rPr>
        <w:instrText>ADDIN CSL_CITATION { "citationItems" : [ { "id" : "ITEM-1", "itemData" : { "DOI" : "10.1016/j.gca.2012.10.007", "ISSN" : "0016-7037", "author" : [ { "dropping-particle" : "", "family" : "Kowalski", "given" : "Piotr M", "non-dropping-particle" : "", "parse-names" : false, "suffix" : "" }, { "dropping-particle" : "", "family" : "Wunder", "given" : "Bernd", "non-dropping-particle" : "", "parse-names" : false, "suffix" : "" }, { "dropping-particle" : "", "family" : "Jahn", "given" : "Sandro", "non-dropping-particle" : "", "parse-names" : false, "suffix" : "" } ], "container-title" : "Geochimica et Cosmochimica Acta", "id" : "ITEM-1", "issued" : { "date-parts" : [ [ "2013" ] ] }, "page" : "285-301", "publisher" : "Elsevier Ltd", "title" : "Ab initio prediction of equilibrium boron isotope fractionation between minerals and aqueous fluids at high P and T", "type" : "article-journal", "volume" : "101" }, "uris" : [ "http://www.mendeley.com/documents/?uuid=2b6916a8-729a-4980-908b-d7815713dbe1" ] } ], "mendeley" : { "formattedCitation" : "(Kowalski et al., 2013)", "manualFormatting" : "Kowalski et al. 2013)", "plainTextFormattedCitation" : "(Kowalski et al., 2013)", "previouslyFormattedCitation" : "(Kowalski et al. 2013)" }, "properties" : { "noteIndex" : 0 }, "schema" : "https://github.com/citation-style-language/schema/raw/master/csl-citation.json" }</w:instrText>
      </w:r>
      <w:r>
        <w:rPr>
          <w:rFonts w:cs="Times New Roman"/>
        </w:rPr>
        <w:fldChar w:fldCharType="separate"/>
      </w:r>
      <w:r>
        <w:rPr>
          <w:rFonts w:cs="Times New Roman"/>
          <w:noProof/>
        </w:rPr>
        <w:t xml:space="preserve">Kowalski et al. </w:t>
      </w:r>
      <w:r w:rsidRPr="003D1B42">
        <w:rPr>
          <w:rFonts w:cs="Times New Roman"/>
          <w:noProof/>
        </w:rPr>
        <w:t>2013)</w:t>
      </w:r>
      <w:r>
        <w:rPr>
          <w:rFonts w:cs="Times New Roman"/>
        </w:rPr>
        <w:fldChar w:fldCharType="end"/>
      </w:r>
      <w:r>
        <w:rPr>
          <w:rFonts w:cs="Times New Roman"/>
        </w:rPr>
        <w:t>.</w:t>
      </w:r>
      <w:r w:rsidRPr="003D1B42">
        <w:rPr>
          <w:rFonts w:cs="Times New Roman"/>
        </w:rPr>
        <w:t xml:space="preserve"> Though differences in experimental techniques have produced uncertainties regarding the absolute values of fractionation in the system tourmaline-aqueous solution, there is consensus that the fractionation of boron’s isotopes between tourmaline-aqueous solution will yield an isotopically heavy solution. Fractionation in the system tourmaline-melt r</w:t>
      </w:r>
      <w:r>
        <w:rPr>
          <w:rFonts w:cs="Times New Roman"/>
        </w:rPr>
        <w:t xml:space="preserve">emains completely undocumented. </w:t>
      </w:r>
    </w:p>
    <w:p w:rsidR="00665C0F" w:rsidRPr="003D1B42" w:rsidRDefault="00665C0F" w:rsidP="00874981">
      <w:pPr>
        <w:spacing w:after="240" w:line="480" w:lineRule="auto"/>
        <w:ind w:firstLine="720"/>
        <w:rPr>
          <w:rFonts w:cs="Times New Roman"/>
        </w:rPr>
      </w:pPr>
      <w:r>
        <w:rPr>
          <w:rFonts w:cs="Times New Roman"/>
        </w:rPr>
        <w:t xml:space="preserve">In summary, the boron isotopic composition of tourmaline may provide information on the processes by which granites and pegmatites crystallize. However, uncertainties in boron isotopic </w:t>
      </w:r>
      <w:r w:rsidRPr="003D1B42">
        <w:rPr>
          <w:rFonts w:cs="Times New Roman"/>
        </w:rPr>
        <w:t xml:space="preserve">fractionation </w:t>
      </w:r>
      <w:r>
        <w:rPr>
          <w:rFonts w:cs="Times New Roman"/>
        </w:rPr>
        <w:t>factors among</w:t>
      </w:r>
      <w:r w:rsidRPr="003D1B42">
        <w:rPr>
          <w:rFonts w:cs="Times New Roman"/>
        </w:rPr>
        <w:t xml:space="preserve"> tourmaline-granitic melt-aqueous solution </w:t>
      </w:r>
      <w:r>
        <w:rPr>
          <w:rFonts w:cs="Times New Roman"/>
        </w:rPr>
        <w:t xml:space="preserve">hinder </w:t>
      </w:r>
      <w:r w:rsidRPr="003D1B42">
        <w:rPr>
          <w:rFonts w:cs="Times New Roman"/>
        </w:rPr>
        <w:t xml:space="preserve">interpretations </w:t>
      </w:r>
      <w:r>
        <w:rPr>
          <w:rFonts w:cs="Times New Roman"/>
        </w:rPr>
        <w:t xml:space="preserve">of the </w:t>
      </w:r>
      <w:r w:rsidRPr="003D1B42">
        <w:rPr>
          <w:rFonts w:cs="Times New Roman"/>
        </w:rPr>
        <w:t xml:space="preserve">boron isotopic compositions of tourmaline </w:t>
      </w:r>
      <w:r w:rsidRPr="003D1B42">
        <w:rPr>
          <w:rFonts w:cs="Times New Roman"/>
        </w:rPr>
        <w:lastRenderedPageBreak/>
        <w:t>from granites or pegmatites.</w:t>
      </w:r>
      <w:r>
        <w:rPr>
          <w:rFonts w:cs="Times New Roman"/>
        </w:rPr>
        <w:t xml:space="preserve"> Until those uncertainties are resolved via carefully executed experiments, s</w:t>
      </w:r>
      <w:r w:rsidRPr="003D1B42">
        <w:rPr>
          <w:rFonts w:cs="Times New Roman"/>
        </w:rPr>
        <w:t>ystematic and thorough sampling of tourmaline from pegmatites and accurate boron isotopic analyses are still essential toward advancing a growing knowledge of boron isotopic compositions of tourmaline from pegmatites.</w:t>
      </w:r>
    </w:p>
    <w:p w:rsidR="00665C0F" w:rsidRPr="002018A9" w:rsidRDefault="002018A9" w:rsidP="002018A9">
      <w:pPr>
        <w:pStyle w:val="Heading3"/>
        <w:spacing w:line="480" w:lineRule="auto"/>
        <w:rPr>
          <w:rFonts w:cs="Times New Roman"/>
          <w:bCs/>
        </w:rPr>
      </w:pPr>
      <w:bookmarkStart w:id="11" w:name="_Toc491245978"/>
      <w:r>
        <w:rPr>
          <w:rFonts w:cs="Times New Roman"/>
          <w:bCs/>
        </w:rPr>
        <w:t>1.1</w:t>
      </w:r>
      <w:r w:rsidR="00A24071">
        <w:rPr>
          <w:rFonts w:cs="Times New Roman"/>
          <w:bCs/>
        </w:rPr>
        <w:t>.</w:t>
      </w:r>
      <w:r>
        <w:rPr>
          <w:rFonts w:cs="Times New Roman"/>
          <w:bCs/>
        </w:rPr>
        <w:t xml:space="preserve"> </w:t>
      </w:r>
      <w:r w:rsidR="00665C0F" w:rsidRPr="002018A9">
        <w:rPr>
          <w:rFonts w:cs="Times New Roman"/>
          <w:bCs/>
        </w:rPr>
        <w:t>Goal of This Study</w:t>
      </w:r>
      <w:bookmarkEnd w:id="11"/>
    </w:p>
    <w:p w:rsidR="00665C0F" w:rsidRDefault="00665C0F" w:rsidP="00874981">
      <w:pPr>
        <w:spacing w:after="0" w:line="480" w:lineRule="auto"/>
        <w:ind w:firstLine="360"/>
        <w:rPr>
          <w:rFonts w:cs="Times New Roman"/>
        </w:rPr>
      </w:pPr>
      <w:r>
        <w:rPr>
          <w:rFonts w:cs="Times New Roman"/>
        </w:rPr>
        <w:t>The goal of this study is</w:t>
      </w:r>
      <w:r w:rsidRPr="003D1B42">
        <w:rPr>
          <w:rFonts w:cs="Times New Roman"/>
        </w:rPr>
        <w:t xml:space="preserve"> to measure the boron isotopic composition of </w:t>
      </w:r>
      <w:r>
        <w:rPr>
          <w:rFonts w:cs="Times New Roman"/>
        </w:rPr>
        <w:t>borosilicate and borate minerals</w:t>
      </w:r>
      <w:r w:rsidRPr="003D1B42">
        <w:rPr>
          <w:rFonts w:cs="Times New Roman"/>
        </w:rPr>
        <w:t xml:space="preserve"> in the pegmatites </w:t>
      </w:r>
      <w:r>
        <w:rPr>
          <w:rFonts w:cs="Times New Roman"/>
        </w:rPr>
        <w:t xml:space="preserve">(names Main, Swamp, and Spessartine) </w:t>
      </w:r>
      <w:r w:rsidRPr="003D1B42">
        <w:rPr>
          <w:rFonts w:cs="Times New Roman"/>
        </w:rPr>
        <w:t xml:space="preserve">of the Little Three mine with the principal aims of </w:t>
      </w:r>
    </w:p>
    <w:p w:rsidR="00665C0F" w:rsidRDefault="00665C0F" w:rsidP="00665C0F">
      <w:pPr>
        <w:pStyle w:val="ListParagraph"/>
        <w:numPr>
          <w:ilvl w:val="0"/>
          <w:numId w:val="14"/>
        </w:numPr>
        <w:spacing w:after="0" w:line="480" w:lineRule="auto"/>
        <w:contextualSpacing w:val="0"/>
        <w:rPr>
          <w:rFonts w:cs="Times New Roman"/>
        </w:rPr>
      </w:pPr>
      <w:r>
        <w:rPr>
          <w:rFonts w:cs="Times New Roman"/>
        </w:rPr>
        <w:t xml:space="preserve">using the boron isotopic composition of each pegmatite </w:t>
      </w:r>
      <w:r w:rsidRPr="00660796">
        <w:rPr>
          <w:rFonts w:cs="Times New Roman"/>
        </w:rPr>
        <w:t>to ascertain the likely source of the boron component of these pegmatites</w:t>
      </w:r>
      <w:r>
        <w:rPr>
          <w:rFonts w:cs="Times New Roman"/>
        </w:rPr>
        <w:t>, and</w:t>
      </w:r>
      <w:r w:rsidRPr="00660796">
        <w:rPr>
          <w:rFonts w:cs="Times New Roman"/>
        </w:rPr>
        <w:t xml:space="preserve"> </w:t>
      </w:r>
    </w:p>
    <w:p w:rsidR="00665C0F" w:rsidRPr="00660796" w:rsidRDefault="00665C0F" w:rsidP="00665C0F">
      <w:pPr>
        <w:pStyle w:val="ListParagraph"/>
        <w:numPr>
          <w:ilvl w:val="0"/>
          <w:numId w:val="14"/>
        </w:numPr>
        <w:spacing w:after="0" w:line="480" w:lineRule="auto"/>
        <w:contextualSpacing w:val="0"/>
        <w:rPr>
          <w:rFonts w:cs="Times New Roman"/>
        </w:rPr>
      </w:pPr>
      <w:r w:rsidRPr="00660796">
        <w:rPr>
          <w:rFonts w:cs="Times New Roman"/>
        </w:rPr>
        <w:t xml:space="preserve">interpreting the fractionation of boron’s isotopes from margin to miarolitic cavities </w:t>
      </w:r>
      <w:r>
        <w:rPr>
          <w:rFonts w:cs="Times New Roman"/>
        </w:rPr>
        <w:t>using the boron isotopic composition of tourmaline</w:t>
      </w:r>
      <w:r w:rsidRPr="00660796">
        <w:rPr>
          <w:rFonts w:cs="Times New Roman"/>
        </w:rPr>
        <w:t xml:space="preserve">. </w:t>
      </w:r>
    </w:p>
    <w:p w:rsidR="00665C0F" w:rsidRPr="00F835BD" w:rsidRDefault="00665C0F" w:rsidP="00874981">
      <w:pPr>
        <w:spacing w:after="240" w:line="480" w:lineRule="auto"/>
        <w:ind w:firstLine="360"/>
        <w:rPr>
          <w:rFonts w:cs="Times New Roman"/>
        </w:rPr>
      </w:pPr>
      <w:r w:rsidRPr="003D1B42">
        <w:rPr>
          <w:rFonts w:cs="Times New Roman"/>
        </w:rPr>
        <w:t xml:space="preserve">The pegmatites of the Little Three mine near Ramona, California, are ideally suited for </w:t>
      </w:r>
      <w:r>
        <w:rPr>
          <w:rFonts w:cs="Times New Roman"/>
        </w:rPr>
        <w:t>this task</w:t>
      </w:r>
      <w:r w:rsidRPr="003D1B42">
        <w:rPr>
          <w:rFonts w:cs="Times New Roman"/>
        </w:rPr>
        <w:t xml:space="preserve">. The pegmatites have been shown by </w:t>
      </w:r>
      <w:r w:rsidRPr="003D1B42">
        <w:rPr>
          <w:rFonts w:cs="Times New Roman"/>
        </w:rPr>
        <w:fldChar w:fldCharType="begin" w:fldLock="1"/>
      </w:r>
      <w:r w:rsidR="00266290">
        <w:rPr>
          <w:rFonts w:cs="Times New Roman"/>
        </w:rPr>
        <w:instrText>ADDIN CSL_CITATION { "citationItems" : [ { "id" : "ITEM-1", "itemData" : { "DOI" : "10.3749/canmin.50.4.1025", "ISSN" : "00084476", "abstract" : "Miarolitic granitic pegmatites at the Little Three mine property near Ramona, San Diego County, California, USA, possess a bulk composition that closely matches that of a hydrous peraluminous granitic liquid that is saturated with respect to tourmaline at a temperature of \u223c450\u00b0C. As such, the pegmatites appear to represent the compositions of the silicate liquid from which they crystallized, which contained &lt;1 wt% B2O3 and minor amounts of Li and F. They do not appear to have contained phenocrysts upon emplacement, and they are neither partially cumulate nor hydrothermal in nature. The Little Three pegmatites are, however, sharply zoned. Chemical zonation across one small dike matches the patterns expected from crystallization of undercooled granitic liquids, in which the far-field diffusion of alkalis and local constitutional zone refining of fluxing and incompatible elements contribute to the chemical and textural changes from the margins inward. Feldspar thermometry records nearly isothermal crystallization at \u223c420\u00b0\u2013430\u00b0C for dikes from 1 to 2.5 m in thickness. Temperatures recorded by feldspars fall toward the miarolitic center of the thicker (Main) dike, but increase to \u223c500\u00b0C in the thinner (Swamp) dike. Fluid inclusions within quartz and topaz from miarolitic cavities of the Main dike contain cryolite, arsenides, arsenates, pollucite, and borates, including Cs borate, the latter of which indicates a higher degree of chemical fractionation than is present in the minerals that line the cavities. Extrapolation along isochores based on the homogenization (200\u00b0\u2013225\u00b0C) of the low-salinity aqueous fluid (&lt;1 equivalent wt% NaCl) to the temperature of feldspar equilibration (240\u00b0\u2013270\u00b0C) with the miarolitic cavity points to hydrostatic entrapment pressures of \u223c50 to 100 MPa, which are unrealistically low. If the isochores are extrapolated to 370\u00b0 \u00b1 20\u00b0C, the temperatures recorded by feldspars in the pegmatite that surrounds the miarolitic pockets, then the entrapment pressure would be \u223c200\u2013250 MPa. Formation of the miarolitic cavities at \u223c370\u00b0C and 200\u2013250 MPa is plausible, as the cavities contain zeolites; therefore, the feldspars within the pockets have recrystallized (re-equilibrated) to an extent that they no longer preserve their original compositions. ", "author" : [ { "dropping-particle" : "", "family" : "London", "given" : "David", "non-dropping-particle" : "", "parse-names" : false, "suffix" : "" }, { "dropping-particle" : "", "family" : "Morganvi", "given" : "George B.", "non-dropping-particle" : "", "parse-names" : false, "suffix" : "" }, { "dropping-particle" : "", "family" : "Paul", "given" : "Kerry A.", "non-dropping-particle" : "", "parse-names" : false, "suffix" : "" }, { "dropping-particle" : "", "family" : "Guttery", "given" : "Brandon M.", "non-dropping-particle" : "", "parse-names" : false, "suffix" : "" } ], "container-title" : "Canadian Mineralogist", "id" : "ITEM-1", "issue" : "4", "issued" : { "date-parts" : [ [ "2012" ] ] }, "page" : "1025-1054", "title" : "Internal evolution of miarolitic granitic pegmatites at the little three Mine, Ramona, California, USA", "type" : "article-journal", "volume" : "50" }, "uris" : [ "http://www.mendeley.com/documents/?uuid=a213218b-05b1-4ed6-8346-161a0a5501f1" ] } ], "mendeley" : { "formattedCitation" : "(London et al., 2012)", "manualFormatting" : "London et al. (2012)", "plainTextFormattedCitation" : "(London et al., 2012)", "previouslyFormattedCitation" : "(London et al. 2012)" }, "properties" : { "noteIndex" : 0 }, "schema" : "https://github.com/citation-style-language/schema/raw/master/csl-citation.json" }</w:instrText>
      </w:r>
      <w:r w:rsidRPr="003D1B42">
        <w:rPr>
          <w:rFonts w:cs="Times New Roman"/>
        </w:rPr>
        <w:fldChar w:fldCharType="separate"/>
      </w:r>
      <w:r w:rsidRPr="003D1B42">
        <w:rPr>
          <w:rFonts w:cs="Times New Roman"/>
          <w:noProof/>
        </w:rPr>
        <w:t>London et al. (2012)</w:t>
      </w:r>
      <w:r w:rsidRPr="003D1B42">
        <w:rPr>
          <w:rFonts w:cs="Times New Roman"/>
        </w:rPr>
        <w:fldChar w:fldCharType="end"/>
      </w:r>
      <w:r w:rsidRPr="003D1B42">
        <w:rPr>
          <w:rFonts w:cs="Times New Roman"/>
        </w:rPr>
        <w:t xml:space="preserve"> and </w:t>
      </w:r>
      <w:r>
        <w:rPr>
          <w:rFonts w:cs="Times New Roman"/>
        </w:rPr>
        <w:fldChar w:fldCharType="begin" w:fldLock="1"/>
      </w:r>
      <w:r w:rsidR="00266290">
        <w:rPr>
          <w:rFonts w:cs="Times New Roman"/>
        </w:rPr>
        <w:instrText>ADDIN CSL_CITATION { "citationItems" : [ { "id" : "ITEM-1", "itemData" : { "DOI" : "10.1007/s004100050541", "ISSN" : "00107999", "author" : [ { "dropping-particle" : "", "family" : "Morgan", "given" : "George B.", "non-dropping-particle" : "", "parse-names" : false, "suffix" : "" }, { "dropping-particle" : "", "family" : "London", "given" : "David", "non-dropping-particle" : "", "parse-names" : false, "suffix" : "" } ], "container-title" : "Contributions to Mineralogy and Petrology", "id" : "ITEM-1", "issue" : "4", "issued" : { "date-parts" : [ [ "1999" ] ] }, "page" : "310-330", "title" : "Crystallization of the Little Three layered pegmatite-aplite dike, Ramona District, California", "type" : "article-journal", "volume" : "136" }, "uris" : [ "http://www.mendeley.com/documents/?uuid=5d1566b0-c89b-4e61-94c5-4a9310a32eb3" ] } ], "mendeley" : { "formattedCitation" : "(Morgan and London, 1999)", "manualFormatting" : "Morgan and  London (1999)", "plainTextFormattedCitation" : "(Morgan and London, 1999)", "previouslyFormattedCitation" : "(Morgan and London 1999)" }, "properties" : { "noteIndex" : 0 }, "schema" : "https://github.com/citation-style-language/schema/raw/master/csl-citation.json" }</w:instrText>
      </w:r>
      <w:r>
        <w:rPr>
          <w:rFonts w:cs="Times New Roman"/>
        </w:rPr>
        <w:fldChar w:fldCharType="separate"/>
      </w:r>
      <w:r w:rsidRPr="003D1B42">
        <w:rPr>
          <w:rFonts w:cs="Times New Roman"/>
          <w:noProof/>
        </w:rPr>
        <w:t xml:space="preserve">Morgan </w:t>
      </w:r>
      <w:r w:rsidR="00525E86">
        <w:rPr>
          <w:rFonts w:cs="Times New Roman"/>
          <w:noProof/>
        </w:rPr>
        <w:t xml:space="preserve">and </w:t>
      </w:r>
      <w:r w:rsidRPr="003D1B42">
        <w:rPr>
          <w:rFonts w:cs="Times New Roman"/>
          <w:noProof/>
        </w:rPr>
        <w:t xml:space="preserve"> London (1999)</w:t>
      </w:r>
      <w:r>
        <w:rPr>
          <w:rFonts w:cs="Times New Roman"/>
        </w:rPr>
        <w:fldChar w:fldCharType="end"/>
      </w:r>
      <w:r w:rsidRPr="003D1B42">
        <w:rPr>
          <w:rFonts w:cs="Times New Roman"/>
        </w:rPr>
        <w:t xml:space="preserve"> to have crystallized nearly isothermally at ~ 450</w:t>
      </w:r>
      <w:r w:rsidRPr="003D1B42">
        <w:rPr>
          <w:rFonts w:cs="Times New Roman"/>
        </w:rPr>
        <w:sym w:font="Symbol" w:char="F0B0"/>
      </w:r>
      <w:r w:rsidRPr="003D1B42">
        <w:rPr>
          <w:rFonts w:cs="Times New Roman"/>
        </w:rPr>
        <w:t>C as essentially closed systems</w:t>
      </w:r>
      <w:r>
        <w:rPr>
          <w:rFonts w:cs="Times New Roman"/>
        </w:rPr>
        <w:t>. T</w:t>
      </w:r>
      <w:r w:rsidRPr="003D1B42">
        <w:rPr>
          <w:rFonts w:cs="Times New Roman"/>
        </w:rPr>
        <w:t xml:space="preserve">he modal mineralogy by zones within the pegmatites </w:t>
      </w:r>
      <w:r>
        <w:rPr>
          <w:rFonts w:cs="Times New Roman"/>
        </w:rPr>
        <w:t>is</w:t>
      </w:r>
      <w:r w:rsidRPr="003D1B42">
        <w:rPr>
          <w:rFonts w:cs="Times New Roman"/>
        </w:rPr>
        <w:t xml:space="preserve"> well-documented. In the present study, we </w:t>
      </w:r>
      <w:r>
        <w:rPr>
          <w:rFonts w:cs="Times New Roman"/>
        </w:rPr>
        <w:t>evaluate</w:t>
      </w:r>
      <w:r w:rsidRPr="003D1B42">
        <w:rPr>
          <w:rFonts w:cs="Times New Roman"/>
        </w:rPr>
        <w:t xml:space="preserve"> δ</w:t>
      </w:r>
      <w:r w:rsidRPr="003D1B42">
        <w:rPr>
          <w:rFonts w:cs="Times New Roman"/>
          <w:vertAlign w:val="superscript"/>
        </w:rPr>
        <w:t>11</w:t>
      </w:r>
      <w:r w:rsidRPr="003D1B42">
        <w:rPr>
          <w:rFonts w:cs="Times New Roman"/>
        </w:rPr>
        <w:t>B</w:t>
      </w:r>
      <w:r w:rsidRPr="003D1B42">
        <w:rPr>
          <w:rFonts w:cs="Times New Roman"/>
          <w:vertAlign w:val="subscript"/>
        </w:rPr>
        <w:t>Tur</w:t>
      </w:r>
      <w:r w:rsidRPr="003D1B42">
        <w:rPr>
          <w:rFonts w:cs="Times New Roman"/>
        </w:rPr>
        <w:t xml:space="preserve"> inward from margins to centers of </w:t>
      </w:r>
      <w:r>
        <w:rPr>
          <w:rFonts w:cs="Times New Roman"/>
        </w:rPr>
        <w:t>the Main and Swamp</w:t>
      </w:r>
      <w:r w:rsidRPr="003D1B42">
        <w:rPr>
          <w:rFonts w:cs="Times New Roman"/>
        </w:rPr>
        <w:t xml:space="preserve"> dikes at the centimeter scale</w:t>
      </w:r>
      <w:r>
        <w:rPr>
          <w:rFonts w:cs="Times New Roman"/>
        </w:rPr>
        <w:t xml:space="preserve"> in oriented samples that constitute continuous sections through both dikes</w:t>
      </w:r>
      <w:r w:rsidRPr="003D1B42">
        <w:rPr>
          <w:rFonts w:cs="Times New Roman"/>
        </w:rPr>
        <w:t xml:space="preserve">. </w:t>
      </w:r>
    </w:p>
    <w:p w:rsidR="00665C0F" w:rsidRPr="0047415D" w:rsidRDefault="002018A9" w:rsidP="002018A9">
      <w:pPr>
        <w:pStyle w:val="Heading2"/>
        <w:spacing w:line="480" w:lineRule="auto"/>
        <w:rPr>
          <w:rFonts w:cs="Times New Roman"/>
          <w:bCs/>
          <w:sz w:val="24"/>
        </w:rPr>
      </w:pPr>
      <w:bookmarkStart w:id="12" w:name="_Toc491245979"/>
      <w:r w:rsidRPr="0047415D">
        <w:rPr>
          <w:rFonts w:cs="Times New Roman"/>
          <w:bCs/>
          <w:sz w:val="24"/>
        </w:rPr>
        <w:lastRenderedPageBreak/>
        <w:t>2. Geology of Pegmatites at the Little Three Mine</w:t>
      </w:r>
      <w:bookmarkEnd w:id="12"/>
    </w:p>
    <w:p w:rsidR="00665C0F" w:rsidRPr="002018A9" w:rsidRDefault="002018A9" w:rsidP="002018A9">
      <w:pPr>
        <w:pStyle w:val="Heading3"/>
        <w:spacing w:line="480" w:lineRule="auto"/>
        <w:rPr>
          <w:rFonts w:cs="Times New Roman"/>
          <w:bCs/>
          <w:iCs/>
        </w:rPr>
      </w:pPr>
      <w:bookmarkStart w:id="13" w:name="_Toc491245980"/>
      <w:r w:rsidRPr="002018A9">
        <w:rPr>
          <w:rFonts w:cs="Times New Roman"/>
          <w:bCs/>
          <w:iCs/>
        </w:rPr>
        <w:t xml:space="preserve">2.1. </w:t>
      </w:r>
      <w:r w:rsidR="00665C0F" w:rsidRPr="002018A9">
        <w:rPr>
          <w:rFonts w:cs="Times New Roman"/>
          <w:bCs/>
          <w:iCs/>
        </w:rPr>
        <w:t>Location, structure, and host rocks.</w:t>
      </w:r>
      <w:bookmarkEnd w:id="13"/>
      <w:r w:rsidR="00665C0F" w:rsidRPr="002018A9">
        <w:rPr>
          <w:rFonts w:cs="Times New Roman"/>
          <w:bCs/>
          <w:iCs/>
        </w:rPr>
        <w:t xml:space="preserve"> </w:t>
      </w:r>
    </w:p>
    <w:p w:rsidR="00665C0F" w:rsidRPr="003D1B42" w:rsidRDefault="00665C0F" w:rsidP="00874981">
      <w:pPr>
        <w:spacing w:after="240" w:line="480" w:lineRule="auto"/>
        <w:ind w:firstLine="720"/>
        <w:rPr>
          <w:rFonts w:cs="Times New Roman"/>
        </w:rPr>
      </w:pPr>
      <w:r w:rsidRPr="003D1B42">
        <w:rPr>
          <w:rFonts w:cs="Times New Roman"/>
        </w:rPr>
        <w:t>The Little Three pegmatite claims (coordinates +33</w:t>
      </w:r>
      <w:r w:rsidRPr="003D1B42">
        <w:rPr>
          <w:rFonts w:cs="Times New Roman"/>
        </w:rPr>
        <w:sym w:font="Symbol" w:char="F0B0"/>
      </w:r>
      <w:r w:rsidRPr="003D1B42">
        <w:rPr>
          <w:rFonts w:cs="Times New Roman"/>
        </w:rPr>
        <w:t xml:space="preserve"> 3’ 28.44”, -116</w:t>
      </w:r>
      <w:r w:rsidRPr="003D1B42">
        <w:rPr>
          <w:rFonts w:cs="Times New Roman"/>
        </w:rPr>
        <w:sym w:font="Symbol" w:char="F0B0"/>
      </w:r>
      <w:r w:rsidRPr="003D1B42">
        <w:rPr>
          <w:rFonts w:cs="Times New Roman"/>
        </w:rPr>
        <w:t xml:space="preserve"> 47’ 31.67”), approximately 7.5 km east of the town of Ramona, California, lie at the southeast end of a swarm of granitic pegmatite dikes. The Main dike contains the thickest section of pegmatite, up to ~ 2.5 meters </w:t>
      </w:r>
      <w:r>
        <w:rPr>
          <w:rFonts w:cs="Times New Roman"/>
        </w:rPr>
        <w:fldChar w:fldCharType="begin" w:fldLock="1"/>
      </w:r>
      <w:r w:rsidR="00266290">
        <w:rPr>
          <w:rFonts w:cs="Times New Roman"/>
        </w:rPr>
        <w:instrText>ADDIN CSL_CITATION { "citationItems" : [ { "id" : "ITEM-1", "itemData" : { "author" : [ { "dropping-particle" : "", "family" : "Stern", "given" : "L.A.", "non-dropping-particle" : "", "parse-names" : false, "suffix" : "" }, { "dropping-particle" : "", "family" : "Brown", "given" : "G.E.", "non-dropping-particle" : "", "parse-names" : false, "suffix" : "" }, { "dropping-particle" : "", "family" : "Bird", "given" : "D.K.", "non-dropping-particle" : "", "parse-names" : false, "suffix" : "" }, { "dropping-particle" : "", "family" : "Jahns", "given" : "R.H.", "non-dropping-particle" : "", "parse-names" : false, "suffix" : "" }, { "dropping-particle" : "", "family" : "Foord", "given" : "E.E.", "non-dropping-particle" : "", "parse-names" : false, "suffix" : "" }, { "dropping-particle" : "", "family" : "Shigley", "given" : "J.E.", "non-dropping-particle" : "", "parse-names" : false, "suffix" : "" }, { "dropping-particle" : "", "family" : "Spaulding, L.B.", "given" : "Jr.", "non-dropping-particle" : "", "parse-names" : false, "suffix" : "" } ], "container-title" : "American Mineralogist", "id" : "ITEM-1", "issued" : { "date-parts" : [ [ "1986" ] ] }, "page" : "406-427", "title" : "Mineralogy and geochemical evolution of the little three pegmatite-aplite layered intrusive, Ramona, California", "type" : "article-journal", "volume" : "71" }, "uris" : [ "http://www.mendeley.com/documents/?uuid=1b80da25-d856-46ad-8aa6-58cc6c2fc4d0" ] }, { "id" : "ITEM-2", "itemData" : { "DOI" : "10.1007/s004100050541", "ISSN" : "00107999", "author" : [ { "dropping-particle" : "", "family" : "Morgan", "given" : "George B.", "non-dropping-particle" : "", "parse-names" : false, "suffix" : "" }, { "dropping-particle" : "", "family" : "London", "given" : "David", "non-dropping-particle" : "", "parse-names" : false, "suffix" : "" } ], "container-title" : "Contributions to Mineralogy and Petrology", "id" : "ITEM-2", "issue" : "4", "issued" : { "date-parts" : [ [ "1999" ] ] }, "page" : "310-330", "title" : "Crystallization of the Little Three layered pegmatite-aplite dike, Ramona District, California", "type" : "article-journal", "volume" : "136" }, "uris" : [ "http://www.mendeley.com/documents/?uuid=5d1566b0-c89b-4e61-94c5-4a9310a32eb3" ] } ], "mendeley" : { "formattedCitation" : "(Morgan and London, 1999; Stern et al., 1986)", "manualFormatting" : "(Morgan and London, 1999; Stern et al., 1986)", "plainTextFormattedCitation" : "(Morgan and London, 1999; Stern et al., 1986)", "previouslyFormattedCitation" : "(Stern et al. 1986; Morgan and London 1999)" }, "properties" : { "noteIndex" : 0 }, "schema" : "https://github.com/citation-style-language/schema/raw/master/csl-citation.json" }</w:instrText>
      </w:r>
      <w:r>
        <w:rPr>
          <w:rFonts w:cs="Times New Roman"/>
        </w:rPr>
        <w:fldChar w:fldCharType="separate"/>
      </w:r>
      <w:r w:rsidRPr="003D1B42">
        <w:rPr>
          <w:rFonts w:cs="Times New Roman"/>
          <w:noProof/>
        </w:rPr>
        <w:t>(Morgan and London, 1999; Stern et al., 1986)</w:t>
      </w:r>
      <w:r>
        <w:rPr>
          <w:rFonts w:cs="Times New Roman"/>
        </w:rPr>
        <w:fldChar w:fldCharType="end"/>
      </w:r>
      <w:r w:rsidRPr="003D1B42">
        <w:rPr>
          <w:rFonts w:cs="Times New Roman"/>
        </w:rPr>
        <w:t xml:space="preserve">, and has been a significant source of fine crystals of topaz, elbaite, lepidolite, feldspar, quartz, hambergite, bismuthian stibiotantalite, and boromuscovite from miarolitic cavities </w:t>
      </w:r>
      <w:r w:rsidRPr="003D1B42">
        <w:rPr>
          <w:rFonts w:cs="Times New Roman"/>
        </w:rPr>
        <w:fldChar w:fldCharType="begin" w:fldLock="1"/>
      </w:r>
      <w:r w:rsidR="00266290">
        <w:rPr>
          <w:rFonts w:cs="Times New Roman"/>
        </w:rPr>
        <w:instrText>ADDIN CSL_CITATION { "citationItems" : [ { "id" : "ITEM-1", "itemData" : { "author" : [ { "dropping-particle" : "", "family" : "Sinkankas", "given" : "J.", "non-dropping-particle" : "", "parse-names" : false, "suffix" : "" } ], "container-title" : "Gems &amp; Gemology", "id" : "ITEM-1", "issued" : { "date-parts" : [ [ "1956" ] ] }, "page" : "367-373", "title" : "Recent gem mining at Ramona, San Diego County, California", "type" : "article-journal", "volume" : "8" }, "uris" : [ "http://www.mendeley.com/documents/?uuid=f4ff7354-941e-4f60-aad8-3fbc508d6bf8" ] }, { "id" : "ITEM-2", "itemData" : { "author" : [ { "dropping-particle" : "", "family" : "Sinkankas", "given" : "J.", "non-dropping-particle" : "", "parse-names" : false, "suffix" : "" } ], "container-title" : "Gems &amp; Gemology", "id" : "ITEM-2", "issued" : { "date-parts" : [ [ "1967" ] ] }, "page" : "34-35", "title" : "Notes on some minerals from San Diego County, California", "type" : "article-journal", "volume" : "363" }, "uris" : [ "http://www.mendeley.com/documents/?uuid=88edf956-ae19-4bb0-ab01-ae3687f54ea4" ] }, { "id" : "ITEM-3", "itemData" : { "author" : [ { "dropping-particle" : "", "family" : "Foord", "given" : "E.E.", "non-dropping-particle" : "", "parse-names" : false, "suffix" : "" } ], "container-title" : "American Mineralogist", "id" : "ITEM-3", "issued" : { "date-parts" : [ [ "1982" ] ] }, "page" : "181-182", "title" : "Bismuthian stibiocolumbite-tantalite and other minerals form the Little Three min, Ramona, California", "type" : "article-journal", "volume" : "67" }, "uris" : [ "http://www.mendeley.com/documents/?uuid=8167f906-36fd-4eb8-af27-32115c017b51" ] }, { "id" : "ITEM-4", "itemData" : { "author" : [ { "dropping-particle" : "", "family" : "Foord", "given" : "E.E.", "non-dropping-particle" : "", "parse-names" : false, "suffix" : "" }, { "dropping-particle" : "", "family" : "Starkey", "given" : "H.C.", "non-dropping-particle" : "", "parse-names" : false, "suffix" : "" }, { "dropping-particle" : "", "family" : "Taggart", "given" : "J.E.", "non-dropping-particle" : "", "parse-names" : false, "suffix" : "" } ], "container-title" : "American Mineralogist", "id" : "ITEM-4", "issued" : { "date-parts" : [ [ "1986" ] ] }, "page" : "428-439", "title" : "Mineralogy and paragenesis of \"pocket\" clays and associated minerals in complex pegmatites", "type" : "article-journal", "volume" : "71" }, "uris" : [ "http://www.mendeley.com/documents/?uuid=cfdd4021-8ceb-420e-9158-7aebf4d957c7" ] }, { "id" : "ITEM-5", "itemData" : { "author" : [ { "dropping-particle" : "", "family" : "Foord", "given" : "E.E.", "non-dropping-particle" : "", "parse-names" : false, "suffix" : "" }, { "dropping-particle" : "", "family" : "Spaulding", "given" : "L.B.", "non-dropping-particle" : "", "parse-names" : false, "suffix" : "" }, { "dropping-particle" : "", "family" : "Martin", "given" : "R.F.", "non-dropping-particle" : "", "parse-names" : false, "suffix" : "" }, { "dropping-particle" : "", "family" : "Mason", "given" : "R.A.", "non-dropping-particle" : "", "parse-names" : false, "suffix" : "" } ], "id" : "ITEM-5", "issued" : { "date-parts" : [ [ "1989" ] ] }, "page" : "101-127", "title" : "Mineralogy and paragenesis of the Little Three mine pegmatites, Ramona district, San Diego County, California", "type" : "article-journal", "volume" : "20" }, "uris" : [ "http://www.mendeley.com/documents/?uuid=6b02425a-3125-4055-a6cc-8ff8f4f3ab64" ] }, { "id" : "ITEM-6", "itemData" : { "author" : [ { "dropping-particle" : "", "family" : "Foord", "given" : "E.E.", "non-dropping-particle" : "", "parse-names" : false, "suffix" : "" }, { "dropping-particle" : "", "family" : "London", "given" : "D.", "non-dropping-particle" : "", "parse-names" : false, "suffix" : "" }, { "dropping-particle" : "", "family" : "Kampf", "given" : "A.R.", "non-dropping-particle" : "", "parse-names" : false, "suffix" : "" }, { "dropping-particle" : "", "family" : "Shigley", "given" : "J.E.", "non-dropping-particle" : "", "parse-names" : false, "suffix" : "" }, { "dropping-particle" : "", "family" : "Snee", "given" : "L W", "non-dropping-particle" : "", "parse-names" : false, "suffix" : "" } ], "container-title" : "In Geological Excursions in Southern California and Mexico", "id" : "ITEM-6", "issued" : { "date-parts" : [ [ "1991" ] ] }, "page" : "128-146", "title" : "Gem-bearing pegmatites of San Diego County, California", "type" : "article-journal" }, "uris" : [ "http://www.mendeley.com/documents/?uuid=6d2b5c86-1365-4274-8210-6c985fb86ead" ] }, { "id" : "ITEM-7", "itemData" : { "author" : [ { "dropping-particle" : "", "family" : "Foord", "given" : "E.E.", "non-dropping-particle" : "", "parse-names" : false, "suffix" : "" }, { "dropping-particle" : "", "family" : "Martin", "given" : "R.F.", "non-dropping-particle" : "", "parse-names" : false, "suffix" : "" }, { "dropping-particle" : "", "family" : "Fitzpatrick", "given" : "J.J.", "non-dropping-particle" : "", "parse-names" : false, "suffix" : "" }, { "dropping-particle" : "", "family" : "Taggart", "given" : "J.E.", "non-dropping-particle" : "", "parse-names" : false, "suffix" : "" }, { "dropping-particle" : "", "family" : "Crock", "given" : "J.G. Jr.", "non-dropping-particle" : "", "parse-names" : false, "suffix" : "" } ], "container-title" : "American Mineralogist", "id" : "ITEM-7", "issued" : { "date-parts" : [ [ "1991" ] ] }, "page" : "1998-2002", "title" : "Boromuscovite, a new member of the mica group, from the Little Three min pegmatite, Ramona district, San Diego County, California", "type" : "article-journal", "volume" : "76" }, "uris" : [ "http://www.mendeley.com/documents/?uuid=58c728db-5e62-4944-b692-96b12d9af185" ] }, { "id" : "ITEM-8", "itemData" : { "author" : [ { "dropping-particle" : "", "family" : "Kordela", "given" : "D.G.", "non-dropping-particle" : "", "parse-names" : false, "suffix" : "" } ], "container-title" : "Rocks &amp; Gems", "id" : "ITEM-8", "issued" : { "date-parts" : [ [ "1990" ] ] }, "page" : "70-72", "title" : "Little Three mine", "type" : "article-journal", "volume" : "20" }, "uris" : [ "http://www.mendeley.com/documents/?uuid=699902c4-ae00-4462-a66c-cbe442b541b6" ] }, { "id" : "ITEM-9", "itemData" : { "author" : [ { "dropping-particle" : "", "family" : "Novak", "given" : "M.", "non-dropping-particle" : "", "parse-names" : false, "suffix" : "" }, { "dropping-particle" : "", "family" : "Burns", "given" : "P.C.", "non-dropping-particle" : "", "parse-names" : false, "suffix" : "" }, { "dropping-particle" : "", "family" : "Morgan", "given" : "George B.", "non-dropping-particle" : "", "parse-names" : false, "suffix" : "" } ], "container-title" : "Canadian Mineralogist", "id" : "ITEM-9", "issued" : { "date-parts" : [ [ "1998" ] ] }, "page" : "441-446", "title" : "Fluorine variations in hambergite from granitic pegmatites", "type" : "article-journal", "volume" : "36" }, "uris" : [ "http://www.mendeley.com/documents/?uuid=ac4246e6-2e64-4301-873a-7fae0897f232" ] }, { "id" : "ITEM-10", "itemData" : { "author" : [ { "dropping-particle" : "", "family" : "Fisher", "given" : "J.", "non-dropping-particle" : "", "parse-names" : false, "suffix" : "" } ], "container-title" : "Mineralogical Record", "id" : "ITEM-10", "issued" : { "date-parts" : [ [ "2002" ] ] }, "page" : "363-407", "title" : "Gem and rare element pegmatites of southern California", "type" : "article-journal", "volume" : "33" }, "uris" : [ "http://www.mendeley.com/documents/?uuid=29314445-ea0f-4668-b6d6-a44c3529913c" ] }, { "id" : "ITEM-11", "itemData" : { "DOI" : "10.1080/00357529.2013.826090", "ISSN" : "0035-7529", "author" : [ { "dropping-particle" : "", "family" : "London", "given" : "David", "non-dropping-particle" : "", "parse-names" : false, "suffix" : "" } ], "container-title" : "Rocks &amp; Minerals", "id" : "ITEM-11", "issue" : "6", "issued" : { "date-parts" : [ [ "2013" ] ] }, "page" : "527-538", "title" : "Crystal-Filled Cavities in Granitic Pegmatites: Bursting the Bubble", "type" : "article-journal", "volume" : "88" }, "uris" : [ "http://www.mendeley.com/documents/?uuid=9acb70be-4d48-4a13-b03b-421187e4c15f" ] } ], "mendeley" : { "formattedCitation" : "(Fisher, 2002; Foord, 1982; Foord et al., 1991a, 1991b, 1989, 1986; Kordela, 1990; London, 2013; Novak et al., 1998; Sinkankas, 1956, 1967)", "plainTextFormattedCitation" : "(Fisher, 2002; Foord, 1982; Foord et al., 1991a, 1991b, 1989, 1986; Kordela, 1990; London, 2013; Novak et al., 1998; Sinkankas, 1956, 1967)", "previouslyFormattedCitation" : "(Sinkankas 1967, 1956; Foord 1982; Foord et al. 1986, 1989, 1991a, 1991b; Kordela 1990; Novak et al. 1998; Fisher 2002; London 2013)" }, "properties" : { "noteIndex" : 0 }, "schema" : "https://github.com/citation-style-language/schema/raw/master/csl-citation.json" }</w:instrText>
      </w:r>
      <w:r w:rsidRPr="003D1B42">
        <w:rPr>
          <w:rFonts w:cs="Times New Roman"/>
        </w:rPr>
        <w:fldChar w:fldCharType="separate"/>
      </w:r>
      <w:r w:rsidR="00266290" w:rsidRPr="00266290">
        <w:rPr>
          <w:rFonts w:cs="Times New Roman"/>
          <w:noProof/>
        </w:rPr>
        <w:t>(Fisher, 2002; Foord, 1982; Foord et al., 1991a, 1991b, 1989, 1986; Kordela, 1990; London, 2013; Novak et al., 1998; Sinkankas, 1956, 1967)</w:t>
      </w:r>
      <w:r w:rsidRPr="003D1B42">
        <w:rPr>
          <w:rFonts w:cs="Times New Roman"/>
        </w:rPr>
        <w:fldChar w:fldCharType="end"/>
      </w:r>
      <w:r w:rsidRPr="003D1B42">
        <w:rPr>
          <w:rFonts w:cs="Times New Roman"/>
        </w:rPr>
        <w:t xml:space="preserve">. The Spessartine claim, with a maximum thickness of ~ 1.5 meters, lies within the same dike as the Hercules claim to the west </w:t>
      </w:r>
      <w:r w:rsidRPr="003D1B42">
        <w:rPr>
          <w:rFonts w:cs="Times New Roman"/>
        </w:rPr>
        <w:fldChar w:fldCharType="begin" w:fldLock="1"/>
      </w:r>
      <w:r w:rsidR="00266290">
        <w:rPr>
          <w:rFonts w:cs="Times New Roman"/>
        </w:rPr>
        <w:instrText>ADDIN CSL_CITATION { "citationItems" : [ { "id" : "ITEM-1", "itemData" : { "author" : [ { "dropping-particle" : "", "family" : "Foord", "given" : "E.E.", "non-dropping-particle" : "", "parse-names" : false, "suffix" : "" }, { "dropping-particle" : "", "family" : "Spaulding", "given" : "L.B.", "non-dropping-particle" : "", "parse-names" : false, "suffix" : "" }, { "dropping-particle" : "", "family" : "Martin", "given" : "R.F.", "non-dropping-particle" : "", "parse-names" : false, "suffix" : "" }, { "dropping-particle" : "", "family" : "Mason", "given" : "R.A.", "non-dropping-particle" : "", "parse-names" : false, "suffix" : "" } ], "id" : "ITEM-1", "issued" : { "date-parts" : [ [ "1989" ] ] }, "page" : "101-127", "title" : "Mineralogy and paragenesis of the Little Three mine pegmatites, Ramona district, San Diego County, California", "type" : "article-journal", "volume" : "20" }, "uris" : [ "http://www.mendeley.com/documents/?uuid=6b02425a-3125-4055-a6cc-8ff8f4f3ab64" ] } ], "mendeley" : { "formattedCitation" : "(Foord et al., 1989)", "plainTextFormattedCitation" : "(Foord et al., 1989)", "previouslyFormattedCitation" : "(Foord et al. 1989)" }, "properties" : { "noteIndex" : 0 }, "schema" : "https://github.com/citation-style-language/schema/raw/master/csl-citation.json" }</w:instrText>
      </w:r>
      <w:r w:rsidRPr="003D1B42">
        <w:rPr>
          <w:rFonts w:cs="Times New Roman"/>
        </w:rPr>
        <w:fldChar w:fldCharType="separate"/>
      </w:r>
      <w:r w:rsidR="00266290" w:rsidRPr="00266290">
        <w:rPr>
          <w:rFonts w:cs="Times New Roman"/>
          <w:noProof/>
        </w:rPr>
        <w:t>(Foord et al., 1989)</w:t>
      </w:r>
      <w:r w:rsidRPr="003D1B42">
        <w:rPr>
          <w:rFonts w:cs="Times New Roman"/>
        </w:rPr>
        <w:fldChar w:fldCharType="end"/>
      </w:r>
      <w:r w:rsidRPr="003D1B42">
        <w:rPr>
          <w:rFonts w:cs="Times New Roman"/>
        </w:rPr>
        <w:t xml:space="preserve">; the Spessartine claim has produced much of the finest gem-quality spessartine found anywhere in the world </w:t>
      </w:r>
      <w:r w:rsidRPr="003D1B42">
        <w:rPr>
          <w:rFonts w:cs="Times New Roman"/>
        </w:rPr>
        <w:fldChar w:fldCharType="begin" w:fldLock="1"/>
      </w:r>
      <w:r w:rsidR="00266290">
        <w:rPr>
          <w:rFonts w:cs="Times New Roman"/>
        </w:rPr>
        <w:instrText>ADDIN CSL_CITATION { "citationItems" : [ { "id" : "ITEM-1", "itemData" : { "author" : [ { "dropping-particle" : "", "family" : "Laurs", "given" : "B.M.", "non-dropping-particle" : "", "parse-names" : false, "suffix" : "" }, { "dropping-particle" : "", "family" : "Knox", "given" : "K.", "non-dropping-particle" : "", "parse-names" : false, "suffix" : "" } ], "container-title" : "Gems &amp; Gemology", "id" : "ITEM-1", "issued" : { "date-parts" : [ [ "2001" ] ] }, "page" : "278-295", "title" : "Spessartine garnet from Ramona, San Diego County, California", "type" : "article-journal", "volume" : "37" }, "uris" : [ "http://www.mendeley.com/documents/?uuid=c10eb90e-4210-4260-ab5e-0afb58065833" ] } ], "mendeley" : { "formattedCitation" : "(Laurs and Knox, 2001)", "plainTextFormattedCitation" : "(Laurs and Knox, 2001)", "previouslyFormattedCitation" : "(Laurs and Knox 2001)" }, "properties" : { "noteIndex" : 0 }, "schema" : "https://github.com/citation-style-language/schema/raw/master/csl-citation.json" }</w:instrText>
      </w:r>
      <w:r w:rsidRPr="003D1B42">
        <w:rPr>
          <w:rFonts w:cs="Times New Roman"/>
        </w:rPr>
        <w:fldChar w:fldCharType="separate"/>
      </w:r>
      <w:r w:rsidR="00266290" w:rsidRPr="00266290">
        <w:rPr>
          <w:rFonts w:cs="Times New Roman"/>
          <w:noProof/>
        </w:rPr>
        <w:t>(Laurs and Knox, 2001)</w:t>
      </w:r>
      <w:r w:rsidRPr="003D1B42">
        <w:rPr>
          <w:rFonts w:cs="Times New Roman"/>
        </w:rPr>
        <w:fldChar w:fldCharType="end"/>
      </w:r>
      <w:r w:rsidRPr="003D1B42">
        <w:rPr>
          <w:rFonts w:cs="Times New Roman"/>
        </w:rPr>
        <w:t xml:space="preserve">. The Swamp dike is synonymous with workings described as the Spaulding-Hatfield Creek-Sinkankas dikes in </w:t>
      </w:r>
      <w:r w:rsidRPr="003D1B42">
        <w:rPr>
          <w:rFonts w:cs="Times New Roman"/>
        </w:rPr>
        <w:fldChar w:fldCharType="begin" w:fldLock="1"/>
      </w:r>
      <w:r w:rsidR="00266290">
        <w:rPr>
          <w:rFonts w:cs="Times New Roman"/>
        </w:rPr>
        <w:instrText>ADDIN CSL_CITATION { "citationItems" : [ { "id" : "ITEM-1", "itemData" : { "author" : [ { "dropping-particle" : "", "family" : "Foord", "given" : "E.E.", "non-dropping-particle" : "", "parse-names" : false, "suffix" : "" }, { "dropping-particle" : "", "family" : "Spaulding", "given" : "L.B.", "non-dropping-particle" : "", "parse-names" : false, "suffix" : "" }, { "dropping-particle" : "", "family" : "Martin", "given" : "R.F.", "non-dropping-particle" : "", "parse-names" : false, "suffix" : "" }, { "dropping-particle" : "", "family" : "Mason", "given" : "R.A.", "non-dropping-particle" : "", "parse-names" : false, "suffix" : "" } ], "id" : "ITEM-1", "issued" : { "date-parts" : [ [ "1989" ] ] }, "page" : "101-127", "title" : "Mineralogy and paragenesis of the Little Three mine pegmatites, Ramona district, San Diego County, California", "type" : "article-journal", "volume" : "20" }, "uris" : [ "http://www.mendeley.com/documents/?uuid=6b02425a-3125-4055-a6cc-8ff8f4f3ab64" ] } ], "mendeley" : { "formattedCitation" : "(Foord et al., 1989)", "manualFormatting" : "Foord et al. (1989)", "plainTextFormattedCitation" : "(Foord et al., 1989)", "previouslyFormattedCitation" : "(Foord et al. 1989)" }, "properties" : { "noteIndex" : 0 }, "schema" : "https://github.com/citation-style-language/schema/raw/master/csl-citation.json" }</w:instrText>
      </w:r>
      <w:r w:rsidRPr="003D1B42">
        <w:rPr>
          <w:rFonts w:cs="Times New Roman"/>
        </w:rPr>
        <w:fldChar w:fldCharType="separate"/>
      </w:r>
      <w:r w:rsidRPr="003D1B42">
        <w:rPr>
          <w:rFonts w:cs="Times New Roman"/>
          <w:noProof/>
        </w:rPr>
        <w:t>Foord et al. (1989)</w:t>
      </w:r>
      <w:r w:rsidRPr="003D1B42">
        <w:rPr>
          <w:rFonts w:cs="Times New Roman"/>
        </w:rPr>
        <w:fldChar w:fldCharType="end"/>
      </w:r>
      <w:r w:rsidRPr="003D1B42">
        <w:rPr>
          <w:rFonts w:cs="Times New Roman"/>
        </w:rPr>
        <w:t xml:space="preserve">. Other small, unnamed pegmatite dikes occur on the property. </w:t>
      </w:r>
    </w:p>
    <w:p w:rsidR="00665C0F" w:rsidRDefault="00665C0F" w:rsidP="00874981">
      <w:pPr>
        <w:spacing w:after="240" w:line="480" w:lineRule="auto"/>
        <w:ind w:firstLine="720"/>
        <w:rPr>
          <w:rFonts w:cs="Times New Roman"/>
        </w:rPr>
      </w:pPr>
      <w:r w:rsidRPr="003D1B42">
        <w:rPr>
          <w:rFonts w:cs="Times New Roman"/>
        </w:rPr>
        <w:t>These dikes have a ~N45</w:t>
      </w:r>
      <w:r w:rsidRPr="003D1B42">
        <w:rPr>
          <w:rFonts w:cs="Times New Roman"/>
        </w:rPr>
        <w:sym w:font="Symbol" w:char="F0B0"/>
      </w:r>
      <w:r w:rsidRPr="003D1B42">
        <w:rPr>
          <w:rFonts w:cs="Times New Roman"/>
        </w:rPr>
        <w:t>W strike, have outcrop with widths on the order of a few meters, and strike at lengths of up to ~ 1.5 km of continuous exposure. The dip of each pegmatite varies from subhorizontal to ~ 70</w:t>
      </w:r>
      <w:r w:rsidRPr="003D1B42">
        <w:rPr>
          <w:rFonts w:cs="Times New Roman"/>
        </w:rPr>
        <w:sym w:font="Symbol" w:char="F0B0"/>
      </w:r>
      <w:r w:rsidRPr="003D1B42">
        <w:rPr>
          <w:rFonts w:cs="Times New Roman"/>
        </w:rPr>
        <w:t xml:space="preserve"> to the southwest </w:t>
      </w:r>
      <w:r w:rsidRPr="003D1B42">
        <w:rPr>
          <w:rFonts w:cs="Times New Roman"/>
        </w:rPr>
        <w:fldChar w:fldCharType="begin" w:fldLock="1"/>
      </w:r>
      <w:r w:rsidR="00266290">
        <w:rPr>
          <w:rFonts w:cs="Times New Roman"/>
        </w:rPr>
        <w:instrText>ADDIN CSL_CITATION { "citationItems" : [ { "id" : "ITEM-1", "itemData" : { "author" : [ { "dropping-particle" : "", "family" : "Simpson", "given" : "D.R&gt;", "non-dropping-particle" : "", "parse-names" : false, "suffix" : "" } ], "container-title" : "Calif. Div. Mines Geol., Spec. Rep.", "id" : "ITEM-1", "issued" : { "date-parts" : [ [ "1965" ] ] }, "page" : "3-23", "title" : "Geology of the central part of the Ramona pegmatite district", "type" : "article-journal", "volume" : "86" }, "uris" : [ "http://www.mendeley.com/documents/?uuid=bc35bec8-94b2-40f3-878f-d5ff2c547a13" ] }, { "id" : "ITEM-2", "itemData" : { "author" : [ { "dropping-particle" : "", "family" : "Stern", "given" : "L.A.", "non-dropping-particle" : "", "parse-names" : false, "suffix" : "" }, { "dropping-particle" : "", "family" : "Brown", "given" : "G.E.", "non-dropping-particle" : "", "parse-names" : false, "suffix" : "" }, { "dropping-particle" : "", "family" : "Bird", "given" : "D.K.", "non-dropping-particle" : "", "parse-names" : false, "suffix" : "" }, { "dropping-particle" : "", "family" : "Jahns", "given" : "R.H.", "non-dropping-particle" : "", "parse-names" : false, "suffix" : "" }, { "dropping-particle" : "", "family" : "Foord", "given" : "E.E.", "non-dropping-particle" : "", "parse-names" : false, "suffix" : "" }, { "dropping-particle" : "", "family" : "Shigley", "given" : "J.E.", "non-dropping-particle" : "", "parse-names" : false, "suffix" : "" }, { "dropping-particle" : "", "family" : "Spaulding, L.B.", "given" : "Jr.", "non-dropping-particle" : "", "parse-names" : false, "suffix" : "" } ], "container-title" : "American Mineralogist", "id" : "ITEM-2", "issued" : { "date-parts" : [ [ "1986" ] ] }, "page" : "406-427", "title" : "Mineralogy and geochemical evolution of the little three pegmatite-aplite layered intrusive, Ramona, California", "type" : "article-journal", "volume" : "71" }, "uris" : [ "http://www.mendeley.com/documents/?uuid=1b80da25-d856-46ad-8aa6-58cc6c2fc4d0" ] }, { "id" : "ITEM-3", "itemData" : { "DOI" : "10.3749/canmin.50.4.1025", "ISSN" : "00084476", "abstract" : "Miarolitic granitic pegmatites at the Little Three mine property near Ramona, San Diego County, California, USA, possess a bulk composition that closely matches that of a hydrous peraluminous granitic liquid that is saturated with respect to tourmaline at a temperature of \u223c450\u00b0C. As such, the pegmatites appear to represent the compositions of the silicate liquid from which they crystallized, which contained &lt;1 wt% B2O3 and minor amounts of Li and F. They do not appear to have contained phenocrysts upon emplacement, and they are neither partially cumulate nor hydrothermal in nature. The Little Three pegmatites are, however, sharply zoned. Chemical zonation across one small dike matches the patterns expected from crystallization of undercooled granitic liquids, in which the far-field diffusion of alkalis and local constitutional zone refining of fluxing and incompatible elements contribute to the chemical and textural changes from the margins inward. Feldspar thermometry records nearly isothermal crystallization at \u223c420\u00b0\u2013430\u00b0C for dikes from 1 to 2.5 m in thickness. Temperatures recorded by feldspars fall toward the miarolitic center of the thicker (Main) dike, but increase to \u223c500\u00b0C in the thinner (Swamp) dike. Fluid inclusions within quartz and topaz from miarolitic cavities of the Main dike contain cryolite, arsenides, arsenates, pollucite, and borates, including Cs borate, the latter of which indicates a higher degree of chemical fractionation than is present in the minerals that line the cavities. Extrapolation along isochores based on the homogenization (200\u00b0\u2013225\u00b0C) of the low-salinity aqueous fluid (&lt;1 equivalent wt% NaCl) to the temperature of feldspar equilibration (240\u00b0\u2013270\u00b0C) with the miarolitic cavity points to hydrostatic entrapment pressures of \u223c50 to 100 MPa, which are unrealistically low. If the isochores are extrapolated to 370\u00b0 \u00b1 20\u00b0C, the temperatures recorded by feldspars in the pegmatite that surrounds the miarolitic pockets, then the entrapment pressure would be \u223c200\u2013250 MPa. Formation of the miarolitic cavities at \u223c370\u00b0C and 200\u2013250 MPa is plausible, as the cavities contain zeolites; therefore, the feldspars within the pockets have recrystallized (re-equilibrated) to an extent that they no longer preserve their original compositions. ", "author" : [ { "dropping-particle" : "", "family" : "London", "given" : "David", "non-dropping-particle" : "", "parse-names" : false, "suffix" : "" }, { "dropping-particle" : "", "family" : "Morganvi", "given" : "George B.", "non-dropping-particle" : "", "parse-names" : false, "suffix" : "" }, { "dropping-particle" : "", "family" : "Paul", "given" : "Kerry A.", "non-dropping-particle" : "", "parse-names" : false, "suffix" : "" }, { "dropping-particle" : "", "family" : "Guttery", "given" : "Brandon M.", "non-dropping-particle" : "", "parse-names" : false, "suffix" : "" } ], "container-title" : "Canadian Mineralogist", "id" : "ITEM-3", "issue" : "4", "issued" : { "date-parts" : [ [ "2012" ] ] }, "page" : "1025-1054", "title" : "Internal evolution of miarolitic granitic pegmatites at the little three Mine, Ramona, California, USA", "type" : "article-journal", "volume" : "50" }, "uris" : [ "http://www.mendeley.com/documents/?uuid=a213218b-05b1-4ed6-8346-161a0a5501f1" ] } ], "mendeley" : { "formattedCitation" : "(London et al., 2012; Simpson, 1965; Stern et al., 1986)", "plainTextFormattedCitation" : "(London et al., 2012; Simpson, 1965; Stern et al., 1986)", "previouslyFormattedCitation" : "(Simpson 1965; Stern et al. 1986; London et al. 2012)" }, "properties" : { "noteIndex" : 0 }, "schema" : "https://github.com/citation-style-language/schema/raw/master/csl-citation.json" }</w:instrText>
      </w:r>
      <w:r w:rsidRPr="003D1B42">
        <w:rPr>
          <w:rFonts w:cs="Times New Roman"/>
        </w:rPr>
        <w:fldChar w:fldCharType="separate"/>
      </w:r>
      <w:r w:rsidR="00266290" w:rsidRPr="00266290">
        <w:rPr>
          <w:rFonts w:cs="Times New Roman"/>
          <w:noProof/>
        </w:rPr>
        <w:t>(London et al., 2012; Simpson, 1965; Stern et al., 1986)</w:t>
      </w:r>
      <w:r w:rsidRPr="003D1B42">
        <w:rPr>
          <w:rFonts w:cs="Times New Roman"/>
        </w:rPr>
        <w:fldChar w:fldCharType="end"/>
      </w:r>
      <w:r w:rsidRPr="003D1B42">
        <w:rPr>
          <w:rFonts w:cs="Times New Roman"/>
        </w:rPr>
        <w:t xml:space="preserve">. </w:t>
      </w:r>
      <w:r w:rsidRPr="003D1B42">
        <w:rPr>
          <w:rFonts w:cs="Times New Roman"/>
        </w:rPr>
        <w:fldChar w:fldCharType="begin" w:fldLock="1"/>
      </w:r>
      <w:r w:rsidR="00266290">
        <w:rPr>
          <w:rFonts w:cs="Times New Roman"/>
        </w:rPr>
        <w:instrText>ADDIN CSL_CITATION { "citationItems" : [ { "id" : "ITEM-1", "itemData" : { "DOI" : "10.3749/canmin.50.4.1025", "ISSN" : "00084476", "abstract" : "Miarolitic granitic pegmatites at the Little Three mine property near Ramona, San Diego County, California, USA, possess a bulk composition that closely matches that of a hydrous peraluminous granitic liquid that is saturated with respect to tourmaline at a temperature of \u223c450\u00b0C. As such, the pegmatites appear to represent the compositions of the silicate liquid from which they crystallized, which contained &lt;1 wt% B2O3 and minor amounts of Li and F. They do not appear to have contained phenocrysts upon emplacement, and they are neither partially cumulate nor hydrothermal in nature. The Little Three pegmatites are, however, sharply zoned. Chemical zonation across one small dike matches the patterns expected from crystallization of undercooled granitic liquids, in which the far-field diffusion of alkalis and local constitutional zone refining of fluxing and incompatible elements contribute to the chemical and textural changes from the margins inward. Feldspar thermometry records nearly isothermal crystallization at \u223c420\u00b0\u2013430\u00b0C for dikes from 1 to 2.5 m in thickness. Temperatures recorded by feldspars fall toward the miarolitic center of the thicker (Main) dike, but increase to \u223c500\u00b0C in the thinner (Swamp) dike. Fluid inclusions within quartz and topaz from miarolitic cavities of the Main dike contain cryolite, arsenides, arsenates, pollucite, and borates, including Cs borate, the latter of which indicates a higher degree of chemical fractionation than is present in the minerals that line the cavities. Extrapolation along isochores based on the homogenization (200\u00b0\u2013225\u00b0C) of the low-salinity aqueous fluid (&lt;1 equivalent wt% NaCl) to the temperature of feldspar equilibration (240\u00b0\u2013270\u00b0C) with the miarolitic cavity points to hydrostatic entrapment pressures of \u223c50 to 100 MPa, which are unrealistically low. If the isochores are extrapolated to 370\u00b0 \u00b1 20\u00b0C, the temperatures recorded by feldspars in the pegmatite that surrounds the miarolitic pockets, then the entrapment pressure would be \u223c200\u2013250 MPa. Formation of the miarolitic cavities at \u223c370\u00b0C and 200\u2013250 MPa is plausible, as the cavities contain zeolites; therefore, the feldspars within the pockets have recrystallized (re-equilibrated) to an extent that they no longer preserve their original compositions. ", "author" : [ { "dropping-particle" : "", "family" : "London", "given" : "David", "non-dropping-particle" : "", "parse-names" : false, "suffix" : "" }, { "dropping-particle" : "", "family" : "Morganvi", "given" : "George B.", "non-dropping-particle" : "", "parse-names" : false, "suffix" : "" }, { "dropping-particle" : "", "family" : "Paul", "given" : "Kerry A.", "non-dropping-particle" : "", "parse-names" : false, "suffix" : "" }, { "dropping-particle" : "", "family" : "Guttery", "given" : "Brandon M.", "non-dropping-particle" : "", "parse-names" : false, "suffix" : "" } ], "container-title" : "Canadian Mineralogist", "id" : "ITEM-1", "issue" : "4", "issued" : { "date-parts" : [ [ "2012" ] ] }, "page" : "1025-1054", "title" : "Internal evolution of miarolitic granitic pegmatites at the little three Mine, Ramona, California, USA", "type" : "article-journal", "volume" : "50" }, "uris" : [ "http://www.mendeley.com/documents/?uuid=a213218b-05b1-4ed6-8346-161a0a5501f1" ] } ], "mendeley" : { "formattedCitation" : "(London et al., 2012)", "manualFormatting" : "London et al. (2012)", "plainTextFormattedCitation" : "(London et al., 2012)", "previouslyFormattedCitation" : "(London et al. 2012)" }, "properties" : { "noteIndex" : 0 }, "schema" : "https://github.com/citation-style-language/schema/raw/master/csl-citation.json" }</w:instrText>
      </w:r>
      <w:r w:rsidRPr="003D1B42">
        <w:rPr>
          <w:rFonts w:cs="Times New Roman"/>
        </w:rPr>
        <w:fldChar w:fldCharType="separate"/>
      </w:r>
      <w:r w:rsidRPr="003D1B42">
        <w:rPr>
          <w:rFonts w:cs="Times New Roman"/>
          <w:noProof/>
        </w:rPr>
        <w:t>London et al. (2012)</w:t>
      </w:r>
      <w:r w:rsidRPr="003D1B42">
        <w:rPr>
          <w:rFonts w:cs="Times New Roman"/>
        </w:rPr>
        <w:fldChar w:fldCharType="end"/>
      </w:r>
      <w:r w:rsidRPr="003D1B42">
        <w:rPr>
          <w:rFonts w:cs="Times New Roman"/>
        </w:rPr>
        <w:t xml:space="preserve"> proposed that the sharp fluctuations in dip may represent a stepped, or en-echelon dike dimension; hence, the sub-horizontal and steeply dipping outcrops could represent portions of the same dike. </w:t>
      </w:r>
      <w:r w:rsidRPr="003D1B42">
        <w:rPr>
          <w:rFonts w:cs="Times New Roman"/>
        </w:rPr>
        <w:lastRenderedPageBreak/>
        <w:t xml:space="preserve">Apart from one small outcrop showing a cross-cutting of two dike segments in the Main dike, each dike appears to be a single injection </w:t>
      </w:r>
      <w:r>
        <w:rPr>
          <w:rFonts w:cs="Times New Roman"/>
        </w:rPr>
        <w:t>of crystal-free granitic melt.</w:t>
      </w:r>
    </w:p>
    <w:p w:rsidR="00665C0F" w:rsidRPr="003D1B42" w:rsidRDefault="00874981" w:rsidP="00665C0F">
      <w:pPr>
        <w:tabs>
          <w:tab w:val="left" w:pos="720"/>
          <w:tab w:val="left" w:pos="1980"/>
        </w:tabs>
        <w:spacing w:after="240" w:line="480" w:lineRule="auto"/>
        <w:rPr>
          <w:rFonts w:cs="Times New Roman"/>
        </w:rPr>
      </w:pPr>
      <w:r>
        <w:rPr>
          <w:rFonts w:cs="Times New Roman"/>
        </w:rPr>
        <w:tab/>
      </w:r>
      <w:r w:rsidR="00665C0F" w:rsidRPr="003D1B42">
        <w:rPr>
          <w:rFonts w:cs="Times New Roman"/>
        </w:rPr>
        <w:t>The pegmatites are hosted by mafic tonalites o</w:t>
      </w:r>
      <w:r w:rsidR="00665C0F">
        <w:rPr>
          <w:rFonts w:cs="Times New Roman"/>
        </w:rPr>
        <w:t xml:space="preserve">f the Ramona Complex within a transitional area between the </w:t>
      </w:r>
      <w:r w:rsidR="00665C0F" w:rsidRPr="003D1B42">
        <w:rPr>
          <w:rFonts w:cs="Times New Roman"/>
        </w:rPr>
        <w:t xml:space="preserve">Western </w:t>
      </w:r>
      <w:r w:rsidR="00665C0F">
        <w:rPr>
          <w:rFonts w:cs="Times New Roman"/>
        </w:rPr>
        <w:t xml:space="preserve">and Eastern </w:t>
      </w:r>
      <w:r w:rsidR="00665C0F" w:rsidRPr="003D1B42">
        <w:rPr>
          <w:rFonts w:cs="Times New Roman"/>
        </w:rPr>
        <w:t>zone</w:t>
      </w:r>
      <w:r w:rsidR="00665C0F">
        <w:rPr>
          <w:rFonts w:cs="Times New Roman"/>
        </w:rPr>
        <w:t>s</w:t>
      </w:r>
      <w:r w:rsidR="00665C0F" w:rsidRPr="003D1B42">
        <w:rPr>
          <w:rFonts w:cs="Times New Roman"/>
        </w:rPr>
        <w:t xml:space="preserve"> of the Peninsular Range Batholith (PRB) </w:t>
      </w:r>
      <w:r w:rsidR="00665C0F" w:rsidRPr="003D1B42">
        <w:rPr>
          <w:rFonts w:cs="Times New Roman"/>
        </w:rPr>
        <w:fldChar w:fldCharType="begin" w:fldLock="1"/>
      </w:r>
      <w:r w:rsidR="00266290">
        <w:rPr>
          <w:rFonts w:cs="Times New Roman"/>
        </w:rPr>
        <w:instrText>ADDIN CSL_CITATION { "citationItems" : [ { "id" : "ITEM-1", "itemData" : { "DOI" : "10.1139/E09-035", "ISSN" : "0008-4077", "author" : [ { "dropping-particle" : "", "family" : "Symons", "given" : "D.T.A.", "non-dropping-particle" : "", "parse-names" : false, "suffix" : "" }, { "dropping-particle" : "", "family" : "Smith", "given" : "T. E.", "non-dropping-particle" : "", "parse-names" : false, "suffix" : "" }, { "dropping-particle" : "", "family" : "Kawasaki", "given" : "K.", "non-dropping-particle" : "", "parse-names" : false, "suffix" : "" }, { "dropping-particle" : "", "family" : "Walawender", "given" : "M. J.", "non-dropping-particle" : "", "parse-names" : false, "suffix" : "" } ], "container-title" : "Canadian Journal of Earth Sciences", "id" : "ITEM-1", "issue" : "9", "issued" : { "date-parts" : [ [ "2009" ] ] }, "page" : "675-687", "title" : "Paleomagnetism of the mid-Cretaceous gem-bearing pegmatite dikes of San Diego County, California, USA", "type" : "article-journal", "volume" : "46" }, "uris" : [ "http://www.mendeley.com/documents/?uuid=0982a5c6-90b3-45e7-9de9-2c4e38cd8316" ] }, { "id" : "ITEM-2", "itemData" : { "DOI" : "10.3749/canmin.50.4.1025", "ISSN" : "00084476", "abstract" : "Miarolitic granitic pegmatites at the Little Three mine property near Ramona, San Diego County, California, USA, possess a bulk composition that closely matches that of a hydrous peraluminous granitic liquid that is saturated with respect to tourmaline at a temperature of \u223c450\u00b0C. As such, the pegmatites appear to represent the compositions of the silicate liquid from which they crystallized, which contained &lt;1 wt% B2O3 and minor amounts of Li and F. They do not appear to have contained phenocrysts upon emplacement, and they are neither partially cumulate nor hydrothermal in nature. The Little Three pegmatites are, however, sharply zoned. Chemical zonation across one small dike matches the patterns expected from crystallization of undercooled granitic liquids, in which the far-field diffusion of alkalis and local constitutional zone refining of fluxing and incompatible elements contribute to the chemical and textural changes from the margins inward. Feldspar thermometry records nearly isothermal crystallization at \u223c420\u00b0\u2013430\u00b0C for dikes from 1 to 2.5 m in thickness. Temperatures recorded by feldspars fall toward the miarolitic center of the thicker (Main) dike, but increase to \u223c500\u00b0C in the thinner (Swamp) dike. Fluid inclusions within quartz and topaz from miarolitic cavities of the Main dike contain cryolite, arsenides, arsenates, pollucite, and borates, including Cs borate, the latter of which indicates a higher degree of chemical fractionation than is present in the minerals that line the cavities. Extrapolation along isochores based on the homogenization (200\u00b0\u2013225\u00b0C) of the low-salinity aqueous fluid (&lt;1 equivalent wt% NaCl) to the temperature of feldspar equilibration (240\u00b0\u2013270\u00b0C) with the miarolitic cavity points to hydrostatic entrapment pressures of \u223c50 to 100 MPa, which are unrealistically low. If the isochores are extrapolated to 370\u00b0 \u00b1 20\u00b0C, the temperatures recorded by feldspars in the pegmatite that surrounds the miarolitic pockets, then the entrapment pressure would be \u223c200\u2013250 MPa. Formation of the miarolitic cavities at \u223c370\u00b0C and 200\u2013250 MPa is plausible, as the cavities contain zeolites; therefore, the feldspars within the pockets have recrystallized (re-equilibrated) to an extent that they no longer preserve their original compositions. ", "author" : [ { "dropping-particle" : "", "family" : "London", "given" : "David", "non-dropping-particle" : "", "parse-names" : false, "suffix" : "" }, { "dropping-particle" : "", "family" : "Morganvi", "given" : "George B.", "non-dropping-particle" : "", "parse-names" : false, "suffix" : "" }, { "dropping-particle" : "", "family" : "Paul", "given" : "Kerry A.", "non-dropping-particle" : "", "parse-names" : false, "suffix" : "" }, { "dropping-particle" : "", "family" : "Guttery", "given" : "Brandon M.", "non-dropping-particle" : "", "parse-names" : false, "suffix" : "" } ], "container-title" : "Canadian Mineralogist", "id" : "ITEM-2", "issue" : "4", "issued" : { "date-parts" : [ [ "2012" ] ] }, "page" : "1025-1054", "title" : "Internal evolution of miarolitic granitic pegmatites at the little three Mine, Ramona, California, USA", "type" : "article-journal", "volume" : "50" }, "uris" : [ "http://www.mendeley.com/documents/?uuid=a213218b-05b1-4ed6-8346-161a0a5501f1" ] } ], "mendeley" : { "formattedCitation" : "(London et al., 2012; Symons et al., 2009)", "plainTextFormattedCitation" : "(London et al., 2012; Symons et al., 2009)", "previouslyFormattedCitation" : "(Symons et al. 2009; London et al. 2012)" }, "properties" : { "noteIndex" : 0 }, "schema" : "https://github.com/citation-style-language/schema/raw/master/csl-citation.json" }</w:instrText>
      </w:r>
      <w:r w:rsidR="00665C0F" w:rsidRPr="003D1B42">
        <w:rPr>
          <w:rFonts w:cs="Times New Roman"/>
        </w:rPr>
        <w:fldChar w:fldCharType="separate"/>
      </w:r>
      <w:r w:rsidR="00266290" w:rsidRPr="00266290">
        <w:rPr>
          <w:rFonts w:cs="Times New Roman"/>
          <w:noProof/>
        </w:rPr>
        <w:t>(London et al., 2012; Symons et al., 2009)</w:t>
      </w:r>
      <w:r w:rsidR="00665C0F" w:rsidRPr="003D1B42">
        <w:rPr>
          <w:rFonts w:cs="Times New Roman"/>
        </w:rPr>
        <w:fldChar w:fldCharType="end"/>
      </w:r>
      <w:r w:rsidR="00665C0F" w:rsidRPr="003D1B42">
        <w:rPr>
          <w:rFonts w:cs="Times New Roman"/>
        </w:rPr>
        <w:t>.</w:t>
      </w:r>
      <w:r w:rsidR="00665C0F" w:rsidRPr="00311DC9">
        <w:rPr>
          <w:rFonts w:cs="Times New Roman"/>
        </w:rPr>
        <w:t xml:space="preserve"> </w:t>
      </w:r>
      <w:r w:rsidR="00665C0F">
        <w:rPr>
          <w:rFonts w:cs="Times New Roman"/>
        </w:rPr>
        <w:t xml:space="preserve">Gabbroic and granitic rocks in the PRB were emplaced during the Jurassic and Cretaceous </w:t>
      </w:r>
      <w:r w:rsidR="00665C0F">
        <w:rPr>
          <w:rFonts w:cs="Times New Roman"/>
        </w:rPr>
        <w:fldChar w:fldCharType="begin" w:fldLock="1"/>
      </w:r>
      <w:r w:rsidR="00266290">
        <w:rPr>
          <w:rFonts w:cs="Times New Roman"/>
        </w:rPr>
        <w:instrText>ADDIN CSL_CITATION { "citationItems" : [ { "id" : "ITEM-1", "itemData" : { "DOI" : "10.1130/0-8137-2374-4.185", "ISSN" : "00721077", "author" : [ { "dropping-particle" : "", "family" : "Todd", "given" : "Victoria R.", "non-dropping-particle" : "", "parse-names" : false, "suffix" : "" }, { "dropping-particle" : "", "family" : "Shaw", "given" : "Stirling E.", "non-dropping-particle" : "", "parse-names" : false, "suffix" : "" }, { "dropping-particle" : "", "family" : "Hammerstrom", "given" : "Jane M.", "non-dropping-particle" : "", "parse-names" : false, "suffix" : "" } ], "container-title" : "Geological Society of America", "id" : "ITEM-1", "issued" : { "date-parts" : [ [ "2003" ] ] }, "page" : "185-235", "title" : "Cretaceous plutons of the Peninsular Ranges batholith, San Diego and westernmost Imperial Counties, California: Intrusion across a Lake Jurassic continental margin", "type" : "article-journal", "volume" : "Special Pa" }, "uris" : [ "http://www.mendeley.com/documents/?uuid=79da4ca7-6c9a-4a2b-a22b-8c5cd34bc74e" ] } ], "mendeley" : { "formattedCitation" : "(Todd et al., 2003)", "plainTextFormattedCitation" : "(Todd et al., 2003)", "previouslyFormattedCitation" : "(Todd et al. 2003)" }, "properties" : { "noteIndex" : 0 }, "schema" : "https://github.com/citation-style-language/schema/raw/master/csl-citation.json" }</w:instrText>
      </w:r>
      <w:r w:rsidR="00665C0F">
        <w:rPr>
          <w:rFonts w:cs="Times New Roman"/>
        </w:rPr>
        <w:fldChar w:fldCharType="separate"/>
      </w:r>
      <w:r w:rsidR="00266290" w:rsidRPr="00266290">
        <w:rPr>
          <w:rFonts w:cs="Times New Roman"/>
          <w:noProof/>
        </w:rPr>
        <w:t>(Todd et al., 2003)</w:t>
      </w:r>
      <w:r w:rsidR="00665C0F">
        <w:rPr>
          <w:rFonts w:cs="Times New Roman"/>
        </w:rPr>
        <w:fldChar w:fldCharType="end"/>
      </w:r>
      <w:r w:rsidR="00665C0F">
        <w:rPr>
          <w:rFonts w:cs="Times New Roman"/>
        </w:rPr>
        <w:t>. Granitic rocks in t</w:t>
      </w:r>
      <w:r w:rsidR="00665C0F" w:rsidRPr="003D1B42">
        <w:rPr>
          <w:rFonts w:cs="Times New Roman"/>
        </w:rPr>
        <w:t xml:space="preserve">he </w:t>
      </w:r>
      <w:r w:rsidR="00665C0F">
        <w:rPr>
          <w:rFonts w:cs="Times New Roman"/>
        </w:rPr>
        <w:t>Western zone have chemical affinities with I-type granites (</w:t>
      </w:r>
      <w:r w:rsidR="00665C0F" w:rsidRPr="003D1B42">
        <w:rPr>
          <w:rFonts w:cs="Times New Roman"/>
        </w:rPr>
        <w:t>Sr</w:t>
      </w:r>
      <w:r w:rsidR="00665C0F" w:rsidRPr="003D1B42">
        <w:rPr>
          <w:rFonts w:cs="Times New Roman"/>
          <w:vertAlign w:val="subscript"/>
        </w:rPr>
        <w:t>i</w:t>
      </w:r>
      <w:r w:rsidR="00665C0F" w:rsidRPr="003D1B42">
        <w:rPr>
          <w:rFonts w:cs="Times New Roman"/>
        </w:rPr>
        <w:t xml:space="preserve"> ≤ 0.705</w:t>
      </w:r>
      <w:r w:rsidR="00665C0F">
        <w:rPr>
          <w:rFonts w:cs="Times New Roman"/>
        </w:rPr>
        <w:t>,</w:t>
      </w:r>
      <w:r w:rsidR="00665C0F" w:rsidRPr="003D1B42">
        <w:rPr>
          <w:rFonts w:cs="Times New Roman"/>
        </w:rPr>
        <w:t xml:space="preserve"> δ</w:t>
      </w:r>
      <w:r w:rsidR="00665C0F" w:rsidRPr="003D1B42">
        <w:rPr>
          <w:rFonts w:cs="Times New Roman"/>
          <w:vertAlign w:val="superscript"/>
        </w:rPr>
        <w:t>18</w:t>
      </w:r>
      <w:r w:rsidR="00665C0F">
        <w:rPr>
          <w:rFonts w:cs="Times New Roman"/>
        </w:rPr>
        <w:t>O ≤ 8.5‰;</w:t>
      </w:r>
      <w:r w:rsidR="00665C0F" w:rsidRPr="003D1B42">
        <w:rPr>
          <w:rFonts w:cs="Times New Roman"/>
        </w:rPr>
        <w:t xml:space="preserve"> </w:t>
      </w:r>
      <w:r w:rsidR="00665C0F" w:rsidRPr="003D1B42">
        <w:rPr>
          <w:rFonts w:cs="Times New Roman"/>
        </w:rPr>
        <w:fldChar w:fldCharType="begin" w:fldLock="1"/>
      </w:r>
      <w:r w:rsidR="00266290">
        <w:rPr>
          <w:rFonts w:cs="Times New Roman"/>
        </w:rPr>
        <w:instrText>ADDIN CSL_CITATION { "citationItems" : [ { "id" : "ITEM-1", "itemData" : { "DOI" : "10.1130/0-8137-2374-4.135", "ISSN" : "00721077", "author" : [ { "dropping-particle" : "", "family" : "Symons", "given" : "D.T.A.", "non-dropping-particle" : "", "parse-names" : false, "suffix" : "" }, { "dropping-particle" : "", "family" : "Wlawender", "given" : "M.J.", "non-dropping-particle" : "", "parse-names" : false, "suffix" : "" }, { "dropping-particle" : "", "family" : "Smith", "given" : "T.E.", "non-dropping-particle" : "", "parse-names" : false, "suffix" : "" }, { "dropping-particle" : "", "family" : "Molnar", "given" : "S.E.", "non-dropping-particle" : "", "parse-names" : false, "suffix" : "" }, { "dropping-particle" : "", "family" : "Harris", "given" : "M.J.", "non-dropping-particle" : "", "parse-names" : false, "suffix" : "" }, { "dropping-particle" : "", "family" : "Blackburn", "given" : "W.H.", "non-dropping-particle" : "", "parse-names" : false, "suffix" : "" } ], "container-title" : "Geological Society of America", "id" : "ITEM-1", "issued" : { "date-parts" : [ [ "2003" ] ] }, "page" : "135-155", "title" : "Paleomagnetism and geobarometry of the La Posta pluton, California", "type" : "article-journal", "volume" : "Special Pa" }, "uris" : [ "http://www.mendeley.com/documents/?uuid=510a7e25-39f5-4844-bc81-23383a93bea4" ] } ], "mendeley" : { "formattedCitation" : "(Symons et al., 2003)", "manualFormatting" : "Symons et al., 2003)", "plainTextFormattedCitation" : "(Symons et al., 2003)", "previouslyFormattedCitation" : "(Symons et al. 2003)" }, "properties" : { "noteIndex" : 0 }, "schema" : "https://github.com/citation-style-language/schema/raw/master/csl-citation.json" }</w:instrText>
      </w:r>
      <w:r w:rsidR="00665C0F" w:rsidRPr="003D1B42">
        <w:rPr>
          <w:rFonts w:cs="Times New Roman"/>
        </w:rPr>
        <w:fldChar w:fldCharType="separate"/>
      </w:r>
      <w:r w:rsidR="00665C0F" w:rsidRPr="003D1B42">
        <w:rPr>
          <w:rFonts w:cs="Times New Roman"/>
          <w:noProof/>
        </w:rPr>
        <w:t>Symons et al., 2003)</w:t>
      </w:r>
      <w:r w:rsidR="00665C0F" w:rsidRPr="003D1B42">
        <w:rPr>
          <w:rFonts w:cs="Times New Roman"/>
        </w:rPr>
        <w:fldChar w:fldCharType="end"/>
      </w:r>
      <w:r w:rsidR="00665C0F">
        <w:rPr>
          <w:rFonts w:cs="Times New Roman"/>
        </w:rPr>
        <w:t xml:space="preserve"> and those in the Eastern zone exhibit </w:t>
      </w:r>
      <w:r w:rsidR="00665C0F" w:rsidRPr="003D1B42">
        <w:rPr>
          <w:rFonts w:cs="Times New Roman"/>
        </w:rPr>
        <w:t xml:space="preserve">I-type and mixed I-S type </w:t>
      </w:r>
      <w:r w:rsidR="00665C0F">
        <w:rPr>
          <w:rFonts w:cs="Times New Roman"/>
        </w:rPr>
        <w:t xml:space="preserve">affinities </w:t>
      </w:r>
      <w:r w:rsidR="00665C0F" w:rsidRPr="003D1B42">
        <w:rPr>
          <w:rFonts w:cs="Times New Roman"/>
        </w:rPr>
        <w:t>(Sr</w:t>
      </w:r>
      <w:r w:rsidR="00665C0F" w:rsidRPr="003D1B42">
        <w:rPr>
          <w:rFonts w:cs="Times New Roman"/>
          <w:vertAlign w:val="subscript"/>
        </w:rPr>
        <w:t>i</w:t>
      </w:r>
      <w:r w:rsidR="00665C0F">
        <w:rPr>
          <w:rFonts w:cs="Times New Roman"/>
        </w:rPr>
        <w:t xml:space="preserve"> ≥ 0.705,</w:t>
      </w:r>
      <w:r w:rsidR="00665C0F" w:rsidRPr="003D1B42">
        <w:rPr>
          <w:rFonts w:cs="Times New Roman"/>
        </w:rPr>
        <w:t xml:space="preserve"> δ</w:t>
      </w:r>
      <w:r w:rsidR="00665C0F" w:rsidRPr="003D1B42">
        <w:rPr>
          <w:rFonts w:cs="Times New Roman"/>
          <w:vertAlign w:val="superscript"/>
        </w:rPr>
        <w:t>18</w:t>
      </w:r>
      <w:r w:rsidR="00665C0F" w:rsidRPr="003D1B42">
        <w:rPr>
          <w:rFonts w:cs="Times New Roman"/>
        </w:rPr>
        <w:t xml:space="preserve">O ≥ 9.0‰: </w:t>
      </w:r>
      <w:r w:rsidR="00665C0F" w:rsidRPr="003D1B42">
        <w:rPr>
          <w:rFonts w:cs="Times New Roman"/>
        </w:rPr>
        <w:fldChar w:fldCharType="begin" w:fldLock="1"/>
      </w:r>
      <w:r w:rsidR="00266290">
        <w:rPr>
          <w:rFonts w:cs="Times New Roman"/>
        </w:rPr>
        <w:instrText>ADDIN CSL_CITATION { "citationItems" : [ { "id" : "ITEM-1", "itemData" : { "DOI" : "10.1130/0-8137-2374-4.135", "ISSN" : "00721077", "author" : [ { "dropping-particle" : "", "family" : "Symons", "given" : "D.T.A.", "non-dropping-particle" : "", "parse-names" : false, "suffix" : "" }, { "dropping-particle" : "", "family" : "Wlawender", "given" : "M.J.", "non-dropping-particle" : "", "parse-names" : false, "suffix" : "" }, { "dropping-particle" : "", "family" : "Smith", "given" : "T.E.", "non-dropping-particle" : "", "parse-names" : false, "suffix" : "" }, { "dropping-particle" : "", "family" : "Molnar", "given" : "S.E.", "non-dropping-particle" : "", "parse-names" : false, "suffix" : "" }, { "dropping-particle" : "", "family" : "Harris", "given" : "M.J.", "non-dropping-particle" : "", "parse-names" : false, "suffix" : "" }, { "dropping-particle" : "", "family" : "Blackburn", "given" : "W.H.", "non-dropping-particle" : "", "parse-names" : false, "suffix" : "" } ], "container-title" : "Geological Society of America", "id" : "ITEM-1", "issued" : { "date-parts" : [ [ "2003" ] ] }, "page" : "135-155", "title" : "Paleomagnetism and geobarometry of the La Posta pluton, California", "type" : "article-journal", "volume" : "Special Pa" }, "uris" : [ "http://www.mendeley.com/documents/?uuid=510a7e25-39f5-4844-bc81-23383a93bea4" ] } ], "mendeley" : { "formattedCitation" : "(Symons et al., 2003)", "manualFormatting" : "Symons et al., 2003)", "plainTextFormattedCitation" : "(Symons et al., 2003)", "previouslyFormattedCitation" : "(Symons et al. 2003)" }, "properties" : { "noteIndex" : 0 }, "schema" : "https://github.com/citation-style-language/schema/raw/master/csl-citation.json" }</w:instrText>
      </w:r>
      <w:r w:rsidR="00665C0F" w:rsidRPr="003D1B42">
        <w:rPr>
          <w:rFonts w:cs="Times New Roman"/>
        </w:rPr>
        <w:fldChar w:fldCharType="separate"/>
      </w:r>
      <w:r w:rsidR="00665C0F" w:rsidRPr="003D1B42">
        <w:rPr>
          <w:rFonts w:cs="Times New Roman"/>
          <w:noProof/>
        </w:rPr>
        <w:t>Symons et al., 2003)</w:t>
      </w:r>
      <w:r w:rsidR="00665C0F" w:rsidRPr="003D1B42">
        <w:rPr>
          <w:rFonts w:cs="Times New Roman"/>
        </w:rPr>
        <w:fldChar w:fldCharType="end"/>
      </w:r>
      <w:r w:rsidR="00665C0F" w:rsidRPr="003D1B42">
        <w:rPr>
          <w:rFonts w:cs="Times New Roman"/>
        </w:rPr>
        <w:t xml:space="preserve">. </w:t>
      </w:r>
      <w:r w:rsidR="00665C0F">
        <w:rPr>
          <w:rFonts w:cs="Times New Roman"/>
        </w:rPr>
        <w:t>Magmatism in the Western zone lasted from ~122 Ma to ~100 Ma at which time magmatism in the Eastern zo</w:t>
      </w:r>
      <w:r w:rsidR="00266290">
        <w:rPr>
          <w:rFonts w:cs="Times New Roman"/>
        </w:rPr>
        <w:t>ne began or became more active</w:t>
      </w:r>
      <w:r w:rsidR="00665C0F">
        <w:rPr>
          <w:rFonts w:cs="Times New Roman"/>
        </w:rPr>
        <w:t xml:space="preserve">. Based on </w:t>
      </w:r>
      <w:r w:rsidR="00665C0F" w:rsidRPr="003D1B42">
        <w:rPr>
          <w:rFonts w:cs="Times New Roman"/>
        </w:rPr>
        <w:t xml:space="preserve">K-Ar </w:t>
      </w:r>
      <w:r w:rsidR="00665C0F" w:rsidRPr="003D1B42">
        <w:rPr>
          <w:rFonts w:cs="Times New Roman"/>
        </w:rPr>
        <w:fldChar w:fldCharType="begin" w:fldLock="1"/>
      </w:r>
      <w:r w:rsidR="00266290">
        <w:rPr>
          <w:rFonts w:cs="Times New Roman"/>
        </w:rPr>
        <w:instrText>ADDIN CSL_CITATION { "citationItems" : [ { "id" : "ITEM-1", "itemData" : { "author" : [ { "dropping-particle" : "", "family" : "Foord", "given" : "E.E.", "non-dropping-particle" : "", "parse-names" : false, "suffix" : "" }, { "dropping-particle" : "", "family" : "London", "given" : "D.", "non-dropping-particle" : "", "parse-names" : false, "suffix" : "" }, { "dropping-particle" : "", "family" : "Kampf", "given" : "A.R.", "non-dropping-particle" : "", "parse-names" : false, "suffix" : "" }, { "dropping-particle" : "", "family" : "Shigley", "given" : "J.E.", "non-dropping-particle" : "", "parse-names" : false, "suffix" : "" }, { "dropping-particle" : "", "family" : "Snee", "given" : "L W", "non-dropping-particle" : "", "parse-names" : false, "suffix" : "" } ], "container-title" : "In Geological Excursions in Southern California and Mexico", "id" : "ITEM-1", "issued" : { "date-parts" : [ [ "1991" ] ] }, "page" : "128-146", "title" : "Gem-bearing pegmatites of San Diego County, California", "type" : "article-journal" }, "uris" : [ "http://www.mendeley.com/documents/?uuid=6d2b5c86-1365-4274-8210-6c985fb86ead" ] } ], "mendeley" : { "formattedCitation" : "(Foord et al., 1991a)", "plainTextFormattedCitation" : "(Foord et al., 1991a)", "previouslyFormattedCitation" : "(Foord et al. 1991b)" }, "properties" : { "noteIndex" : 0 }, "schema" : "https://github.com/citation-style-language/schema/raw/master/csl-citation.json" }</w:instrText>
      </w:r>
      <w:r w:rsidR="00665C0F" w:rsidRPr="003D1B42">
        <w:rPr>
          <w:rFonts w:cs="Times New Roman"/>
        </w:rPr>
        <w:fldChar w:fldCharType="separate"/>
      </w:r>
      <w:r w:rsidR="00266290" w:rsidRPr="00266290">
        <w:rPr>
          <w:rFonts w:cs="Times New Roman"/>
          <w:noProof/>
        </w:rPr>
        <w:t>(Foord et al., 1991a)</w:t>
      </w:r>
      <w:r w:rsidR="00665C0F" w:rsidRPr="003D1B42">
        <w:rPr>
          <w:rFonts w:cs="Times New Roman"/>
        </w:rPr>
        <w:fldChar w:fldCharType="end"/>
      </w:r>
      <w:r w:rsidR="00665C0F" w:rsidRPr="003D1B42">
        <w:rPr>
          <w:rFonts w:cs="Times New Roman"/>
        </w:rPr>
        <w:t xml:space="preserve"> and paleomagnetic ages </w:t>
      </w:r>
      <w:r w:rsidR="00665C0F" w:rsidRPr="003D1B42">
        <w:rPr>
          <w:rFonts w:cs="Times New Roman"/>
        </w:rPr>
        <w:fldChar w:fldCharType="begin" w:fldLock="1"/>
      </w:r>
      <w:r w:rsidR="00266290">
        <w:rPr>
          <w:rFonts w:cs="Times New Roman"/>
        </w:rPr>
        <w:instrText>ADDIN CSL_CITATION { "citationItems" : [ { "id" : "ITEM-1", "itemData" : { "DOI" : "10.1139/E09-035", "ISSN" : "0008-4077", "author" : [ { "dropping-particle" : "", "family" : "Symons", "given" : "D.T.A.", "non-dropping-particle" : "", "parse-names" : false, "suffix" : "" }, { "dropping-particle" : "", "family" : "Smith", "given" : "T. E.", "non-dropping-particle" : "", "parse-names" : false, "suffix" : "" }, { "dropping-particle" : "", "family" : "Kawasaki", "given" : "K.", "non-dropping-particle" : "", "parse-names" : false, "suffix" : "" }, { "dropping-particle" : "", "family" : "Walawender", "given" : "M. J.", "non-dropping-particle" : "", "parse-names" : false, "suffix" : "" } ], "container-title" : "Canadian Journal of Earth Sciences", "id" : "ITEM-1", "issue" : "9", "issued" : { "date-parts" : [ [ "2009" ] ] }, "page" : "675-687", "title" : "Paleomagnetism of the mid-Cretaceous gem-bearing pegmatite dikes of San Diego County, California, USA", "type" : "article-journal", "volume" : "46" }, "uris" : [ "http://www.mendeley.com/documents/?uuid=0982a5c6-90b3-45e7-9de9-2c4e38cd8316" ] } ], "mendeley" : { "formattedCitation" : "(Symons et al., 2009)", "plainTextFormattedCitation" : "(Symons et al., 2009)", "previouslyFormattedCitation" : "(Symons et al. 2009)" }, "properties" : { "noteIndex" : 0 }, "schema" : "https://github.com/citation-style-language/schema/raw/master/csl-citation.json" }</w:instrText>
      </w:r>
      <w:r w:rsidR="00665C0F" w:rsidRPr="003D1B42">
        <w:rPr>
          <w:rFonts w:cs="Times New Roman"/>
        </w:rPr>
        <w:fldChar w:fldCharType="separate"/>
      </w:r>
      <w:r w:rsidR="00266290" w:rsidRPr="00266290">
        <w:rPr>
          <w:rFonts w:cs="Times New Roman"/>
          <w:noProof/>
        </w:rPr>
        <w:t>(Symons et al., 2009)</w:t>
      </w:r>
      <w:r w:rsidR="00665C0F" w:rsidRPr="003D1B42">
        <w:rPr>
          <w:rFonts w:cs="Times New Roman"/>
        </w:rPr>
        <w:fldChar w:fldCharType="end"/>
      </w:r>
      <w:r w:rsidR="00665C0F">
        <w:rPr>
          <w:rFonts w:cs="Times New Roman"/>
        </w:rPr>
        <w:t>, the emplacement of the pegmatites at the Little Three mine occurred between magmatic events in the Western and Eastern zones (ca. 98 to 100 Ma).</w:t>
      </w:r>
    </w:p>
    <w:p w:rsidR="00665C0F" w:rsidRPr="00874981" w:rsidRDefault="00874981" w:rsidP="00DD7479">
      <w:pPr>
        <w:pStyle w:val="ListParagraph"/>
        <w:spacing w:after="240" w:line="480" w:lineRule="auto"/>
        <w:ind w:left="0"/>
        <w:outlineLvl w:val="2"/>
        <w:rPr>
          <w:rFonts w:cs="Times New Roman"/>
        </w:rPr>
      </w:pPr>
      <w:bookmarkStart w:id="14" w:name="_Toc491245981"/>
      <w:r>
        <w:rPr>
          <w:rFonts w:cs="Times New Roman"/>
          <w:bCs/>
          <w:iCs/>
        </w:rPr>
        <w:t>2.2</w:t>
      </w:r>
      <w:r w:rsidR="00A24071">
        <w:rPr>
          <w:rFonts w:cs="Times New Roman"/>
          <w:bCs/>
          <w:iCs/>
        </w:rPr>
        <w:t>.</w:t>
      </w:r>
      <w:r>
        <w:rPr>
          <w:rFonts w:cs="Times New Roman"/>
          <w:bCs/>
          <w:iCs/>
        </w:rPr>
        <w:t xml:space="preserve"> </w:t>
      </w:r>
      <w:r w:rsidR="00665C0F" w:rsidRPr="00874981">
        <w:rPr>
          <w:rFonts w:cs="Times New Roman"/>
          <w:bCs/>
          <w:iCs/>
        </w:rPr>
        <w:t>Internal zonation</w:t>
      </w:r>
      <w:bookmarkEnd w:id="14"/>
      <w:r w:rsidR="00665C0F" w:rsidRPr="00874981">
        <w:rPr>
          <w:rFonts w:cs="Times New Roman"/>
        </w:rPr>
        <w:t xml:space="preserve"> </w:t>
      </w:r>
    </w:p>
    <w:p w:rsidR="00665C0F" w:rsidRPr="003D1B42" w:rsidRDefault="00266290" w:rsidP="00874981">
      <w:pPr>
        <w:pStyle w:val="ListParagraph"/>
        <w:spacing w:after="240" w:line="480" w:lineRule="auto"/>
        <w:ind w:left="0" w:firstLine="720"/>
        <w:rPr>
          <w:rFonts w:cs="Times New Roman"/>
        </w:rPr>
      </w:pPr>
      <w:r>
        <w:rPr>
          <w:rFonts w:cs="Times New Roman"/>
        </w:rPr>
        <w:fldChar w:fldCharType="begin" w:fldLock="1"/>
      </w:r>
      <w:r>
        <w:rPr>
          <w:rFonts w:cs="Times New Roman"/>
        </w:rPr>
        <w:instrText>ADDIN CSL_CITATION { "citationItems" : [ { "id" : "ITEM-1", "itemData" : { "DOI" : "10.3749/canmin.50.4.1025", "ISSN" : "00084476", "abstract" : "Miarolitic granitic pegmatites at the Little Three mine property near Ramona, San Diego County, California, USA, possess a bulk composition that closely matches that of a hydrous peraluminous granitic liquid that is saturated with respect to tourmaline at a temperature of \u223c450\u00b0C. As such, the pegmatites appear to represent the compositions of the silicate liquid from which they crystallized, which contained &lt;1 wt% B2O3 and minor amounts of Li and F. They do not appear to have contained phenocrysts upon emplacement, and they are neither partially cumulate nor hydrothermal in nature. The Little Three pegmatites are, however, sharply zoned. Chemical zonation across one small dike matches the patterns expected from crystallization of undercooled granitic liquids, in which the far-field diffusion of alkalis and local constitutional zone refining of fluxing and incompatible elements contribute to the chemical and textural changes from the margins inward. Feldspar thermometry records nearly isothermal crystallization at \u223c420\u00b0\u2013430\u00b0C for dikes from 1 to 2.5 m in thickness. Temperatures recorded by feldspars fall toward the miarolitic center of the thicker (Main) dike, but increase to \u223c500\u00b0C in the thinner (Swamp) dike. Fluid inclusions within quartz and topaz from miarolitic cavities of the Main dike contain cryolite, arsenides, arsenates, pollucite, and borates, including Cs borate, the latter of which indicates a higher degree of chemical fractionation than is present in the minerals that line the cavities. Extrapolation along isochores based on the homogenization (200\u00b0\u2013225\u00b0C) of the low-salinity aqueous fluid (&lt;1 equivalent wt% NaCl) to the temperature of feldspar equilibration (240\u00b0\u2013270\u00b0C) with the miarolitic cavity points to hydrostatic entrapment pressures of \u223c50 to 100 MPa, which are unrealistically low. If the isochores are extrapolated to 370\u00b0 \u00b1 20\u00b0C, the temperatures recorded by feldspars in the pegmatite that surrounds the miarolitic pockets, then the entrapment pressure would be \u223c200\u2013250 MPa. Formation of the miarolitic cavities at \u223c370\u00b0C and 200\u2013250 MPa is plausible, as the cavities contain zeolites; therefore, the feldspars within the pockets have recrystallized (re-equilibrated) to an extent that they no longer preserve their original compositions. ", "author" : [ { "dropping-particle" : "", "family" : "London", "given" : "David", "non-dropping-particle" : "", "parse-names" : false, "suffix" : "" }, { "dropping-particle" : "", "family" : "Morganvi", "given" : "George B.", "non-dropping-particle" : "", "parse-names" : false, "suffix" : "" }, { "dropping-particle" : "", "family" : "Paul", "given" : "Kerry A.", "non-dropping-particle" : "", "parse-names" : false, "suffix" : "" }, { "dropping-particle" : "", "family" : "Guttery", "given" : "Brandon M.", "non-dropping-particle" : "", "parse-names" : false, "suffix" : "" } ], "container-title" : "Canadian Mineralogist", "id" : "ITEM-1", "issue" : "4", "issued" : { "date-parts" : [ [ "2012" ] ] }, "page" : "1025-1054", "title" : "Internal evolution of miarolitic granitic pegmatites at the little three Mine, Ramona, California, USA", "type" : "article-journal", "volume" : "50" }, "uris" : [ "http://www.mendeley.com/documents/?uuid=a213218b-05b1-4ed6-8346-161a0a5501f1" ] } ], "mendeley" : { "formattedCitation" : "(London et al., 2012)", "plainTextFormattedCitation" : "(London et al., 2012)" }, "properties" : { "noteIndex" : 0 }, "schema" : "https://github.com/citation-style-language/schema/raw/master/csl-citation.json" }</w:instrText>
      </w:r>
      <w:r>
        <w:rPr>
          <w:rFonts w:cs="Times New Roman"/>
        </w:rPr>
        <w:fldChar w:fldCharType="separate"/>
      </w:r>
      <w:r w:rsidRPr="00266290">
        <w:rPr>
          <w:rFonts w:cs="Times New Roman"/>
          <w:noProof/>
        </w:rPr>
        <w:t>London et al</w:t>
      </w:r>
      <w:r w:rsidR="00DB6C77">
        <w:rPr>
          <w:rFonts w:cs="Times New Roman"/>
          <w:noProof/>
        </w:rPr>
        <w:t>. (</w:t>
      </w:r>
      <w:r w:rsidRPr="00266290">
        <w:rPr>
          <w:rFonts w:cs="Times New Roman"/>
          <w:noProof/>
        </w:rPr>
        <w:t>2012)</w:t>
      </w:r>
      <w:r>
        <w:rPr>
          <w:rFonts w:cs="Times New Roman"/>
        </w:rPr>
        <w:fldChar w:fldCharType="end"/>
      </w:r>
      <w:r w:rsidR="00665C0F">
        <w:rPr>
          <w:rFonts w:cs="Times New Roman"/>
        </w:rPr>
        <w:t xml:space="preserve"> estimated the modal mineralogy from margin-to-margin of the Swamp dike. A modal analysis of minerals in the Main dike has not been studied as extensively; however, the modal mineralogy of t</w:t>
      </w:r>
      <w:r w:rsidR="00665C0F" w:rsidRPr="003D1B42">
        <w:rPr>
          <w:rFonts w:cs="Times New Roman"/>
        </w:rPr>
        <w:t>he exposed dike segments on the mine property exhibit the same overall interna</w:t>
      </w:r>
      <w:r w:rsidR="00665C0F">
        <w:rPr>
          <w:rFonts w:cs="Times New Roman"/>
        </w:rPr>
        <w:t xml:space="preserve">l zonation with few exceptions. </w:t>
      </w:r>
      <w:r w:rsidR="00665C0F" w:rsidRPr="003D1B42">
        <w:rPr>
          <w:rFonts w:cs="Times New Roman"/>
        </w:rPr>
        <w:t xml:space="preserve">Along the footwall contact of the Main dike, a coarse-grained granites grades sharply upward into massive leucocratic saccharoidal aplite, the first unit recognized as pegmatitic </w:t>
      </w:r>
      <w:r w:rsidR="00665C0F">
        <w:rPr>
          <w:rFonts w:cs="Times New Roman"/>
        </w:rPr>
        <w:fldChar w:fldCharType="begin" w:fldLock="1"/>
      </w:r>
      <w:r>
        <w:rPr>
          <w:rFonts w:cs="Times New Roman"/>
        </w:rPr>
        <w:instrText>ADDIN CSL_CITATION { "citationItems" : [ { "id" : "ITEM-1", "itemData" : { "DOI" : "10.1007/s004100050541", "ISSN" : "00107999", "author" : [ { "dropping-particle" : "", "family" : "Morgan", "given" : "George B.", "non-dropping-particle" : "", "parse-names" : false, "suffix" : "" }, { "dropping-particle" : "", "family" : "London", "given" : "David", "non-dropping-particle" : "", "parse-names" : false, "suffix" : "" } ], "container-title" : "Contributions to Mineralogy and Petrology", "id" : "ITEM-1", "issue" : "4", "issued" : { "date-parts" : [ [ "1999" ] ] }, "page" : "310-330", "title" : "Crystallization of the Little Three layered pegmatite-aplite dike, Ramona District, California", "type" : "article-journal", "volume" : "136" }, "uris" : [ "http://www.mendeley.com/documents/?uuid=5d1566b0-c89b-4e61-94c5-4a9310a32eb3" ] } ], "mendeley" : { "formattedCitation" : "(Morgan and London, 1999)", "manualFormatting" : "(Morgan and London, 1999)", "plainTextFormattedCitation" : "(Morgan and London, 1999)", "previouslyFormattedCitation" : "(Morgan and London 1999)" }, "properties" : { "noteIndex" : 0 }, "schema" : "https://github.com/citation-style-language/schema/raw/master/csl-citation.json" }</w:instrText>
      </w:r>
      <w:r w:rsidR="00665C0F">
        <w:rPr>
          <w:rFonts w:cs="Times New Roman"/>
        </w:rPr>
        <w:fldChar w:fldCharType="separate"/>
      </w:r>
      <w:r w:rsidR="00665C0F" w:rsidRPr="003D1B42">
        <w:rPr>
          <w:rFonts w:cs="Times New Roman"/>
          <w:noProof/>
        </w:rPr>
        <w:t>(Morgan and London, 1999)</w:t>
      </w:r>
      <w:r w:rsidR="00665C0F">
        <w:rPr>
          <w:rFonts w:cs="Times New Roman"/>
        </w:rPr>
        <w:fldChar w:fldCharType="end"/>
      </w:r>
      <w:r w:rsidR="00665C0F" w:rsidRPr="003D1B42">
        <w:rPr>
          <w:rFonts w:cs="Times New Roman"/>
        </w:rPr>
        <w:t xml:space="preserve">. At the Swamp dike, a similarly coarse-grained granite is succeeded upward by graphic quartz – K-feldspar pegmatite. In both dikes, the footwall zones of </w:t>
      </w:r>
      <w:r w:rsidR="00665C0F" w:rsidRPr="003D1B42">
        <w:rPr>
          <w:rFonts w:cs="Times New Roman"/>
        </w:rPr>
        <w:lastRenderedPageBreak/>
        <w:t>massive aplite or graphic granite grade upward into sharply layered saccharoidal aplite. Light bands have the modal composition of Qtz</w:t>
      </w:r>
      <w:r w:rsidR="00665C0F" w:rsidRPr="003D1B42">
        <w:rPr>
          <w:rFonts w:cs="Times New Roman"/>
          <w:vertAlign w:val="subscript"/>
        </w:rPr>
        <w:t>22</w:t>
      </w:r>
      <w:r w:rsidR="00665C0F" w:rsidRPr="003D1B42">
        <w:rPr>
          <w:rFonts w:cs="Times New Roman"/>
        </w:rPr>
        <w:t>Ab</w:t>
      </w:r>
      <w:r w:rsidR="00665C0F" w:rsidRPr="003D1B42">
        <w:rPr>
          <w:rFonts w:cs="Times New Roman"/>
          <w:vertAlign w:val="subscript"/>
        </w:rPr>
        <w:t>64</w:t>
      </w:r>
      <w:r w:rsidR="00665C0F" w:rsidRPr="003D1B42">
        <w:rPr>
          <w:rFonts w:cs="Times New Roman"/>
        </w:rPr>
        <w:t>Kfs</w:t>
      </w:r>
      <w:r w:rsidR="00665C0F" w:rsidRPr="003D1B42">
        <w:rPr>
          <w:rFonts w:cs="Times New Roman"/>
          <w:vertAlign w:val="subscript"/>
        </w:rPr>
        <w:t>11</w:t>
      </w:r>
      <w:r w:rsidR="00665C0F" w:rsidRPr="003D1B42">
        <w:rPr>
          <w:rFonts w:cs="Times New Roman"/>
        </w:rPr>
        <w:t>Tur</w:t>
      </w:r>
      <w:r w:rsidR="00665C0F" w:rsidRPr="003D1B42">
        <w:rPr>
          <w:rFonts w:cs="Times New Roman"/>
          <w:vertAlign w:val="subscript"/>
        </w:rPr>
        <w:t>03</w:t>
      </w:r>
      <w:r w:rsidR="00665C0F" w:rsidRPr="003D1B42">
        <w:rPr>
          <w:rFonts w:cs="Times New Roman"/>
        </w:rPr>
        <w:t>Gt</w:t>
      </w:r>
      <w:r w:rsidR="00665C0F" w:rsidRPr="003D1B42">
        <w:rPr>
          <w:rFonts w:cs="Times New Roman"/>
          <w:vertAlign w:val="subscript"/>
        </w:rPr>
        <w:t>00</w:t>
      </w:r>
      <w:r w:rsidR="00665C0F" w:rsidRPr="003D1B42">
        <w:rPr>
          <w:rFonts w:cs="Times New Roman"/>
        </w:rPr>
        <w:t>Ms</w:t>
      </w:r>
      <w:r w:rsidR="00665C0F" w:rsidRPr="003D1B42">
        <w:rPr>
          <w:rFonts w:cs="Times New Roman"/>
          <w:vertAlign w:val="subscript"/>
        </w:rPr>
        <w:t>00</w:t>
      </w:r>
      <w:r w:rsidR="00665C0F" w:rsidRPr="003D1B42">
        <w:rPr>
          <w:rFonts w:cs="Times New Roman"/>
        </w:rPr>
        <w:t>, and dark bands consist of Qtz</w:t>
      </w:r>
      <w:r w:rsidR="00665C0F" w:rsidRPr="003D1B42">
        <w:rPr>
          <w:rFonts w:cs="Times New Roman"/>
          <w:vertAlign w:val="subscript"/>
        </w:rPr>
        <w:t>23</w:t>
      </w:r>
      <w:r w:rsidR="00665C0F" w:rsidRPr="003D1B42">
        <w:rPr>
          <w:rFonts w:cs="Times New Roman"/>
        </w:rPr>
        <w:t>Ab</w:t>
      </w:r>
      <w:r w:rsidR="00665C0F" w:rsidRPr="003D1B42">
        <w:rPr>
          <w:rFonts w:cs="Times New Roman"/>
          <w:vertAlign w:val="subscript"/>
        </w:rPr>
        <w:t>15</w:t>
      </w:r>
      <w:r w:rsidR="00665C0F" w:rsidRPr="003D1B42">
        <w:rPr>
          <w:rFonts w:cs="Times New Roman"/>
        </w:rPr>
        <w:t>Kfs</w:t>
      </w:r>
      <w:r w:rsidR="00665C0F" w:rsidRPr="003D1B42">
        <w:rPr>
          <w:rFonts w:cs="Times New Roman"/>
          <w:vertAlign w:val="subscript"/>
        </w:rPr>
        <w:t>50</w:t>
      </w:r>
      <w:r w:rsidR="00665C0F" w:rsidRPr="003D1B42">
        <w:rPr>
          <w:rFonts w:cs="Times New Roman"/>
        </w:rPr>
        <w:t>Tur</w:t>
      </w:r>
      <w:r w:rsidR="00665C0F" w:rsidRPr="003D1B42">
        <w:rPr>
          <w:rFonts w:cs="Times New Roman"/>
          <w:vertAlign w:val="subscript"/>
        </w:rPr>
        <w:t>12</w:t>
      </w:r>
      <w:r w:rsidR="00665C0F" w:rsidRPr="003D1B42">
        <w:rPr>
          <w:rFonts w:cs="Times New Roman"/>
        </w:rPr>
        <w:t>Gt</w:t>
      </w:r>
      <w:r w:rsidR="00665C0F" w:rsidRPr="003D1B42">
        <w:rPr>
          <w:rFonts w:cs="Times New Roman"/>
          <w:vertAlign w:val="subscript"/>
        </w:rPr>
        <w:t>00</w:t>
      </w:r>
      <w:r w:rsidR="00665C0F" w:rsidRPr="003D1B42">
        <w:rPr>
          <w:rFonts w:cs="Times New Roman"/>
        </w:rPr>
        <w:t>Ms</w:t>
      </w:r>
      <w:r w:rsidR="00665C0F" w:rsidRPr="003D1B42">
        <w:rPr>
          <w:rFonts w:cs="Times New Roman"/>
          <w:vertAlign w:val="subscript"/>
        </w:rPr>
        <w:t>00</w:t>
      </w:r>
      <w:r w:rsidR="00665C0F" w:rsidRPr="003D1B42">
        <w:rPr>
          <w:rFonts w:cs="Times New Roman"/>
        </w:rPr>
        <w:t xml:space="preserve"> </w:t>
      </w:r>
      <w:r w:rsidR="00665C0F" w:rsidRPr="003D1B42">
        <w:rPr>
          <w:rFonts w:cs="Times New Roman"/>
        </w:rPr>
        <w:fldChar w:fldCharType="begin" w:fldLock="1"/>
      </w:r>
      <w:r>
        <w:rPr>
          <w:rFonts w:cs="Times New Roman"/>
        </w:rPr>
        <w:instrText>ADDIN CSL_CITATION { "citationItems" : [ { "id" : "ITEM-1", "itemData" : { "DOI" : "10.3749/canmin.50.4.1025", "ISSN" : "00084476", "abstract" : "Miarolitic granitic pegmatites at the Little Three mine property near Ramona, San Diego County, California, USA, possess a bulk composition that closely matches that of a hydrous peraluminous granitic liquid that is saturated with respect to tourmaline at a temperature of \u223c450\u00b0C. As such, the pegmatites appear to represent the compositions of the silicate liquid from which they crystallized, which contained &lt;1 wt% B2O3 and minor amounts of Li and F. They do not appear to have contained phenocrysts upon emplacement, and they are neither partially cumulate nor hydrothermal in nature. The Little Three pegmatites are, however, sharply zoned. Chemical zonation across one small dike matches the patterns expected from crystallization of undercooled granitic liquids, in which the far-field diffusion of alkalis and local constitutional zone refining of fluxing and incompatible elements contribute to the chemical and textural changes from the margins inward. Feldspar thermometry records nearly isothermal crystallization at \u223c420\u00b0\u2013430\u00b0C for dikes from 1 to 2.5 m in thickness. Temperatures recorded by feldspars fall toward the miarolitic center of the thicker (Main) dike, but increase to \u223c500\u00b0C in the thinner (Swamp) dike. Fluid inclusions within quartz and topaz from miarolitic cavities of the Main dike contain cryolite, arsenides, arsenates, pollucite, and borates, including Cs borate, the latter of which indicates a higher degree of chemical fractionation than is present in the minerals that line the cavities. Extrapolation along isochores based on the homogenization (200\u00b0\u2013225\u00b0C) of the low-salinity aqueous fluid (&lt;1 equivalent wt% NaCl) to the temperature of feldspar equilibration (240\u00b0\u2013270\u00b0C) with the miarolitic cavity points to hydrostatic entrapment pressures of \u223c50 to 100 MPa, which are unrealistically low. If the isochores are extrapolated to 370\u00b0 \u00b1 20\u00b0C, the temperatures recorded by feldspars in the pegmatite that surrounds the miarolitic pockets, then the entrapment pressure would be \u223c200\u2013250 MPa. Formation of the miarolitic cavities at \u223c370\u00b0C and 200\u2013250 MPa is plausible, as the cavities contain zeolites; therefore, the feldspars within the pockets have recrystallized (re-equilibrated) to an extent that they no longer preserve their original compositions. ", "author" : [ { "dropping-particle" : "", "family" : "London", "given" : "David", "non-dropping-particle" : "", "parse-names" : false, "suffix" : "" }, { "dropping-particle" : "", "family" : "Morganvi", "given" : "George B.", "non-dropping-particle" : "", "parse-names" : false, "suffix" : "" }, { "dropping-particle" : "", "family" : "Paul", "given" : "Kerry A.", "non-dropping-particle" : "", "parse-names" : false, "suffix" : "" }, { "dropping-particle" : "", "family" : "Guttery", "given" : "Brandon M.", "non-dropping-particle" : "", "parse-names" : false, "suffix" : "" } ], "container-title" : "Canadian Mineralogist", "id" : "ITEM-1", "issue" : "4", "issued" : { "date-parts" : [ [ "2012" ] ] }, "page" : "1025-1054", "title" : "Internal evolution of miarolitic granitic pegmatites at the little three Mine, Ramona, California, USA", "type" : "article-journal", "volume" : "50" }, "uris" : [ "http://www.mendeley.com/documents/?uuid=a213218b-05b1-4ed6-8346-161a0a5501f1" ] } ], "mendeley" : { "formattedCitation" : "(London et al., 2012)", "plainTextFormattedCitation" : "(London et al., 2012)", "previouslyFormattedCitation" : "(London et al. 2012)" }, "properties" : { "noteIndex" : 0 }, "schema" : "https://github.com/citation-style-language/schema/raw/master/csl-citation.json" }</w:instrText>
      </w:r>
      <w:r w:rsidR="00665C0F" w:rsidRPr="003D1B42">
        <w:rPr>
          <w:rFonts w:cs="Times New Roman"/>
        </w:rPr>
        <w:fldChar w:fldCharType="separate"/>
      </w:r>
      <w:r w:rsidRPr="00266290">
        <w:rPr>
          <w:rFonts w:cs="Times New Roman"/>
          <w:noProof/>
        </w:rPr>
        <w:t>(London et al., 2012)</w:t>
      </w:r>
      <w:r w:rsidR="00665C0F" w:rsidRPr="003D1B42">
        <w:rPr>
          <w:rFonts w:cs="Times New Roman"/>
        </w:rPr>
        <w:fldChar w:fldCharType="end"/>
      </w:r>
      <w:r w:rsidR="00665C0F" w:rsidRPr="003D1B42">
        <w:rPr>
          <w:rFonts w:cs="Times New Roman"/>
        </w:rPr>
        <w:t>. In both pegmatites, the layered aplite is succeeded upward by the lower intermediate zone (Qtz</w:t>
      </w:r>
      <w:r w:rsidR="00665C0F" w:rsidRPr="003D1B42">
        <w:rPr>
          <w:rFonts w:cs="Times New Roman"/>
          <w:vertAlign w:val="subscript"/>
        </w:rPr>
        <w:t>22</w:t>
      </w:r>
      <w:r w:rsidR="00665C0F" w:rsidRPr="003D1B42">
        <w:rPr>
          <w:rFonts w:cs="Times New Roman"/>
        </w:rPr>
        <w:t>Pl</w:t>
      </w:r>
      <w:r w:rsidR="00665C0F" w:rsidRPr="003D1B42">
        <w:rPr>
          <w:rFonts w:cs="Times New Roman"/>
          <w:vertAlign w:val="subscript"/>
        </w:rPr>
        <w:t>44</w:t>
      </w:r>
      <w:r w:rsidR="00665C0F" w:rsidRPr="003D1B42">
        <w:rPr>
          <w:rFonts w:cs="Times New Roman"/>
        </w:rPr>
        <w:t>Kfs</w:t>
      </w:r>
      <w:r w:rsidR="00665C0F" w:rsidRPr="003D1B42">
        <w:rPr>
          <w:rFonts w:cs="Times New Roman"/>
          <w:vertAlign w:val="subscript"/>
        </w:rPr>
        <w:t>25</w:t>
      </w:r>
      <w:r w:rsidR="00665C0F" w:rsidRPr="003D1B42">
        <w:rPr>
          <w:rFonts w:cs="Times New Roman"/>
        </w:rPr>
        <w:t>Tur</w:t>
      </w:r>
      <w:r w:rsidR="00665C0F" w:rsidRPr="003D1B42">
        <w:rPr>
          <w:rFonts w:cs="Times New Roman"/>
          <w:vertAlign w:val="subscript"/>
        </w:rPr>
        <w:t>03</w:t>
      </w:r>
      <w:r w:rsidR="00665C0F" w:rsidRPr="003D1B42">
        <w:rPr>
          <w:rFonts w:cs="Times New Roman"/>
        </w:rPr>
        <w:t>Gt</w:t>
      </w:r>
      <w:r w:rsidR="00665C0F" w:rsidRPr="003D1B42">
        <w:rPr>
          <w:rFonts w:cs="Times New Roman"/>
          <w:vertAlign w:val="subscript"/>
        </w:rPr>
        <w:t>03</w:t>
      </w:r>
      <w:r w:rsidR="00665C0F" w:rsidRPr="003D1B42">
        <w:rPr>
          <w:rFonts w:cs="Times New Roman"/>
        </w:rPr>
        <w:t>Ms</w:t>
      </w:r>
      <w:r w:rsidR="00665C0F" w:rsidRPr="003D1B42">
        <w:rPr>
          <w:rFonts w:cs="Times New Roman"/>
          <w:vertAlign w:val="subscript"/>
        </w:rPr>
        <w:t>02</w:t>
      </w:r>
      <w:r w:rsidR="00665C0F" w:rsidRPr="003D1B42">
        <w:rPr>
          <w:rFonts w:cs="Times New Roman"/>
        </w:rPr>
        <w:t>), with prominent coarse-grained unidirectional solidification texture (UST), which includes tourmaline crystals that flair (expand) inward toward the dike centers.</w:t>
      </w:r>
    </w:p>
    <w:p w:rsidR="00665C0F" w:rsidRPr="003D1B42" w:rsidRDefault="00665C0F" w:rsidP="00DD7479">
      <w:pPr>
        <w:pStyle w:val="ListParagraph"/>
        <w:spacing w:after="240" w:line="480" w:lineRule="auto"/>
        <w:ind w:left="0" w:firstLine="720"/>
        <w:rPr>
          <w:rFonts w:cs="Times New Roman"/>
        </w:rPr>
      </w:pPr>
      <w:r w:rsidRPr="003D1B42">
        <w:rPr>
          <w:rFonts w:cs="Times New Roman"/>
        </w:rPr>
        <w:t>The wall zones along the hanging wall contacts with tonalite are dominated by plagioclase over K-feldspar, and they contain far more modal quartz than the footwall sections (Qtz</w:t>
      </w:r>
      <w:r w:rsidRPr="003D1B42">
        <w:rPr>
          <w:rFonts w:cs="Times New Roman"/>
          <w:vertAlign w:val="subscript"/>
        </w:rPr>
        <w:t>42</w:t>
      </w:r>
      <w:r w:rsidRPr="003D1B42">
        <w:rPr>
          <w:rFonts w:cs="Times New Roman"/>
        </w:rPr>
        <w:t>Ab</w:t>
      </w:r>
      <w:r w:rsidRPr="003D1B42">
        <w:rPr>
          <w:rFonts w:cs="Times New Roman"/>
          <w:vertAlign w:val="subscript"/>
        </w:rPr>
        <w:t>39</w:t>
      </w:r>
      <w:r w:rsidRPr="003D1B42">
        <w:rPr>
          <w:rFonts w:cs="Times New Roman"/>
        </w:rPr>
        <w:t>Kfs</w:t>
      </w:r>
      <w:r w:rsidRPr="003D1B42">
        <w:rPr>
          <w:rFonts w:cs="Times New Roman"/>
          <w:vertAlign w:val="subscript"/>
        </w:rPr>
        <w:t>07</w:t>
      </w:r>
      <w:r w:rsidRPr="003D1B42">
        <w:rPr>
          <w:rFonts w:cs="Times New Roman"/>
        </w:rPr>
        <w:t>Tur</w:t>
      </w:r>
      <w:r w:rsidRPr="003D1B42">
        <w:rPr>
          <w:rFonts w:cs="Times New Roman"/>
          <w:vertAlign w:val="subscript"/>
        </w:rPr>
        <w:t>12</w:t>
      </w:r>
      <w:r w:rsidRPr="003D1B42">
        <w:rPr>
          <w:rFonts w:cs="Times New Roman"/>
        </w:rPr>
        <w:t>Gt</w:t>
      </w:r>
      <w:r w:rsidRPr="003D1B42">
        <w:rPr>
          <w:rFonts w:cs="Times New Roman"/>
          <w:vertAlign w:val="subscript"/>
        </w:rPr>
        <w:t>00</w:t>
      </w:r>
      <w:r w:rsidRPr="003D1B42">
        <w:rPr>
          <w:rFonts w:cs="Times New Roman"/>
        </w:rPr>
        <w:t>Ms</w:t>
      </w:r>
      <w:r w:rsidRPr="003D1B42">
        <w:rPr>
          <w:rFonts w:cs="Times New Roman"/>
          <w:vertAlign w:val="subscript"/>
        </w:rPr>
        <w:t>00</w:t>
      </w:r>
      <w:r w:rsidRPr="003D1B42">
        <w:rPr>
          <w:rFonts w:cs="Times New Roman"/>
        </w:rPr>
        <w:t>). The wall zones grade downward into the same coarsely-crystalline upper intermediate zone with prominent UST fabric and graphic quartz – K-feldspar intergrowths. Approaching the dike centerline, the upper and lower intermediate zones of the Main and Swamp dikes become markedly enriched in K-feldspar and quartz (Qtz</w:t>
      </w:r>
      <w:r w:rsidRPr="003D1B42">
        <w:rPr>
          <w:rFonts w:cs="Times New Roman"/>
          <w:vertAlign w:val="subscript"/>
        </w:rPr>
        <w:t>43</w:t>
      </w:r>
      <w:r w:rsidRPr="003D1B42">
        <w:rPr>
          <w:rFonts w:cs="Times New Roman"/>
        </w:rPr>
        <w:t>Ab</w:t>
      </w:r>
      <w:r w:rsidRPr="003D1B42">
        <w:rPr>
          <w:rFonts w:cs="Times New Roman"/>
          <w:vertAlign w:val="subscript"/>
        </w:rPr>
        <w:t>06</w:t>
      </w:r>
      <w:r w:rsidRPr="003D1B42">
        <w:rPr>
          <w:rFonts w:cs="Times New Roman"/>
        </w:rPr>
        <w:t>Kfs</w:t>
      </w:r>
      <w:r w:rsidRPr="003D1B42">
        <w:rPr>
          <w:rFonts w:cs="Times New Roman"/>
          <w:vertAlign w:val="subscript"/>
        </w:rPr>
        <w:t>49</w:t>
      </w:r>
      <w:r w:rsidRPr="003D1B42">
        <w:rPr>
          <w:rFonts w:cs="Times New Roman"/>
        </w:rPr>
        <w:t>Tur</w:t>
      </w:r>
      <w:r w:rsidRPr="003D1B42">
        <w:rPr>
          <w:rFonts w:cs="Times New Roman"/>
          <w:vertAlign w:val="subscript"/>
        </w:rPr>
        <w:t>00</w:t>
      </w:r>
      <w:r w:rsidRPr="003D1B42">
        <w:rPr>
          <w:rFonts w:cs="Times New Roman"/>
        </w:rPr>
        <w:t>Gt</w:t>
      </w:r>
      <w:r w:rsidRPr="003D1B42">
        <w:rPr>
          <w:rFonts w:cs="Times New Roman"/>
          <w:vertAlign w:val="subscript"/>
        </w:rPr>
        <w:t>00</w:t>
      </w:r>
      <w:r w:rsidRPr="003D1B42">
        <w:rPr>
          <w:rFonts w:cs="Times New Roman"/>
        </w:rPr>
        <w:t>Ms</w:t>
      </w:r>
      <w:r w:rsidRPr="003D1B42">
        <w:rPr>
          <w:rFonts w:cs="Times New Roman"/>
          <w:vertAlign w:val="subscript"/>
        </w:rPr>
        <w:t>00</w:t>
      </w:r>
      <w:r w:rsidRPr="003D1B42">
        <w:rPr>
          <w:rFonts w:cs="Times New Roman"/>
        </w:rPr>
        <w:t xml:space="preserve">) in what constitutes the core of the Swamp dike. The Main and Spessartine dikes terminate with miarolitic cavities along their centerline; though </w:t>
      </w:r>
      <w:r>
        <w:rPr>
          <w:rFonts w:cs="Times New Roman"/>
        </w:rPr>
        <w:t xml:space="preserve">the miarolitic cavities are </w:t>
      </w:r>
      <w:r w:rsidRPr="003D1B42">
        <w:rPr>
          <w:rFonts w:cs="Times New Roman"/>
        </w:rPr>
        <w:t>quartz-rich, feldspars comprise an appreciable proportion of the contents (</w:t>
      </w:r>
      <w:r w:rsidRPr="00753982">
        <w:rPr>
          <w:rFonts w:cs="Times New Roman"/>
        </w:rPr>
        <w:t>see Fig. 2</w:t>
      </w:r>
      <w:r w:rsidRPr="003D1B42">
        <w:rPr>
          <w:rFonts w:cs="Times New Roman"/>
        </w:rPr>
        <w:t xml:space="preserve"> of </w:t>
      </w:r>
      <w:r w:rsidRPr="003D1B42">
        <w:rPr>
          <w:rFonts w:cs="Times New Roman"/>
        </w:rPr>
        <w:fldChar w:fldCharType="begin" w:fldLock="1"/>
      </w:r>
      <w:r w:rsidR="00266290">
        <w:rPr>
          <w:rFonts w:cs="Times New Roman"/>
        </w:rPr>
        <w:instrText>ADDIN CSL_CITATION { "citationItems" : [ { "id" : "ITEM-1", "itemData" : { "DOI" : "10.3749/canmin.50.4.1025", "ISSN" : "00084476", "abstract" : "Miarolitic granitic pegmatites at the Little Three mine property near Ramona, San Diego County, California, USA, possess a bulk composition that closely matches that of a hydrous peraluminous granitic liquid that is saturated with respect to tourmaline at a temperature of \u223c450\u00b0C. As such, the pegmatites appear to represent the compositions of the silicate liquid from which they crystallized, which contained &lt;1 wt% B2O3 and minor amounts of Li and F. They do not appear to have contained phenocrysts upon emplacement, and they are neither partially cumulate nor hydrothermal in nature. The Little Three pegmatites are, however, sharply zoned. Chemical zonation across one small dike matches the patterns expected from crystallization of undercooled granitic liquids, in which the far-field diffusion of alkalis and local constitutional zone refining of fluxing and incompatible elements contribute to the chemical and textural changes from the margins inward. Feldspar thermometry records nearly isothermal crystallization at \u223c420\u00b0\u2013430\u00b0C for dikes from 1 to 2.5 m in thickness. Temperatures recorded by feldspars fall toward the miarolitic center of the thicker (Main) dike, but increase to \u223c500\u00b0C in the thinner (Swamp) dike. Fluid inclusions within quartz and topaz from miarolitic cavities of the Main dike contain cryolite, arsenides, arsenates, pollucite, and borates, including Cs borate, the latter of which indicates a higher degree of chemical fractionation than is present in the minerals that line the cavities. Extrapolation along isochores based on the homogenization (200\u00b0\u2013225\u00b0C) of the low-salinity aqueous fluid (&lt;1 equivalent wt% NaCl) to the temperature of feldspar equilibration (240\u00b0\u2013270\u00b0C) with the miarolitic cavity points to hydrostatic entrapment pressures of \u223c50 to 100 MPa, which are unrealistically low. If the isochores are extrapolated to 370\u00b0 \u00b1 20\u00b0C, the temperatures recorded by feldspars in the pegmatite that surrounds the miarolitic pockets, then the entrapment pressure would be \u223c200\u2013250 MPa. Formation of the miarolitic cavities at \u223c370\u00b0C and 200\u2013250 MPa is plausible, as the cavities contain zeolites; therefore, the feldspars within the pockets have recrystallized (re-equilibrated) to an extent that they no longer preserve their original compositions. ", "author" : [ { "dropping-particle" : "", "family" : "London", "given" : "David", "non-dropping-particle" : "", "parse-names" : false, "suffix" : "" }, { "dropping-particle" : "", "family" : "Morganvi", "given" : "George B.", "non-dropping-particle" : "", "parse-names" : false, "suffix" : "" }, { "dropping-particle" : "", "family" : "Paul", "given" : "Kerry A.", "non-dropping-particle" : "", "parse-names" : false, "suffix" : "" }, { "dropping-particle" : "", "family" : "Guttery", "given" : "Brandon M.", "non-dropping-particle" : "", "parse-names" : false, "suffix" : "" } ], "container-title" : "Canadian Mineralogist", "id" : "ITEM-1", "issue" : "4", "issued" : { "date-parts" : [ [ "2012" ] ] }, "page" : "1025-1054", "title" : "Internal evolution of miarolitic granitic pegmatites at the little three Mine, Ramona, California, USA", "type" : "article-journal", "volume" : "50" }, "uris" : [ "http://www.mendeley.com/documents/?uuid=a213218b-05b1-4ed6-8346-161a0a5501f1" ] } ], "mendeley" : { "formattedCitation" : "(London et al., 2012)", "manualFormatting" : "London et al., 2012)", "plainTextFormattedCitation" : "(London et al., 2012)", "previouslyFormattedCitation" : "(London et al. 2012)" }, "properties" : { "noteIndex" : 0 }, "schema" : "https://github.com/citation-style-language/schema/raw/master/csl-citation.json" }</w:instrText>
      </w:r>
      <w:r w:rsidRPr="003D1B42">
        <w:rPr>
          <w:rFonts w:cs="Times New Roman"/>
        </w:rPr>
        <w:fldChar w:fldCharType="separate"/>
      </w:r>
      <w:r w:rsidRPr="003D1B42">
        <w:rPr>
          <w:rFonts w:cs="Times New Roman"/>
          <w:noProof/>
        </w:rPr>
        <w:t>London et al., 2012)</w:t>
      </w:r>
      <w:r w:rsidRPr="003D1B42">
        <w:rPr>
          <w:rFonts w:cs="Times New Roman"/>
        </w:rPr>
        <w:fldChar w:fldCharType="end"/>
      </w:r>
      <w:r w:rsidRPr="003D1B42">
        <w:rPr>
          <w:rFonts w:cs="Times New Roman"/>
        </w:rPr>
        <w:t>. In all three pegmatites</w:t>
      </w:r>
      <w:r>
        <w:rPr>
          <w:rFonts w:cs="Times New Roman"/>
        </w:rPr>
        <w:t>, except for the Spessartine dike whose contacts are not exposed</w:t>
      </w:r>
      <w:r w:rsidRPr="003D1B42">
        <w:rPr>
          <w:rFonts w:cs="Times New Roman"/>
        </w:rPr>
        <w:t>, tourmaline is present from margins to center, including rare miarolitic segments of the Swamp dike.</w:t>
      </w:r>
      <w:r w:rsidRPr="00DD3B0F">
        <w:rPr>
          <w:rFonts w:cs="Times New Roman"/>
        </w:rPr>
        <w:t xml:space="preserve"> </w:t>
      </w:r>
    </w:p>
    <w:p w:rsidR="00665C0F" w:rsidRPr="0047415D" w:rsidRDefault="00DD7479" w:rsidP="00DD7479">
      <w:pPr>
        <w:pStyle w:val="Heading2"/>
        <w:spacing w:line="480" w:lineRule="auto"/>
        <w:rPr>
          <w:rFonts w:cs="Times New Roman"/>
          <w:bCs/>
          <w:sz w:val="24"/>
        </w:rPr>
      </w:pPr>
      <w:bookmarkStart w:id="15" w:name="_Toc491245982"/>
      <w:r w:rsidRPr="0047415D">
        <w:rPr>
          <w:rFonts w:cs="Times New Roman"/>
          <w:bCs/>
          <w:sz w:val="24"/>
        </w:rPr>
        <w:lastRenderedPageBreak/>
        <w:t>3. Methods</w:t>
      </w:r>
      <w:bookmarkEnd w:id="15"/>
    </w:p>
    <w:p w:rsidR="00665C0F" w:rsidRPr="00DD7479" w:rsidRDefault="00DD7479" w:rsidP="00DD7479">
      <w:pPr>
        <w:pStyle w:val="Heading3"/>
        <w:spacing w:line="480" w:lineRule="auto"/>
        <w:rPr>
          <w:rFonts w:cs="Times New Roman"/>
          <w:bCs/>
          <w:iCs/>
        </w:rPr>
      </w:pPr>
      <w:bookmarkStart w:id="16" w:name="_Toc491245983"/>
      <w:r>
        <w:rPr>
          <w:rFonts w:cs="Times New Roman"/>
          <w:bCs/>
          <w:iCs/>
        </w:rPr>
        <w:t>3.1</w:t>
      </w:r>
      <w:r w:rsidR="00A24071">
        <w:rPr>
          <w:rFonts w:cs="Times New Roman"/>
          <w:bCs/>
          <w:iCs/>
        </w:rPr>
        <w:t>.</w:t>
      </w:r>
      <w:r w:rsidR="00665C0F" w:rsidRPr="00DD7479">
        <w:rPr>
          <w:rFonts w:cs="Times New Roman"/>
          <w:bCs/>
          <w:iCs/>
        </w:rPr>
        <w:t xml:space="preserve"> Description of samples</w:t>
      </w:r>
      <w:bookmarkEnd w:id="16"/>
    </w:p>
    <w:p w:rsidR="00665C0F" w:rsidRDefault="00665C0F" w:rsidP="00DD7479">
      <w:pPr>
        <w:spacing w:after="240" w:line="480" w:lineRule="auto"/>
        <w:ind w:firstLine="720"/>
        <w:rPr>
          <w:rFonts w:cs="Times New Roman"/>
        </w:rPr>
      </w:pPr>
      <w:r w:rsidRPr="003D1B42">
        <w:rPr>
          <w:rFonts w:cs="Times New Roman"/>
        </w:rPr>
        <w:t xml:space="preserve">A complete and representative cross section of the Main dike of the Little Three pegmatite was collected as large, decimeter-sized rock </w:t>
      </w:r>
      <w:r w:rsidRPr="00753982">
        <w:rPr>
          <w:rFonts w:cs="Times New Roman"/>
        </w:rPr>
        <w:t xml:space="preserve">samples (Fig. </w:t>
      </w:r>
      <w:r w:rsidR="00815F07">
        <w:rPr>
          <w:rFonts w:cs="Times New Roman"/>
        </w:rPr>
        <w:t>2-</w:t>
      </w:r>
      <w:r w:rsidRPr="00753982">
        <w:rPr>
          <w:rFonts w:cs="Times New Roman"/>
        </w:rPr>
        <w:t xml:space="preserve">1) </w:t>
      </w:r>
      <w:r>
        <w:rPr>
          <w:rFonts w:cs="Times New Roman"/>
        </w:rPr>
        <w:fldChar w:fldCharType="begin" w:fldLock="1"/>
      </w:r>
      <w:r w:rsidR="00266290">
        <w:rPr>
          <w:rFonts w:cs="Times New Roman"/>
        </w:rPr>
        <w:instrText>ADDIN CSL_CITATION { "citationItems" : [ { "id" : "ITEM-1", "itemData" : { "DOI" : "10.1007/s004100050541", "ISSN" : "00107999", "author" : [ { "dropping-particle" : "", "family" : "Morgan", "given" : "George B.", "non-dropping-particle" : "", "parse-names" : false, "suffix" : "" }, { "dropping-particle" : "", "family" : "London", "given" : "David", "non-dropping-particle" : "", "parse-names" : false, "suffix" : "" } ], "container-title" : "Contributions to Mineralogy and Petrology", "id" : "ITEM-1", "issue" : "4", "issued" : { "date-parts" : [ [ "1999" ] ] }, "page" : "310-330", "title" : "Crystallization of the Little Three layered pegmatite-aplite dike, Ramona District, California", "type" : "article-journal", "volume" : "136" }, "uris" : [ "http://www.mendeley.com/documents/?uuid=5d1566b0-c89b-4e61-94c5-4a9310a32eb3" ] } ], "mendeley" : { "formattedCitation" : "(Morgan and London, 1999)", "manualFormatting" : "(Morgan and London, 1999)", "plainTextFormattedCitation" : "(Morgan and London, 1999)", "previouslyFormattedCitation" : "(Morgan and London 1999)" }, "properties" : { "noteIndex" : 0 }, "schema" : "https://github.com/citation-style-language/schema/raw/master/csl-citation.json" }</w:instrText>
      </w:r>
      <w:r>
        <w:rPr>
          <w:rFonts w:cs="Times New Roman"/>
        </w:rPr>
        <w:fldChar w:fldCharType="separate"/>
      </w:r>
      <w:r w:rsidRPr="00753982">
        <w:rPr>
          <w:rFonts w:cs="Times New Roman"/>
          <w:noProof/>
        </w:rPr>
        <w:t>(Morgan and London, 1999)</w:t>
      </w:r>
      <w:r>
        <w:rPr>
          <w:rFonts w:cs="Times New Roman"/>
        </w:rPr>
        <w:fldChar w:fldCharType="end"/>
      </w:r>
      <w:r w:rsidRPr="003D1B42">
        <w:rPr>
          <w:rFonts w:cs="Times New Roman"/>
        </w:rPr>
        <w:t>.</w:t>
      </w:r>
      <w:r w:rsidRPr="009054A8">
        <w:rPr>
          <w:rFonts w:cs="Times New Roman"/>
        </w:rPr>
        <w:t xml:space="preserve"> </w:t>
      </w:r>
      <w:r w:rsidRPr="003D1B42">
        <w:rPr>
          <w:rFonts w:cs="Times New Roman"/>
        </w:rPr>
        <w:t>Minerals from miarolitic cavities sampled for this study include a crystal of lepidolite, 2.0x2.0x0.5 cm, hambergite, of which only ~ 40 grams of material was collected, and two color zoned tourmaline crystals from the ’91 London pocket of the Main dike. One of the color zoned tourmaline crystals grades from a dark green base to a light green cap. The other crystal grades from a dark green base to a light green cap with a light pink layer covering the prismatic surfaces. Boromuscovite</w:t>
      </w:r>
      <w:r>
        <w:rPr>
          <w:rFonts w:cs="Times New Roman"/>
        </w:rPr>
        <w:t xml:space="preserve"> </w:t>
      </w:r>
      <w:r w:rsidRPr="003D1B42">
        <w:rPr>
          <w:rFonts w:cs="Times New Roman"/>
        </w:rPr>
        <w:t>forms a fine-grained coating on nearly every mineral within the miarolitic cavities of the Main dike.</w:t>
      </w:r>
      <w:r>
        <w:rPr>
          <w:rFonts w:cs="Times New Roman"/>
        </w:rPr>
        <w:t xml:space="preserve"> </w:t>
      </w:r>
      <w:r w:rsidRPr="003D1B42">
        <w:rPr>
          <w:rFonts w:cs="Times New Roman"/>
        </w:rPr>
        <w:t>A single tourmaline crystal extending approximately 6 cm from the upper intermediate zone downward toward the pocket-line is dark black along most of its length (~ 4 cm) then exhibits a light green section with a lig</w:t>
      </w:r>
      <w:r>
        <w:rPr>
          <w:rFonts w:cs="Times New Roman"/>
        </w:rPr>
        <w:t>ht pink cap at its termination.</w:t>
      </w:r>
    </w:p>
    <w:p w:rsidR="00665C0F" w:rsidRPr="00AC4C65" w:rsidRDefault="00665C0F" w:rsidP="00DD7479">
      <w:pPr>
        <w:spacing w:after="240" w:line="480" w:lineRule="auto"/>
        <w:ind w:firstLine="720"/>
        <w:rPr>
          <w:rFonts w:cs="Times New Roman"/>
        </w:rPr>
      </w:pPr>
      <w:r w:rsidRPr="003D1B42">
        <w:rPr>
          <w:rFonts w:cs="Times New Roman"/>
        </w:rPr>
        <w:t xml:space="preserve">A complete cross-section of the Swamp dike was collected as two boulders from which two large sections were cut and </w:t>
      </w:r>
      <w:r w:rsidRPr="00753982">
        <w:rPr>
          <w:rFonts w:cs="Times New Roman"/>
        </w:rPr>
        <w:t xml:space="preserve">polished (Fig. </w:t>
      </w:r>
      <w:r w:rsidR="00815F07">
        <w:rPr>
          <w:rFonts w:cs="Times New Roman"/>
        </w:rPr>
        <w:t>2-</w:t>
      </w:r>
      <w:r w:rsidRPr="00753982">
        <w:rPr>
          <w:rFonts w:cs="Times New Roman"/>
        </w:rPr>
        <w:t xml:space="preserve">2). </w:t>
      </w:r>
      <w:r w:rsidRPr="003D1B42">
        <w:rPr>
          <w:rFonts w:cs="Times New Roman"/>
        </w:rPr>
        <w:t>Euhedral crystals of danburite and tourmaline were collected by DL from a rare pocket in the Swamp dike. Crystals from the Spessartine dike</w:t>
      </w:r>
      <w:r>
        <w:rPr>
          <w:rFonts w:cs="Times New Roman"/>
        </w:rPr>
        <w:t>,</w:t>
      </w:r>
      <w:r w:rsidRPr="003D1B42">
        <w:rPr>
          <w:rFonts w:cs="Times New Roman"/>
        </w:rPr>
        <w:t xml:space="preserve"> obtained from L.B. Spaulding, Jr.</w:t>
      </w:r>
      <w:r>
        <w:rPr>
          <w:rFonts w:cs="Times New Roman"/>
        </w:rPr>
        <w:t>,</w:t>
      </w:r>
      <w:r w:rsidRPr="003D1B42">
        <w:rPr>
          <w:rFonts w:cs="Times New Roman"/>
        </w:rPr>
        <w:t xml:space="preserve"> include three black tourmaline crystals, muscovite, and axinite from a pocket, black to</w:t>
      </w:r>
      <w:r>
        <w:rPr>
          <w:rFonts w:cs="Times New Roman"/>
        </w:rPr>
        <w:t xml:space="preserve">urmaline from massive pegmatite.  </w:t>
      </w:r>
      <w:r w:rsidRPr="003D1B42">
        <w:rPr>
          <w:rFonts w:cs="Times New Roman"/>
        </w:rPr>
        <w:t>Two of the black tourmaline crystals from the pocket differ only in size; the third is intergrown with axinite.</w:t>
      </w:r>
      <w:r>
        <w:rPr>
          <w:rFonts w:cs="Times New Roman"/>
        </w:rPr>
        <w:t xml:space="preserve"> A</w:t>
      </w:r>
      <w:r w:rsidRPr="003D1B42">
        <w:rPr>
          <w:rFonts w:cs="Times New Roman"/>
        </w:rPr>
        <w:t xml:space="preserve">n </w:t>
      </w:r>
      <w:r>
        <w:rPr>
          <w:rFonts w:cs="Times New Roman"/>
        </w:rPr>
        <w:t>external</w:t>
      </w:r>
      <w:r w:rsidRPr="003D1B42">
        <w:rPr>
          <w:rFonts w:cs="Times New Roman"/>
        </w:rPr>
        <w:t xml:space="preserve"> tourmalinite</w:t>
      </w:r>
      <w:r>
        <w:rPr>
          <w:rFonts w:cs="Times New Roman"/>
        </w:rPr>
        <w:t xml:space="preserve"> was</w:t>
      </w:r>
      <w:r w:rsidRPr="003D1B42">
        <w:rPr>
          <w:rFonts w:cs="Times New Roman"/>
        </w:rPr>
        <w:t xml:space="preserve"> collected by DL from the exposed hanging wall of Spaulding's workings. </w:t>
      </w:r>
      <w:r>
        <w:rPr>
          <w:rFonts w:cs="Times New Roman"/>
        </w:rPr>
        <w:t xml:space="preserve">Photographs of all samples </w:t>
      </w:r>
      <w:r>
        <w:rPr>
          <w:rFonts w:cs="Times New Roman"/>
        </w:rPr>
        <w:lastRenderedPageBreak/>
        <w:t xml:space="preserve">collected from each miarolitic cavity and the external tourmaline are shown in Figure </w:t>
      </w:r>
      <w:r w:rsidR="00815F07">
        <w:rPr>
          <w:rFonts w:cs="Times New Roman"/>
        </w:rPr>
        <w:t>2-</w:t>
      </w:r>
      <w:r>
        <w:rPr>
          <w:rFonts w:cs="Times New Roman"/>
        </w:rPr>
        <w:t>3.</w:t>
      </w:r>
    </w:p>
    <w:p w:rsidR="00665C0F" w:rsidRPr="00DD7479" w:rsidRDefault="00DD7479" w:rsidP="00DD7479">
      <w:pPr>
        <w:pStyle w:val="Heading3"/>
        <w:spacing w:line="480" w:lineRule="auto"/>
        <w:rPr>
          <w:rFonts w:cs="Times New Roman"/>
        </w:rPr>
      </w:pPr>
      <w:bookmarkStart w:id="17" w:name="_Toc491245984"/>
      <w:r w:rsidRPr="00DD7479">
        <w:rPr>
          <w:rFonts w:cs="Times New Roman"/>
          <w:bCs/>
          <w:iCs/>
        </w:rPr>
        <w:t>3.2</w:t>
      </w:r>
      <w:r w:rsidR="00A24071">
        <w:rPr>
          <w:rFonts w:cs="Times New Roman"/>
          <w:bCs/>
          <w:iCs/>
        </w:rPr>
        <w:t>.</w:t>
      </w:r>
      <w:r w:rsidRPr="00DD7479">
        <w:rPr>
          <w:rFonts w:cs="Times New Roman"/>
          <w:bCs/>
          <w:iCs/>
        </w:rPr>
        <w:t xml:space="preserve"> </w:t>
      </w:r>
      <w:r w:rsidR="00665C0F" w:rsidRPr="00DD7479">
        <w:rPr>
          <w:rFonts w:cs="Times New Roman"/>
          <w:bCs/>
          <w:iCs/>
        </w:rPr>
        <w:t>Preparation of samples for SIMS and EMPA</w:t>
      </w:r>
      <w:bookmarkEnd w:id="17"/>
      <w:r w:rsidR="00665C0F" w:rsidRPr="00DD7479">
        <w:rPr>
          <w:rFonts w:cs="Times New Roman"/>
        </w:rPr>
        <w:t xml:space="preserve"> </w:t>
      </w:r>
    </w:p>
    <w:p w:rsidR="00665C0F" w:rsidRDefault="00665C0F" w:rsidP="00DD7479">
      <w:pPr>
        <w:spacing w:after="240" w:line="480" w:lineRule="auto"/>
        <w:ind w:firstLine="720"/>
        <w:rPr>
          <w:rFonts w:cs="Times New Roman"/>
        </w:rPr>
      </w:pPr>
      <w:r w:rsidRPr="00753982">
        <w:rPr>
          <w:rFonts w:cs="Times New Roman"/>
        </w:rPr>
        <w:t>Tourmaline</w:t>
      </w:r>
      <w:r w:rsidRPr="003D1B42">
        <w:rPr>
          <w:rFonts w:cs="Times New Roman"/>
        </w:rPr>
        <w:t xml:space="preserve"> crystals were systematically sampled to preserve their spatial relationship with respect to height above the base of each dike. </w:t>
      </w:r>
      <w:r>
        <w:rPr>
          <w:rFonts w:cs="Times New Roman"/>
        </w:rPr>
        <w:t>This was accomplished using two different sampling methods. In the first method, tourmaline crystals were hand-picked from crushed t</w:t>
      </w:r>
      <w:r w:rsidRPr="003D1B42">
        <w:rPr>
          <w:rFonts w:cs="Times New Roman"/>
        </w:rPr>
        <w:t>hin section billets of t</w:t>
      </w:r>
      <w:r>
        <w:rPr>
          <w:rFonts w:cs="Times New Roman"/>
        </w:rPr>
        <w:t>he Main dike aplite (line rock)</w:t>
      </w:r>
      <w:r w:rsidRPr="003D1B42">
        <w:rPr>
          <w:rFonts w:cs="Times New Roman"/>
        </w:rPr>
        <w:t xml:space="preserve">. </w:t>
      </w:r>
      <w:r>
        <w:rPr>
          <w:rFonts w:cs="Times New Roman"/>
        </w:rPr>
        <w:t>In the second method, t</w:t>
      </w:r>
      <w:r w:rsidRPr="003D1B42">
        <w:rPr>
          <w:rFonts w:cs="Times New Roman"/>
        </w:rPr>
        <w:t xml:space="preserve">ourmaline crystals from </w:t>
      </w:r>
      <w:r>
        <w:rPr>
          <w:rFonts w:cs="Times New Roman"/>
        </w:rPr>
        <w:t>the Main and Swamp</w:t>
      </w:r>
      <w:r w:rsidRPr="003D1B42">
        <w:rPr>
          <w:rFonts w:cs="Times New Roman"/>
        </w:rPr>
        <w:t xml:space="preserve"> dikes were sampled by drilling ¼” (W) x ½” (L) cores from areas with abundant tourmaline. </w:t>
      </w:r>
    </w:p>
    <w:p w:rsidR="00665C0F" w:rsidRDefault="00665C0F" w:rsidP="00DD7479">
      <w:pPr>
        <w:spacing w:after="240" w:line="480" w:lineRule="auto"/>
        <w:ind w:firstLine="720"/>
        <w:rPr>
          <w:rFonts w:cs="Times New Roman"/>
        </w:rPr>
      </w:pPr>
      <w:r>
        <w:rPr>
          <w:rFonts w:cs="Times New Roman"/>
        </w:rPr>
        <w:t>T</w:t>
      </w:r>
      <w:r w:rsidRPr="003D1B42">
        <w:rPr>
          <w:rFonts w:cs="Times New Roman"/>
        </w:rPr>
        <w:t>wo elbaite crystals from the '91 London</w:t>
      </w:r>
      <w:r>
        <w:rPr>
          <w:rFonts w:cs="Times New Roman"/>
        </w:rPr>
        <w:t xml:space="preserve"> pocket</w:t>
      </w:r>
      <w:r w:rsidRPr="003D1B42">
        <w:rPr>
          <w:rFonts w:cs="Times New Roman"/>
        </w:rPr>
        <w:t xml:space="preserve"> </w:t>
      </w:r>
      <w:r>
        <w:rPr>
          <w:rFonts w:cs="Times New Roman"/>
        </w:rPr>
        <w:t xml:space="preserve">and the single, 6 cm long tourmaline crystal were sectioned </w:t>
      </w:r>
      <w:r w:rsidRPr="003D1B42">
        <w:rPr>
          <w:rFonts w:cs="Times New Roman"/>
        </w:rPr>
        <w:t xml:space="preserve">parallel to their </w:t>
      </w:r>
      <w:r w:rsidRPr="003D1B42">
        <w:rPr>
          <w:rFonts w:cs="Times New Roman"/>
          <w:i/>
          <w:iCs/>
        </w:rPr>
        <w:t>c</w:t>
      </w:r>
      <w:r w:rsidRPr="003D1B42">
        <w:rPr>
          <w:rFonts w:cs="Times New Roman"/>
        </w:rPr>
        <w:t xml:space="preserve"> crystallographic axes</w:t>
      </w:r>
      <w:r>
        <w:rPr>
          <w:rFonts w:cs="Times New Roman"/>
        </w:rPr>
        <w:t>.</w:t>
      </w:r>
      <w:r w:rsidRPr="003D1B42">
        <w:rPr>
          <w:rFonts w:cs="Times New Roman"/>
        </w:rPr>
        <w:t xml:space="preserve"> </w:t>
      </w:r>
      <w:r>
        <w:rPr>
          <w:rFonts w:cs="Times New Roman"/>
        </w:rPr>
        <w:t>Three</w:t>
      </w:r>
      <w:r w:rsidRPr="003D1B42">
        <w:rPr>
          <w:rFonts w:cs="Times New Roman"/>
        </w:rPr>
        <w:t xml:space="preserve"> fragments were taken from center to margin of the dark green/green </w:t>
      </w:r>
      <w:r>
        <w:rPr>
          <w:rFonts w:cs="Times New Roman"/>
        </w:rPr>
        <w:t xml:space="preserve">elbaite </w:t>
      </w:r>
      <w:r w:rsidRPr="003D1B42">
        <w:rPr>
          <w:rFonts w:cs="Times New Roman"/>
        </w:rPr>
        <w:t xml:space="preserve">crystal and from each of the three colored zones in the other </w:t>
      </w:r>
      <w:r>
        <w:rPr>
          <w:rFonts w:cs="Times New Roman"/>
        </w:rPr>
        <w:t xml:space="preserve">elbaite </w:t>
      </w:r>
      <w:r w:rsidRPr="003D1B42">
        <w:rPr>
          <w:rFonts w:cs="Times New Roman"/>
        </w:rPr>
        <w:t xml:space="preserve">crystal. </w:t>
      </w:r>
      <w:r>
        <w:rPr>
          <w:rFonts w:cs="Times New Roman"/>
        </w:rPr>
        <w:t>The</w:t>
      </w:r>
      <w:r w:rsidRPr="003D1B42">
        <w:rPr>
          <w:rFonts w:cs="Times New Roman"/>
        </w:rPr>
        <w:t xml:space="preserve"> </w:t>
      </w:r>
      <w:r>
        <w:rPr>
          <w:rFonts w:cs="Times New Roman"/>
        </w:rPr>
        <w:t xml:space="preserve">single, 6 cm long </w:t>
      </w:r>
      <w:r w:rsidRPr="003D1B42">
        <w:rPr>
          <w:rFonts w:cs="Times New Roman"/>
        </w:rPr>
        <w:t xml:space="preserve">tourmaline crystal was </w:t>
      </w:r>
      <w:r>
        <w:rPr>
          <w:rFonts w:cs="Times New Roman"/>
        </w:rPr>
        <w:t>sampled</w:t>
      </w:r>
      <w:r w:rsidRPr="003D1B42">
        <w:rPr>
          <w:rFonts w:cs="Times New Roman"/>
        </w:rPr>
        <w:t xml:space="preserve"> in 3 locations parallel to the </w:t>
      </w:r>
      <w:r w:rsidRPr="003D1B42">
        <w:rPr>
          <w:rFonts w:cs="Times New Roman"/>
          <w:i/>
          <w:iCs/>
        </w:rPr>
        <w:t>c</w:t>
      </w:r>
      <w:r w:rsidRPr="003D1B42">
        <w:rPr>
          <w:rFonts w:cs="Times New Roman"/>
        </w:rPr>
        <w:t xml:space="preserve"> axial direction</w:t>
      </w:r>
      <w:r>
        <w:rPr>
          <w:rFonts w:cs="Times New Roman"/>
        </w:rPr>
        <w:t>. The first location was from the base in the dark-black area, the second location was in a transitional area between the dark-black and pink areas, and the third location was near the pink tip of the crystal</w:t>
      </w:r>
      <w:r w:rsidRPr="003D1B42">
        <w:rPr>
          <w:rFonts w:cs="Times New Roman"/>
        </w:rPr>
        <w:t>.</w:t>
      </w:r>
    </w:p>
    <w:p w:rsidR="00665C0F" w:rsidRPr="00472C70" w:rsidRDefault="00665C0F" w:rsidP="00DD7479">
      <w:pPr>
        <w:spacing w:after="240" w:line="480" w:lineRule="auto"/>
        <w:ind w:firstLine="720"/>
        <w:rPr>
          <w:rFonts w:cs="Times New Roman"/>
        </w:rPr>
      </w:pPr>
      <w:r>
        <w:rPr>
          <w:rFonts w:cs="Times New Roman"/>
        </w:rPr>
        <w:t xml:space="preserve">Hand-picked tourmaline crystals, and boron isotopic </w:t>
      </w:r>
      <w:r w:rsidRPr="00F345AD">
        <w:rPr>
          <w:rFonts w:cs="Times New Roman"/>
        </w:rPr>
        <w:t>standards (dravite and</w:t>
      </w:r>
      <w:r>
        <w:rPr>
          <w:rFonts w:cs="Times New Roman"/>
        </w:rPr>
        <w:t xml:space="preserve"> axinite: </w:t>
      </w:r>
      <w:r w:rsidRPr="003D1B42">
        <w:rPr>
          <w:rFonts w:cs="Times New Roman"/>
        </w:rPr>
        <w:t xml:space="preserve">characterized by </w:t>
      </w:r>
      <w:r w:rsidRPr="003D1B42">
        <w:rPr>
          <w:rFonts w:cs="Times New Roman"/>
        </w:rPr>
        <w:fldChar w:fldCharType="begin" w:fldLock="1"/>
      </w:r>
      <w:r w:rsidR="00266290">
        <w:rPr>
          <w:rFonts w:cs="Times New Roman"/>
        </w:rPr>
        <w:instrText>ADDIN CSL_CITATION { "citationItems" : [ { "id" : "ITEM-1", "itemData" : { "author" : [ { "dropping-particle" : "", "family" : "Dyar", "given" : "M.D.", "non-dropping-particle" : "", "parse-names" : false, "suffix" : "" }, { "dropping-particle" : "", "family" : "Wiedenbeck", "given" : "M.", "non-dropping-particle" : "", "parse-names" : false, "suffix" : "" }, { "dropping-particle" : "", "family" : "Robertson", "given" : "D.", "non-dropping-particle" : "", "parse-names" : false, "suffix" : "" }, { "dropping-particle" : "", "family" : "Cross", "given" : "L.R.", "non-dropping-particle" : "", "parse-names" : false, "suffix" : "" }, { "dropping-particle" : "", "family" : "Delaney", "given" : "J.S.", "non-dropping-particle" : "", "parse-names" : false, "suffix" : "" }, { "dropping-particle" : "", "family" : "Ferguson", "given" : "K.", "non-dropping-particle" : "", "parse-names" : false, "suffix" : "" }, { "dropping-particle" : "", "family" : "Francis", "given" : "C.A.", "non-dropping-particle" : "", "parse-names" : false, "suffix" : "" }, { "dropping-particle" : "", "family" : "Grew", "given" : "E.S.", "non-dropping-particle" : "", "parse-names" : false, "suffix" : "" }, { "dropping-particle" : "V.", "family" : "Guidotti", "given" : "C.", "non-dropping-particle" : "", "parse-names" : false, "suffix" : "" }, { "dropping-particle" : "", "family" : "Hervig", "given" : "R.L.", "non-dropping-particle" : "", "parse-names" : false, "suffix" : "" }, { "dropping-particle" : "", "family" : "Hughes", "given" : "J.M.", "non-dropping-particle" : "", "parse-names" : false, "suffix" : "" }, { "dropping-particle" : "", "family" : "Husler", "given" : "J.", "non-dropping-particle" : "", "parse-names" : false, "suffix" : "" }, { "dropping-particle" : "", "family" : "Leeman", "given" : "W.P.", "non-dropping-particle" : "", "parse-names" : false, "suffix" : "" }, { "dropping-particle" : "", "family" : "McGuire", "given" : "A.V.", "non-dropping-particle" : "", "parse-names" : false, "suffix" : "" }, { "dropping-particle" : "", "family" : "Rhede", "given" : "D.", "non-dropping-particle" : "", "parse-names" : false, "suffix" : "" }, { "dropping-particle" : "", "family" : "Rothe", "given" : "H.", "non-dropping-particle" : "", "parse-names" : false, "suffix" : "" }, { "dropping-particle" : "", "family" : "Paul", "given" : "R.L.", "non-dropping-particle" : "", "parse-names" : false, "suffix" : "" }, { "dropping-particle" : "", "family" : "Richards", "given" : "I.", "non-dropping-particle" : "", "parse-names" : false, "suffix" : "" }, { "dropping-particle" : "", "family" : "Yates", "given" : "M.G.", "non-dropping-particle" : "", "parse-names" : false, "suffix" : "" } ], "container-title" : "Geostandards Newsletter", "id" : "ITEM-1", "issued" : { "date-parts" : [ [ "2001" ] ] }, "page" : "441-463", "title" : "Reference minerals for the microanalysis of light elements", "type" : "article-journal", "volume" : "25" }, "uris" : [ "http://www.mendeley.com/documents/?uuid=08d9a6c8-1e28-44d0-91dc-010fddfebda5" ] }, { "id" : "ITEM-2", "itemData" : { "author" : [ { "dropping-particle" : "", "family" : "Leeman", "given" : "William P", "non-dropping-particle" : "", "parse-names" : false, "suffix" : "" }, { "dropping-particle" : "", "family" : "Tonarini", "given" : "Sonia", "non-dropping-particle" : "", "parse-names" : false, "suffix" : "" } ], "container-title" : "Geostandards Newsletter", "id" : "ITEM-2", "issue" : "2-3", "issued" : { "date-parts" : [ [ "2001" ] ] }, "page" : "399-403", "title" : "Boron isotopic analysis of proposed borosilicate mineral reference samples", "type" : "article-journal", "volume" : "25" }, "uris" : [ "http://www.mendeley.com/documents/?uuid=e3d3c2d8-8358-4ea3-8065-465361fb6fd8" ] } ], "mendeley" : { "formattedCitation" : "(Dyar et al., 2001; Leeman and Tonarini, 2001)", "manualFormatting" : "Dyar et al., 2001 and Leeman and Tonarini, 2001", "plainTextFormattedCitation" : "(Dyar et al., 2001; Leeman and Tonarini, 2001)", "previouslyFormattedCitation" : "(Dyar et al. 2001; Leeman and Tonarini 2001)" }, "properties" : { "noteIndex" : 0 }, "schema" : "https://github.com/citation-style-language/schema/raw/master/csl-citation.json" }</w:instrText>
      </w:r>
      <w:r w:rsidRPr="003D1B42">
        <w:rPr>
          <w:rFonts w:cs="Times New Roman"/>
        </w:rPr>
        <w:fldChar w:fldCharType="separate"/>
      </w:r>
      <w:r w:rsidR="00DB6C77">
        <w:rPr>
          <w:rFonts w:cs="Times New Roman"/>
          <w:noProof/>
        </w:rPr>
        <w:t>Dyar et al.</w:t>
      </w:r>
      <w:r w:rsidRPr="003D1B42">
        <w:rPr>
          <w:rFonts w:cs="Times New Roman"/>
          <w:noProof/>
        </w:rPr>
        <w:t xml:space="preserve"> </w:t>
      </w:r>
      <w:r w:rsidR="00DB6C77">
        <w:rPr>
          <w:rFonts w:cs="Times New Roman"/>
          <w:noProof/>
        </w:rPr>
        <w:t>(</w:t>
      </w:r>
      <w:r w:rsidRPr="003D1B42">
        <w:rPr>
          <w:rFonts w:cs="Times New Roman"/>
          <w:noProof/>
        </w:rPr>
        <w:t>2001</w:t>
      </w:r>
      <w:r w:rsidR="00DB6C77">
        <w:rPr>
          <w:rFonts w:cs="Times New Roman"/>
          <w:noProof/>
        </w:rPr>
        <w:t>) and Leeman and Tonarini (</w:t>
      </w:r>
      <w:r w:rsidRPr="003D1B42">
        <w:rPr>
          <w:rFonts w:cs="Times New Roman"/>
          <w:noProof/>
        </w:rPr>
        <w:t>2001</w:t>
      </w:r>
      <w:r w:rsidRPr="003D1B42">
        <w:rPr>
          <w:rFonts w:cs="Times New Roman"/>
        </w:rPr>
        <w:fldChar w:fldCharType="end"/>
      </w:r>
      <w:r>
        <w:rPr>
          <w:rFonts w:cs="Times New Roman"/>
        </w:rPr>
        <w:t xml:space="preserve">), </w:t>
      </w:r>
      <w:r w:rsidRPr="003D1B42">
        <w:rPr>
          <w:rFonts w:cs="Times New Roman"/>
        </w:rPr>
        <w:t xml:space="preserve">were </w:t>
      </w:r>
      <w:r>
        <w:rPr>
          <w:rFonts w:cs="Times New Roman"/>
        </w:rPr>
        <w:t>embedded i</w:t>
      </w:r>
      <w:r w:rsidRPr="003D1B42">
        <w:rPr>
          <w:rFonts w:cs="Times New Roman"/>
        </w:rPr>
        <w:t>n Crystalbond</w:t>
      </w:r>
      <w:r w:rsidRPr="003D1B42">
        <w:rPr>
          <w:rFonts w:cs="Times New Roman"/>
          <w:vertAlign w:val="superscript"/>
        </w:rPr>
        <w:t>TM</w:t>
      </w:r>
      <w:r>
        <w:rPr>
          <w:rFonts w:cs="Times New Roman"/>
          <w:vertAlign w:val="superscript"/>
        </w:rPr>
        <w:t xml:space="preserve"> </w:t>
      </w:r>
      <w:r>
        <w:rPr>
          <w:rFonts w:cs="Times New Roman"/>
        </w:rPr>
        <w:t>in ¼” brass cylinders. Cored material, axinite, hambergite, and danburite</w:t>
      </w:r>
      <w:r w:rsidRPr="003D1B42">
        <w:rPr>
          <w:rFonts w:cs="Times New Roman"/>
        </w:rPr>
        <w:t xml:space="preserve"> were </w:t>
      </w:r>
      <w:r>
        <w:rPr>
          <w:rFonts w:cs="Times New Roman"/>
        </w:rPr>
        <w:t>cast in 1” circular molds and</w:t>
      </w:r>
      <w:r w:rsidRPr="003D1B42">
        <w:rPr>
          <w:rFonts w:cs="Times New Roman"/>
        </w:rPr>
        <w:t xml:space="preserve"> mounted using EpoThin</w:t>
      </w:r>
      <w:r w:rsidRPr="003D1B42">
        <w:rPr>
          <w:rFonts w:cs="Times New Roman"/>
          <w:vertAlign w:val="superscript"/>
        </w:rPr>
        <w:t>TM</w:t>
      </w:r>
      <w:r>
        <w:rPr>
          <w:rFonts w:cs="Times New Roman"/>
        </w:rPr>
        <w:t xml:space="preserve"> epoxy. Boron isotopic standards and a dravite, whose boron isotopic composition of </w:t>
      </w:r>
      <w:r w:rsidRPr="003D1B42">
        <w:rPr>
          <w:rFonts w:cs="Times New Roman"/>
        </w:rPr>
        <w:t xml:space="preserve">-11.8‰ </w:t>
      </w:r>
      <w:r>
        <w:rPr>
          <w:rFonts w:cs="Times New Roman"/>
        </w:rPr>
        <w:lastRenderedPageBreak/>
        <w:t xml:space="preserve">has only been determined by SIMS, were cast in one 1” circular mount using </w:t>
      </w:r>
      <w:r w:rsidRPr="003D1B42">
        <w:rPr>
          <w:rFonts w:cs="Times New Roman"/>
        </w:rPr>
        <w:t>EpoThin</w:t>
      </w:r>
      <w:r w:rsidRPr="003D1B42">
        <w:rPr>
          <w:rFonts w:cs="Times New Roman"/>
          <w:vertAlign w:val="superscript"/>
        </w:rPr>
        <w:t>TM</w:t>
      </w:r>
      <w:r>
        <w:rPr>
          <w:rFonts w:cs="Times New Roman"/>
        </w:rPr>
        <w:t xml:space="preserve"> epoxy. All mounts were ground down to a 3</w:t>
      </w:r>
      <w:r w:rsidRPr="003D1B42">
        <w:rPr>
          <w:rFonts w:cs="Times New Roman"/>
        </w:rPr>
        <w:t xml:space="preserve"> µm </w:t>
      </w:r>
      <w:r>
        <w:rPr>
          <w:rFonts w:cs="Times New Roman"/>
        </w:rPr>
        <w:t xml:space="preserve">polish using diamond imbedded lapping films </w:t>
      </w:r>
      <w:r w:rsidRPr="003D1B42">
        <w:rPr>
          <w:rFonts w:cs="Times New Roman"/>
        </w:rPr>
        <w:t xml:space="preserve">and </w:t>
      </w:r>
      <w:r>
        <w:rPr>
          <w:rFonts w:cs="Times New Roman"/>
        </w:rPr>
        <w:t xml:space="preserve">the </w:t>
      </w:r>
      <w:r w:rsidRPr="003D1B42">
        <w:rPr>
          <w:rFonts w:cs="Times New Roman"/>
        </w:rPr>
        <w:t>polished using diamond grit</w:t>
      </w:r>
      <w:r>
        <w:rPr>
          <w:rFonts w:cs="Times New Roman"/>
        </w:rPr>
        <w:t xml:space="preserve"> suspended in water</w:t>
      </w:r>
      <w:r w:rsidRPr="003D1B42">
        <w:rPr>
          <w:rFonts w:cs="Times New Roman"/>
        </w:rPr>
        <w:t xml:space="preserve"> to a ¼ µm polish. </w:t>
      </w:r>
      <w:r>
        <w:rPr>
          <w:rFonts w:cs="Times New Roman"/>
        </w:rPr>
        <w:t>Polished crystals were removed from Crystalbond</w:t>
      </w:r>
      <w:r w:rsidRPr="001E29F0">
        <w:rPr>
          <w:rFonts w:cs="Times New Roman"/>
          <w:vertAlign w:val="superscript"/>
        </w:rPr>
        <w:t>TM</w:t>
      </w:r>
      <w:r>
        <w:rPr>
          <w:rFonts w:cs="Times New Roman"/>
        </w:rPr>
        <w:t xml:space="preserve"> by soaking each mount in acetone overnight. Clean crystals and standards were </w:t>
      </w:r>
      <w:r w:rsidRPr="003D1B42">
        <w:rPr>
          <w:rFonts w:cs="Times New Roman"/>
        </w:rPr>
        <w:t>p</w:t>
      </w:r>
      <w:r>
        <w:rPr>
          <w:rFonts w:cs="Times New Roman"/>
        </w:rPr>
        <w:t>laced in the central portion of</w:t>
      </w:r>
      <w:r w:rsidRPr="003D1B42">
        <w:rPr>
          <w:rFonts w:cs="Times New Roman"/>
        </w:rPr>
        <w:t xml:space="preserve"> indium filled aluminum holder</w:t>
      </w:r>
      <w:r>
        <w:rPr>
          <w:rFonts w:cs="Times New Roman"/>
        </w:rPr>
        <w:t xml:space="preserve">s </w:t>
      </w:r>
      <w:r w:rsidRPr="003D1B42">
        <w:rPr>
          <w:rFonts w:cs="Times New Roman"/>
        </w:rPr>
        <w:t>and pushed into the indium metal using a hydraulic press which produced flat sa</w:t>
      </w:r>
      <w:r>
        <w:rPr>
          <w:rFonts w:cs="Times New Roman"/>
        </w:rPr>
        <w:t xml:space="preserve">mple surfaces. </w:t>
      </w:r>
    </w:p>
    <w:p w:rsidR="00665C0F" w:rsidRPr="003D1B42" w:rsidRDefault="00665C0F" w:rsidP="00DD7479">
      <w:pPr>
        <w:spacing w:after="240" w:line="480" w:lineRule="auto"/>
        <w:ind w:firstLine="720"/>
        <w:rPr>
          <w:rFonts w:cs="Times New Roman"/>
        </w:rPr>
      </w:pPr>
      <w:r w:rsidRPr="003D1B42">
        <w:rPr>
          <w:rFonts w:cs="Times New Roman"/>
        </w:rPr>
        <w:t>Cleavage fragments of muscovite and lepidolite</w:t>
      </w:r>
      <w:r>
        <w:rPr>
          <w:rFonts w:cs="Times New Roman"/>
        </w:rPr>
        <w:t xml:space="preserve"> and powdered boromuscovite</w:t>
      </w:r>
      <w:r w:rsidRPr="003D1B42">
        <w:rPr>
          <w:rFonts w:cs="Times New Roman"/>
        </w:rPr>
        <w:t xml:space="preserve"> were </w:t>
      </w:r>
      <w:r>
        <w:rPr>
          <w:rFonts w:cs="Times New Roman"/>
        </w:rPr>
        <w:t xml:space="preserve">ultrasonically cleaned </w:t>
      </w:r>
      <w:r w:rsidRPr="003D1B42">
        <w:rPr>
          <w:rFonts w:cs="Times New Roman"/>
        </w:rPr>
        <w:t xml:space="preserve">in </w:t>
      </w:r>
      <w:r>
        <w:rPr>
          <w:rFonts w:cs="Times New Roman"/>
        </w:rPr>
        <w:t xml:space="preserve">solutions containing 1.8% mannitol, rinsed in </w:t>
      </w:r>
      <w:r w:rsidRPr="003D1B42">
        <w:rPr>
          <w:rFonts w:cs="Times New Roman"/>
        </w:rPr>
        <w:t>deionized, ultra-filtered water</w:t>
      </w:r>
      <w:r>
        <w:rPr>
          <w:rFonts w:cs="Times New Roman"/>
        </w:rPr>
        <w:t>, and placed in a desiccator to dry</w:t>
      </w:r>
      <w:r w:rsidRPr="003D1B42">
        <w:rPr>
          <w:rFonts w:cs="Times New Roman"/>
        </w:rPr>
        <w:t xml:space="preserve">. Muscovite and lepidolite were pressed onto double-sided carbon-tape on a 1” Al stub such that their </w:t>
      </w:r>
      <w:r w:rsidRPr="003D1B42">
        <w:rPr>
          <w:rFonts w:cs="Times New Roman"/>
          <w:i/>
          <w:iCs/>
        </w:rPr>
        <w:t>c</w:t>
      </w:r>
      <w:r w:rsidRPr="003D1B42">
        <w:rPr>
          <w:rFonts w:cs="Times New Roman"/>
        </w:rPr>
        <w:t xml:space="preserve"> crystallographic axes were perpendicular to the stub surface. Approximately 10 µL of the boromuscovite slurry was pipetted onto a standard 1” petrographic glass slide. On each mica mount was added approximately 5 µL of an illite standard suspension (IMt-1: </w:t>
      </w:r>
      <w:r w:rsidRPr="003D1B42">
        <w:rPr>
          <w:rFonts w:cs="Times New Roman"/>
        </w:rPr>
        <w:fldChar w:fldCharType="begin" w:fldLock="1"/>
      </w:r>
      <w:r w:rsidR="00266290">
        <w:rPr>
          <w:rFonts w:cs="Times New Roman"/>
        </w:rPr>
        <w:instrText>ADDIN CSL_CITATION { "citationItems" : [ { "id" : "ITEM-1", "itemData" : { "DOI" : "10.1016/S0016-7037(01)00557-9", "ISBN" : "0016-7037", "ISSN" : "00167037", "abstract" : "Experiments were performed to measure the isotopic fractionation of boron between illite/smectite (I/S) clay minerals and water as a function of temperature (300?? and 350??C) and degree of illitization. Corresponding changes in the oxygen isotopes were monitored as an indication of the approach to equilibrium. The kinetics of the B-isotope exchange follows the mineralogical restructuring of smectite as it recrystallizes to illite. An initial decline in ??11BI/S occurs when the I/S is randomly ordered (RO). The ??11BI/S values reach a plateau during R1 ordering of the I/S, representing a metastable condition. The greatest change in ??11BI/S is observed during long-range (R3) ordering of the I/S when neoformation occurs. Values of ??11BI/S measured on the equilibrium reaction products were used to construct a B-isotope fraction curve. There is a linear correlation among data from these experiments and 1100??C basaltic melt-fluid fractionation experiments (Hervig and Moore, 2000) that can be extrapolated to include adsorption experiments at 25??C (Palmer et al., 1987). Unlike other stable isotopic systems (e.g., oxygen) there is no mineral-specific fractionation of B-isotopes, but rather a coordination dependence of the fractionation. Under diagenetic conditions B is predominantly in trigonal coordination in fluids but substitutes in tetrahedral sites of silicates. The preference of 10B for tetrahedral bonds is the major fractionating factor of B in silicates. Copyright ?? 2001 Elsevier Science Ltd.", "author" : [ { "dropping-particle" : "", "family" : "Williams", "given" : "Lynda B.", "non-dropping-particle" : "", "parse-names" : false, "suffix" : "" }, { "dropping-particle" : "", "family" : "Hervig", "given" : "Richard L.", "non-dropping-particle" : "", "parse-names" : false, "suffix" : "" }, { "dropping-particle" : "", "family" : "Holloway", "given" : "John R.", "non-dropping-particle" : "", "parse-names" : false, "suffix" : "" }, { "dropping-particle" : "", "family" : "Hutcheon", "given" : "Ian", "non-dropping-particle" : "", "parse-names" : false, "suffix" : "" } ], "container-title" : "Geochimica et Cosmochimica Acta", "id" : "ITEM-1", "issue" : "11", "issued" : { "date-parts" : [ [ "2001" ] ] }, "page" : "1769-1782", "title" : "Boron isotope geochemistry during diagenesis. Part I. Experimental determination of fractionation during illitization of smectite", "type" : "article-journal", "volume" : "65" }, "uris" : [ "http://www.mendeley.com/documents/?uuid=f43a922f-b5a8-43e2-9c5e-b2058843b297" ] } ], "mendeley" : { "formattedCitation" : "(Williams et al., 2001a)", "manualFormatting" : "Williams et al., 2001)", "plainTextFormattedCitation" : "(Williams et al., 2001a)", "previouslyFormattedCitation" : "(Williams et al. 2001a)" }, "properties" : { "noteIndex" : 0 }, "schema" : "https://github.com/citation-style-language/schema/raw/master/csl-citation.json" }</w:instrText>
      </w:r>
      <w:r w:rsidRPr="003D1B42">
        <w:rPr>
          <w:rFonts w:cs="Times New Roman"/>
        </w:rPr>
        <w:fldChar w:fldCharType="separate"/>
      </w:r>
      <w:r w:rsidR="00DB6C77">
        <w:rPr>
          <w:rFonts w:cs="Times New Roman"/>
          <w:noProof/>
        </w:rPr>
        <w:t>Williams et al. (</w:t>
      </w:r>
      <w:r w:rsidRPr="003D1B42">
        <w:rPr>
          <w:rFonts w:cs="Times New Roman"/>
          <w:noProof/>
        </w:rPr>
        <w:t>2001)</w:t>
      </w:r>
      <w:r w:rsidRPr="003D1B42">
        <w:rPr>
          <w:rFonts w:cs="Times New Roman"/>
        </w:rPr>
        <w:fldChar w:fldCharType="end"/>
      </w:r>
      <w:r w:rsidRPr="003D1B42">
        <w:rPr>
          <w:rFonts w:cs="Times New Roman"/>
        </w:rPr>
        <w:t>. The droplets were allowed to dry flat prior to gold coating. All samples were gold coated at the Arizona State University (ASU) Secondary Ion Mass Spectrometry (SIMS) facility immediately before analysis.</w:t>
      </w:r>
    </w:p>
    <w:p w:rsidR="00665C0F" w:rsidRPr="00DD7479" w:rsidRDefault="00DD7479" w:rsidP="00DD7479">
      <w:pPr>
        <w:pStyle w:val="Heading3"/>
        <w:spacing w:line="480" w:lineRule="auto"/>
        <w:rPr>
          <w:rFonts w:cs="Times New Roman"/>
          <w:bCs/>
          <w:iCs/>
        </w:rPr>
      </w:pPr>
      <w:bookmarkStart w:id="18" w:name="_Toc491245985"/>
      <w:r w:rsidRPr="00DD7479">
        <w:rPr>
          <w:rFonts w:cs="Times New Roman"/>
          <w:bCs/>
          <w:iCs/>
        </w:rPr>
        <w:t>3.3</w:t>
      </w:r>
      <w:r w:rsidR="00A24071">
        <w:rPr>
          <w:rFonts w:cs="Times New Roman"/>
          <w:bCs/>
          <w:iCs/>
        </w:rPr>
        <w:t>.</w:t>
      </w:r>
      <w:r w:rsidRPr="00DD7479">
        <w:rPr>
          <w:rFonts w:cs="Times New Roman"/>
          <w:bCs/>
          <w:iCs/>
        </w:rPr>
        <w:t xml:space="preserve"> </w:t>
      </w:r>
      <w:r w:rsidR="00665C0F" w:rsidRPr="00DD7479">
        <w:rPr>
          <w:rFonts w:cs="Times New Roman"/>
          <w:bCs/>
          <w:iCs/>
        </w:rPr>
        <w:t>Electron Microbeam Analytical (EMPA) Methods</w:t>
      </w:r>
      <w:bookmarkEnd w:id="18"/>
    </w:p>
    <w:p w:rsidR="00665C0F" w:rsidRDefault="00665C0F" w:rsidP="00DD7479">
      <w:pPr>
        <w:spacing w:after="240" w:line="480" w:lineRule="auto"/>
        <w:ind w:firstLine="720"/>
        <w:rPr>
          <w:rFonts w:cs="Times New Roman"/>
        </w:rPr>
      </w:pPr>
      <w:r w:rsidRPr="003D1B42">
        <w:rPr>
          <w:rFonts w:cs="Times New Roman"/>
        </w:rPr>
        <w:t xml:space="preserve">Tourmaline and micas were analyzed using the Cameca SX100 electron microprobe at the University of Oklahoma, which is equipped with 5 wavelength-dispersive spectrometers. A 15 kV accelerating voltage, 20 nA beam current, and a </w:t>
      </w:r>
      <w:r>
        <w:rPr>
          <w:rFonts w:cs="Times New Roman"/>
        </w:rPr>
        <w:t>2</w:t>
      </w:r>
      <w:r w:rsidRPr="003D1B42">
        <w:rPr>
          <w:rFonts w:cs="Times New Roman"/>
        </w:rPr>
        <w:t xml:space="preserve"> µm spot size were used </w:t>
      </w:r>
      <w:r>
        <w:rPr>
          <w:rFonts w:cs="Times New Roman"/>
        </w:rPr>
        <w:t>to analyze</w:t>
      </w:r>
      <w:r w:rsidRPr="003D1B42">
        <w:rPr>
          <w:rFonts w:cs="Times New Roman"/>
        </w:rPr>
        <w:t xml:space="preserve"> tourmaline</w:t>
      </w:r>
      <w:r>
        <w:rPr>
          <w:rFonts w:cs="Times New Roman"/>
        </w:rPr>
        <w:t xml:space="preserve"> crystals</w:t>
      </w:r>
      <w:r w:rsidRPr="003D1B42">
        <w:rPr>
          <w:rFonts w:cs="Times New Roman"/>
        </w:rPr>
        <w:t xml:space="preserve">. Detection limits for Na, Mg, Al, Si, Fe, Mn, K, Ca, Ti, and F are below 0.04 </w:t>
      </w:r>
      <w:r>
        <w:rPr>
          <w:rFonts w:cs="Times New Roman"/>
        </w:rPr>
        <w:t>wt.% oxide except for B</w:t>
      </w:r>
      <w:r>
        <w:rPr>
          <w:rFonts w:cs="Times New Roman"/>
          <w:vertAlign w:val="subscript"/>
        </w:rPr>
        <w:t>2</w:t>
      </w:r>
      <w:r>
        <w:rPr>
          <w:rFonts w:cs="Times New Roman"/>
        </w:rPr>
        <w:t>O</w:t>
      </w:r>
      <w:r>
        <w:rPr>
          <w:rFonts w:cs="Times New Roman"/>
          <w:vertAlign w:val="subscript"/>
        </w:rPr>
        <w:t xml:space="preserve">3 </w:t>
      </w:r>
      <w:r>
        <w:rPr>
          <w:rFonts w:cs="Times New Roman"/>
        </w:rPr>
        <w:t xml:space="preserve">which has a </w:t>
      </w:r>
      <w:r>
        <w:rPr>
          <w:rFonts w:cs="Times New Roman"/>
        </w:rPr>
        <w:lastRenderedPageBreak/>
        <w:t>detection limit of 0.70 wt.%</w:t>
      </w:r>
      <w:r w:rsidRPr="009B2874">
        <w:rPr>
          <w:rFonts w:cs="Times New Roman"/>
        </w:rPr>
        <w:t>. A 2-condition routine was developed for analysis of micas. Both conditions used a 20 kV accelerating voltage and 20 μm spot; the difference being a 2 nA current to analyze K, Na, Al, Si, and Ca and a 20 nA current to analyze Fe, Mn, and Mg. Detection limits for all elements analyzed u</w:t>
      </w:r>
      <w:r>
        <w:rPr>
          <w:rFonts w:cs="Times New Roman"/>
        </w:rPr>
        <w:t xml:space="preserve">sing the mica analytical routine are below 0.06 wt.% oxide. Data reduction employed the PAP method </w:t>
      </w:r>
      <w:r>
        <w:rPr>
          <w:rFonts w:cs="Times New Roman"/>
        </w:rPr>
        <w:fldChar w:fldCharType="begin" w:fldLock="1"/>
      </w:r>
      <w:r w:rsidR="00266290">
        <w:rPr>
          <w:rFonts w:cs="Times New Roman"/>
        </w:rPr>
        <w:instrText>ADDIN CSL_CITATION { "citationItems" : [ { "id" : "ITEM-1", "itemData" : { "author" : [ { "dropping-particle" : "", "family" : "Pouchou", "given" : "J.L.", "non-dropping-particle" : "", "parse-names" : false, "suffix" : "" }, { "dropping-particle" : "", "family" : "Pichoir", "given" : "F.", "non-dropping-particle" : "", "parse-names" : false, "suffix" : "" } ], "container-title" : "Microbeam Analysis", "id" : "ITEM-1", "issued" : { "date-parts" : [ [ "1985" ] ] }, "page" : "104-106", "publisher" : "San Francisco Press, California", "title" : "\"PAP\" (\u0278-\u03c1-z) correction procedure for improved quantitative microanalysis", "type" : "chapter" }, "uris" : [ "http://www.mendeley.com/documents/?uuid=6e588b2f-7a78-44c6-b4d1-8c2f08cd1f56" ] } ], "mendeley" : { "formattedCitation" : "(Pouchou and Pichoir, 1985)", "plainTextFormattedCitation" : "(Pouchou and Pichoir, 1985)", "previouslyFormattedCitation" : "(Pouchou and Pichoir 1985)" }, "properties" : { "noteIndex" : 0 }, "schema" : "https://github.com/citation-style-language/schema/raw/master/csl-citation.json" }</w:instrText>
      </w:r>
      <w:r>
        <w:rPr>
          <w:rFonts w:cs="Times New Roman"/>
        </w:rPr>
        <w:fldChar w:fldCharType="separate"/>
      </w:r>
      <w:r w:rsidR="00266290" w:rsidRPr="00266290">
        <w:rPr>
          <w:rFonts w:cs="Times New Roman"/>
          <w:noProof/>
        </w:rPr>
        <w:t>(Pouchou and Pichoir, 1985)</w:t>
      </w:r>
      <w:r>
        <w:rPr>
          <w:rFonts w:cs="Times New Roman"/>
        </w:rPr>
        <w:fldChar w:fldCharType="end"/>
      </w:r>
      <w:r>
        <w:rPr>
          <w:rFonts w:cs="Times New Roman"/>
        </w:rPr>
        <w:t>.</w:t>
      </w:r>
    </w:p>
    <w:p w:rsidR="00665C0F" w:rsidRDefault="00665C0F" w:rsidP="00DD7479">
      <w:pPr>
        <w:spacing w:after="240" w:line="480" w:lineRule="auto"/>
        <w:ind w:firstLine="720"/>
        <w:rPr>
          <w:rFonts w:cs="Times New Roman"/>
        </w:rPr>
      </w:pPr>
      <w:r>
        <w:rPr>
          <w:rFonts w:cs="Times New Roman"/>
        </w:rPr>
        <w:t>Compositional data for tourmaline, dete</w:t>
      </w:r>
      <w:r w:rsidR="00475C8F">
        <w:rPr>
          <w:rFonts w:cs="Times New Roman"/>
        </w:rPr>
        <w:t xml:space="preserve">rmined by EMPA, are reported </w:t>
      </w:r>
      <w:r w:rsidR="00475C8F" w:rsidRPr="00475C8F">
        <w:rPr>
          <w:rFonts w:cs="Times New Roman"/>
        </w:rPr>
        <w:t xml:space="preserve">in </w:t>
      </w:r>
      <w:r w:rsidRPr="00475C8F">
        <w:rPr>
          <w:rFonts w:cs="Times New Roman"/>
        </w:rPr>
        <w:t>Appendix</w:t>
      </w:r>
      <w:r w:rsidR="00475C8F" w:rsidRPr="00475C8F">
        <w:rPr>
          <w:rFonts w:cs="Times New Roman"/>
        </w:rPr>
        <w:t xml:space="preserve"> 1</w:t>
      </w:r>
      <w:r>
        <w:rPr>
          <w:rFonts w:cs="Times New Roman"/>
        </w:rPr>
        <w:t>. M</w:t>
      </w:r>
      <w:r w:rsidRPr="003D1B42">
        <w:rPr>
          <w:rFonts w:cs="Times New Roman"/>
        </w:rPr>
        <w:t xml:space="preserve">ole fractions of end-member tourmaline </w:t>
      </w:r>
      <w:r>
        <w:rPr>
          <w:rFonts w:cs="Times New Roman"/>
        </w:rPr>
        <w:t>components</w:t>
      </w:r>
      <w:r w:rsidRPr="003D1B42">
        <w:rPr>
          <w:rFonts w:cs="Times New Roman"/>
        </w:rPr>
        <w:t xml:space="preserve"> </w:t>
      </w:r>
      <w:r>
        <w:rPr>
          <w:rFonts w:cs="Times New Roman"/>
        </w:rPr>
        <w:t xml:space="preserve">are calculated using </w:t>
      </w:r>
      <w:r w:rsidRPr="003D1B42">
        <w:rPr>
          <w:rFonts w:cs="Times New Roman"/>
        </w:rPr>
        <w:t>the Excel</w:t>
      </w:r>
      <w:r w:rsidRPr="003D1B42">
        <w:rPr>
          <w:rFonts w:cs="Times New Roman"/>
          <w:vertAlign w:val="superscript"/>
        </w:rPr>
        <w:t>TM</w:t>
      </w:r>
      <w:r w:rsidRPr="003D1B42">
        <w:rPr>
          <w:rFonts w:cs="Times New Roman"/>
        </w:rPr>
        <w:t xml:space="preserve"> spreadsheet of </w:t>
      </w:r>
      <w:r w:rsidRPr="003D1B42">
        <w:rPr>
          <w:rFonts w:cs="Times New Roman"/>
        </w:rPr>
        <w:fldChar w:fldCharType="begin" w:fldLock="1"/>
      </w:r>
      <w:r w:rsidR="00266290">
        <w:rPr>
          <w:rFonts w:cs="Times New Roman"/>
        </w:rPr>
        <w:instrText>ADDIN CSL_CITATION { "citationItems" : [ { "id" : "ITEM-1", "itemData" : { "DOI" : "10.2138/am-2016-5392", "ISSN" : "0003-004X", "author" : [ { "dropping-particle" : "", "family" : "Morgan", "given" : "George B.", "non-dropping-particle" : "", "parse-names" : false, "suffix" : "" } ], "container-title" : "American Mineralogist", "id" : "ITEM-1", "issue" : "1", "issued" : { "date-parts" : [ [ "2016" ] ] }, "page" : "111-119", "title" : "A spreadsheet for calculating normative mole fractions of end-member species for Na-Ca-Li-Fe &lt;sup&gt;2+&lt;/sup&gt; -Mg-Al tourmalines from electron microprobe data", "type" : "article-journal", "volume" : "101" }, "uris" : [ "http://www.mendeley.com/documents/?uuid=5eb11875-5b6d-4c49-882e-da320e3bb38a" ] } ], "mendeley" : { "formattedCitation" : "(Morgan, 2016)", "manualFormatting" : "Morgan (2016)", "plainTextFormattedCitation" : "(Morgan, 2016)", "previouslyFormattedCitation" : "(Morgan 2016)" }, "properties" : { "noteIndex" : 0 }, "schema" : "https://github.com/citation-style-language/schema/raw/master/csl-citation.json" }</w:instrText>
      </w:r>
      <w:r w:rsidRPr="003D1B42">
        <w:rPr>
          <w:rFonts w:cs="Times New Roman"/>
        </w:rPr>
        <w:fldChar w:fldCharType="separate"/>
      </w:r>
      <w:r w:rsidRPr="003D1B42">
        <w:rPr>
          <w:rFonts w:cs="Times New Roman"/>
          <w:noProof/>
        </w:rPr>
        <w:t>Morgan (2016)</w:t>
      </w:r>
      <w:r w:rsidRPr="003D1B42">
        <w:rPr>
          <w:rFonts w:cs="Times New Roman"/>
        </w:rPr>
        <w:fldChar w:fldCharType="end"/>
      </w:r>
      <w:r>
        <w:rPr>
          <w:rFonts w:cs="Times New Roman"/>
        </w:rPr>
        <w:t xml:space="preserve"> and EMPA data. The spreadsheet calculates fractions for the following tourmaline species: schorl (Srl), dravite (Drv), elbaite (Elb), uvite (Uvt), feruvite (Fuv), foitite (Ftt), Mg-foitite (Mft), olenite (Oln), tsilaistite (Tsl), liddicoatite (Ldd), and rossmanite (Rss) (abbreviations for schorl, dravite, elbaite from </w:t>
      </w:r>
      <w:r>
        <w:rPr>
          <w:rFonts w:cs="Times New Roman"/>
        </w:rPr>
        <w:fldChar w:fldCharType="begin" w:fldLock="1"/>
      </w:r>
      <w:r w:rsidR="00266290">
        <w:rPr>
          <w:rFonts w:cs="Times New Roman"/>
        </w:rPr>
        <w:instrText>ADDIN CSL_CITATION { "citationItems" : [ { "id" : "ITEM-1", "itemData" : { "author" : [ { "dropping-particle" : "", "family" : "Whitney", "given" : "Donna L.", "non-dropping-particle" : "", "parse-names" : false, "suffix" : "" }, { "dropping-particle" : "", "family" : "Evans", "given" : "Bernard W.", "non-dropping-particle" : "", "parse-names" : false, "suffix" : "" } ], "container-title" : "American Mineralogist", "id" : "ITEM-1", "issued" : { "date-parts" : [ [ "2010" ] ] }, "page" : "185-187", "title" : "Abbreviations for names of rock-forming minerals", "type" : "article-journal", "volume" : "95" }, "uris" : [ "http://www.mendeley.com/documents/?uuid=84f776b4-650b-4f6a-83a6-20e3833695b9" ] } ], "mendeley" : { "formattedCitation" : "(Whitney and Evans, 2010)", "manualFormatting" : "Whitney and Evans (2010)", "plainTextFormattedCitation" : "(Whitney and Evans, 2010)", "previouslyFormattedCitation" : "(Whitney and Evans 2010)" }, "properties" : { "noteIndex" : 0 }, "schema" : "https://github.com/citation-style-language/schema/raw/master/csl-citation.json" }</w:instrText>
      </w:r>
      <w:r>
        <w:rPr>
          <w:rFonts w:cs="Times New Roman"/>
        </w:rPr>
        <w:fldChar w:fldCharType="separate"/>
      </w:r>
      <w:r>
        <w:rPr>
          <w:rFonts w:cs="Times New Roman"/>
          <w:noProof/>
        </w:rPr>
        <w:t>Whitney and Evans</w:t>
      </w:r>
      <w:r w:rsidRPr="00C91EB2">
        <w:rPr>
          <w:rFonts w:cs="Times New Roman"/>
          <w:noProof/>
        </w:rPr>
        <w:t xml:space="preserve"> </w:t>
      </w:r>
      <w:r>
        <w:rPr>
          <w:rFonts w:cs="Times New Roman"/>
          <w:noProof/>
        </w:rPr>
        <w:t>(</w:t>
      </w:r>
      <w:r w:rsidRPr="00C91EB2">
        <w:rPr>
          <w:rFonts w:cs="Times New Roman"/>
          <w:noProof/>
        </w:rPr>
        <w:t>2010)</w:t>
      </w:r>
      <w:r>
        <w:rPr>
          <w:rFonts w:cs="Times New Roman"/>
        </w:rPr>
        <w:fldChar w:fldCharType="end"/>
      </w:r>
      <w:r>
        <w:rPr>
          <w:rFonts w:cs="Times New Roman"/>
        </w:rPr>
        <w:t xml:space="preserve">, all others from </w:t>
      </w:r>
      <w:r>
        <w:rPr>
          <w:rFonts w:cs="Times New Roman"/>
        </w:rPr>
        <w:fldChar w:fldCharType="begin" w:fldLock="1"/>
      </w:r>
      <w:r w:rsidR="00266290">
        <w:rPr>
          <w:rFonts w:cs="Times New Roman"/>
        </w:rPr>
        <w:instrText>ADDIN CSL_CITATION { "citationItems" : [ { "id" : "ITEM-1", "itemData" : { "DOI" : "10.2138/am-2016-5392", "ISSN" : "0003-004X", "author" : [ { "dropping-particle" : "", "family" : "Morgan", "given" : "George B.", "non-dropping-particle" : "", "parse-names" : false, "suffix" : "" } ], "container-title" : "American Mineralogist", "id" : "ITEM-1", "issue" : "1", "issued" : { "date-parts" : [ [ "2016" ] ] }, "page" : "111-119", "title" : "A spreadsheet for calculating normative mole fractions of end-member species for Na-Ca-Li-Fe &lt;sup&gt;2+&lt;/sup&gt; -Mg-Al tourmalines from electron microprobe data", "type" : "article-journal", "volume" : "101" }, "uris" : [ "http://www.mendeley.com/documents/?uuid=5eb11875-5b6d-4c49-882e-da320e3bb38a" ] } ], "mendeley" : { "formattedCitation" : "(Morgan, 2016)", "manualFormatting" : "Morgan (2016)", "plainTextFormattedCitation" : "(Morgan, 2016)", "previouslyFormattedCitation" : "(Morgan 2016)" }, "properties" : { "noteIndex" : 0 }, "schema" : "https://github.com/citation-style-language/schema/raw/master/csl-citation.json" }</w:instrText>
      </w:r>
      <w:r>
        <w:rPr>
          <w:rFonts w:cs="Times New Roman"/>
        </w:rPr>
        <w:fldChar w:fldCharType="separate"/>
      </w:r>
      <w:r>
        <w:rPr>
          <w:rFonts w:cs="Times New Roman"/>
          <w:noProof/>
        </w:rPr>
        <w:t>Morgan</w:t>
      </w:r>
      <w:r w:rsidRPr="001E758D">
        <w:rPr>
          <w:rFonts w:cs="Times New Roman"/>
          <w:noProof/>
        </w:rPr>
        <w:t xml:space="preserve"> </w:t>
      </w:r>
      <w:r>
        <w:rPr>
          <w:rFonts w:cs="Times New Roman"/>
          <w:noProof/>
        </w:rPr>
        <w:t>(</w:t>
      </w:r>
      <w:r w:rsidRPr="001E758D">
        <w:rPr>
          <w:rFonts w:cs="Times New Roman"/>
          <w:noProof/>
        </w:rPr>
        <w:t>2016)</w:t>
      </w:r>
      <w:r>
        <w:rPr>
          <w:rFonts w:cs="Times New Roman"/>
        </w:rPr>
        <w:fldChar w:fldCharType="end"/>
      </w:r>
      <w:r>
        <w:rPr>
          <w:rFonts w:cs="Times New Roman"/>
        </w:rPr>
        <w:t xml:space="preserve">. Chemical formulas for pertinent tourmaline species are presented in Table </w:t>
      </w:r>
      <w:r w:rsidR="0083401A">
        <w:rPr>
          <w:rFonts w:cs="Times New Roman"/>
        </w:rPr>
        <w:t>2-</w:t>
      </w:r>
      <w:r>
        <w:rPr>
          <w:rFonts w:cs="Times New Roman"/>
        </w:rPr>
        <w:t xml:space="preserve">1. Readers are referred to Morgan (2016) for detailed instructions on how tourmaline components are calculated in the spreadsheet. Results from the spreadsheet calculations are tabulated in Appendix </w:t>
      </w:r>
      <w:r w:rsidR="00475C8F">
        <w:rPr>
          <w:rFonts w:cs="Times New Roman"/>
        </w:rPr>
        <w:t>1</w:t>
      </w:r>
      <w:r>
        <w:rPr>
          <w:rFonts w:cs="Times New Roman"/>
        </w:rPr>
        <w:t xml:space="preserve">. </w:t>
      </w:r>
    </w:p>
    <w:p w:rsidR="00665C0F" w:rsidRPr="00DD7479" w:rsidRDefault="00DD7479" w:rsidP="00DD7479">
      <w:pPr>
        <w:pStyle w:val="Heading3"/>
        <w:spacing w:line="480" w:lineRule="auto"/>
        <w:rPr>
          <w:rFonts w:cs="Times New Roman"/>
          <w:bCs/>
          <w:iCs/>
        </w:rPr>
      </w:pPr>
      <w:bookmarkStart w:id="19" w:name="_Toc491245986"/>
      <w:r w:rsidRPr="00DD7479">
        <w:rPr>
          <w:rFonts w:cs="Times New Roman"/>
          <w:bCs/>
          <w:iCs/>
        </w:rPr>
        <w:t>3.4</w:t>
      </w:r>
      <w:r w:rsidR="00A24071">
        <w:rPr>
          <w:rFonts w:cs="Times New Roman"/>
          <w:bCs/>
          <w:iCs/>
        </w:rPr>
        <w:t>.</w:t>
      </w:r>
      <w:r w:rsidRPr="00DD7479">
        <w:rPr>
          <w:rFonts w:cs="Times New Roman"/>
          <w:bCs/>
          <w:iCs/>
        </w:rPr>
        <w:t xml:space="preserve"> </w:t>
      </w:r>
      <w:r w:rsidR="00665C0F" w:rsidRPr="00DD7479">
        <w:rPr>
          <w:rFonts w:cs="Times New Roman"/>
          <w:bCs/>
          <w:iCs/>
        </w:rPr>
        <w:t>Secondary Ion Mass Spectrometry (SIMS)</w:t>
      </w:r>
      <w:bookmarkEnd w:id="19"/>
      <w:r w:rsidR="00665C0F" w:rsidRPr="00DD7479">
        <w:rPr>
          <w:rFonts w:cs="Times New Roman"/>
          <w:bCs/>
          <w:iCs/>
        </w:rPr>
        <w:t xml:space="preserve"> </w:t>
      </w:r>
    </w:p>
    <w:p w:rsidR="00665C0F" w:rsidRPr="003D1B42" w:rsidRDefault="00665C0F" w:rsidP="00DD7479">
      <w:pPr>
        <w:spacing w:after="240" w:line="480" w:lineRule="auto"/>
        <w:ind w:firstLine="720"/>
        <w:rPr>
          <w:rFonts w:cs="Times New Roman"/>
        </w:rPr>
      </w:pPr>
      <w:r w:rsidRPr="003D1B42">
        <w:rPr>
          <w:rFonts w:cs="Times New Roman"/>
        </w:rPr>
        <w:t xml:space="preserve">Boron isotopic measurements were made using the Cameca 6f Ion Microprobe at ASU in November 2014 and October 2015. Both analytical sessions used a </w:t>
      </w:r>
      <w:r w:rsidRPr="003D1B42">
        <w:rPr>
          <w:rFonts w:cs="Times New Roman"/>
          <w:vertAlign w:val="superscript"/>
        </w:rPr>
        <w:t>16</w:t>
      </w:r>
      <w:r w:rsidRPr="003D1B42">
        <w:rPr>
          <w:rFonts w:cs="Times New Roman"/>
        </w:rPr>
        <w:t>O</w:t>
      </w:r>
      <w:r w:rsidRPr="003D1B42">
        <w:rPr>
          <w:rFonts w:cs="Times New Roman"/>
          <w:vertAlign w:val="superscript"/>
        </w:rPr>
        <w:t>-</w:t>
      </w:r>
      <w:r w:rsidRPr="003D1B42">
        <w:rPr>
          <w:rFonts w:cs="Times New Roman"/>
        </w:rPr>
        <w:t xml:space="preserve"> primary beam accelerated to -12.5 kV with a sample voltage of +9 kV yielding a total impact energy of 21.5 kV. The energy window was set to accept secondary ions with energies of ±40 eV. </w:t>
      </w:r>
      <w:r>
        <w:rPr>
          <w:rFonts w:cs="Times New Roman"/>
        </w:rPr>
        <w:t xml:space="preserve">The instrument was configured in such a way to achieve a mass resolving power (MRP) greater than </w:t>
      </w:r>
      <w:r w:rsidRPr="003D1B42">
        <w:rPr>
          <w:rFonts w:cs="Times New Roman"/>
        </w:rPr>
        <w:t>962</w:t>
      </w:r>
      <w:r>
        <w:rPr>
          <w:rFonts w:cs="Times New Roman"/>
        </w:rPr>
        <w:t>,</w:t>
      </w:r>
      <w:r w:rsidRPr="003D1B42">
        <w:rPr>
          <w:rFonts w:cs="Times New Roman"/>
        </w:rPr>
        <w:t xml:space="preserve"> </w:t>
      </w:r>
      <w:r>
        <w:rPr>
          <w:rFonts w:cs="Times New Roman"/>
        </w:rPr>
        <w:t xml:space="preserve">which </w:t>
      </w:r>
      <w:r w:rsidRPr="003D1B42">
        <w:rPr>
          <w:rFonts w:cs="Times New Roman"/>
        </w:rPr>
        <w:t xml:space="preserve">is required to distinguish between the </w:t>
      </w:r>
      <w:r w:rsidRPr="003D1B42">
        <w:rPr>
          <w:rFonts w:cs="Times New Roman"/>
          <w:vertAlign w:val="superscript"/>
        </w:rPr>
        <w:lastRenderedPageBreak/>
        <w:t>10</w:t>
      </w:r>
      <w:r w:rsidRPr="003D1B42">
        <w:rPr>
          <w:rFonts w:cs="Times New Roman"/>
        </w:rPr>
        <w:t>B</w:t>
      </w:r>
      <w:r w:rsidRPr="003D1B42">
        <w:rPr>
          <w:rFonts w:cs="Times New Roman"/>
          <w:vertAlign w:val="superscript"/>
        </w:rPr>
        <w:t>1</w:t>
      </w:r>
      <w:r w:rsidRPr="003D1B42">
        <w:rPr>
          <w:rFonts w:cs="Times New Roman"/>
        </w:rPr>
        <w:t xml:space="preserve">H and </w:t>
      </w:r>
      <w:r w:rsidRPr="003D1B42">
        <w:rPr>
          <w:rFonts w:cs="Times New Roman"/>
          <w:vertAlign w:val="superscript"/>
        </w:rPr>
        <w:t>11</w:t>
      </w:r>
      <w:r w:rsidRPr="003D1B42">
        <w:rPr>
          <w:rFonts w:cs="Times New Roman"/>
        </w:rPr>
        <w:t>B secondary ion signals</w:t>
      </w:r>
      <w:r>
        <w:rPr>
          <w:rFonts w:cs="Times New Roman"/>
        </w:rPr>
        <w:t xml:space="preserve"> (for tourmaline, axinite, micas, and danburite),</w:t>
      </w:r>
      <w:r w:rsidRPr="003D1B42">
        <w:rPr>
          <w:rFonts w:cs="Times New Roman"/>
        </w:rPr>
        <w:t xml:space="preserve"> and </w:t>
      </w:r>
      <w:r>
        <w:rPr>
          <w:rFonts w:cs="Times New Roman"/>
        </w:rPr>
        <w:t xml:space="preserve">&gt; </w:t>
      </w:r>
      <w:r w:rsidRPr="003D1B42">
        <w:rPr>
          <w:rFonts w:cs="Times New Roman"/>
        </w:rPr>
        <w:t>1400</w:t>
      </w:r>
      <w:r>
        <w:rPr>
          <w:rFonts w:cs="Times New Roman"/>
        </w:rPr>
        <w:t>, which</w:t>
      </w:r>
      <w:r w:rsidRPr="003D1B42">
        <w:rPr>
          <w:rFonts w:cs="Times New Roman"/>
        </w:rPr>
        <w:t xml:space="preserve"> is required to resolve </w:t>
      </w:r>
      <w:r w:rsidRPr="003D1B42">
        <w:rPr>
          <w:rFonts w:cs="Times New Roman"/>
          <w:vertAlign w:val="superscript"/>
        </w:rPr>
        <w:t>10</w:t>
      </w:r>
      <w:r w:rsidRPr="003D1B42">
        <w:rPr>
          <w:rFonts w:cs="Times New Roman"/>
        </w:rPr>
        <w:t>Be</w:t>
      </w:r>
      <w:r w:rsidRPr="003D1B42">
        <w:rPr>
          <w:rFonts w:cs="Times New Roman"/>
          <w:vertAlign w:val="superscript"/>
        </w:rPr>
        <w:t>1</w:t>
      </w:r>
      <w:r w:rsidRPr="003D1B42">
        <w:rPr>
          <w:rFonts w:cs="Times New Roman"/>
        </w:rPr>
        <w:t xml:space="preserve">H from </w:t>
      </w:r>
      <w:r w:rsidRPr="003D1B42">
        <w:rPr>
          <w:rFonts w:cs="Times New Roman"/>
          <w:vertAlign w:val="superscript"/>
        </w:rPr>
        <w:t>10</w:t>
      </w:r>
      <w:r w:rsidRPr="003D1B42">
        <w:rPr>
          <w:rFonts w:cs="Times New Roman"/>
        </w:rPr>
        <w:t>B</w:t>
      </w:r>
      <w:r>
        <w:rPr>
          <w:rFonts w:cs="Times New Roman"/>
        </w:rPr>
        <w:t xml:space="preserve"> (for hambergite). The </w:t>
      </w:r>
      <w:r w:rsidRPr="003D1B42">
        <w:rPr>
          <w:rFonts w:cs="Times New Roman"/>
        </w:rPr>
        <w:t xml:space="preserve">primary beam current </w:t>
      </w:r>
      <w:r>
        <w:rPr>
          <w:rFonts w:cs="Times New Roman"/>
        </w:rPr>
        <w:t xml:space="preserve">was set to </w:t>
      </w:r>
      <w:r w:rsidRPr="003D1B42">
        <w:rPr>
          <w:rFonts w:cs="Times New Roman"/>
        </w:rPr>
        <w:t>between 1 and 5 nA</w:t>
      </w:r>
      <w:r>
        <w:rPr>
          <w:rFonts w:cs="Times New Roman"/>
        </w:rPr>
        <w:t>, depending on the concentration of B in the mineral,</w:t>
      </w:r>
      <w:r w:rsidRPr="003D1B42">
        <w:rPr>
          <w:rFonts w:cs="Times New Roman"/>
        </w:rPr>
        <w:t xml:space="preserve"> to yield acceptable count rates</w:t>
      </w:r>
      <w:r>
        <w:rPr>
          <w:rFonts w:cs="Times New Roman"/>
        </w:rPr>
        <w:t xml:space="preserve"> for </w:t>
      </w:r>
      <w:r>
        <w:rPr>
          <w:rFonts w:cs="Times New Roman"/>
          <w:vertAlign w:val="superscript"/>
        </w:rPr>
        <w:t>11</w:t>
      </w:r>
      <w:r>
        <w:rPr>
          <w:rFonts w:cs="Times New Roman"/>
        </w:rPr>
        <w:t xml:space="preserve">B and </w:t>
      </w:r>
      <w:r>
        <w:rPr>
          <w:rFonts w:cs="Times New Roman"/>
          <w:vertAlign w:val="superscript"/>
        </w:rPr>
        <w:t>10</w:t>
      </w:r>
      <w:r>
        <w:rPr>
          <w:rFonts w:cs="Times New Roman"/>
        </w:rPr>
        <w:t>B</w:t>
      </w:r>
      <w:r w:rsidRPr="003D1B42">
        <w:rPr>
          <w:rFonts w:cs="Times New Roman"/>
        </w:rPr>
        <w:t xml:space="preserve">. A pre-sputter time of 7.5-minute proved adequate to obtain stead-state sputtering conditions. Both </w:t>
      </w:r>
      <w:r w:rsidRPr="003D1B42">
        <w:rPr>
          <w:rFonts w:cs="Times New Roman"/>
          <w:vertAlign w:val="superscript"/>
        </w:rPr>
        <w:t>11</w:t>
      </w:r>
      <w:r w:rsidRPr="003D1B42">
        <w:rPr>
          <w:rFonts w:cs="Times New Roman"/>
        </w:rPr>
        <w:t xml:space="preserve">B and </w:t>
      </w:r>
      <w:r w:rsidRPr="003D1B42">
        <w:rPr>
          <w:rFonts w:cs="Times New Roman"/>
          <w:vertAlign w:val="superscript"/>
        </w:rPr>
        <w:t>10</w:t>
      </w:r>
      <w:r w:rsidRPr="003D1B42">
        <w:rPr>
          <w:rFonts w:cs="Times New Roman"/>
        </w:rPr>
        <w:t xml:space="preserve">B were counted on an electron multiplier with counting times of 4s for </w:t>
      </w:r>
      <w:r w:rsidRPr="003D1B42">
        <w:rPr>
          <w:rFonts w:cs="Times New Roman"/>
          <w:vertAlign w:val="superscript"/>
        </w:rPr>
        <w:t>10</w:t>
      </w:r>
      <w:r w:rsidRPr="003D1B42">
        <w:rPr>
          <w:rFonts w:cs="Times New Roman"/>
        </w:rPr>
        <w:t xml:space="preserve">B and 1s for </w:t>
      </w:r>
      <w:r w:rsidRPr="003D1B42">
        <w:rPr>
          <w:rFonts w:cs="Times New Roman"/>
          <w:vertAlign w:val="superscript"/>
        </w:rPr>
        <w:t>11</w:t>
      </w:r>
      <w:r w:rsidRPr="003D1B42">
        <w:rPr>
          <w:rFonts w:cs="Times New Roman"/>
        </w:rPr>
        <w:t>B, to adjust for their natural abundances and improve counting statistics.</w:t>
      </w:r>
    </w:p>
    <w:p w:rsidR="00665C0F" w:rsidRPr="00443DAB" w:rsidRDefault="00665C0F" w:rsidP="00DD7479">
      <w:pPr>
        <w:spacing w:after="240" w:line="480" w:lineRule="auto"/>
        <w:ind w:firstLine="720"/>
        <w:rPr>
          <w:rFonts w:cs="Times New Roman"/>
        </w:rPr>
      </w:pPr>
      <w:r w:rsidRPr="003D1B42">
        <w:rPr>
          <w:rFonts w:cs="Times New Roman"/>
        </w:rPr>
        <w:t xml:space="preserve">The boron </w:t>
      </w:r>
      <w:r>
        <w:rPr>
          <w:rFonts w:cs="Times New Roman"/>
        </w:rPr>
        <w:t xml:space="preserve">and boron </w:t>
      </w:r>
      <w:r w:rsidRPr="003D1B42">
        <w:rPr>
          <w:rFonts w:cs="Times New Roman"/>
        </w:rPr>
        <w:t xml:space="preserve">isotopic compositions of </w:t>
      </w:r>
      <w:r>
        <w:rPr>
          <w:rFonts w:cs="Times New Roman"/>
        </w:rPr>
        <w:t>micas</w:t>
      </w:r>
      <w:r w:rsidRPr="003D1B42">
        <w:rPr>
          <w:rFonts w:cs="Times New Roman"/>
        </w:rPr>
        <w:t xml:space="preserve"> were analyzed during the 2015 session </w:t>
      </w:r>
      <w:r>
        <w:rPr>
          <w:rFonts w:cs="Times New Roman"/>
        </w:rPr>
        <w:t>using</w:t>
      </w:r>
      <w:r w:rsidRPr="003D1B42">
        <w:rPr>
          <w:rFonts w:cs="Times New Roman"/>
        </w:rPr>
        <w:t xml:space="preserve"> the same </w:t>
      </w:r>
      <w:r>
        <w:rPr>
          <w:rFonts w:cs="Times New Roman"/>
        </w:rPr>
        <w:t>instrument configuration</w:t>
      </w:r>
      <w:r w:rsidRPr="003D1B42">
        <w:rPr>
          <w:rFonts w:cs="Times New Roman"/>
        </w:rPr>
        <w:t xml:space="preserve"> described above</w:t>
      </w:r>
      <w:r>
        <w:rPr>
          <w:rFonts w:cs="Times New Roman"/>
        </w:rPr>
        <w:t>,</w:t>
      </w:r>
      <w:r w:rsidRPr="003D1B42">
        <w:rPr>
          <w:rFonts w:cs="Times New Roman"/>
        </w:rPr>
        <w:t xml:space="preserve"> with a few differences. Silicon, </w:t>
      </w:r>
      <w:r w:rsidRPr="003D1B42">
        <w:rPr>
          <w:rFonts w:cs="Times New Roman"/>
          <w:vertAlign w:val="superscript"/>
        </w:rPr>
        <w:t>28</w:t>
      </w:r>
      <w:r w:rsidRPr="003D1B42">
        <w:rPr>
          <w:rFonts w:cs="Times New Roman"/>
        </w:rPr>
        <w:t xml:space="preserve">Si, was counted for 10s on the Faraday cup following the </w:t>
      </w:r>
      <w:r w:rsidRPr="003D1B42">
        <w:rPr>
          <w:rFonts w:cs="Times New Roman"/>
          <w:vertAlign w:val="superscript"/>
        </w:rPr>
        <w:t>10</w:t>
      </w:r>
      <w:r w:rsidRPr="003D1B42">
        <w:rPr>
          <w:rFonts w:cs="Times New Roman"/>
        </w:rPr>
        <w:t xml:space="preserve">B and </w:t>
      </w:r>
      <w:r w:rsidRPr="003D1B42">
        <w:rPr>
          <w:rFonts w:cs="Times New Roman"/>
          <w:vertAlign w:val="superscript"/>
        </w:rPr>
        <w:t>11</w:t>
      </w:r>
      <w:r w:rsidRPr="003D1B42">
        <w:rPr>
          <w:rFonts w:cs="Times New Roman"/>
        </w:rPr>
        <w:t>B analysis</w:t>
      </w:r>
      <w:r>
        <w:rPr>
          <w:rFonts w:cs="Times New Roman"/>
        </w:rPr>
        <w:t xml:space="preserve"> to allow for the calculation of B using the calibration of </w:t>
      </w:r>
      <w:r>
        <w:rPr>
          <w:rFonts w:cs="Times New Roman"/>
        </w:rPr>
        <w:fldChar w:fldCharType="begin" w:fldLock="1"/>
      </w:r>
      <w:r w:rsidR="00266290">
        <w:rPr>
          <w:rFonts w:cs="Times New Roman"/>
        </w:rPr>
        <w:instrText>ADDIN CSL_CITATION { "citationItems" : [ { "id" : "ITEM-1", "itemData" : { "author" : [ { "dropping-particle" : "", "family" : "Hervig", "given" : "Richard L", "non-dropping-particle" : "", "parse-names" : false, "suffix" : "" } ], "container-title" : "Reviews in Mineralogy &amp; Geochemistry", "id" : "ITEM-1", "issued" : { "date-parts" : [ [ "1996" ] ] }, "page" : "789-804", "title" : "Analyses of geological materials for boron by secondary ion mass spectrometry", "type" : "article-journal", "volume" : "33" }, "uris" : [ "http://www.mendeley.com/documents/?uuid=379aeaad-6ad4-4eb7-a546-dffa374e004e" ] } ], "mendeley" : { "formattedCitation" : "(Hervig, 1996)", "manualFormatting" : "Hervig (1996)", "plainTextFormattedCitation" : "(Hervig, 1996)", "previouslyFormattedCitation" : "(Hervig 1996)" }, "properties" : { "noteIndex" : 0 }, "schema" : "https://github.com/citation-style-language/schema/raw/master/csl-citation.json" }</w:instrText>
      </w:r>
      <w:r>
        <w:rPr>
          <w:rFonts w:cs="Times New Roman"/>
        </w:rPr>
        <w:fldChar w:fldCharType="separate"/>
      </w:r>
      <w:r>
        <w:rPr>
          <w:rFonts w:cs="Times New Roman"/>
          <w:noProof/>
        </w:rPr>
        <w:t>Hervig</w:t>
      </w:r>
      <w:r w:rsidRPr="00D31AB1">
        <w:rPr>
          <w:rFonts w:cs="Times New Roman"/>
          <w:noProof/>
        </w:rPr>
        <w:t xml:space="preserve"> </w:t>
      </w:r>
      <w:r>
        <w:rPr>
          <w:rFonts w:cs="Times New Roman"/>
          <w:noProof/>
        </w:rPr>
        <w:t>(</w:t>
      </w:r>
      <w:r w:rsidRPr="00D31AB1">
        <w:rPr>
          <w:rFonts w:cs="Times New Roman"/>
          <w:noProof/>
        </w:rPr>
        <w:t>1996)</w:t>
      </w:r>
      <w:r>
        <w:rPr>
          <w:rFonts w:cs="Times New Roman"/>
        </w:rPr>
        <w:fldChar w:fldCharType="end"/>
      </w:r>
      <w:r w:rsidRPr="003D1B42">
        <w:rPr>
          <w:rFonts w:cs="Times New Roman"/>
        </w:rPr>
        <w:t xml:space="preserve">. A current between 2.5 and 5.5 nA and a pre-sputter time of up to 3 minutes provided a stable count rate. </w:t>
      </w:r>
    </w:p>
    <w:p w:rsidR="00665C0F" w:rsidRPr="00DD7479" w:rsidRDefault="00DD7479" w:rsidP="00DD7479">
      <w:pPr>
        <w:pStyle w:val="Heading4"/>
        <w:spacing w:line="480" w:lineRule="auto"/>
        <w:rPr>
          <w:rFonts w:cs="Times New Roman"/>
          <w:i w:val="0"/>
        </w:rPr>
      </w:pPr>
      <w:bookmarkStart w:id="20" w:name="_Toc491245987"/>
      <w:r w:rsidRPr="00DD7479">
        <w:rPr>
          <w:rFonts w:cs="Times New Roman"/>
          <w:bCs/>
          <w:i w:val="0"/>
          <w:iCs w:val="0"/>
        </w:rPr>
        <w:t>3.4.1</w:t>
      </w:r>
      <w:r w:rsidR="00A24071">
        <w:rPr>
          <w:rFonts w:cs="Times New Roman"/>
          <w:bCs/>
          <w:i w:val="0"/>
          <w:iCs w:val="0"/>
        </w:rPr>
        <w:t>.</w:t>
      </w:r>
      <w:r w:rsidRPr="00DD7479">
        <w:rPr>
          <w:rFonts w:cs="Times New Roman"/>
          <w:bCs/>
          <w:i w:val="0"/>
          <w:iCs w:val="0"/>
        </w:rPr>
        <w:t xml:space="preserve"> </w:t>
      </w:r>
      <w:r w:rsidR="00665C0F" w:rsidRPr="00DD7479">
        <w:rPr>
          <w:rFonts w:cs="Times New Roman"/>
          <w:bCs/>
          <w:i w:val="0"/>
          <w:iCs w:val="0"/>
        </w:rPr>
        <w:t>Standardization and Instrumental Mass Fractionation</w:t>
      </w:r>
      <w:bookmarkEnd w:id="20"/>
      <w:r w:rsidR="00665C0F" w:rsidRPr="00DD7479">
        <w:rPr>
          <w:rFonts w:cs="Times New Roman"/>
          <w:i w:val="0"/>
        </w:rPr>
        <w:t xml:space="preserve"> </w:t>
      </w:r>
    </w:p>
    <w:p w:rsidR="00665C0F" w:rsidRDefault="00665C0F" w:rsidP="00DD7479">
      <w:pPr>
        <w:spacing w:after="240" w:line="480" w:lineRule="auto"/>
        <w:ind w:firstLine="720"/>
        <w:rPr>
          <w:rFonts w:cs="Times New Roman"/>
        </w:rPr>
      </w:pPr>
      <w:r>
        <w:rPr>
          <w:rFonts w:cs="Times New Roman"/>
          <w:color w:val="000000"/>
        </w:rPr>
        <w:t xml:space="preserve">Dravite, </w:t>
      </w:r>
      <w:r w:rsidRPr="003D1B42">
        <w:rPr>
          <w:rFonts w:cs="Times New Roman"/>
          <w:color w:val="000000"/>
        </w:rPr>
        <w:t>axinite</w:t>
      </w:r>
      <w:r>
        <w:rPr>
          <w:rFonts w:cs="Times New Roman"/>
          <w:color w:val="000000"/>
        </w:rPr>
        <w:t>, and illite boron isotopic</w:t>
      </w:r>
      <w:r w:rsidRPr="003D1B42">
        <w:rPr>
          <w:rFonts w:cs="Times New Roman"/>
          <w:color w:val="000000"/>
        </w:rPr>
        <w:t xml:space="preserve"> standards were used in this study to monitor and correct for instrumental mass fractionation (IMF).</w:t>
      </w:r>
      <w:r>
        <w:rPr>
          <w:rFonts w:cs="Times New Roman"/>
          <w:color w:val="000000"/>
        </w:rPr>
        <w:t xml:space="preserve"> Analysis of the dravite standard</w:t>
      </w:r>
      <w:r w:rsidRPr="003D1B42">
        <w:rPr>
          <w:rFonts w:cs="Times New Roman"/>
          <w:color w:val="000000"/>
        </w:rPr>
        <w:t xml:space="preserve"> at multiple times </w:t>
      </w:r>
      <w:r>
        <w:rPr>
          <w:rFonts w:cs="Times New Roman"/>
          <w:color w:val="000000"/>
        </w:rPr>
        <w:t xml:space="preserve">daily </w:t>
      </w:r>
      <w:r w:rsidRPr="00B424A4">
        <w:rPr>
          <w:rFonts w:cs="Times New Roman"/>
          <w:color w:val="000000"/>
        </w:rPr>
        <w:t>showed a maximum IM</w:t>
      </w:r>
      <w:r w:rsidRPr="003D1B42">
        <w:rPr>
          <w:rFonts w:cs="Times New Roman"/>
          <w:color w:val="000000"/>
        </w:rPr>
        <w:t>F drift of 5‰ for the October 2015 session and 8‰</w:t>
      </w:r>
      <w:r>
        <w:rPr>
          <w:rFonts w:cs="Times New Roman"/>
          <w:color w:val="000000"/>
        </w:rPr>
        <w:t xml:space="preserve"> for the November 2014 session (Table </w:t>
      </w:r>
      <w:r w:rsidR="0083401A">
        <w:rPr>
          <w:rFonts w:cs="Times New Roman"/>
          <w:color w:val="000000"/>
        </w:rPr>
        <w:t>2-</w:t>
      </w:r>
      <w:r>
        <w:rPr>
          <w:rFonts w:cs="Times New Roman"/>
          <w:color w:val="000000"/>
        </w:rPr>
        <w:t>2). A</w:t>
      </w:r>
      <w:r w:rsidRPr="003D1B42">
        <w:rPr>
          <w:rFonts w:cs="Times New Roman"/>
          <w:color w:val="000000"/>
        </w:rPr>
        <w:t xml:space="preserve"> time-dependent IMF correction factor was developed </w:t>
      </w:r>
      <w:r>
        <w:rPr>
          <w:rFonts w:cs="Times New Roman"/>
          <w:color w:val="000000"/>
        </w:rPr>
        <w:t xml:space="preserve">to correct all analyses of tourmaline. Errors associated differences in spot-to-spot analyses on the standards are less than </w:t>
      </w:r>
      <w:r w:rsidRPr="003D1B42">
        <w:rPr>
          <w:rFonts w:cs="Times New Roman"/>
        </w:rPr>
        <w:t>2‰</w:t>
      </w:r>
      <w:r>
        <w:rPr>
          <w:rFonts w:cs="Times New Roman"/>
        </w:rPr>
        <w:t xml:space="preserve">. </w:t>
      </w:r>
      <w:r w:rsidRPr="003D1B42">
        <w:rPr>
          <w:rFonts w:cs="Times New Roman"/>
        </w:rPr>
        <w:t>A secondary tourmaline standard, whose boron isotopic composition of -11.8‰ has only been determined by SIMS, was analyzed during the 2014 and 2015 sessions and its composition was reproducible to within the ~ 2‰ external errors</w:t>
      </w:r>
      <w:r>
        <w:rPr>
          <w:rFonts w:cs="Times New Roman"/>
        </w:rPr>
        <w:t xml:space="preserve"> observed during both </w:t>
      </w:r>
      <w:r>
        <w:rPr>
          <w:rFonts w:cs="Times New Roman"/>
        </w:rPr>
        <w:lastRenderedPageBreak/>
        <w:t>sessions.</w:t>
      </w:r>
      <w:r>
        <w:rPr>
          <w:rFonts w:cs="Times New Roman"/>
          <w:color w:val="000000"/>
        </w:rPr>
        <w:t xml:space="preserve"> Therefore, the boron isotopic compositions of all tourmaline crystals are believed to be accurate to within the ±</w:t>
      </w:r>
      <w:r w:rsidRPr="003D1B42">
        <w:rPr>
          <w:rFonts w:cs="Times New Roman"/>
        </w:rPr>
        <w:t>2‰ external errors</w:t>
      </w:r>
      <w:r>
        <w:rPr>
          <w:rFonts w:cs="Times New Roman"/>
        </w:rPr>
        <w:t xml:space="preserve">. </w:t>
      </w:r>
    </w:p>
    <w:p w:rsidR="00665C0F" w:rsidRPr="00443DAB" w:rsidRDefault="00665C0F" w:rsidP="00DD7479">
      <w:pPr>
        <w:spacing w:after="240" w:line="480" w:lineRule="auto"/>
        <w:ind w:firstLine="720"/>
        <w:rPr>
          <w:rFonts w:cs="Times New Roman"/>
          <w:color w:val="000000"/>
        </w:rPr>
      </w:pPr>
      <w:r>
        <w:rPr>
          <w:rFonts w:cs="Times New Roman"/>
        </w:rPr>
        <w:t>The axinite standard was analyzed twice immediately before and after 3 analyses of the axinite from the pegmatite. The drift in IMF was less than 2</w:t>
      </w:r>
      <w:r w:rsidRPr="003D1B42">
        <w:rPr>
          <w:rFonts w:cs="Times New Roman"/>
        </w:rPr>
        <w:t>‰</w:t>
      </w:r>
      <w:r>
        <w:rPr>
          <w:rFonts w:cs="Times New Roman"/>
        </w:rPr>
        <w:t xml:space="preserve"> during this short analytical period (Table </w:t>
      </w:r>
      <w:r w:rsidR="0083401A">
        <w:rPr>
          <w:rFonts w:cs="Times New Roman"/>
        </w:rPr>
        <w:t>2-</w:t>
      </w:r>
      <w:r>
        <w:rPr>
          <w:rFonts w:cs="Times New Roman"/>
        </w:rPr>
        <w:t>2). Therefore, axinite analyses are believed to be accurate to within 2</w:t>
      </w:r>
      <w:r w:rsidRPr="003D1B42">
        <w:rPr>
          <w:rFonts w:cs="Times New Roman"/>
        </w:rPr>
        <w:t>‰</w:t>
      </w:r>
      <w:r>
        <w:rPr>
          <w:rFonts w:cs="Times New Roman"/>
        </w:rPr>
        <w:t>.</w:t>
      </w:r>
      <w:r>
        <w:rPr>
          <w:rFonts w:cs="Times New Roman"/>
          <w:color w:val="000000"/>
        </w:rPr>
        <w:t xml:space="preserve"> </w:t>
      </w:r>
      <w:r w:rsidRPr="003D1B42">
        <w:rPr>
          <w:rFonts w:cs="Times New Roman"/>
          <w:color w:val="000000"/>
        </w:rPr>
        <w:t>The IMF d</w:t>
      </w:r>
      <w:r w:rsidRPr="003D1B42">
        <w:rPr>
          <w:rFonts w:cs="Times New Roman"/>
        </w:rPr>
        <w:t xml:space="preserve">rift for the IMt-1 clay standard during a single day of analyses was </w:t>
      </w:r>
      <w:r>
        <w:rPr>
          <w:rFonts w:cs="Times New Roman"/>
        </w:rPr>
        <w:t>less than 4</w:t>
      </w:r>
      <w:r w:rsidRPr="003D1B42">
        <w:rPr>
          <w:rFonts w:cs="Times New Roman"/>
        </w:rPr>
        <w:t>‰, with no systematic variation over time</w:t>
      </w:r>
      <w:r>
        <w:rPr>
          <w:rFonts w:cs="Times New Roman"/>
        </w:rPr>
        <w:t xml:space="preserve"> (Table 2</w:t>
      </w:r>
      <w:r w:rsidR="0083401A">
        <w:rPr>
          <w:rFonts w:cs="Times New Roman"/>
        </w:rPr>
        <w:t>-2</w:t>
      </w:r>
      <w:r>
        <w:rPr>
          <w:rFonts w:cs="Times New Roman"/>
        </w:rPr>
        <w:t>)</w:t>
      </w:r>
      <w:r w:rsidRPr="003D1B42">
        <w:rPr>
          <w:rFonts w:cs="Times New Roman"/>
        </w:rPr>
        <w:t xml:space="preserve">. </w:t>
      </w:r>
      <w:r>
        <w:rPr>
          <w:rFonts w:cs="Times New Roman"/>
        </w:rPr>
        <w:t>The boron isotopic compositions of muscovite and lepidolite are believed to be accurate to within the ±4</w:t>
      </w:r>
      <w:r w:rsidRPr="003D1B42">
        <w:rPr>
          <w:rFonts w:cs="Times New Roman"/>
        </w:rPr>
        <w:t>‰ external errors</w:t>
      </w:r>
      <w:r>
        <w:rPr>
          <w:rFonts w:cs="Times New Roman"/>
        </w:rPr>
        <w:t xml:space="preserve">. </w:t>
      </w:r>
    </w:p>
    <w:p w:rsidR="00665C0F" w:rsidRDefault="00665C0F" w:rsidP="00DD7479">
      <w:pPr>
        <w:spacing w:after="240" w:line="480" w:lineRule="auto"/>
        <w:ind w:firstLine="720"/>
        <w:rPr>
          <w:rFonts w:cs="Times New Roman"/>
        </w:rPr>
      </w:pPr>
      <w:r w:rsidRPr="003D1B42">
        <w:rPr>
          <w:rFonts w:cs="Times New Roman"/>
        </w:rPr>
        <w:t xml:space="preserve">Boron isotopic compositions of hambergite and danburite were standardized </w:t>
      </w:r>
      <w:r>
        <w:rPr>
          <w:rFonts w:cs="Times New Roman"/>
        </w:rPr>
        <w:t>using</w:t>
      </w:r>
      <w:r w:rsidRPr="003D1B42">
        <w:rPr>
          <w:rFonts w:cs="Times New Roman"/>
        </w:rPr>
        <w:t xml:space="preserve"> the dravite standard. </w:t>
      </w:r>
      <w:r>
        <w:rPr>
          <w:rFonts w:cs="Times New Roman"/>
        </w:rPr>
        <w:t>Consequently, d</w:t>
      </w:r>
      <w:r w:rsidRPr="003D1B42">
        <w:rPr>
          <w:rFonts w:cs="Times New Roman"/>
        </w:rPr>
        <w:t>ue to possible differences in matrix effects between hambergite,</w:t>
      </w:r>
      <w:r>
        <w:rPr>
          <w:rFonts w:cs="Times New Roman"/>
        </w:rPr>
        <w:t xml:space="preserve"> danburite, and tourmaline, values of </w:t>
      </w:r>
      <w:r>
        <w:t>δ</w:t>
      </w:r>
      <w:r>
        <w:rPr>
          <w:rFonts w:cs="Times New Roman"/>
          <w:vertAlign w:val="superscript"/>
        </w:rPr>
        <w:t>11</w:t>
      </w:r>
      <w:r>
        <w:rPr>
          <w:rFonts w:cs="Times New Roman"/>
        </w:rPr>
        <w:t>B for</w:t>
      </w:r>
      <w:r w:rsidRPr="003D1B42">
        <w:rPr>
          <w:rFonts w:cs="Times New Roman"/>
        </w:rPr>
        <w:t xml:space="preserve"> hambergite and danburite may be inaccurate. </w:t>
      </w:r>
      <w:r>
        <w:rPr>
          <w:rFonts w:cs="Times New Roman"/>
        </w:rPr>
        <w:t>Correcting for the isotopic composition of an unknown by using an IMF factor derived from</w:t>
      </w:r>
      <w:r w:rsidRPr="003D1B42">
        <w:rPr>
          <w:rFonts w:cs="Times New Roman"/>
        </w:rPr>
        <w:t xml:space="preserve"> a standard whose structure and composition is significantly different from the unknown </w:t>
      </w:r>
      <w:r>
        <w:rPr>
          <w:rFonts w:cs="Times New Roman"/>
        </w:rPr>
        <w:t>has been shown</w:t>
      </w:r>
      <w:r w:rsidRPr="003D1B42">
        <w:rPr>
          <w:rFonts w:cs="Times New Roman"/>
        </w:rPr>
        <w:t xml:space="preserve"> to produce erroneous results </w:t>
      </w:r>
      <w:r w:rsidRPr="003D1B42">
        <w:rPr>
          <w:rFonts w:cs="Times New Roman"/>
        </w:rPr>
        <w:fldChar w:fldCharType="begin" w:fldLock="1"/>
      </w:r>
      <w:r w:rsidR="00266290">
        <w:rPr>
          <w:rFonts w:cs="Times New Roman"/>
        </w:rPr>
        <w:instrText>ADDIN CSL_CITATION { "citationItems" : [ { "id" : "ITEM-1", "itemData" : { "DOI" : "10.2343/geochemj.40.631", "ISSN" : "00167002", "author" : [ { "dropping-particle" : "", "family" : "Marschall", "given" : "Horst R.", "non-dropping-particle" : "", "parse-names" : false, "suffix" : "" }, { "dropping-particle" : "", "family" : "Ludwig", "given" : "Thomas", "non-dropping-particle" : "", "parse-names" : false, "suffix" : "" } ], "container-title" : "Geochemical Journal", "id" : "ITEM-1", "issue" : "6", "issued" : { "date-parts" : [ [ "2006" ] ] }, "page" : "631-638", "title" : "Re-examination of the boron isotopic composition of tourmaline from the Lavicky granite, Czech Republic, by secondary ion mass spectrometry: Back to normal", "type" : "article-journal", "volume" : "40" }, "uris" : [ "http://www.mendeley.com/documents/?uuid=161f3049-4f1f-4638-a405-162ed723de7a" ] }, { "id" : "ITEM-2", "itemData" : { "DOI" : "10.1180/minmag.2011.075.4.2485", "ISSN" : "0026461X", "abstract" : "Cu-bearing elbaite from Para\u00edba (Brazil) is a highly-prized gem tourmaline. Specimens of similar quality from localities in Mozambique and Nigeria are being sold, and reliable provenance tools are required to distinguish specimens from the original locality from 'Para\u00edba-type' tourmaline from Africa. Here we present Li and B isotope analyses of Cu-bearing elbaite from all three localities and demonstrate the suitability of these isotope systems as a provenance tool. Isotopic profiles across chemically zoned grains revealed homogenous B and Li isotopic compositions, demonstrating a strong advantage of their application as a provenance tool as opposed to major, minor or trace element signatures. Li and B isotopes of all investigated samples of Cu-bearing elbaites from the three localities are within the range of previously published granitic and pegmatitic tourmaline. Anomalous isotope compositions published previously for these samples are corrected by our results. \u00a9 2011 Mineralogical Society.", "author" : [ { "dropping-particle" : "", "family" : "Ludwig", "given" : "T", "non-dropping-particle" : "", "parse-names" : false, "suffix" : "" }, { "dropping-particle" : "", "family" : "Marschall", "given" : "H R", "non-dropping-particle" : "", "parse-names" : false, "suffix" : "" }, { "dropping-particle" : "", "family" : "Strandmann", "given" : "P.A.E.P.", "non-dropping-particle" : "Von", "parse-names" : false, "suffix" : "" }, { "dropping-particle" : "", "family" : "Shabaga", "given" : "B M", "non-dropping-particle" : "", "parse-names" : false, "suffix" : "" }, { "dropping-particle" : "", "family" : "Fayek", "given" : "M", "non-dropping-particle" : "", "parse-names" : false, "suffix" : "" }, { "dropping-particle" : "", "family" : "Hawthorne", "given" : "F C", "non-dropping-particle" : "", "parse-names" : false, "suffix" : "" } ], "container-title" : "Mineralogical Magazine", "id" : "ITEM-2", "issue" : "4", "issued" : { "date-parts" : [ [ "2011" ] ] }, "page" : "2485-2494", "title" : "A secondary ion mass spectrometry (SIMS) re-evaluation of B and Li isotopic compositions of Cu-bearing elbaite from three global localities", "type" : "article-journal", "volume" : "75" }, "uris" : [ "http://www.mendeley.com/documents/?uuid=931ebf57-40c9-4499-ba31-d2561c3c599f" ] } ], "mendeley" : { "formattedCitation" : "(Ludwig et al., 2011; Marschall and Ludwig, 2006)", "plainTextFormattedCitation" : "(Ludwig et al., 2011; Marschall and Ludwig, 2006)", "previouslyFormattedCitation" : "(Marschall and Ludwig 2006; Ludwig et al. 2011)" }, "properties" : { "noteIndex" : 0 }, "schema" : "https://github.com/citation-style-language/schema/raw/master/csl-citation.json" }</w:instrText>
      </w:r>
      <w:r w:rsidRPr="003D1B42">
        <w:rPr>
          <w:rFonts w:cs="Times New Roman"/>
        </w:rPr>
        <w:fldChar w:fldCharType="separate"/>
      </w:r>
      <w:r w:rsidR="00266290" w:rsidRPr="00266290">
        <w:rPr>
          <w:rFonts w:cs="Times New Roman"/>
          <w:noProof/>
        </w:rPr>
        <w:t>(Ludwig et al., 2011; Marschall and Ludwig, 2006)</w:t>
      </w:r>
      <w:r w:rsidRPr="003D1B42">
        <w:rPr>
          <w:rFonts w:cs="Times New Roman"/>
        </w:rPr>
        <w:fldChar w:fldCharType="end"/>
      </w:r>
      <w:r w:rsidRPr="003D1B42">
        <w:rPr>
          <w:rFonts w:cs="Times New Roman"/>
        </w:rPr>
        <w:t xml:space="preserve">. </w:t>
      </w:r>
    </w:p>
    <w:p w:rsidR="00665C0F" w:rsidRPr="00B245C8" w:rsidRDefault="00665C0F" w:rsidP="00DD7479">
      <w:pPr>
        <w:spacing w:after="240" w:line="480" w:lineRule="auto"/>
        <w:ind w:firstLine="720"/>
        <w:rPr>
          <w:rFonts w:cs="Times New Roman"/>
          <w:b/>
          <w:bCs/>
        </w:rPr>
      </w:pPr>
      <w:r w:rsidRPr="003D1B42">
        <w:rPr>
          <w:rFonts w:cs="Times New Roman"/>
        </w:rPr>
        <w:t xml:space="preserve">Raw isotopic ratios </w:t>
      </w:r>
      <w:r>
        <w:rPr>
          <w:rFonts w:cs="Times New Roman"/>
        </w:rPr>
        <w:t xml:space="preserve">derived from SIMS </w:t>
      </w:r>
      <w:r w:rsidRPr="003D1B42">
        <w:rPr>
          <w:rFonts w:cs="Times New Roman"/>
        </w:rPr>
        <w:t>for all crystalline phases from the pe</w:t>
      </w:r>
      <w:r>
        <w:rPr>
          <w:rFonts w:cs="Times New Roman"/>
        </w:rPr>
        <w:t xml:space="preserve">gmatites were corrected for IMF, as described below, </w:t>
      </w:r>
      <w:r w:rsidRPr="003D1B42">
        <w:rPr>
          <w:rFonts w:cs="Times New Roman"/>
        </w:rPr>
        <w:t>and converted to delta, δ, notation using the international boron isotope standard, NIST SRM 951 boric acid, with a certified value of 4.04362 (</w:t>
      </w:r>
      <w:r w:rsidRPr="003D1B42">
        <w:rPr>
          <w:rFonts w:cs="Times New Roman"/>
        </w:rPr>
        <w:fldChar w:fldCharType="begin" w:fldLock="1"/>
      </w:r>
      <w:r w:rsidR="00266290">
        <w:rPr>
          <w:rFonts w:cs="Times New Roman"/>
        </w:rPr>
        <w:instrText>ADDIN CSL_CITATION { "citationItems" : [ { "id" : "ITEM-1", "itemData" : { "author" : [ { "dropping-particle" : "", "family" : "Catanzaro", "given" : "E.J.", "non-dropping-particle" : "", "parse-names" : false, "suffix" : "" }, { "dropping-particle" : "", "family" : "Champion", "given" : "C.E.", "non-dropping-particle" : "", "parse-names" : false, "suffix" : "" }, { "dropping-particle" : "", "family" : "Garner", "given" : "E.L.", "non-dropping-particle" : "", "parse-names" : false, "suffix" : "" }, { "dropping-particle" : "", "family" : "Marinenko", "given" : "G.", "non-dropping-particle" : "", "parse-names" : false, "suffix" : "" }, { "dropping-particle" : "", "family" : "Sappenfield", "given" : "K.M.", "non-dropping-particle" : "", "parse-names" : false, "suffix" : "" }, { "dropping-particle" : "", "family" : "Shields", "given" : "W.R.", "non-dropping-particle" : "", "parse-names" : false, "suffix" : "" } ], "container-title" : "NBS (US) Spec. Publ.", "id" : "ITEM-1", "issued" : { "date-parts" : [ [ "1970" ] ] }, "page" : "1-70", "title" : "Standard Reference Materials: Boric Acid; Isotopic, and Assay Standard Reference Materials", "type" : "article-journal", "volume" : "260" }, "uris" : [ "http://www.mendeley.com/documents/?uuid=b842342a-4d73-423c-b668-0801c69eeb33" ] } ], "mendeley" : { "formattedCitation" : "(Catanzaro et al., 1970)", "manualFormatting" : "Catanzaro et al., 1970)", "plainTextFormattedCitation" : "(Catanzaro et al., 1970)", "previouslyFormattedCitation" : "(Catanzaro et al. 1970)" }, "properties" : { "noteIndex" : 0 }, "schema" : "https://github.com/citation-style-language/schema/raw/master/csl-citation.json" }</w:instrText>
      </w:r>
      <w:r w:rsidRPr="003D1B42">
        <w:rPr>
          <w:rFonts w:cs="Times New Roman"/>
        </w:rPr>
        <w:fldChar w:fldCharType="separate"/>
      </w:r>
      <w:r w:rsidRPr="003D1B42">
        <w:rPr>
          <w:rFonts w:cs="Times New Roman"/>
          <w:noProof/>
        </w:rPr>
        <w:t>Catanzaro et al., 1970)</w:t>
      </w:r>
      <w:r w:rsidRPr="003D1B42">
        <w:rPr>
          <w:rFonts w:cs="Times New Roman"/>
        </w:rPr>
        <w:fldChar w:fldCharType="end"/>
      </w:r>
      <w:r w:rsidRPr="003D1B42">
        <w:rPr>
          <w:rFonts w:cs="Times New Roman"/>
        </w:rPr>
        <w:t>.</w:t>
      </w:r>
      <w:r>
        <w:rPr>
          <w:rFonts w:cs="Times New Roman"/>
        </w:rPr>
        <w:t xml:space="preserve"> </w:t>
      </w:r>
      <w:r w:rsidRPr="003D1B42">
        <w:rPr>
          <w:rFonts w:cs="Times New Roman"/>
        </w:rPr>
        <w:t xml:space="preserve">Internal errors for individual point analyses reported in this study are consistently less than 0.8‰ for all minerals except the micas whose internal errors ranged between 1 and 3‰. The larger internal errors for </w:t>
      </w:r>
      <w:r w:rsidRPr="003D1B42">
        <w:rPr>
          <w:rFonts w:cs="Times New Roman"/>
        </w:rPr>
        <w:lastRenderedPageBreak/>
        <w:t xml:space="preserve">the micas </w:t>
      </w:r>
      <w:r>
        <w:rPr>
          <w:rFonts w:cs="Times New Roman"/>
        </w:rPr>
        <w:t>likely</w:t>
      </w:r>
      <w:r w:rsidRPr="003D1B42">
        <w:rPr>
          <w:rFonts w:cs="Times New Roman"/>
        </w:rPr>
        <w:t xml:space="preserve"> result from a combination of low concentration of B in the micas and irregularities on the sample surfaces.</w:t>
      </w:r>
      <w:r w:rsidRPr="00B245C8">
        <w:rPr>
          <w:rFonts w:cs="Times New Roman"/>
        </w:rPr>
        <w:t xml:space="preserve"> </w:t>
      </w:r>
      <w:r>
        <w:rPr>
          <w:rFonts w:cs="Times New Roman"/>
        </w:rPr>
        <w:t>IMF corrected</w:t>
      </w:r>
      <w:r w:rsidRPr="00D5381E">
        <w:rPr>
          <w:rFonts w:cs="Times New Roman"/>
        </w:rPr>
        <w:t xml:space="preserve"> values of δ</w:t>
      </w:r>
      <w:r w:rsidRPr="00D5381E">
        <w:rPr>
          <w:rFonts w:cs="Times New Roman"/>
          <w:vertAlign w:val="superscript"/>
        </w:rPr>
        <w:t>11</w:t>
      </w:r>
      <w:r w:rsidRPr="00D5381E">
        <w:rPr>
          <w:rFonts w:cs="Times New Roman"/>
        </w:rPr>
        <w:t xml:space="preserve">B for all crystals from each pegmatite are reported in </w:t>
      </w:r>
      <w:r w:rsidRPr="00475C8F">
        <w:rPr>
          <w:rFonts w:cs="Times New Roman"/>
        </w:rPr>
        <w:t>Appendix</w:t>
      </w:r>
      <w:r w:rsidR="00475C8F">
        <w:rPr>
          <w:rFonts w:cs="Times New Roman"/>
        </w:rPr>
        <w:t xml:space="preserve"> 1</w:t>
      </w:r>
      <w:r w:rsidRPr="00D5381E">
        <w:rPr>
          <w:rFonts w:cs="Times New Roman"/>
        </w:rPr>
        <w:t>.</w:t>
      </w:r>
    </w:p>
    <w:p w:rsidR="00665C0F" w:rsidRPr="0047415D" w:rsidRDefault="00DD7479" w:rsidP="00DD7479">
      <w:pPr>
        <w:pStyle w:val="Heading2"/>
        <w:spacing w:line="480" w:lineRule="auto"/>
        <w:rPr>
          <w:rFonts w:cs="Times New Roman"/>
          <w:bCs/>
          <w:sz w:val="24"/>
        </w:rPr>
      </w:pPr>
      <w:bookmarkStart w:id="21" w:name="_Toc491245988"/>
      <w:r w:rsidRPr="0047415D">
        <w:rPr>
          <w:rFonts w:cs="Times New Roman"/>
          <w:bCs/>
          <w:sz w:val="24"/>
        </w:rPr>
        <w:t>4</w:t>
      </w:r>
      <w:r w:rsidR="00A24071" w:rsidRPr="0047415D">
        <w:rPr>
          <w:rFonts w:cs="Times New Roman"/>
          <w:bCs/>
          <w:sz w:val="24"/>
        </w:rPr>
        <w:t>.</w:t>
      </w:r>
      <w:r w:rsidR="00665C0F" w:rsidRPr="0047415D">
        <w:rPr>
          <w:rFonts w:cs="Times New Roman"/>
          <w:bCs/>
          <w:sz w:val="24"/>
        </w:rPr>
        <w:t xml:space="preserve"> </w:t>
      </w:r>
      <w:r w:rsidRPr="0047415D">
        <w:rPr>
          <w:rFonts w:cs="Times New Roman"/>
          <w:bCs/>
          <w:sz w:val="24"/>
        </w:rPr>
        <w:t>Results</w:t>
      </w:r>
      <w:bookmarkEnd w:id="21"/>
    </w:p>
    <w:p w:rsidR="00665C0F" w:rsidRPr="00DD7479" w:rsidRDefault="00665C0F" w:rsidP="00DD7479">
      <w:pPr>
        <w:pStyle w:val="Heading3"/>
        <w:spacing w:line="480" w:lineRule="auto"/>
        <w:rPr>
          <w:rFonts w:cs="Times New Roman"/>
          <w:bCs/>
          <w:iCs/>
        </w:rPr>
      </w:pPr>
      <w:bookmarkStart w:id="22" w:name="_Toc491245989"/>
      <w:r w:rsidRPr="00DD7479">
        <w:rPr>
          <w:rFonts w:cs="Times New Roman"/>
          <w:bCs/>
          <w:iCs/>
        </w:rPr>
        <w:t>4.1</w:t>
      </w:r>
      <w:r w:rsidR="00A24071">
        <w:rPr>
          <w:rFonts w:cs="Times New Roman"/>
          <w:bCs/>
          <w:iCs/>
        </w:rPr>
        <w:t>.</w:t>
      </w:r>
      <w:r w:rsidRPr="00DD7479">
        <w:rPr>
          <w:rFonts w:cs="Times New Roman"/>
          <w:bCs/>
          <w:iCs/>
        </w:rPr>
        <w:t xml:space="preserve"> Main Dike</w:t>
      </w:r>
      <w:bookmarkEnd w:id="22"/>
    </w:p>
    <w:p w:rsidR="00665C0F" w:rsidRPr="00DD7479" w:rsidRDefault="00665C0F" w:rsidP="00DD7479">
      <w:pPr>
        <w:pStyle w:val="Heading4"/>
        <w:spacing w:line="480" w:lineRule="auto"/>
        <w:rPr>
          <w:rFonts w:cs="Times New Roman"/>
          <w:bCs/>
          <w:i w:val="0"/>
          <w:iCs w:val="0"/>
        </w:rPr>
      </w:pPr>
      <w:bookmarkStart w:id="23" w:name="_Toc491245990"/>
      <w:r w:rsidRPr="00DD7479">
        <w:rPr>
          <w:rFonts w:cs="Times New Roman"/>
          <w:bCs/>
          <w:i w:val="0"/>
          <w:iCs w:val="0"/>
        </w:rPr>
        <w:t>4.1.1</w:t>
      </w:r>
      <w:r w:rsidR="00A24071">
        <w:rPr>
          <w:rFonts w:cs="Times New Roman"/>
          <w:bCs/>
          <w:i w:val="0"/>
          <w:iCs w:val="0"/>
        </w:rPr>
        <w:t>.</w:t>
      </w:r>
      <w:r w:rsidRPr="00DD7479">
        <w:rPr>
          <w:rFonts w:cs="Times New Roman"/>
          <w:bCs/>
          <w:i w:val="0"/>
          <w:iCs w:val="0"/>
        </w:rPr>
        <w:t xml:space="preserve"> Boron isotopic compositions</w:t>
      </w:r>
      <w:bookmarkEnd w:id="23"/>
    </w:p>
    <w:p w:rsidR="00665C0F" w:rsidRPr="003D1B42" w:rsidRDefault="00665C0F" w:rsidP="00DD7479">
      <w:pPr>
        <w:spacing w:after="240" w:line="480" w:lineRule="auto"/>
        <w:ind w:firstLine="720"/>
        <w:rPr>
          <w:rFonts w:cs="Times New Roman"/>
        </w:rPr>
      </w:pPr>
      <w:r>
        <w:rPr>
          <w:rFonts w:cs="Times New Roman"/>
        </w:rPr>
        <w:t>T</w:t>
      </w:r>
      <w:r w:rsidRPr="003D1B42">
        <w:rPr>
          <w:rFonts w:cs="Times New Roman"/>
        </w:rPr>
        <w:t>he complete range of δ</w:t>
      </w:r>
      <w:r w:rsidRPr="003D1B42">
        <w:rPr>
          <w:rFonts w:cs="Times New Roman"/>
          <w:vertAlign w:val="superscript"/>
        </w:rPr>
        <w:t>11</w:t>
      </w:r>
      <w:r w:rsidRPr="003D1B42">
        <w:rPr>
          <w:rFonts w:cs="Times New Roman"/>
        </w:rPr>
        <w:t>B</w:t>
      </w:r>
      <w:r w:rsidRPr="003D1B42">
        <w:rPr>
          <w:rFonts w:cs="Times New Roman"/>
          <w:vertAlign w:val="subscript"/>
        </w:rPr>
        <w:t>Tur</w:t>
      </w:r>
      <w:r w:rsidRPr="003D1B42">
        <w:rPr>
          <w:rFonts w:cs="Times New Roman"/>
        </w:rPr>
        <w:t xml:space="preserve"> from the massive and layered aplites and lower and upper intermediate zones extends from -2.0‰ to +7.5‰</w:t>
      </w:r>
      <w:r>
        <w:rPr>
          <w:rFonts w:cs="Times New Roman"/>
        </w:rPr>
        <w:t xml:space="preserve"> (Table </w:t>
      </w:r>
      <w:r w:rsidR="0083401A">
        <w:rPr>
          <w:rFonts w:cs="Times New Roman"/>
        </w:rPr>
        <w:t>2-</w:t>
      </w:r>
      <w:r>
        <w:rPr>
          <w:rFonts w:cs="Times New Roman"/>
        </w:rPr>
        <w:t>3)</w:t>
      </w:r>
      <w:r w:rsidRPr="003D1B42">
        <w:rPr>
          <w:rFonts w:cs="Times New Roman"/>
        </w:rPr>
        <w:t xml:space="preserve"> and forms a left-</w:t>
      </w:r>
      <w:r>
        <w:rPr>
          <w:rFonts w:cs="Times New Roman"/>
        </w:rPr>
        <w:t xml:space="preserve">skewed, </w:t>
      </w:r>
      <w:r w:rsidRPr="003D1B42">
        <w:rPr>
          <w:rFonts w:cs="Times New Roman"/>
        </w:rPr>
        <w:t>normal distribution with a mean value of +4.7‰ (±3.4‰ 2σSD, N=48) and a median value of 5.1</w:t>
      </w:r>
      <w:r w:rsidRPr="00753982">
        <w:rPr>
          <w:rFonts w:cs="Times New Roman"/>
        </w:rPr>
        <w:t xml:space="preserve">‰ (Fig. </w:t>
      </w:r>
      <w:r w:rsidR="00815F07">
        <w:rPr>
          <w:rFonts w:cs="Times New Roman"/>
        </w:rPr>
        <w:t>2-</w:t>
      </w:r>
      <w:r>
        <w:rPr>
          <w:rFonts w:cs="Times New Roman"/>
        </w:rPr>
        <w:t>4</w:t>
      </w:r>
      <w:r w:rsidRPr="00753982">
        <w:rPr>
          <w:rFonts w:cs="Times New Roman"/>
        </w:rPr>
        <w:t xml:space="preserve">). </w:t>
      </w:r>
      <w:r>
        <w:rPr>
          <w:rFonts w:cs="Times New Roman"/>
        </w:rPr>
        <w:t>Of the two elbaite crystals collected from the ’91 London pocket, t</w:t>
      </w:r>
      <w:r w:rsidRPr="003D1B42">
        <w:rPr>
          <w:rFonts w:cs="Times New Roman"/>
        </w:rPr>
        <w:t>he crystal with a dark green core and light green cap has a mean δ</w:t>
      </w:r>
      <w:r w:rsidRPr="003D1B42">
        <w:rPr>
          <w:rFonts w:cs="Times New Roman"/>
          <w:vertAlign w:val="superscript"/>
        </w:rPr>
        <w:t>11</w:t>
      </w:r>
      <w:r w:rsidRPr="003D1B42">
        <w:rPr>
          <w:rFonts w:cs="Times New Roman"/>
        </w:rPr>
        <w:t>B value of +1.0‰ (±1.0‰ 2σSD, N=7)</w:t>
      </w:r>
      <w:r>
        <w:rPr>
          <w:rFonts w:cs="Times New Roman"/>
        </w:rPr>
        <w:t>,</w:t>
      </w:r>
      <w:r w:rsidRPr="003D1B42">
        <w:rPr>
          <w:rFonts w:cs="Times New Roman"/>
        </w:rPr>
        <w:t xml:space="preserve"> and shows no systema</w:t>
      </w:r>
      <w:r>
        <w:rPr>
          <w:rFonts w:cs="Times New Roman"/>
        </w:rPr>
        <w:t xml:space="preserve">tic isotopic zonation. The mean </w:t>
      </w:r>
      <w:r w:rsidRPr="003D1B42">
        <w:rPr>
          <w:rFonts w:cs="Times New Roman"/>
        </w:rPr>
        <w:t>δ</w:t>
      </w:r>
      <w:r w:rsidRPr="003D1B42">
        <w:rPr>
          <w:rFonts w:cs="Times New Roman"/>
          <w:vertAlign w:val="superscript"/>
        </w:rPr>
        <w:t>11</w:t>
      </w:r>
      <w:r w:rsidRPr="003D1B42">
        <w:rPr>
          <w:rFonts w:cs="Times New Roman"/>
        </w:rPr>
        <w:t>B of the second elbaite</w:t>
      </w:r>
      <w:r>
        <w:rPr>
          <w:rFonts w:cs="Times New Roman"/>
        </w:rPr>
        <w:t xml:space="preserve"> crystal</w:t>
      </w:r>
      <w:r w:rsidRPr="003D1B42">
        <w:rPr>
          <w:rFonts w:cs="Times New Roman"/>
        </w:rPr>
        <w:t>, including its three-color zon</w:t>
      </w:r>
      <w:r>
        <w:rPr>
          <w:rFonts w:cs="Times New Roman"/>
        </w:rPr>
        <w:t>es</w:t>
      </w:r>
      <w:r w:rsidRPr="003D1B42">
        <w:rPr>
          <w:rFonts w:cs="Times New Roman"/>
        </w:rPr>
        <w:t>, is +3.1‰ (±1.8‰ 2σSD, N=7), with no systematic internal variation. Values of δ</w:t>
      </w:r>
      <w:r w:rsidRPr="003D1B42">
        <w:rPr>
          <w:rFonts w:cs="Times New Roman"/>
          <w:vertAlign w:val="superscript"/>
        </w:rPr>
        <w:t>11</w:t>
      </w:r>
      <w:r w:rsidRPr="003D1B42">
        <w:rPr>
          <w:rFonts w:cs="Times New Roman"/>
        </w:rPr>
        <w:t xml:space="preserve">B within </w:t>
      </w:r>
      <w:r>
        <w:rPr>
          <w:rFonts w:cs="Times New Roman"/>
        </w:rPr>
        <w:t xml:space="preserve">the single tourmaline extending from the upper intermediate zone into a miarolitic cavity </w:t>
      </w:r>
      <w:r w:rsidRPr="003D1B42">
        <w:rPr>
          <w:rFonts w:cs="Times New Roman"/>
        </w:rPr>
        <w:t>decrease from +6.0‰ (±0.2‰ 2σSD, N=2) at the dark base located in the upper intermediate zone to +2.0‰ (±2.0‰ 2σSD, N=2) at the pink cap in th</w:t>
      </w:r>
      <w:r>
        <w:rPr>
          <w:rFonts w:cs="Times New Roman"/>
        </w:rPr>
        <w:t>e miarolitic cavity</w:t>
      </w:r>
      <w:r w:rsidRPr="003D1B42">
        <w:rPr>
          <w:rFonts w:cs="Times New Roman"/>
        </w:rPr>
        <w:t>. Hambergite from the ’91 London pocket has an average δ</w:t>
      </w:r>
      <w:r w:rsidRPr="003D1B42">
        <w:rPr>
          <w:rFonts w:cs="Times New Roman"/>
          <w:vertAlign w:val="superscript"/>
        </w:rPr>
        <w:t>11</w:t>
      </w:r>
      <w:r w:rsidRPr="003D1B42">
        <w:rPr>
          <w:rFonts w:cs="Times New Roman"/>
        </w:rPr>
        <w:t>B of +20.9‰ (±2.2‰ 2σSD, N=4) and lepidolite has an average δ</w:t>
      </w:r>
      <w:r w:rsidRPr="003D1B42">
        <w:rPr>
          <w:rFonts w:cs="Times New Roman"/>
          <w:vertAlign w:val="superscript"/>
        </w:rPr>
        <w:t>11</w:t>
      </w:r>
      <w:r w:rsidRPr="003D1B42">
        <w:rPr>
          <w:rFonts w:cs="Times New Roman"/>
        </w:rPr>
        <w:t xml:space="preserve">B of -7.9‰ (±3.6‰ 2σSD, N=5). </w:t>
      </w:r>
    </w:p>
    <w:p w:rsidR="00665C0F" w:rsidRPr="00DD7479" w:rsidRDefault="00DD7479" w:rsidP="00DD7479">
      <w:pPr>
        <w:pStyle w:val="Heading4"/>
        <w:spacing w:line="480" w:lineRule="auto"/>
        <w:rPr>
          <w:rFonts w:cs="Times New Roman"/>
          <w:bCs/>
          <w:i w:val="0"/>
          <w:iCs w:val="0"/>
        </w:rPr>
      </w:pPr>
      <w:bookmarkStart w:id="24" w:name="_Toc491245991"/>
      <w:r w:rsidRPr="00DD7479">
        <w:rPr>
          <w:rFonts w:cs="Times New Roman"/>
          <w:bCs/>
          <w:i w:val="0"/>
          <w:iCs w:val="0"/>
        </w:rPr>
        <w:t>4.1.2</w:t>
      </w:r>
      <w:r w:rsidR="00A24071">
        <w:rPr>
          <w:rFonts w:cs="Times New Roman"/>
          <w:bCs/>
          <w:i w:val="0"/>
          <w:iCs w:val="0"/>
        </w:rPr>
        <w:t>.</w:t>
      </w:r>
      <w:r w:rsidRPr="00DD7479">
        <w:rPr>
          <w:rFonts w:cs="Times New Roman"/>
          <w:bCs/>
          <w:i w:val="0"/>
          <w:iCs w:val="0"/>
        </w:rPr>
        <w:t xml:space="preserve"> </w:t>
      </w:r>
      <w:r w:rsidR="00665C0F" w:rsidRPr="00DD7479">
        <w:rPr>
          <w:rFonts w:cs="Times New Roman"/>
          <w:bCs/>
          <w:i w:val="0"/>
          <w:iCs w:val="0"/>
        </w:rPr>
        <w:t>Chemical compositions</w:t>
      </w:r>
      <w:bookmarkEnd w:id="24"/>
    </w:p>
    <w:p w:rsidR="00665C0F" w:rsidRPr="003D1B42" w:rsidRDefault="00665C0F" w:rsidP="00DD7479">
      <w:pPr>
        <w:spacing w:after="240" w:line="480" w:lineRule="auto"/>
        <w:ind w:firstLine="720"/>
        <w:rPr>
          <w:rFonts w:cs="Times New Roman"/>
        </w:rPr>
      </w:pPr>
      <w:r w:rsidRPr="003D1B42">
        <w:rPr>
          <w:rFonts w:cs="Times New Roman"/>
        </w:rPr>
        <w:t xml:space="preserve">The chemical compositions of tourmaline </w:t>
      </w:r>
      <w:r>
        <w:rPr>
          <w:rFonts w:cs="Times New Roman"/>
        </w:rPr>
        <w:t>evolve from Srl</w:t>
      </w:r>
      <w:r>
        <w:rPr>
          <w:rFonts w:cs="Times New Roman"/>
          <w:vertAlign w:val="subscript"/>
        </w:rPr>
        <w:t>40</w:t>
      </w:r>
      <w:r>
        <w:rPr>
          <w:rFonts w:cs="Times New Roman"/>
        </w:rPr>
        <w:t>Ftt</w:t>
      </w:r>
      <w:r>
        <w:rPr>
          <w:rFonts w:cs="Times New Roman"/>
          <w:vertAlign w:val="subscript"/>
        </w:rPr>
        <w:t>26</w:t>
      </w:r>
      <w:r>
        <w:rPr>
          <w:rFonts w:cs="Times New Roman"/>
        </w:rPr>
        <w:t>Drv</w:t>
      </w:r>
      <w:r>
        <w:rPr>
          <w:rFonts w:cs="Times New Roman"/>
          <w:vertAlign w:val="subscript"/>
        </w:rPr>
        <w:t>14</w:t>
      </w:r>
      <w:r>
        <w:rPr>
          <w:rFonts w:cs="Times New Roman"/>
        </w:rPr>
        <w:t>Mft</w:t>
      </w:r>
      <w:r>
        <w:rPr>
          <w:rFonts w:cs="Times New Roman"/>
          <w:vertAlign w:val="subscript"/>
        </w:rPr>
        <w:t>09</w:t>
      </w:r>
      <w:r>
        <w:rPr>
          <w:rFonts w:cs="Times New Roman"/>
        </w:rPr>
        <w:t>Oln</w:t>
      </w:r>
      <w:r>
        <w:rPr>
          <w:rFonts w:cs="Times New Roman"/>
          <w:vertAlign w:val="subscript"/>
        </w:rPr>
        <w:t>05</w:t>
      </w:r>
      <w:r>
        <w:rPr>
          <w:rFonts w:cs="Times New Roman"/>
        </w:rPr>
        <w:t>Fuv</w:t>
      </w:r>
      <w:r>
        <w:rPr>
          <w:rFonts w:cs="Times New Roman"/>
          <w:vertAlign w:val="subscript"/>
        </w:rPr>
        <w:t>03</w:t>
      </w:r>
      <w:r>
        <w:rPr>
          <w:rFonts w:cs="Times New Roman"/>
        </w:rPr>
        <w:t>Uvt</w:t>
      </w:r>
      <w:r>
        <w:rPr>
          <w:rFonts w:cs="Times New Roman"/>
          <w:vertAlign w:val="subscript"/>
        </w:rPr>
        <w:t>01</w:t>
      </w:r>
      <w:r>
        <w:rPr>
          <w:rFonts w:cs="Times New Roman"/>
        </w:rPr>
        <w:t>Tsl</w:t>
      </w:r>
      <w:r>
        <w:rPr>
          <w:rFonts w:cs="Times New Roman"/>
          <w:vertAlign w:val="subscript"/>
        </w:rPr>
        <w:t>01</w:t>
      </w:r>
      <w:r>
        <w:rPr>
          <w:rFonts w:cs="Times New Roman"/>
        </w:rPr>
        <w:t xml:space="preserve"> in the massive aplite of the footwall to </w:t>
      </w:r>
      <w:r>
        <w:rPr>
          <w:rFonts w:cs="Times New Roman"/>
        </w:rPr>
        <w:lastRenderedPageBreak/>
        <w:t>Srl</w:t>
      </w:r>
      <w:r>
        <w:rPr>
          <w:rFonts w:cs="Times New Roman"/>
          <w:vertAlign w:val="subscript"/>
        </w:rPr>
        <w:t>32</w:t>
      </w:r>
      <w:r>
        <w:rPr>
          <w:rFonts w:cs="Times New Roman"/>
        </w:rPr>
        <w:t>Ftt</w:t>
      </w:r>
      <w:r>
        <w:rPr>
          <w:rFonts w:cs="Times New Roman"/>
          <w:vertAlign w:val="subscript"/>
        </w:rPr>
        <w:t>50</w:t>
      </w:r>
      <w:r>
        <w:rPr>
          <w:rFonts w:cs="Times New Roman"/>
        </w:rPr>
        <w:t>Drv</w:t>
      </w:r>
      <w:r>
        <w:rPr>
          <w:rFonts w:cs="Times New Roman"/>
          <w:vertAlign w:val="subscript"/>
        </w:rPr>
        <w:t>02</w:t>
      </w:r>
      <w:r>
        <w:rPr>
          <w:rFonts w:cs="Times New Roman"/>
        </w:rPr>
        <w:t>Mft</w:t>
      </w:r>
      <w:r>
        <w:rPr>
          <w:rFonts w:cs="Times New Roman"/>
          <w:vertAlign w:val="subscript"/>
        </w:rPr>
        <w:t>03</w:t>
      </w:r>
      <w:r>
        <w:rPr>
          <w:rFonts w:cs="Times New Roman"/>
        </w:rPr>
        <w:t>Oln</w:t>
      </w:r>
      <w:r>
        <w:rPr>
          <w:rFonts w:cs="Times New Roman"/>
          <w:vertAlign w:val="subscript"/>
        </w:rPr>
        <w:t>11</w:t>
      </w:r>
      <w:r>
        <w:rPr>
          <w:rFonts w:cs="Times New Roman"/>
        </w:rPr>
        <w:t>Fuv</w:t>
      </w:r>
      <w:r>
        <w:rPr>
          <w:rFonts w:cs="Times New Roman"/>
          <w:vertAlign w:val="subscript"/>
        </w:rPr>
        <w:t>01</w:t>
      </w:r>
      <w:r>
        <w:rPr>
          <w:rFonts w:cs="Times New Roman"/>
        </w:rPr>
        <w:t>Uvt</w:t>
      </w:r>
      <w:r>
        <w:rPr>
          <w:rFonts w:cs="Times New Roman"/>
          <w:vertAlign w:val="subscript"/>
        </w:rPr>
        <w:t>00</w:t>
      </w:r>
      <w:r>
        <w:rPr>
          <w:rFonts w:cs="Times New Roman"/>
        </w:rPr>
        <w:t>Tsl</w:t>
      </w:r>
      <w:r>
        <w:rPr>
          <w:rFonts w:cs="Times New Roman"/>
          <w:vertAlign w:val="subscript"/>
        </w:rPr>
        <w:t xml:space="preserve">02 </w:t>
      </w:r>
      <w:r>
        <w:rPr>
          <w:rFonts w:cs="Times New Roman"/>
        </w:rPr>
        <w:t>in the intermediate zone of the footwall</w:t>
      </w:r>
      <w:r w:rsidRPr="00753982">
        <w:rPr>
          <w:rFonts w:cs="Times New Roman"/>
        </w:rPr>
        <w:t>. The F</w:t>
      </w:r>
      <w:r w:rsidRPr="003D1B42">
        <w:rPr>
          <w:rFonts w:cs="Times New Roman"/>
        </w:rPr>
        <w:t xml:space="preserve"> contents of tourmaline from the massive and layered aplites and lower</w:t>
      </w:r>
      <w:r>
        <w:rPr>
          <w:rFonts w:cs="Times New Roman"/>
        </w:rPr>
        <w:t xml:space="preserve"> and upper intermediate zones are</w:t>
      </w:r>
      <w:r w:rsidRPr="003D1B42">
        <w:rPr>
          <w:rFonts w:cs="Times New Roman"/>
        </w:rPr>
        <w:t xml:space="preserve"> near the detection limit </w:t>
      </w:r>
      <w:r>
        <w:rPr>
          <w:rFonts w:cs="Times New Roman"/>
        </w:rPr>
        <w:t>by EMPA</w:t>
      </w:r>
      <w:r w:rsidRPr="003D1B42">
        <w:rPr>
          <w:rFonts w:cs="Times New Roman"/>
        </w:rPr>
        <w:t xml:space="preserve"> (~</w:t>
      </w:r>
      <w:r>
        <w:rPr>
          <w:rFonts w:cs="Times New Roman"/>
        </w:rPr>
        <w:t xml:space="preserve"> </w:t>
      </w:r>
      <w:r w:rsidRPr="003D1B42">
        <w:rPr>
          <w:rFonts w:cs="Times New Roman"/>
        </w:rPr>
        <w:t xml:space="preserve">0.1 wt.% F). The transition from intermediate zone to core zone is marked by </w:t>
      </w:r>
      <w:r>
        <w:rPr>
          <w:rFonts w:cs="Times New Roman"/>
        </w:rPr>
        <w:t>a sharp increase</w:t>
      </w:r>
      <w:r w:rsidRPr="003D1B42">
        <w:rPr>
          <w:rFonts w:cs="Times New Roman"/>
        </w:rPr>
        <w:t xml:space="preserve"> of Mn, Al, and F in tourmaline (1 to 1.5 wt.% F). </w:t>
      </w:r>
      <w:r>
        <w:rPr>
          <w:rFonts w:cs="Times New Roman"/>
        </w:rPr>
        <w:t>The composition of the</w:t>
      </w:r>
      <w:r w:rsidRPr="003D1B42">
        <w:rPr>
          <w:rFonts w:cs="Times New Roman"/>
        </w:rPr>
        <w:t xml:space="preserve"> single tourmaline crystal extending from the upper intermediate zone </w:t>
      </w:r>
      <w:r>
        <w:rPr>
          <w:rFonts w:cs="Times New Roman"/>
        </w:rPr>
        <w:t>toward the pocket grades from 67</w:t>
      </w:r>
      <w:r w:rsidRPr="003D1B42">
        <w:rPr>
          <w:rFonts w:cs="Times New Roman"/>
        </w:rPr>
        <w:t xml:space="preserve"> total mole percent scho</w:t>
      </w:r>
      <w:r>
        <w:rPr>
          <w:rFonts w:cs="Times New Roman"/>
        </w:rPr>
        <w:t>rl-olenite-foitite to a total 99</w:t>
      </w:r>
      <w:r w:rsidRPr="003D1B42">
        <w:rPr>
          <w:rFonts w:cs="Times New Roman"/>
        </w:rPr>
        <w:t xml:space="preserve"> mole percent rossmanite-tsilaisite-elbaite-olenite toward the pocket. Tourmaline</w:t>
      </w:r>
      <w:r>
        <w:rPr>
          <w:rFonts w:cs="Times New Roman"/>
        </w:rPr>
        <w:t xml:space="preserve"> crystals</w:t>
      </w:r>
      <w:r w:rsidRPr="003D1B42">
        <w:rPr>
          <w:rFonts w:cs="Times New Roman"/>
        </w:rPr>
        <w:t xml:space="preserve"> from the ’91 London pocket are a solid solution of </w:t>
      </w:r>
      <w:r>
        <w:rPr>
          <w:rFonts w:cs="Times New Roman"/>
        </w:rPr>
        <w:t>ts</w:t>
      </w:r>
      <w:r w:rsidRPr="003D1B42">
        <w:rPr>
          <w:rFonts w:cs="Times New Roman"/>
        </w:rPr>
        <w:t>ilaisite</w:t>
      </w:r>
      <w:r>
        <w:rPr>
          <w:rFonts w:cs="Times New Roman"/>
        </w:rPr>
        <w:t>, e</w:t>
      </w:r>
      <w:r w:rsidRPr="003D1B42">
        <w:rPr>
          <w:rFonts w:cs="Times New Roman"/>
        </w:rPr>
        <w:t>lbaite</w:t>
      </w:r>
      <w:r>
        <w:rPr>
          <w:rFonts w:cs="Times New Roman"/>
        </w:rPr>
        <w:t>, and r</w:t>
      </w:r>
      <w:r w:rsidRPr="003D1B42">
        <w:rPr>
          <w:rFonts w:cs="Times New Roman"/>
        </w:rPr>
        <w:t>ossmanite with minor foitite and olenite components.</w:t>
      </w:r>
      <w:r w:rsidRPr="00413947">
        <w:rPr>
          <w:rFonts w:cs="Times New Roman"/>
        </w:rPr>
        <w:t xml:space="preserve"> </w:t>
      </w:r>
    </w:p>
    <w:p w:rsidR="00665C0F" w:rsidRPr="003D1B42" w:rsidRDefault="00665C0F" w:rsidP="00F65F32">
      <w:pPr>
        <w:spacing w:after="240" w:line="480" w:lineRule="auto"/>
        <w:ind w:firstLine="720"/>
        <w:rPr>
          <w:rFonts w:cs="Times New Roman"/>
        </w:rPr>
      </w:pPr>
      <w:r w:rsidRPr="003D1B42">
        <w:rPr>
          <w:rFonts w:cs="Times New Roman"/>
        </w:rPr>
        <w:t xml:space="preserve">Hambergite </w:t>
      </w:r>
      <w:r>
        <w:rPr>
          <w:rFonts w:cs="Times New Roman"/>
        </w:rPr>
        <w:t xml:space="preserve">from the Main dike </w:t>
      </w:r>
      <w:r w:rsidRPr="003D1B42">
        <w:rPr>
          <w:rFonts w:cs="Times New Roman"/>
        </w:rPr>
        <w:t>has the composition Be</w:t>
      </w:r>
      <w:r w:rsidRPr="003D1B42">
        <w:rPr>
          <w:rFonts w:cs="Times New Roman"/>
          <w:vertAlign w:val="subscript"/>
        </w:rPr>
        <w:t>2</w:t>
      </w:r>
      <w:r w:rsidRPr="003D1B42">
        <w:rPr>
          <w:rFonts w:cs="Times New Roman"/>
        </w:rPr>
        <w:t>BO</w:t>
      </w:r>
      <w:r w:rsidRPr="003D1B42">
        <w:rPr>
          <w:rFonts w:cs="Times New Roman"/>
          <w:vertAlign w:val="subscript"/>
        </w:rPr>
        <w:t>3</w:t>
      </w:r>
      <w:r w:rsidRPr="003D1B42">
        <w:rPr>
          <w:rFonts w:cs="Times New Roman"/>
        </w:rPr>
        <w:t>(OH</w:t>
      </w:r>
      <w:r w:rsidRPr="003D1B42">
        <w:rPr>
          <w:rFonts w:cs="Times New Roman"/>
          <w:vertAlign w:val="subscript"/>
        </w:rPr>
        <w:t>0.6</w:t>
      </w:r>
      <w:r w:rsidRPr="003D1B42">
        <w:rPr>
          <w:rFonts w:cs="Times New Roman"/>
        </w:rPr>
        <w:t>,F</w:t>
      </w:r>
      <w:r w:rsidRPr="003D1B42">
        <w:rPr>
          <w:rFonts w:cs="Times New Roman"/>
          <w:vertAlign w:val="subscript"/>
        </w:rPr>
        <w:t>0.4</w:t>
      </w:r>
      <w:r w:rsidRPr="003D1B42">
        <w:rPr>
          <w:rFonts w:cs="Times New Roman"/>
        </w:rPr>
        <w:t xml:space="preserve">) </w:t>
      </w:r>
      <w:r w:rsidRPr="003D1B42">
        <w:rPr>
          <w:rFonts w:cs="Times New Roman"/>
        </w:rPr>
        <w:fldChar w:fldCharType="begin" w:fldLock="1"/>
      </w:r>
      <w:r w:rsidR="00266290">
        <w:rPr>
          <w:rFonts w:cs="Times New Roman"/>
        </w:rPr>
        <w:instrText>ADDIN CSL_CITATION { "citationItems" : [ { "id" : "ITEM-1", "itemData" : { "author" : [ { "dropping-particle" : "", "family" : "Novak", "given" : "M.", "non-dropping-particle" : "", "parse-names" : false, "suffix" : "" }, { "dropping-particle" : "", "family" : "Burns", "given" : "P.C.", "non-dropping-particle" : "", "parse-names" : false, "suffix" : "" }, { "dropping-particle" : "", "family" : "Morgan", "given" : "George B.", "non-dropping-particle" : "", "parse-names" : false, "suffix" : "" } ], "container-title" : "Canadian Mineralogist", "id" : "ITEM-1", "issued" : { "date-parts" : [ [ "1998" ] ] }, "page" : "441-446", "title" : "Fluorine variations in hambergite from granitic pegmatites", "type" : "article-journal", "volume" : "36" }, "uris" : [ "http://www.mendeley.com/documents/?uuid=ac4246e6-2e64-4301-873a-7fae0897f232" ] } ], "mendeley" : { "formattedCitation" : "(Novak et al., 1998)", "plainTextFormattedCitation" : "(Novak et al., 1998)", "previouslyFormattedCitation" : "(Novak et al. 1998)" }, "properties" : { "noteIndex" : 0 }, "schema" : "https://github.com/citation-style-language/schema/raw/master/csl-citation.json" }</w:instrText>
      </w:r>
      <w:r w:rsidRPr="003D1B42">
        <w:rPr>
          <w:rFonts w:cs="Times New Roman"/>
        </w:rPr>
        <w:fldChar w:fldCharType="separate"/>
      </w:r>
      <w:r w:rsidR="00266290" w:rsidRPr="00266290">
        <w:rPr>
          <w:rFonts w:cs="Times New Roman"/>
          <w:noProof/>
        </w:rPr>
        <w:t>(Novak et al., 1998)</w:t>
      </w:r>
      <w:r w:rsidRPr="003D1B42">
        <w:rPr>
          <w:rFonts w:cs="Times New Roman"/>
        </w:rPr>
        <w:fldChar w:fldCharType="end"/>
      </w:r>
      <w:r w:rsidRPr="003D1B42">
        <w:rPr>
          <w:rFonts w:cs="Times New Roman"/>
        </w:rPr>
        <w:t xml:space="preserve">. </w:t>
      </w:r>
      <w:r>
        <w:rPr>
          <w:rFonts w:cs="Times New Roman"/>
        </w:rPr>
        <w:t>The SIMS analyses of B in boromuscovite and in lepidolite were normalized to their Si concentrations using t</w:t>
      </w:r>
      <w:r w:rsidRPr="003D1B42">
        <w:rPr>
          <w:rFonts w:cs="Times New Roman"/>
        </w:rPr>
        <w:t xml:space="preserve">he silica content of boromuscovite from </w:t>
      </w:r>
      <w:r w:rsidRPr="003D1B42">
        <w:rPr>
          <w:rFonts w:cs="Times New Roman"/>
        </w:rPr>
        <w:fldChar w:fldCharType="begin" w:fldLock="1"/>
      </w:r>
      <w:r w:rsidR="00266290">
        <w:rPr>
          <w:rFonts w:cs="Times New Roman"/>
        </w:rPr>
        <w:instrText>ADDIN CSL_CITATION { "citationItems" : [ { "id" : "ITEM-1", "itemData" : { "author" : [ { "dropping-particle" : "", "family" : "Foord", "given" : "E.E.", "non-dropping-particle" : "", "parse-names" : false, "suffix" : "" }, { "dropping-particle" : "", "family" : "Martin", "given" : "R.F.", "non-dropping-particle" : "", "parse-names" : false, "suffix" : "" }, { "dropping-particle" : "", "family" : "Fitzpatrick", "given" : "J.J.", "non-dropping-particle" : "", "parse-names" : false, "suffix" : "" }, { "dropping-particle" : "", "family" : "Taggart", "given" : "J.E.", "non-dropping-particle" : "", "parse-names" : false, "suffix" : "" }, { "dropping-particle" : "", "family" : "Crock", "given" : "J.G. Jr.", "non-dropping-particle" : "", "parse-names" : false, "suffix" : "" } ], "container-title" : "American Mineralogist", "id" : "ITEM-1", "issued" : { "date-parts" : [ [ "1991" ] ] }, "page" : "1998-2002", "title" : "Boromuscovite, a new member of the mica group, from the Little Three min pegmatite, Ramona district, San Diego County, California", "type" : "article-journal", "volume" : "76" }, "uris" : [ "http://www.mendeley.com/documents/?uuid=58c728db-5e62-4944-b692-96b12d9af185" ] } ], "mendeley" : { "formattedCitation" : "(Foord et al., 1991b)", "plainTextFormattedCitation" : "(Foord et al., 1991b)", "previouslyFormattedCitation" : "(Foord et al. 1991a)" }, "properties" : { "noteIndex" : 0 }, "schema" : "https://github.com/citation-style-language/schema/raw/master/csl-citation.json" }</w:instrText>
      </w:r>
      <w:r w:rsidRPr="003D1B42">
        <w:rPr>
          <w:rFonts w:cs="Times New Roman"/>
        </w:rPr>
        <w:fldChar w:fldCharType="separate"/>
      </w:r>
      <w:r w:rsidR="00266290" w:rsidRPr="00266290">
        <w:rPr>
          <w:rFonts w:cs="Times New Roman"/>
          <w:noProof/>
        </w:rPr>
        <w:t>(Foord et al., 1991b)</w:t>
      </w:r>
      <w:r w:rsidRPr="003D1B42">
        <w:rPr>
          <w:rFonts w:cs="Times New Roman"/>
        </w:rPr>
        <w:fldChar w:fldCharType="end"/>
      </w:r>
      <w:r>
        <w:rPr>
          <w:rFonts w:cs="Times New Roman"/>
        </w:rPr>
        <w:t xml:space="preserve"> and  EMPA for lepidolite</w:t>
      </w:r>
      <w:r w:rsidRPr="003D1B42">
        <w:rPr>
          <w:rFonts w:cs="Times New Roman"/>
        </w:rPr>
        <w:t>. The B contents of lepidolite and boromuscovite are ~200 ppm B and ~15,000 ppm B, respectively.</w:t>
      </w:r>
    </w:p>
    <w:p w:rsidR="00665C0F" w:rsidRPr="00F65F32" w:rsidRDefault="00F65F32" w:rsidP="00F65F32">
      <w:pPr>
        <w:pStyle w:val="Heading3"/>
        <w:spacing w:line="480" w:lineRule="auto"/>
        <w:rPr>
          <w:rFonts w:cs="Times New Roman"/>
          <w:bCs/>
          <w:iCs/>
        </w:rPr>
      </w:pPr>
      <w:bookmarkStart w:id="25" w:name="_Toc491245992"/>
      <w:r w:rsidRPr="00F65F32">
        <w:rPr>
          <w:rFonts w:cs="Times New Roman"/>
          <w:bCs/>
          <w:iCs/>
        </w:rPr>
        <w:t>4.2</w:t>
      </w:r>
      <w:r w:rsidR="00A24071">
        <w:rPr>
          <w:rFonts w:cs="Times New Roman"/>
          <w:bCs/>
          <w:iCs/>
        </w:rPr>
        <w:t>.</w:t>
      </w:r>
      <w:r w:rsidRPr="00F65F32">
        <w:rPr>
          <w:rFonts w:cs="Times New Roman"/>
          <w:bCs/>
          <w:iCs/>
        </w:rPr>
        <w:t xml:space="preserve"> </w:t>
      </w:r>
      <w:r w:rsidR="00665C0F" w:rsidRPr="00F65F32">
        <w:rPr>
          <w:rFonts w:cs="Times New Roman"/>
          <w:bCs/>
          <w:iCs/>
        </w:rPr>
        <w:t>Swamp Dike</w:t>
      </w:r>
      <w:bookmarkEnd w:id="25"/>
    </w:p>
    <w:p w:rsidR="00665C0F" w:rsidRPr="00F65F32" w:rsidRDefault="00665C0F" w:rsidP="00F65F32">
      <w:pPr>
        <w:pStyle w:val="Heading4"/>
        <w:spacing w:line="480" w:lineRule="auto"/>
        <w:rPr>
          <w:rFonts w:cs="Times New Roman"/>
          <w:bCs/>
          <w:i w:val="0"/>
          <w:iCs w:val="0"/>
        </w:rPr>
      </w:pPr>
      <w:bookmarkStart w:id="26" w:name="_Toc491245993"/>
      <w:r w:rsidRPr="00F65F32">
        <w:rPr>
          <w:rFonts w:cs="Times New Roman"/>
          <w:bCs/>
          <w:i w:val="0"/>
          <w:iCs w:val="0"/>
        </w:rPr>
        <w:t>4.2.1. Boron isotopic compositions</w:t>
      </w:r>
      <w:bookmarkEnd w:id="26"/>
    </w:p>
    <w:p w:rsidR="00665C0F" w:rsidRPr="003D1B42" w:rsidRDefault="00665C0F" w:rsidP="00F65F32">
      <w:pPr>
        <w:spacing w:after="240" w:line="480" w:lineRule="auto"/>
        <w:ind w:firstLine="720"/>
        <w:rPr>
          <w:rFonts w:cs="Times New Roman"/>
        </w:rPr>
      </w:pPr>
      <w:r>
        <w:rPr>
          <w:rFonts w:cs="Times New Roman"/>
        </w:rPr>
        <w:t>T</w:t>
      </w:r>
      <w:r w:rsidRPr="003D1B42">
        <w:rPr>
          <w:rFonts w:cs="Times New Roman"/>
        </w:rPr>
        <w:t>he complete range of δ</w:t>
      </w:r>
      <w:r w:rsidRPr="003D1B42">
        <w:rPr>
          <w:rFonts w:cs="Times New Roman"/>
          <w:vertAlign w:val="superscript"/>
        </w:rPr>
        <w:t>11</w:t>
      </w:r>
      <w:r w:rsidRPr="003D1B42">
        <w:rPr>
          <w:rFonts w:cs="Times New Roman"/>
        </w:rPr>
        <w:t>B</w:t>
      </w:r>
      <w:r w:rsidRPr="003D1B42">
        <w:rPr>
          <w:rFonts w:cs="Times New Roman"/>
          <w:vertAlign w:val="subscript"/>
        </w:rPr>
        <w:t>Tur</w:t>
      </w:r>
      <w:r w:rsidRPr="003D1B42">
        <w:rPr>
          <w:rFonts w:cs="Times New Roman"/>
        </w:rPr>
        <w:t xml:space="preserve"> extends from -0.1‰ to +7.9‰</w:t>
      </w:r>
      <w:r>
        <w:rPr>
          <w:rFonts w:cs="Times New Roman"/>
        </w:rPr>
        <w:t xml:space="preserve"> (Table </w:t>
      </w:r>
      <w:r w:rsidR="0083401A">
        <w:rPr>
          <w:rFonts w:cs="Times New Roman"/>
        </w:rPr>
        <w:t>2-</w:t>
      </w:r>
      <w:r>
        <w:rPr>
          <w:rFonts w:cs="Times New Roman"/>
        </w:rPr>
        <w:t>4)</w:t>
      </w:r>
      <w:r w:rsidRPr="003D1B42">
        <w:rPr>
          <w:rFonts w:cs="Times New Roman"/>
        </w:rPr>
        <w:t>. The data display a bimodal distribution with a mean value of +4.0‰ (±5.0‰ 2σSD, N=34</w:t>
      </w:r>
      <w:r w:rsidRPr="00753982">
        <w:rPr>
          <w:rFonts w:cs="Times New Roman"/>
        </w:rPr>
        <w:t xml:space="preserve">) (Fig. </w:t>
      </w:r>
      <w:r w:rsidR="00815F07">
        <w:rPr>
          <w:rFonts w:cs="Times New Roman"/>
        </w:rPr>
        <w:t>2-</w:t>
      </w:r>
      <w:r w:rsidRPr="00753982">
        <w:rPr>
          <w:rFonts w:cs="Times New Roman"/>
        </w:rPr>
        <w:t>5). Boron</w:t>
      </w:r>
      <w:r w:rsidRPr="003D1B42">
        <w:rPr>
          <w:rFonts w:cs="Times New Roman"/>
        </w:rPr>
        <w:t xml:space="preserve"> isotopic data for tourmaline from the massive and layered aplite </w:t>
      </w:r>
      <w:r>
        <w:rPr>
          <w:rFonts w:cs="Times New Roman"/>
        </w:rPr>
        <w:t xml:space="preserve">at the foot wall of the dike </w:t>
      </w:r>
      <w:r w:rsidRPr="003D1B42">
        <w:rPr>
          <w:rFonts w:cs="Times New Roman"/>
        </w:rPr>
        <w:t>form a normal distribution with a mean value of +6.1‰ (±2.2‰ 2σSD, N=18) and a median value of 6.4‰. Values of δ</w:t>
      </w:r>
      <w:r w:rsidRPr="003D1B42">
        <w:rPr>
          <w:rFonts w:cs="Times New Roman"/>
          <w:vertAlign w:val="superscript"/>
        </w:rPr>
        <w:t>11</w:t>
      </w:r>
      <w:r w:rsidRPr="003D1B42">
        <w:rPr>
          <w:rFonts w:cs="Times New Roman"/>
        </w:rPr>
        <w:t>B</w:t>
      </w:r>
      <w:r w:rsidRPr="003D1B42">
        <w:rPr>
          <w:rFonts w:cs="Times New Roman"/>
          <w:vertAlign w:val="subscript"/>
        </w:rPr>
        <w:t>Tur</w:t>
      </w:r>
      <w:r w:rsidRPr="003D1B42">
        <w:rPr>
          <w:rFonts w:cs="Times New Roman"/>
        </w:rPr>
        <w:t xml:space="preserve"> decrease sharply across the transition from layered aplite to </w:t>
      </w:r>
      <w:r>
        <w:rPr>
          <w:rFonts w:cs="Times New Roman"/>
        </w:rPr>
        <w:t xml:space="preserve">the overlying </w:t>
      </w:r>
      <w:r w:rsidRPr="003D1B42">
        <w:rPr>
          <w:rFonts w:cs="Times New Roman"/>
        </w:rPr>
        <w:t xml:space="preserve">lower intermediate zone. Data from </w:t>
      </w:r>
      <w:r w:rsidRPr="003D1B42">
        <w:rPr>
          <w:rFonts w:cs="Times New Roman"/>
        </w:rPr>
        <w:lastRenderedPageBreak/>
        <w:t>the lower and upper intermediate zones form a normal distribution with a mean value of +1.7‰ (±2.1‰ 2σSD, N=16) and a median value of +1.9‰. Tourmaline and danburite from a pocket in the Swamp dike have average δ</w:t>
      </w:r>
      <w:r w:rsidRPr="003D1B42">
        <w:rPr>
          <w:rFonts w:cs="Times New Roman"/>
          <w:vertAlign w:val="superscript"/>
        </w:rPr>
        <w:t>11</w:t>
      </w:r>
      <w:r w:rsidRPr="003D1B42">
        <w:rPr>
          <w:rFonts w:cs="Times New Roman"/>
        </w:rPr>
        <w:t>B</w:t>
      </w:r>
      <w:r w:rsidRPr="003D1B42">
        <w:rPr>
          <w:rFonts w:cs="Times New Roman"/>
          <w:vertAlign w:val="subscript"/>
        </w:rPr>
        <w:t xml:space="preserve"> </w:t>
      </w:r>
      <w:r w:rsidRPr="003D1B42">
        <w:rPr>
          <w:rFonts w:cs="Times New Roman"/>
        </w:rPr>
        <w:t xml:space="preserve">values of +6.7‰ (±2.8‰ 2σSD, N=3) and -5.6‰ (±2.4‰ 2σSD, N=3), respectively. </w:t>
      </w:r>
    </w:p>
    <w:p w:rsidR="00665C0F" w:rsidRPr="00F65F32" w:rsidRDefault="00665C0F" w:rsidP="00F65F32">
      <w:pPr>
        <w:pStyle w:val="Heading4"/>
        <w:spacing w:line="480" w:lineRule="auto"/>
        <w:rPr>
          <w:rFonts w:cs="Times New Roman"/>
          <w:bCs/>
          <w:i w:val="0"/>
          <w:iCs w:val="0"/>
        </w:rPr>
      </w:pPr>
      <w:bookmarkStart w:id="27" w:name="_Toc491245994"/>
      <w:r w:rsidRPr="00F65F32">
        <w:rPr>
          <w:rFonts w:cs="Times New Roman"/>
          <w:bCs/>
          <w:i w:val="0"/>
          <w:iCs w:val="0"/>
        </w:rPr>
        <w:t>4.2.2</w:t>
      </w:r>
      <w:r w:rsidR="00A24071">
        <w:rPr>
          <w:rFonts w:cs="Times New Roman"/>
          <w:bCs/>
          <w:i w:val="0"/>
          <w:iCs w:val="0"/>
        </w:rPr>
        <w:t>.</w:t>
      </w:r>
      <w:r w:rsidRPr="00F65F32">
        <w:rPr>
          <w:rFonts w:cs="Times New Roman"/>
          <w:bCs/>
          <w:i w:val="0"/>
          <w:iCs w:val="0"/>
        </w:rPr>
        <w:t xml:space="preserve"> Chemical compositions</w:t>
      </w:r>
      <w:bookmarkEnd w:id="27"/>
    </w:p>
    <w:p w:rsidR="00665C0F" w:rsidRPr="003D1B42" w:rsidRDefault="00665C0F" w:rsidP="00F65F32">
      <w:pPr>
        <w:spacing w:after="240" w:line="480" w:lineRule="auto"/>
        <w:ind w:firstLine="720"/>
        <w:rPr>
          <w:rFonts w:cs="Times New Roman"/>
        </w:rPr>
      </w:pPr>
      <w:r>
        <w:rPr>
          <w:rFonts w:cs="Times New Roman"/>
        </w:rPr>
        <w:t>T</w:t>
      </w:r>
      <w:r w:rsidRPr="003D1B42">
        <w:rPr>
          <w:rFonts w:cs="Times New Roman"/>
        </w:rPr>
        <w:t xml:space="preserve">ourmaline from the </w:t>
      </w:r>
      <w:r>
        <w:rPr>
          <w:rFonts w:cs="Times New Roman"/>
        </w:rPr>
        <w:t xml:space="preserve">lower graphic zone of the </w:t>
      </w:r>
      <w:r w:rsidRPr="003D1B42">
        <w:rPr>
          <w:rFonts w:cs="Times New Roman"/>
        </w:rPr>
        <w:t xml:space="preserve">Swamp dike </w:t>
      </w:r>
      <w:r>
        <w:rPr>
          <w:rFonts w:cs="Times New Roman"/>
        </w:rPr>
        <w:t>are a solid-solution of Srl</w:t>
      </w:r>
      <w:r>
        <w:rPr>
          <w:rFonts w:cs="Times New Roman"/>
          <w:vertAlign w:val="subscript"/>
        </w:rPr>
        <w:t>48</w:t>
      </w:r>
      <w:r>
        <w:rPr>
          <w:rFonts w:cs="Times New Roman"/>
        </w:rPr>
        <w:t>Ftt</w:t>
      </w:r>
      <w:r>
        <w:rPr>
          <w:rFonts w:cs="Times New Roman"/>
          <w:vertAlign w:val="subscript"/>
        </w:rPr>
        <w:t>16</w:t>
      </w:r>
      <w:r>
        <w:rPr>
          <w:rFonts w:cs="Times New Roman"/>
        </w:rPr>
        <w:t>Drv</w:t>
      </w:r>
      <w:r>
        <w:rPr>
          <w:rFonts w:cs="Times New Roman"/>
          <w:vertAlign w:val="subscript"/>
        </w:rPr>
        <w:t>18</w:t>
      </w:r>
      <w:r>
        <w:rPr>
          <w:rFonts w:cs="Times New Roman"/>
        </w:rPr>
        <w:t>Mft</w:t>
      </w:r>
      <w:r>
        <w:rPr>
          <w:rFonts w:cs="Times New Roman"/>
          <w:vertAlign w:val="subscript"/>
        </w:rPr>
        <w:t>06</w:t>
      </w:r>
      <w:r>
        <w:rPr>
          <w:rFonts w:cs="Times New Roman"/>
        </w:rPr>
        <w:t>Oln</w:t>
      </w:r>
      <w:r>
        <w:rPr>
          <w:rFonts w:cs="Times New Roman"/>
          <w:vertAlign w:val="subscript"/>
        </w:rPr>
        <w:t>04</w:t>
      </w:r>
      <w:r>
        <w:rPr>
          <w:rFonts w:cs="Times New Roman"/>
        </w:rPr>
        <w:t>Fuv</w:t>
      </w:r>
      <w:r>
        <w:rPr>
          <w:rFonts w:cs="Times New Roman"/>
          <w:vertAlign w:val="subscript"/>
        </w:rPr>
        <w:t>04</w:t>
      </w:r>
      <w:r>
        <w:rPr>
          <w:rFonts w:cs="Times New Roman"/>
        </w:rPr>
        <w:t>Uvt</w:t>
      </w:r>
      <w:r>
        <w:rPr>
          <w:rFonts w:cs="Times New Roman"/>
          <w:vertAlign w:val="subscript"/>
        </w:rPr>
        <w:t>02</w:t>
      </w:r>
      <w:r>
        <w:rPr>
          <w:rFonts w:cs="Times New Roman"/>
        </w:rPr>
        <w:t>Tsl</w:t>
      </w:r>
      <w:r>
        <w:rPr>
          <w:rFonts w:cs="Times New Roman"/>
          <w:vertAlign w:val="subscript"/>
        </w:rPr>
        <w:t>01</w:t>
      </w:r>
      <w:r w:rsidRPr="00753982">
        <w:rPr>
          <w:rFonts w:cs="Times New Roman"/>
        </w:rPr>
        <w:t xml:space="preserve">. </w:t>
      </w:r>
      <w:r>
        <w:rPr>
          <w:rFonts w:cs="Times New Roman"/>
        </w:rPr>
        <w:t xml:space="preserve">In the massive and layered aplites, tourmaline have the average composition </w:t>
      </w:r>
      <w:r w:rsidRPr="007314F0">
        <w:rPr>
          <w:rFonts w:cs="Times New Roman"/>
        </w:rPr>
        <w:t>Srl</w:t>
      </w:r>
      <w:r w:rsidRPr="007314F0">
        <w:rPr>
          <w:rFonts w:cs="Times New Roman"/>
          <w:vertAlign w:val="subscript"/>
        </w:rPr>
        <w:t>39</w:t>
      </w:r>
      <w:r w:rsidRPr="007314F0">
        <w:rPr>
          <w:rFonts w:cs="Times New Roman"/>
        </w:rPr>
        <w:t>Ftt</w:t>
      </w:r>
      <w:r w:rsidRPr="007314F0">
        <w:rPr>
          <w:rFonts w:cs="Times New Roman"/>
          <w:vertAlign w:val="subscript"/>
        </w:rPr>
        <w:t>32</w:t>
      </w:r>
      <w:r w:rsidRPr="007314F0">
        <w:rPr>
          <w:rFonts w:cs="Times New Roman"/>
        </w:rPr>
        <w:t>Drv</w:t>
      </w:r>
      <w:r w:rsidRPr="007314F0">
        <w:rPr>
          <w:rFonts w:cs="Times New Roman"/>
          <w:vertAlign w:val="subscript"/>
        </w:rPr>
        <w:t>08</w:t>
      </w:r>
      <w:r w:rsidRPr="007314F0">
        <w:rPr>
          <w:rFonts w:cs="Times New Roman"/>
        </w:rPr>
        <w:t>Mft</w:t>
      </w:r>
      <w:r w:rsidRPr="007314F0">
        <w:rPr>
          <w:rFonts w:cs="Times New Roman"/>
          <w:vertAlign w:val="subscript"/>
        </w:rPr>
        <w:t>07</w:t>
      </w:r>
      <w:r w:rsidRPr="007314F0">
        <w:rPr>
          <w:rFonts w:cs="Times New Roman"/>
        </w:rPr>
        <w:t>Oln</w:t>
      </w:r>
      <w:r w:rsidRPr="007314F0">
        <w:rPr>
          <w:rFonts w:cs="Times New Roman"/>
          <w:vertAlign w:val="subscript"/>
        </w:rPr>
        <w:t>10</w:t>
      </w:r>
      <w:r w:rsidRPr="007314F0">
        <w:rPr>
          <w:rFonts w:cs="Times New Roman"/>
        </w:rPr>
        <w:t>Fuv</w:t>
      </w:r>
      <w:r w:rsidRPr="007314F0">
        <w:rPr>
          <w:rFonts w:cs="Times New Roman"/>
          <w:vertAlign w:val="subscript"/>
        </w:rPr>
        <w:t>03</w:t>
      </w:r>
      <w:r w:rsidRPr="007314F0">
        <w:rPr>
          <w:rFonts w:cs="Times New Roman"/>
        </w:rPr>
        <w:t>Uvt</w:t>
      </w:r>
      <w:r w:rsidRPr="007314F0">
        <w:rPr>
          <w:rFonts w:cs="Times New Roman"/>
          <w:vertAlign w:val="subscript"/>
        </w:rPr>
        <w:t>01</w:t>
      </w:r>
      <w:r w:rsidRPr="007314F0">
        <w:rPr>
          <w:rFonts w:cs="Times New Roman"/>
        </w:rPr>
        <w:t>Tsl</w:t>
      </w:r>
      <w:r w:rsidRPr="007314F0">
        <w:rPr>
          <w:rFonts w:cs="Times New Roman"/>
          <w:vertAlign w:val="subscript"/>
        </w:rPr>
        <w:t>01</w:t>
      </w:r>
      <w:r>
        <w:rPr>
          <w:rFonts w:cs="Times New Roman"/>
        </w:rPr>
        <w:t>. From the layered aplite t</w:t>
      </w:r>
      <w:r w:rsidRPr="007314F0">
        <w:rPr>
          <w:rFonts w:cs="Times New Roman"/>
        </w:rPr>
        <w:t>oward</w:t>
      </w:r>
      <w:r w:rsidRPr="00753982">
        <w:rPr>
          <w:rFonts w:cs="Times New Roman"/>
        </w:rPr>
        <w:t xml:space="preserve"> the core of the pegmatite, tourmaline</w:t>
      </w:r>
      <w:r>
        <w:rPr>
          <w:rFonts w:cs="Times New Roman"/>
        </w:rPr>
        <w:t>s</w:t>
      </w:r>
      <w:r w:rsidRPr="00753982">
        <w:rPr>
          <w:rFonts w:cs="Times New Roman"/>
        </w:rPr>
        <w:t xml:space="preserve"> become more aluminous and manganoan, as</w:t>
      </w:r>
      <w:r w:rsidRPr="003D1B42">
        <w:rPr>
          <w:rFonts w:cs="Times New Roman"/>
        </w:rPr>
        <w:t xml:space="preserve"> indicated by an </w:t>
      </w:r>
      <w:r>
        <w:rPr>
          <w:rFonts w:cs="Times New Roman"/>
        </w:rPr>
        <w:t xml:space="preserve">increase in the olenite-foitite </w:t>
      </w:r>
      <w:r w:rsidRPr="003D1B42">
        <w:rPr>
          <w:rFonts w:cs="Times New Roman"/>
        </w:rPr>
        <w:t>and tsilaisite components, respectively</w:t>
      </w:r>
      <w:r>
        <w:rPr>
          <w:rFonts w:cs="Times New Roman"/>
        </w:rPr>
        <w:t xml:space="preserve">. </w:t>
      </w:r>
      <w:r w:rsidRPr="003D1B42">
        <w:rPr>
          <w:rFonts w:cs="Times New Roman"/>
        </w:rPr>
        <w:t>No other chemical parameter appears to change systematically from margin-to-core of the pegmatite. Tourmaline crystals from the Swamp dike have notably low concentrations of F (&lt;0.09 wt.% F), including tourmaline found in a rare pocket</w:t>
      </w:r>
      <w:r>
        <w:rPr>
          <w:rFonts w:cs="Times New Roman"/>
        </w:rPr>
        <w:t>, as compared to the Main dike</w:t>
      </w:r>
      <w:r w:rsidRPr="003D1B42">
        <w:rPr>
          <w:rFonts w:cs="Times New Roman"/>
        </w:rPr>
        <w:t xml:space="preserve">. </w:t>
      </w:r>
      <w:r>
        <w:rPr>
          <w:rFonts w:cs="Times New Roman"/>
        </w:rPr>
        <w:t>Tourmaline from the pocket have the composition Srl</w:t>
      </w:r>
      <w:r>
        <w:rPr>
          <w:rFonts w:cs="Times New Roman"/>
          <w:vertAlign w:val="subscript"/>
        </w:rPr>
        <w:t>49</w:t>
      </w:r>
      <w:r>
        <w:rPr>
          <w:rFonts w:cs="Times New Roman"/>
        </w:rPr>
        <w:t>Ftt</w:t>
      </w:r>
      <w:r>
        <w:rPr>
          <w:rFonts w:cs="Times New Roman"/>
          <w:vertAlign w:val="subscript"/>
        </w:rPr>
        <w:t>44</w:t>
      </w:r>
      <w:r>
        <w:rPr>
          <w:rFonts w:cs="Times New Roman"/>
        </w:rPr>
        <w:t>Drv</w:t>
      </w:r>
      <w:r>
        <w:rPr>
          <w:rFonts w:cs="Times New Roman"/>
          <w:vertAlign w:val="subscript"/>
        </w:rPr>
        <w:t>01</w:t>
      </w:r>
      <w:r>
        <w:rPr>
          <w:rFonts w:cs="Times New Roman"/>
        </w:rPr>
        <w:t>Mft</w:t>
      </w:r>
      <w:r>
        <w:rPr>
          <w:rFonts w:cs="Times New Roman"/>
          <w:vertAlign w:val="subscript"/>
        </w:rPr>
        <w:t>01</w:t>
      </w:r>
      <w:r>
        <w:rPr>
          <w:rFonts w:cs="Times New Roman"/>
        </w:rPr>
        <w:t>Oln</w:t>
      </w:r>
      <w:r>
        <w:rPr>
          <w:rFonts w:cs="Times New Roman"/>
          <w:vertAlign w:val="subscript"/>
        </w:rPr>
        <w:t>08</w:t>
      </w:r>
      <w:r>
        <w:rPr>
          <w:rFonts w:cs="Times New Roman"/>
        </w:rPr>
        <w:t>Fuv</w:t>
      </w:r>
      <w:r>
        <w:rPr>
          <w:rFonts w:cs="Times New Roman"/>
          <w:vertAlign w:val="subscript"/>
        </w:rPr>
        <w:t>02</w:t>
      </w:r>
      <w:r>
        <w:rPr>
          <w:rFonts w:cs="Times New Roman"/>
        </w:rPr>
        <w:t>Uvt</w:t>
      </w:r>
      <w:r>
        <w:rPr>
          <w:rFonts w:cs="Times New Roman"/>
          <w:vertAlign w:val="subscript"/>
        </w:rPr>
        <w:t>00</w:t>
      </w:r>
      <w:r>
        <w:rPr>
          <w:rFonts w:cs="Times New Roman"/>
        </w:rPr>
        <w:t>Tsl</w:t>
      </w:r>
      <w:r>
        <w:rPr>
          <w:rFonts w:cs="Times New Roman"/>
          <w:vertAlign w:val="subscript"/>
        </w:rPr>
        <w:t>05</w:t>
      </w:r>
      <w:r w:rsidRPr="004A32B7">
        <w:rPr>
          <w:rFonts w:cs="Times New Roman"/>
        </w:rPr>
        <w:t>.</w:t>
      </w:r>
      <w:r>
        <w:rPr>
          <w:rFonts w:cs="Times New Roman"/>
          <w:vertAlign w:val="subscript"/>
        </w:rPr>
        <w:t xml:space="preserve"> </w:t>
      </w:r>
      <w:r>
        <w:rPr>
          <w:rFonts w:cs="Times New Roman"/>
        </w:rPr>
        <w:t xml:space="preserve">Lastly, London et al. (2012) report an </w:t>
      </w:r>
      <w:r w:rsidRPr="003D1B42">
        <w:rPr>
          <w:rFonts w:cs="Times New Roman"/>
        </w:rPr>
        <w:t xml:space="preserve">end-member composition </w:t>
      </w:r>
      <w:r>
        <w:rPr>
          <w:rFonts w:cs="Times New Roman"/>
        </w:rPr>
        <w:t>for danburite (</w:t>
      </w:r>
      <w:r w:rsidRPr="003D1B42">
        <w:rPr>
          <w:rFonts w:cs="Times New Roman"/>
        </w:rPr>
        <w:t>Ca</w:t>
      </w:r>
      <w:r>
        <w:rPr>
          <w:rFonts w:cs="Times New Roman"/>
        </w:rPr>
        <w:t>B</w:t>
      </w:r>
      <w:r w:rsidRPr="003D1B42">
        <w:rPr>
          <w:rFonts w:cs="Times New Roman"/>
          <w:vertAlign w:val="subscript"/>
        </w:rPr>
        <w:t>2</w:t>
      </w:r>
      <w:r w:rsidRPr="003D1B42">
        <w:rPr>
          <w:rFonts w:cs="Times New Roman"/>
        </w:rPr>
        <w:t>Si</w:t>
      </w:r>
      <w:r>
        <w:rPr>
          <w:rFonts w:cs="Times New Roman"/>
          <w:vertAlign w:val="subscript"/>
        </w:rPr>
        <w:t>2</w:t>
      </w:r>
      <w:r w:rsidRPr="003D1B42">
        <w:rPr>
          <w:rFonts w:cs="Times New Roman"/>
        </w:rPr>
        <w:t>O</w:t>
      </w:r>
      <w:r w:rsidRPr="003D1B42">
        <w:rPr>
          <w:rFonts w:cs="Times New Roman"/>
          <w:vertAlign w:val="subscript"/>
        </w:rPr>
        <w:t>8</w:t>
      </w:r>
      <w:r>
        <w:rPr>
          <w:rFonts w:cs="Times New Roman"/>
        </w:rPr>
        <w:t>:</w:t>
      </w:r>
      <w:r w:rsidRPr="003D1B42">
        <w:rPr>
          <w:rFonts w:cs="Times New Roman"/>
        </w:rPr>
        <w:t xml:space="preserve"> </w:t>
      </w:r>
      <w:r w:rsidRPr="003D1B42">
        <w:rPr>
          <w:rFonts w:cs="Times New Roman"/>
        </w:rPr>
        <w:fldChar w:fldCharType="begin" w:fldLock="1"/>
      </w:r>
      <w:r w:rsidR="00266290">
        <w:rPr>
          <w:rFonts w:cs="Times New Roman"/>
        </w:rPr>
        <w:instrText>ADDIN CSL_CITATION { "citationItems" : [ { "id" : "ITEM-1", "itemData" : { "DOI" : "10.3749/canmin.50.4.1025", "ISSN" : "00084476", "abstract" : "Miarolitic granitic pegmatites at the Little Three mine property near Ramona, San Diego County, California, USA, possess a bulk composition that closely matches that of a hydrous peraluminous granitic liquid that is saturated with respect to tourmaline at a temperature of \u223c450\u00b0C. As such, the pegmatites appear to represent the compositions of the silicate liquid from which they crystallized, which contained &lt;1 wt% B2O3 and minor amounts of Li and F. They do not appear to have contained phenocrysts upon emplacement, and they are neither partially cumulate nor hydrothermal in nature. The Little Three pegmatites are, however, sharply zoned. Chemical zonation across one small dike matches the patterns expected from crystallization of undercooled granitic liquids, in which the far-field diffusion of alkalis and local constitutional zone refining of fluxing and incompatible elements contribute to the chemical and textural changes from the margins inward. Feldspar thermometry records nearly isothermal crystallization at \u223c420\u00b0\u2013430\u00b0C for dikes from 1 to 2.5 m in thickness. Temperatures recorded by feldspars fall toward the miarolitic center of the thicker (Main) dike, but increase to \u223c500\u00b0C in the thinner (Swamp) dike. Fluid inclusions within quartz and topaz from miarolitic cavities of the Main dike contain cryolite, arsenides, arsenates, pollucite, and borates, including Cs borate, the latter of which indicates a higher degree of chemical fractionation than is present in the minerals that line the cavities. Extrapolation along isochores based on the homogenization (200\u00b0\u2013225\u00b0C) of the low-salinity aqueous fluid (&lt;1 equivalent wt% NaCl) to the temperature of feldspar equilibration (240\u00b0\u2013270\u00b0C) with the miarolitic cavity points to hydrostatic entrapment pressures of \u223c50 to 100 MPa, which are unrealistically low. If the isochores are extrapolated to 370\u00b0 \u00b1 20\u00b0C, the temperatures recorded by feldspars in the pegmatite that surrounds the miarolitic pockets, then the entrapment pressure would be \u223c200\u2013250 MPa. Formation of the miarolitic cavities at \u223c370\u00b0C and 200\u2013250 MPa is plausible, as the cavities contain zeolites; therefore, the feldspars within the pockets have recrystallized (re-equilibrated) to an extent that they no longer preserve their original compositions. ", "author" : [ { "dropping-particle" : "", "family" : "London", "given" : "David", "non-dropping-particle" : "", "parse-names" : false, "suffix" : "" }, { "dropping-particle" : "", "family" : "Morganvi", "given" : "George B.", "non-dropping-particle" : "", "parse-names" : false, "suffix" : "" }, { "dropping-particle" : "", "family" : "Paul", "given" : "Kerry A.", "non-dropping-particle" : "", "parse-names" : false, "suffix" : "" }, { "dropping-particle" : "", "family" : "Guttery", "given" : "Brandon M.", "non-dropping-particle" : "", "parse-names" : false, "suffix" : "" } ], "container-title" : "Canadian Mineralogist", "id" : "ITEM-1", "issue" : "4", "issued" : { "date-parts" : [ [ "2012" ] ] }, "page" : "1025-1054", "title" : "Internal evolution of miarolitic granitic pegmatites at the little three Mine, Ramona, California, USA", "type" : "article-journal", "volume" : "50" }, "uris" : [ "http://www.mendeley.com/documents/?uuid=a213218b-05b1-4ed6-8346-161a0a5501f1" ] } ], "mendeley" : { "formattedCitation" : "(London et al., 2012)", "manualFormatting" : "London et al., 2012)", "plainTextFormattedCitation" : "(London et al., 2012)", "previouslyFormattedCitation" : "(London et al. 2012)" }, "properties" : { "noteIndex" : 0 }, "schema" : "https://github.com/citation-style-language/schema/raw/master/csl-citation.json" }</w:instrText>
      </w:r>
      <w:r w:rsidRPr="003D1B42">
        <w:rPr>
          <w:rFonts w:cs="Times New Roman"/>
        </w:rPr>
        <w:fldChar w:fldCharType="separate"/>
      </w:r>
      <w:r w:rsidRPr="003D1B42">
        <w:rPr>
          <w:rFonts w:cs="Times New Roman"/>
          <w:noProof/>
        </w:rPr>
        <w:t>London et al., 2012)</w:t>
      </w:r>
      <w:r w:rsidRPr="003D1B42">
        <w:rPr>
          <w:rFonts w:cs="Times New Roman"/>
        </w:rPr>
        <w:fldChar w:fldCharType="end"/>
      </w:r>
      <w:r w:rsidRPr="003D1B42">
        <w:rPr>
          <w:rFonts w:cs="Times New Roman"/>
        </w:rPr>
        <w:t>.</w:t>
      </w:r>
    </w:p>
    <w:p w:rsidR="00665C0F" w:rsidRPr="00F65F32" w:rsidRDefault="00F65F32" w:rsidP="00F65F32">
      <w:pPr>
        <w:pStyle w:val="Heading3"/>
        <w:spacing w:line="480" w:lineRule="auto"/>
        <w:rPr>
          <w:rFonts w:cs="Times New Roman"/>
        </w:rPr>
      </w:pPr>
      <w:bookmarkStart w:id="28" w:name="_Toc491245995"/>
      <w:r w:rsidRPr="00F65F32">
        <w:rPr>
          <w:rFonts w:cs="Times New Roman"/>
          <w:bCs/>
          <w:iCs/>
        </w:rPr>
        <w:t>4.3</w:t>
      </w:r>
      <w:r w:rsidR="00A24071">
        <w:rPr>
          <w:rFonts w:cs="Times New Roman"/>
          <w:bCs/>
          <w:iCs/>
        </w:rPr>
        <w:t>.</w:t>
      </w:r>
      <w:r w:rsidRPr="00F65F32">
        <w:rPr>
          <w:rFonts w:cs="Times New Roman"/>
          <w:bCs/>
          <w:iCs/>
        </w:rPr>
        <w:t xml:space="preserve"> </w:t>
      </w:r>
      <w:r w:rsidR="00665C0F" w:rsidRPr="00F65F32">
        <w:rPr>
          <w:rFonts w:cs="Times New Roman"/>
          <w:bCs/>
          <w:iCs/>
        </w:rPr>
        <w:t>Spessar</w:t>
      </w:r>
      <w:r w:rsidRPr="00F65F32">
        <w:rPr>
          <w:rFonts w:cs="Times New Roman"/>
          <w:bCs/>
          <w:iCs/>
        </w:rPr>
        <w:t>tine Dike</w:t>
      </w:r>
      <w:bookmarkEnd w:id="28"/>
      <w:r w:rsidR="00665C0F" w:rsidRPr="00F65F32">
        <w:rPr>
          <w:rFonts w:cs="Times New Roman"/>
        </w:rPr>
        <w:t xml:space="preserve"> </w:t>
      </w:r>
    </w:p>
    <w:p w:rsidR="00665C0F" w:rsidRPr="00F65F32" w:rsidRDefault="00665C0F" w:rsidP="00F65F32">
      <w:pPr>
        <w:pStyle w:val="Heading4"/>
        <w:spacing w:line="480" w:lineRule="auto"/>
        <w:rPr>
          <w:rFonts w:cs="Times New Roman"/>
          <w:bCs/>
          <w:i w:val="0"/>
          <w:iCs w:val="0"/>
        </w:rPr>
      </w:pPr>
      <w:bookmarkStart w:id="29" w:name="_Toc491245996"/>
      <w:r w:rsidRPr="00F65F32">
        <w:rPr>
          <w:rFonts w:cs="Times New Roman"/>
          <w:bCs/>
          <w:i w:val="0"/>
          <w:iCs w:val="0"/>
        </w:rPr>
        <w:t>4.3.1</w:t>
      </w:r>
      <w:r w:rsidR="00A24071">
        <w:rPr>
          <w:rFonts w:cs="Times New Roman"/>
          <w:bCs/>
          <w:i w:val="0"/>
          <w:iCs w:val="0"/>
        </w:rPr>
        <w:t>.</w:t>
      </w:r>
      <w:r w:rsidRPr="00F65F32">
        <w:rPr>
          <w:rFonts w:cs="Times New Roman"/>
          <w:bCs/>
          <w:i w:val="0"/>
          <w:iCs w:val="0"/>
        </w:rPr>
        <w:t xml:space="preserve"> Boron isotopic compositions</w:t>
      </w:r>
      <w:bookmarkEnd w:id="29"/>
    </w:p>
    <w:p w:rsidR="00665C0F" w:rsidRPr="003D1B42" w:rsidRDefault="00665C0F" w:rsidP="00F65F32">
      <w:pPr>
        <w:spacing w:after="240" w:line="480" w:lineRule="auto"/>
        <w:ind w:firstLine="720"/>
        <w:rPr>
          <w:rFonts w:cs="Times New Roman"/>
        </w:rPr>
      </w:pPr>
      <w:r>
        <w:rPr>
          <w:rFonts w:cs="Times New Roman"/>
        </w:rPr>
        <w:t>One tourmaline crystal</w:t>
      </w:r>
      <w:r w:rsidRPr="003D1B42">
        <w:rPr>
          <w:rFonts w:cs="Times New Roman"/>
        </w:rPr>
        <w:t xml:space="preserve"> from </w:t>
      </w:r>
      <w:r>
        <w:rPr>
          <w:rFonts w:cs="Times New Roman"/>
        </w:rPr>
        <w:t>an</w:t>
      </w:r>
      <w:r w:rsidRPr="003D1B42">
        <w:rPr>
          <w:rFonts w:cs="Times New Roman"/>
        </w:rPr>
        <w:t xml:space="preserve"> intermediate zone of the Spessartine </w:t>
      </w:r>
      <w:r w:rsidRPr="00753982">
        <w:rPr>
          <w:rFonts w:cs="Times New Roman"/>
        </w:rPr>
        <w:t xml:space="preserve">dike (Fig. </w:t>
      </w:r>
      <w:r w:rsidR="00815F07">
        <w:rPr>
          <w:rFonts w:cs="Times New Roman"/>
        </w:rPr>
        <w:t>2-</w:t>
      </w:r>
      <w:r>
        <w:rPr>
          <w:rFonts w:cs="Times New Roman"/>
        </w:rPr>
        <w:t xml:space="preserve">6, Table </w:t>
      </w:r>
      <w:r w:rsidR="0083401A">
        <w:rPr>
          <w:rFonts w:cs="Times New Roman"/>
        </w:rPr>
        <w:t>2-</w:t>
      </w:r>
      <w:r>
        <w:rPr>
          <w:rFonts w:cs="Times New Roman"/>
        </w:rPr>
        <w:t>5</w:t>
      </w:r>
      <w:r w:rsidRPr="00753982">
        <w:rPr>
          <w:rFonts w:cs="Times New Roman"/>
        </w:rPr>
        <w:t>)</w:t>
      </w:r>
      <w:r>
        <w:rPr>
          <w:rFonts w:cs="Times New Roman"/>
        </w:rPr>
        <w:t xml:space="preserve"> has</w:t>
      </w:r>
      <w:r w:rsidRPr="003D1B42">
        <w:rPr>
          <w:rFonts w:cs="Times New Roman"/>
        </w:rPr>
        <w:t xml:space="preserve"> an average δ</w:t>
      </w:r>
      <w:r w:rsidRPr="003D1B42">
        <w:rPr>
          <w:rFonts w:cs="Times New Roman"/>
          <w:vertAlign w:val="superscript"/>
        </w:rPr>
        <w:t>11</w:t>
      </w:r>
      <w:r w:rsidRPr="003D1B42">
        <w:rPr>
          <w:rFonts w:cs="Times New Roman"/>
        </w:rPr>
        <w:t xml:space="preserve">B of +4.6‰ (±1.8‰ 2σSD, N=3). The two individual </w:t>
      </w:r>
      <w:r>
        <w:rPr>
          <w:rFonts w:cs="Times New Roman"/>
        </w:rPr>
        <w:t xml:space="preserve">black tourmaline </w:t>
      </w:r>
      <w:r w:rsidRPr="003D1B42">
        <w:rPr>
          <w:rFonts w:cs="Times New Roman"/>
        </w:rPr>
        <w:t xml:space="preserve">crystals </w:t>
      </w:r>
      <w:r>
        <w:rPr>
          <w:rFonts w:cs="Times New Roman"/>
        </w:rPr>
        <w:t xml:space="preserve">from a miarolitic cavity </w:t>
      </w:r>
      <w:r w:rsidRPr="003D1B42">
        <w:rPr>
          <w:rFonts w:cs="Times New Roman"/>
        </w:rPr>
        <w:t>have mean δ</w:t>
      </w:r>
      <w:r w:rsidRPr="003D1B42">
        <w:rPr>
          <w:rFonts w:cs="Times New Roman"/>
          <w:vertAlign w:val="superscript"/>
        </w:rPr>
        <w:t>11</w:t>
      </w:r>
      <w:r w:rsidRPr="003D1B42">
        <w:rPr>
          <w:rFonts w:cs="Times New Roman"/>
        </w:rPr>
        <w:t>B values of +5.7‰ (±0.6‰ 2σSD, N=3) and +5.8‰ (±1.2‰ 2σSD, N=4), respectively. The tourmaline intergrown with axinite has an average δ</w:t>
      </w:r>
      <w:r w:rsidRPr="003D1B42">
        <w:rPr>
          <w:rFonts w:cs="Times New Roman"/>
          <w:vertAlign w:val="superscript"/>
        </w:rPr>
        <w:t>11</w:t>
      </w:r>
      <w:r w:rsidRPr="003D1B42">
        <w:rPr>
          <w:rFonts w:cs="Times New Roman"/>
        </w:rPr>
        <w:t xml:space="preserve">B of +13.8‰ (±4.6‰ 2σSD, N=3) and the </w:t>
      </w:r>
      <w:r w:rsidRPr="003D1B42">
        <w:rPr>
          <w:rFonts w:cs="Times New Roman"/>
        </w:rPr>
        <w:lastRenderedPageBreak/>
        <w:t>axinite has an average δ</w:t>
      </w:r>
      <w:r w:rsidRPr="003D1B42">
        <w:rPr>
          <w:rFonts w:cs="Times New Roman"/>
          <w:vertAlign w:val="superscript"/>
        </w:rPr>
        <w:t>11</w:t>
      </w:r>
      <w:r w:rsidRPr="003D1B42">
        <w:rPr>
          <w:rFonts w:cs="Times New Roman"/>
        </w:rPr>
        <w:t>B</w:t>
      </w:r>
      <w:r w:rsidRPr="003D1B42">
        <w:rPr>
          <w:rFonts w:cs="Times New Roman"/>
          <w:vertAlign w:val="subscript"/>
        </w:rPr>
        <w:t xml:space="preserve"> </w:t>
      </w:r>
      <w:r w:rsidRPr="003D1B42">
        <w:rPr>
          <w:rFonts w:cs="Times New Roman"/>
        </w:rPr>
        <w:t>of +2.6‰ (±3.0‰ 2σSD, N=3). Muscovite from the same pocket has a δ</w:t>
      </w:r>
      <w:r w:rsidRPr="003D1B42">
        <w:rPr>
          <w:rFonts w:cs="Times New Roman"/>
          <w:vertAlign w:val="superscript"/>
        </w:rPr>
        <w:t>11</w:t>
      </w:r>
      <w:r w:rsidRPr="003D1B42">
        <w:rPr>
          <w:rFonts w:cs="Times New Roman"/>
        </w:rPr>
        <w:t xml:space="preserve">B of -10.1‰ (±4.0‰ 2σSD, N=5). </w:t>
      </w:r>
      <w:r>
        <w:rPr>
          <w:rFonts w:cs="Times New Roman"/>
        </w:rPr>
        <w:t>The external</w:t>
      </w:r>
      <w:r w:rsidRPr="003D1B42">
        <w:rPr>
          <w:rFonts w:cs="Times New Roman"/>
        </w:rPr>
        <w:t xml:space="preserve"> tourmalinite has an average δ</w:t>
      </w:r>
      <w:r w:rsidRPr="003D1B42">
        <w:rPr>
          <w:rFonts w:cs="Times New Roman"/>
          <w:vertAlign w:val="superscript"/>
        </w:rPr>
        <w:t>11</w:t>
      </w:r>
      <w:r w:rsidRPr="003D1B42">
        <w:rPr>
          <w:rFonts w:cs="Times New Roman"/>
        </w:rPr>
        <w:t>B</w:t>
      </w:r>
      <w:r w:rsidRPr="003D1B42">
        <w:rPr>
          <w:rFonts w:cs="Times New Roman"/>
          <w:vertAlign w:val="subscript"/>
        </w:rPr>
        <w:t>Tur</w:t>
      </w:r>
      <w:r w:rsidRPr="003D1B42">
        <w:rPr>
          <w:rFonts w:cs="Times New Roman"/>
        </w:rPr>
        <w:t xml:space="preserve"> of -0.1‰ (±3.4‰ 2σSD, N=7). </w:t>
      </w:r>
    </w:p>
    <w:p w:rsidR="00665C0F" w:rsidRPr="00F65F32" w:rsidRDefault="00F65F32" w:rsidP="00F65F32">
      <w:pPr>
        <w:pStyle w:val="Heading4"/>
        <w:spacing w:line="480" w:lineRule="auto"/>
        <w:rPr>
          <w:rFonts w:cs="Times New Roman"/>
          <w:bCs/>
          <w:i w:val="0"/>
          <w:iCs w:val="0"/>
        </w:rPr>
      </w:pPr>
      <w:bookmarkStart w:id="30" w:name="_Toc491245997"/>
      <w:r>
        <w:rPr>
          <w:rFonts w:cs="Times New Roman"/>
          <w:bCs/>
          <w:i w:val="0"/>
          <w:iCs w:val="0"/>
        </w:rPr>
        <w:t>4.3.2</w:t>
      </w:r>
      <w:r w:rsidR="00A24071">
        <w:rPr>
          <w:rFonts w:cs="Times New Roman"/>
          <w:bCs/>
          <w:i w:val="0"/>
          <w:iCs w:val="0"/>
        </w:rPr>
        <w:t>.</w:t>
      </w:r>
      <w:r w:rsidR="00665C0F" w:rsidRPr="00F65F32">
        <w:rPr>
          <w:rFonts w:cs="Times New Roman"/>
          <w:bCs/>
          <w:i w:val="0"/>
          <w:iCs w:val="0"/>
        </w:rPr>
        <w:t xml:space="preserve"> Chemical compositions</w:t>
      </w:r>
      <w:bookmarkEnd w:id="30"/>
    </w:p>
    <w:p w:rsidR="00665C0F" w:rsidRPr="003D1B42" w:rsidRDefault="00665C0F" w:rsidP="00F65F32">
      <w:pPr>
        <w:spacing w:after="240" w:line="480" w:lineRule="auto"/>
        <w:ind w:firstLine="720"/>
        <w:rPr>
          <w:rFonts w:cs="Times New Roman"/>
        </w:rPr>
      </w:pPr>
      <w:r w:rsidRPr="003D1B42">
        <w:rPr>
          <w:rFonts w:cs="Times New Roman"/>
        </w:rPr>
        <w:t>The compositions of individual tourmaline crysta</w:t>
      </w:r>
      <w:r>
        <w:rPr>
          <w:rFonts w:cs="Times New Roman"/>
        </w:rPr>
        <w:t>ls from the intermediate zone are</w:t>
      </w:r>
      <w:r w:rsidRPr="003D1B42">
        <w:rPr>
          <w:rFonts w:cs="Times New Roman"/>
        </w:rPr>
        <w:t xml:space="preserve"> a solid-solution of </w:t>
      </w:r>
      <w:r>
        <w:rPr>
          <w:rFonts w:cs="Times New Roman"/>
        </w:rPr>
        <w:t>Srl</w:t>
      </w:r>
      <w:r>
        <w:rPr>
          <w:rFonts w:cs="Times New Roman"/>
          <w:vertAlign w:val="subscript"/>
        </w:rPr>
        <w:t>32</w:t>
      </w:r>
      <w:r>
        <w:rPr>
          <w:rFonts w:cs="Times New Roman"/>
        </w:rPr>
        <w:t>Ftt</w:t>
      </w:r>
      <w:r>
        <w:rPr>
          <w:rFonts w:cs="Times New Roman"/>
          <w:vertAlign w:val="subscript"/>
        </w:rPr>
        <w:t>46</w:t>
      </w:r>
      <w:r>
        <w:rPr>
          <w:rFonts w:cs="Times New Roman"/>
        </w:rPr>
        <w:t>Mft</w:t>
      </w:r>
      <w:r>
        <w:rPr>
          <w:rFonts w:cs="Times New Roman"/>
          <w:vertAlign w:val="subscript"/>
        </w:rPr>
        <w:t>01</w:t>
      </w:r>
      <w:r>
        <w:rPr>
          <w:rFonts w:cs="Times New Roman"/>
        </w:rPr>
        <w:t>Oln</w:t>
      </w:r>
      <w:r>
        <w:rPr>
          <w:rFonts w:cs="Times New Roman"/>
          <w:vertAlign w:val="subscript"/>
        </w:rPr>
        <w:t>16</w:t>
      </w:r>
      <w:r>
        <w:rPr>
          <w:rFonts w:cs="Times New Roman"/>
        </w:rPr>
        <w:t>Fuv</w:t>
      </w:r>
      <w:r>
        <w:rPr>
          <w:rFonts w:cs="Times New Roman"/>
          <w:vertAlign w:val="subscript"/>
        </w:rPr>
        <w:t>05</w:t>
      </w:r>
      <w:r>
        <w:rPr>
          <w:rFonts w:cs="Times New Roman"/>
        </w:rPr>
        <w:t>. Two individual tourmaline from the miarolitic cavity are a solid-solution of Srl</w:t>
      </w:r>
      <w:r>
        <w:rPr>
          <w:rFonts w:cs="Times New Roman"/>
          <w:vertAlign w:val="subscript"/>
        </w:rPr>
        <w:t>35</w:t>
      </w:r>
      <w:r>
        <w:rPr>
          <w:rFonts w:cs="Times New Roman"/>
        </w:rPr>
        <w:t>Ftt</w:t>
      </w:r>
      <w:r>
        <w:rPr>
          <w:rFonts w:cs="Times New Roman"/>
          <w:vertAlign w:val="subscript"/>
        </w:rPr>
        <w:t>48</w:t>
      </w:r>
      <w:r>
        <w:rPr>
          <w:rFonts w:cs="Times New Roman"/>
        </w:rPr>
        <w:t>Drv</w:t>
      </w:r>
      <w:r>
        <w:rPr>
          <w:rFonts w:cs="Times New Roman"/>
          <w:vertAlign w:val="subscript"/>
        </w:rPr>
        <w:t>01</w:t>
      </w:r>
      <w:r>
        <w:rPr>
          <w:rFonts w:cs="Times New Roman"/>
        </w:rPr>
        <w:t>Oln</w:t>
      </w:r>
      <w:r>
        <w:rPr>
          <w:rFonts w:cs="Times New Roman"/>
          <w:vertAlign w:val="subscript"/>
        </w:rPr>
        <w:t>11</w:t>
      </w:r>
      <w:r>
        <w:rPr>
          <w:rFonts w:cs="Times New Roman"/>
        </w:rPr>
        <w:t>Fuv</w:t>
      </w:r>
      <w:r>
        <w:rPr>
          <w:rFonts w:cs="Times New Roman"/>
          <w:vertAlign w:val="subscript"/>
        </w:rPr>
        <w:t>02</w:t>
      </w:r>
      <w:r>
        <w:rPr>
          <w:rFonts w:cs="Times New Roman"/>
        </w:rPr>
        <w:t>Tsl</w:t>
      </w:r>
      <w:r>
        <w:rPr>
          <w:rFonts w:cs="Times New Roman"/>
          <w:vertAlign w:val="subscript"/>
        </w:rPr>
        <w:t xml:space="preserve">02 </w:t>
      </w:r>
      <w:r>
        <w:rPr>
          <w:rFonts w:cs="Times New Roman"/>
        </w:rPr>
        <w:t>and Srl</w:t>
      </w:r>
      <w:r>
        <w:rPr>
          <w:rFonts w:cs="Times New Roman"/>
          <w:vertAlign w:val="subscript"/>
        </w:rPr>
        <w:t>26</w:t>
      </w:r>
      <w:r>
        <w:rPr>
          <w:rFonts w:cs="Times New Roman"/>
        </w:rPr>
        <w:t>Ftt</w:t>
      </w:r>
      <w:r>
        <w:rPr>
          <w:rFonts w:cs="Times New Roman"/>
          <w:vertAlign w:val="subscript"/>
        </w:rPr>
        <w:t>16</w:t>
      </w:r>
      <w:r>
        <w:rPr>
          <w:rFonts w:cs="Times New Roman"/>
        </w:rPr>
        <w:t>Drv</w:t>
      </w:r>
      <w:r>
        <w:rPr>
          <w:rFonts w:cs="Times New Roman"/>
          <w:vertAlign w:val="subscript"/>
        </w:rPr>
        <w:t>22</w:t>
      </w:r>
      <w:r>
        <w:rPr>
          <w:rFonts w:cs="Times New Roman"/>
        </w:rPr>
        <w:t>Mft</w:t>
      </w:r>
      <w:r>
        <w:rPr>
          <w:rFonts w:cs="Times New Roman"/>
          <w:vertAlign w:val="subscript"/>
        </w:rPr>
        <w:t>06</w:t>
      </w:r>
      <w:r>
        <w:rPr>
          <w:rFonts w:cs="Times New Roman"/>
        </w:rPr>
        <w:t>Oln</w:t>
      </w:r>
      <w:r>
        <w:rPr>
          <w:rFonts w:cs="Times New Roman"/>
          <w:vertAlign w:val="subscript"/>
        </w:rPr>
        <w:t>08</w:t>
      </w:r>
      <w:r>
        <w:rPr>
          <w:rFonts w:cs="Times New Roman"/>
        </w:rPr>
        <w:t>Fuv</w:t>
      </w:r>
      <w:r>
        <w:rPr>
          <w:rFonts w:cs="Times New Roman"/>
          <w:vertAlign w:val="subscript"/>
        </w:rPr>
        <w:t>03</w:t>
      </w:r>
      <w:r>
        <w:rPr>
          <w:rFonts w:cs="Times New Roman"/>
        </w:rPr>
        <w:t>Uvt</w:t>
      </w:r>
      <w:r>
        <w:rPr>
          <w:rFonts w:cs="Times New Roman"/>
          <w:vertAlign w:val="subscript"/>
        </w:rPr>
        <w:t>05</w:t>
      </w:r>
      <w:r>
        <w:rPr>
          <w:rFonts w:cs="Times New Roman"/>
        </w:rPr>
        <w:t>Tsl</w:t>
      </w:r>
      <w:r>
        <w:rPr>
          <w:rFonts w:cs="Times New Roman"/>
          <w:vertAlign w:val="subscript"/>
        </w:rPr>
        <w:t>13</w:t>
      </w:r>
      <w:r>
        <w:rPr>
          <w:rFonts w:cs="Times New Roman"/>
        </w:rPr>
        <w:t>, respectively</w:t>
      </w:r>
      <w:r w:rsidRPr="003D1B42">
        <w:rPr>
          <w:rFonts w:cs="Times New Roman"/>
        </w:rPr>
        <w:t xml:space="preserve">. The tourmaline intergrown with axinite is a solid-solution of </w:t>
      </w:r>
      <w:r>
        <w:rPr>
          <w:rFonts w:cs="Times New Roman"/>
        </w:rPr>
        <w:t>Srl</w:t>
      </w:r>
      <w:r>
        <w:rPr>
          <w:rFonts w:cs="Times New Roman"/>
          <w:vertAlign w:val="subscript"/>
        </w:rPr>
        <w:t>09</w:t>
      </w:r>
      <w:r>
        <w:rPr>
          <w:rFonts w:cs="Times New Roman"/>
        </w:rPr>
        <w:t>Ftt</w:t>
      </w:r>
      <w:r>
        <w:rPr>
          <w:rFonts w:cs="Times New Roman"/>
          <w:vertAlign w:val="subscript"/>
        </w:rPr>
        <w:t>50</w:t>
      </w:r>
      <w:r>
        <w:rPr>
          <w:rFonts w:cs="Times New Roman"/>
        </w:rPr>
        <w:t>Drv</w:t>
      </w:r>
      <w:r>
        <w:rPr>
          <w:rFonts w:cs="Times New Roman"/>
          <w:vertAlign w:val="subscript"/>
        </w:rPr>
        <w:t>00</w:t>
      </w:r>
      <w:r>
        <w:rPr>
          <w:rFonts w:cs="Times New Roman"/>
        </w:rPr>
        <w:t>Mft</w:t>
      </w:r>
      <w:r>
        <w:rPr>
          <w:rFonts w:cs="Times New Roman"/>
          <w:vertAlign w:val="subscript"/>
        </w:rPr>
        <w:t>00</w:t>
      </w:r>
      <w:r>
        <w:rPr>
          <w:rFonts w:cs="Times New Roman"/>
        </w:rPr>
        <w:t>Oln</w:t>
      </w:r>
      <w:r>
        <w:rPr>
          <w:rFonts w:cs="Times New Roman"/>
          <w:vertAlign w:val="subscript"/>
        </w:rPr>
        <w:t>28</w:t>
      </w:r>
      <w:r>
        <w:rPr>
          <w:rFonts w:cs="Times New Roman"/>
        </w:rPr>
        <w:t>Fuv</w:t>
      </w:r>
      <w:r>
        <w:rPr>
          <w:rFonts w:cs="Times New Roman"/>
          <w:vertAlign w:val="subscript"/>
        </w:rPr>
        <w:t>13</w:t>
      </w:r>
      <w:r>
        <w:rPr>
          <w:rFonts w:cs="Times New Roman"/>
        </w:rPr>
        <w:t>Uvt</w:t>
      </w:r>
      <w:r>
        <w:rPr>
          <w:rFonts w:cs="Times New Roman"/>
          <w:vertAlign w:val="subscript"/>
        </w:rPr>
        <w:t>00</w:t>
      </w:r>
      <w:r>
        <w:rPr>
          <w:rFonts w:cs="Times New Roman"/>
        </w:rPr>
        <w:t>Tsl</w:t>
      </w:r>
      <w:r>
        <w:rPr>
          <w:rFonts w:cs="Times New Roman"/>
          <w:vertAlign w:val="subscript"/>
        </w:rPr>
        <w:t>00</w:t>
      </w:r>
      <w:r>
        <w:rPr>
          <w:rFonts w:cs="Times New Roman"/>
        </w:rPr>
        <w:t>. The external</w:t>
      </w:r>
      <w:r w:rsidRPr="003D1B42">
        <w:rPr>
          <w:rFonts w:cs="Times New Roman"/>
        </w:rPr>
        <w:t xml:space="preserve"> tourmaline is </w:t>
      </w:r>
      <w:r>
        <w:rPr>
          <w:rFonts w:cs="Times New Roman"/>
        </w:rPr>
        <w:t>a</w:t>
      </w:r>
      <w:r w:rsidRPr="003D1B42">
        <w:rPr>
          <w:rFonts w:cs="Times New Roman"/>
        </w:rPr>
        <w:t xml:space="preserve"> solid-solution </w:t>
      </w:r>
      <w:r>
        <w:rPr>
          <w:rFonts w:cs="Times New Roman"/>
        </w:rPr>
        <w:t>of Srl</w:t>
      </w:r>
      <w:r>
        <w:rPr>
          <w:rFonts w:cs="Times New Roman"/>
          <w:vertAlign w:val="subscript"/>
        </w:rPr>
        <w:t>25</w:t>
      </w:r>
      <w:r>
        <w:rPr>
          <w:rFonts w:cs="Times New Roman"/>
        </w:rPr>
        <w:t>Ftt</w:t>
      </w:r>
      <w:r>
        <w:rPr>
          <w:rFonts w:cs="Times New Roman"/>
          <w:vertAlign w:val="subscript"/>
        </w:rPr>
        <w:t>12</w:t>
      </w:r>
      <w:r>
        <w:rPr>
          <w:rFonts w:cs="Times New Roman"/>
        </w:rPr>
        <w:t>Drv</w:t>
      </w:r>
      <w:r>
        <w:rPr>
          <w:rFonts w:cs="Times New Roman"/>
          <w:vertAlign w:val="subscript"/>
        </w:rPr>
        <w:t>14</w:t>
      </w:r>
      <w:r>
        <w:rPr>
          <w:rFonts w:cs="Times New Roman"/>
        </w:rPr>
        <w:t>Mft</w:t>
      </w:r>
      <w:r>
        <w:rPr>
          <w:rFonts w:cs="Times New Roman"/>
          <w:vertAlign w:val="subscript"/>
        </w:rPr>
        <w:t>08</w:t>
      </w:r>
      <w:r>
        <w:rPr>
          <w:rFonts w:cs="Times New Roman"/>
        </w:rPr>
        <w:t>Oln</w:t>
      </w:r>
      <w:r>
        <w:rPr>
          <w:rFonts w:cs="Times New Roman"/>
          <w:vertAlign w:val="subscript"/>
        </w:rPr>
        <w:t>24</w:t>
      </w:r>
      <w:r>
        <w:rPr>
          <w:rFonts w:cs="Times New Roman"/>
        </w:rPr>
        <w:t>Fuv</w:t>
      </w:r>
      <w:r>
        <w:rPr>
          <w:rFonts w:cs="Times New Roman"/>
          <w:vertAlign w:val="subscript"/>
        </w:rPr>
        <w:t>07</w:t>
      </w:r>
      <w:r>
        <w:rPr>
          <w:rFonts w:cs="Times New Roman"/>
        </w:rPr>
        <w:t>Uvt</w:t>
      </w:r>
      <w:r>
        <w:rPr>
          <w:rFonts w:cs="Times New Roman"/>
          <w:vertAlign w:val="subscript"/>
        </w:rPr>
        <w:t>04</w:t>
      </w:r>
      <w:r>
        <w:rPr>
          <w:rFonts w:cs="Times New Roman"/>
        </w:rPr>
        <w:t>Tsl</w:t>
      </w:r>
      <w:r>
        <w:rPr>
          <w:rFonts w:cs="Times New Roman"/>
          <w:vertAlign w:val="subscript"/>
        </w:rPr>
        <w:t>07</w:t>
      </w:r>
      <w:r>
        <w:rPr>
          <w:rFonts w:cs="Times New Roman"/>
        </w:rPr>
        <w:t xml:space="preserve"> and </w:t>
      </w:r>
      <w:r w:rsidRPr="003D1B42">
        <w:rPr>
          <w:rFonts w:cs="Times New Roman"/>
        </w:rPr>
        <w:t>is notably F-rich (0.66 wt.% F) compared to other tourmaline crystals from the Spessartine dike (0.06 to 0.29 wt.% F). Axinite has the composition Ca</w:t>
      </w:r>
      <w:r w:rsidRPr="003D1B42">
        <w:rPr>
          <w:rFonts w:cs="Times New Roman"/>
          <w:vertAlign w:val="subscript"/>
        </w:rPr>
        <w:t>2</w:t>
      </w:r>
      <w:r w:rsidRPr="003D1B42">
        <w:rPr>
          <w:rFonts w:cs="Times New Roman"/>
        </w:rPr>
        <w:t>(Mn</w:t>
      </w:r>
      <w:r w:rsidRPr="003D1B42">
        <w:rPr>
          <w:rFonts w:cs="Times New Roman"/>
          <w:vertAlign w:val="subscript"/>
        </w:rPr>
        <w:t>0.8</w:t>
      </w:r>
      <w:r w:rsidRPr="003D1B42">
        <w:rPr>
          <w:rFonts w:cs="Times New Roman"/>
        </w:rPr>
        <w:t>Fe</w:t>
      </w:r>
      <w:r w:rsidRPr="003D1B42">
        <w:rPr>
          <w:rFonts w:cs="Times New Roman"/>
          <w:vertAlign w:val="subscript"/>
        </w:rPr>
        <w:t>0.2</w:t>
      </w:r>
      <w:r w:rsidRPr="003D1B42">
        <w:rPr>
          <w:rFonts w:cs="Times New Roman"/>
        </w:rPr>
        <w:t>)Al</w:t>
      </w:r>
      <w:r w:rsidRPr="003D1B42">
        <w:rPr>
          <w:rFonts w:cs="Times New Roman"/>
          <w:vertAlign w:val="subscript"/>
        </w:rPr>
        <w:t>2</w:t>
      </w:r>
      <w:r w:rsidRPr="003D1B42">
        <w:rPr>
          <w:rFonts w:cs="Times New Roman"/>
        </w:rPr>
        <w:t>Si</w:t>
      </w:r>
      <w:r w:rsidRPr="003D1B42">
        <w:rPr>
          <w:rFonts w:cs="Times New Roman"/>
          <w:vertAlign w:val="subscript"/>
        </w:rPr>
        <w:t>3</w:t>
      </w:r>
      <w:r w:rsidRPr="003D1B42">
        <w:rPr>
          <w:rFonts w:cs="Times New Roman"/>
        </w:rPr>
        <w:t>O</w:t>
      </w:r>
      <w:r w:rsidRPr="003D1B42">
        <w:rPr>
          <w:rFonts w:cs="Times New Roman"/>
          <w:vertAlign w:val="subscript"/>
        </w:rPr>
        <w:t>15</w:t>
      </w:r>
      <w:r w:rsidRPr="003D1B42">
        <w:rPr>
          <w:rFonts w:cs="Times New Roman"/>
        </w:rPr>
        <w:t xml:space="preserve">(OH) </w:t>
      </w:r>
      <w:r w:rsidRPr="003D1B42">
        <w:rPr>
          <w:rFonts w:cs="Times New Roman"/>
        </w:rPr>
        <w:fldChar w:fldCharType="begin" w:fldLock="1"/>
      </w:r>
      <w:r w:rsidR="00266290">
        <w:rPr>
          <w:rFonts w:cs="Times New Roman"/>
        </w:rPr>
        <w:instrText>ADDIN CSL_CITATION { "citationItems" : [ { "id" : "ITEM-1", "itemData" : { "DOI" : "10.3749/canmin.50.4.1025", "ISSN" : "00084476", "abstract" : "Miarolitic granitic pegmatites at the Little Three mine property near Ramona, San Diego County, California, USA, possess a bulk composition that closely matches that of a hydrous peraluminous granitic liquid that is saturated with respect to tourmaline at a temperature of \u223c450\u00b0C. As such, the pegmatites appear to represent the compositions of the silicate liquid from which they crystallized, which contained &lt;1 wt% B2O3 and minor amounts of Li and F. They do not appear to have contained phenocrysts upon emplacement, and they are neither partially cumulate nor hydrothermal in nature. The Little Three pegmatites are, however, sharply zoned. Chemical zonation across one small dike matches the patterns expected from crystallization of undercooled granitic liquids, in which the far-field diffusion of alkalis and local constitutional zone refining of fluxing and incompatible elements contribute to the chemical and textural changes from the margins inward. Feldspar thermometry records nearly isothermal crystallization at \u223c420\u00b0\u2013430\u00b0C for dikes from 1 to 2.5 m in thickness. Temperatures recorded by feldspars fall toward the miarolitic center of the thicker (Main) dike, but increase to \u223c500\u00b0C in the thinner (Swamp) dike. Fluid inclusions within quartz and topaz from miarolitic cavities of the Main dike contain cryolite, arsenides, arsenates, pollucite, and borates, including Cs borate, the latter of which indicates a higher degree of chemical fractionation than is present in the minerals that line the cavities. Extrapolation along isochores based on the homogenization (200\u00b0\u2013225\u00b0C) of the low-salinity aqueous fluid (&lt;1 equivalent wt% NaCl) to the temperature of feldspar equilibration (240\u00b0\u2013270\u00b0C) with the miarolitic cavity points to hydrostatic entrapment pressures of \u223c50 to 100 MPa, which are unrealistically low. If the isochores are extrapolated to 370\u00b0 \u00b1 20\u00b0C, the temperatures recorded by feldspars in the pegmatite that surrounds the miarolitic pockets, then the entrapment pressure would be \u223c200\u2013250 MPa. Formation of the miarolitic cavities at \u223c370\u00b0C and 200\u2013250 MPa is plausible, as the cavities contain zeolites; therefore, the feldspars within the pockets have recrystallized (re-equilibrated) to an extent that they no longer preserve their original compositions. ", "author" : [ { "dropping-particle" : "", "family" : "London", "given" : "David", "non-dropping-particle" : "", "parse-names" : false, "suffix" : "" }, { "dropping-particle" : "", "family" : "Morganvi", "given" : "George B.", "non-dropping-particle" : "", "parse-names" : false, "suffix" : "" }, { "dropping-particle" : "", "family" : "Paul", "given" : "Kerry A.", "non-dropping-particle" : "", "parse-names" : false, "suffix" : "" }, { "dropping-particle" : "", "family" : "Guttery", "given" : "Brandon M.", "non-dropping-particle" : "", "parse-names" : false, "suffix" : "" } ], "container-title" : "Canadian Mineralogist", "id" : "ITEM-1", "issue" : "4", "issued" : { "date-parts" : [ [ "2012" ] ] }, "page" : "1025-1054", "title" : "Internal evolution of miarolitic granitic pegmatites at the little three Mine, Ramona, California, USA", "type" : "article-journal", "volume" : "50" }, "uris" : [ "http://www.mendeley.com/documents/?uuid=a213218b-05b1-4ed6-8346-161a0a5501f1" ] } ], "mendeley" : { "formattedCitation" : "(London et al., 2012)", "plainTextFormattedCitation" : "(London et al., 2012)", "previouslyFormattedCitation" : "(London et al. 2012)" }, "properties" : { "noteIndex" : 0 }, "schema" : "https://github.com/citation-style-language/schema/raw/master/csl-citation.json" }</w:instrText>
      </w:r>
      <w:r w:rsidRPr="003D1B42">
        <w:rPr>
          <w:rFonts w:cs="Times New Roman"/>
        </w:rPr>
        <w:fldChar w:fldCharType="separate"/>
      </w:r>
      <w:r w:rsidR="00266290" w:rsidRPr="00266290">
        <w:rPr>
          <w:rFonts w:cs="Times New Roman"/>
          <w:noProof/>
        </w:rPr>
        <w:t>(London et al., 2012)</w:t>
      </w:r>
      <w:r w:rsidRPr="003D1B42">
        <w:rPr>
          <w:rFonts w:cs="Times New Roman"/>
        </w:rPr>
        <w:fldChar w:fldCharType="end"/>
      </w:r>
      <w:r w:rsidRPr="003D1B42">
        <w:rPr>
          <w:rFonts w:cs="Times New Roman"/>
        </w:rPr>
        <w:t xml:space="preserve">. </w:t>
      </w:r>
      <w:r w:rsidRPr="00910670">
        <w:rPr>
          <w:rFonts w:cs="Times New Roman"/>
        </w:rPr>
        <w:t>Mica (muscovite) from the miarolitic cavity</w:t>
      </w:r>
      <w:r>
        <w:rPr>
          <w:rFonts w:cs="Times New Roman"/>
        </w:rPr>
        <w:t>, analyzed by EMPA in the present study, is a solid-solution of paragonite (</w:t>
      </w:r>
      <w:r w:rsidRPr="00910670">
        <w:rPr>
          <w:rFonts w:cs="Times New Roman"/>
        </w:rPr>
        <w:t>~10%</w:t>
      </w:r>
      <w:r>
        <w:rPr>
          <w:rFonts w:cs="Times New Roman"/>
        </w:rPr>
        <w:t>) and muscovite (~90%).</w:t>
      </w:r>
      <w:r w:rsidRPr="003D1B42">
        <w:rPr>
          <w:rFonts w:cs="Times New Roman"/>
        </w:rPr>
        <w:t xml:space="preserve"> The B content of muscovite, as determined by SIMS, is ~900 ppm B.</w:t>
      </w:r>
    </w:p>
    <w:p w:rsidR="00665C0F" w:rsidRPr="0047415D" w:rsidRDefault="00F65F32" w:rsidP="00F65F32">
      <w:pPr>
        <w:pStyle w:val="Heading2"/>
        <w:spacing w:line="480" w:lineRule="auto"/>
        <w:rPr>
          <w:rFonts w:cs="Times New Roman"/>
          <w:bCs/>
          <w:sz w:val="24"/>
        </w:rPr>
      </w:pPr>
      <w:bookmarkStart w:id="31" w:name="_Toc491245998"/>
      <w:r w:rsidRPr="0047415D">
        <w:rPr>
          <w:rFonts w:cs="Times New Roman"/>
          <w:bCs/>
          <w:sz w:val="24"/>
        </w:rPr>
        <w:t>5</w:t>
      </w:r>
      <w:r w:rsidR="00A24071" w:rsidRPr="0047415D">
        <w:rPr>
          <w:rFonts w:cs="Times New Roman"/>
          <w:bCs/>
          <w:sz w:val="24"/>
        </w:rPr>
        <w:t>.</w:t>
      </w:r>
      <w:r w:rsidRPr="0047415D">
        <w:rPr>
          <w:rFonts w:cs="Times New Roman"/>
          <w:bCs/>
          <w:sz w:val="24"/>
        </w:rPr>
        <w:t xml:space="preserve"> Discussion</w:t>
      </w:r>
      <w:bookmarkEnd w:id="31"/>
    </w:p>
    <w:p w:rsidR="00665C0F" w:rsidRDefault="00665C0F" w:rsidP="00F65F32">
      <w:pPr>
        <w:spacing w:after="0" w:line="480" w:lineRule="auto"/>
        <w:ind w:firstLine="360"/>
        <w:rPr>
          <w:rFonts w:cs="Times New Roman"/>
        </w:rPr>
      </w:pPr>
      <w:r>
        <w:rPr>
          <w:rFonts w:cs="Times New Roman"/>
        </w:rPr>
        <w:t>Two</w:t>
      </w:r>
      <w:r w:rsidRPr="003D1B42">
        <w:rPr>
          <w:rFonts w:cs="Times New Roman"/>
        </w:rPr>
        <w:t xml:space="preserve"> peculiarities emerge concerning the values of δ</w:t>
      </w:r>
      <w:r w:rsidRPr="003D1B42">
        <w:rPr>
          <w:rFonts w:cs="Times New Roman"/>
          <w:vertAlign w:val="superscript"/>
        </w:rPr>
        <w:t>11</w:t>
      </w:r>
      <w:r w:rsidRPr="003D1B42">
        <w:rPr>
          <w:rFonts w:cs="Times New Roman"/>
        </w:rPr>
        <w:t>B</w:t>
      </w:r>
      <w:r w:rsidRPr="003D1B42">
        <w:rPr>
          <w:rFonts w:cs="Times New Roman"/>
          <w:vertAlign w:val="subscript"/>
        </w:rPr>
        <w:t>Tur</w:t>
      </w:r>
      <w:r w:rsidRPr="003D1B42">
        <w:rPr>
          <w:rFonts w:cs="Times New Roman"/>
        </w:rPr>
        <w:t xml:space="preserve"> from the pegmatites of the Little Three mine. </w:t>
      </w:r>
    </w:p>
    <w:p w:rsidR="00665C0F" w:rsidRDefault="00665C0F" w:rsidP="00665C0F">
      <w:pPr>
        <w:pStyle w:val="ListParagraph"/>
        <w:numPr>
          <w:ilvl w:val="0"/>
          <w:numId w:val="15"/>
        </w:numPr>
        <w:spacing w:after="0" w:line="480" w:lineRule="auto"/>
        <w:contextualSpacing w:val="0"/>
        <w:rPr>
          <w:rFonts w:cs="Times New Roman"/>
        </w:rPr>
      </w:pPr>
      <w:r w:rsidRPr="00D84D5B">
        <w:rPr>
          <w:rFonts w:cs="Times New Roman"/>
        </w:rPr>
        <w:t>the overall δ</w:t>
      </w:r>
      <w:r w:rsidRPr="00D84D5B">
        <w:rPr>
          <w:rFonts w:cs="Times New Roman"/>
          <w:vertAlign w:val="superscript"/>
        </w:rPr>
        <w:t>11</w:t>
      </w:r>
      <w:r w:rsidRPr="00D84D5B">
        <w:rPr>
          <w:rFonts w:cs="Times New Roman"/>
        </w:rPr>
        <w:t>B</w:t>
      </w:r>
      <w:r w:rsidRPr="00D84D5B">
        <w:rPr>
          <w:rFonts w:cs="Times New Roman"/>
          <w:vertAlign w:val="subscript"/>
        </w:rPr>
        <w:t>Tur</w:t>
      </w:r>
      <w:r w:rsidRPr="00D84D5B">
        <w:rPr>
          <w:rFonts w:cs="Times New Roman"/>
        </w:rPr>
        <w:t xml:space="preserve"> values are heavier than most other granite-pegmatite systems that have been studied (Fig. </w:t>
      </w:r>
      <w:r w:rsidR="00815F07">
        <w:rPr>
          <w:rFonts w:cs="Times New Roman"/>
        </w:rPr>
        <w:t>2-</w:t>
      </w:r>
      <w:r>
        <w:rPr>
          <w:rFonts w:cs="Times New Roman"/>
        </w:rPr>
        <w:t>7),</w:t>
      </w:r>
      <w:r w:rsidRPr="00D84D5B">
        <w:rPr>
          <w:rFonts w:cs="Times New Roman"/>
        </w:rPr>
        <w:t xml:space="preserve"> </w:t>
      </w:r>
      <w:r>
        <w:rPr>
          <w:rFonts w:cs="Times New Roman"/>
        </w:rPr>
        <w:t>and</w:t>
      </w:r>
    </w:p>
    <w:p w:rsidR="00665C0F" w:rsidRDefault="00665C0F" w:rsidP="00665C0F">
      <w:pPr>
        <w:pStyle w:val="ListParagraph"/>
        <w:numPr>
          <w:ilvl w:val="0"/>
          <w:numId w:val="15"/>
        </w:numPr>
        <w:spacing w:after="0" w:line="480" w:lineRule="auto"/>
        <w:contextualSpacing w:val="0"/>
        <w:rPr>
          <w:rFonts w:cs="Times New Roman"/>
        </w:rPr>
      </w:pPr>
      <w:r w:rsidRPr="00D84D5B">
        <w:rPr>
          <w:rFonts w:cs="Times New Roman"/>
        </w:rPr>
        <w:t>the δ</w:t>
      </w:r>
      <w:r w:rsidRPr="00D84D5B">
        <w:rPr>
          <w:rFonts w:cs="Times New Roman"/>
          <w:vertAlign w:val="superscript"/>
        </w:rPr>
        <w:t>11</w:t>
      </w:r>
      <w:r w:rsidRPr="00D84D5B">
        <w:rPr>
          <w:rFonts w:cs="Times New Roman"/>
        </w:rPr>
        <w:t>B</w:t>
      </w:r>
      <w:r w:rsidRPr="00D84D5B">
        <w:rPr>
          <w:rFonts w:cs="Times New Roman"/>
          <w:vertAlign w:val="subscript"/>
        </w:rPr>
        <w:t xml:space="preserve"> </w:t>
      </w:r>
      <w:r w:rsidRPr="00D84D5B">
        <w:rPr>
          <w:rFonts w:cs="Times New Roman"/>
        </w:rPr>
        <w:t>of tourmaline across the Main and Swamp dikes tend not to fluctuate as expected based on what is known about fractionation in the system tourmal</w:t>
      </w:r>
      <w:r>
        <w:rPr>
          <w:rFonts w:cs="Times New Roman"/>
        </w:rPr>
        <w:t>ine-granitic melt-aqueous fluid</w:t>
      </w:r>
    </w:p>
    <w:p w:rsidR="00665C0F" w:rsidRPr="00F65F32" w:rsidRDefault="00F65F32" w:rsidP="00F65F32">
      <w:pPr>
        <w:pStyle w:val="Heading3"/>
        <w:spacing w:line="480" w:lineRule="auto"/>
        <w:rPr>
          <w:rFonts w:cs="Times New Roman"/>
          <w:bCs/>
        </w:rPr>
      </w:pPr>
      <w:bookmarkStart w:id="32" w:name="_Toc491245999"/>
      <w:r w:rsidRPr="00F65F32">
        <w:rPr>
          <w:rFonts w:cs="Times New Roman"/>
          <w:bCs/>
        </w:rPr>
        <w:lastRenderedPageBreak/>
        <w:t>5.1</w:t>
      </w:r>
      <w:r w:rsidR="00A24071">
        <w:rPr>
          <w:rFonts w:cs="Times New Roman"/>
          <w:bCs/>
        </w:rPr>
        <w:t>.</w:t>
      </w:r>
      <w:r w:rsidRPr="00F65F32">
        <w:rPr>
          <w:rFonts w:cs="Times New Roman"/>
          <w:bCs/>
        </w:rPr>
        <w:t xml:space="preserve"> </w:t>
      </w:r>
      <w:r w:rsidR="00665C0F" w:rsidRPr="00F65F32">
        <w:rPr>
          <w:rFonts w:cs="Times New Roman"/>
          <w:bCs/>
        </w:rPr>
        <w:t>Heavy Isotopic Bulk Composition</w:t>
      </w:r>
      <w:bookmarkEnd w:id="32"/>
    </w:p>
    <w:p w:rsidR="00665C0F" w:rsidRPr="003D1B42" w:rsidRDefault="00665C0F" w:rsidP="00F65F32">
      <w:pPr>
        <w:spacing w:after="240" w:line="480" w:lineRule="auto"/>
        <w:ind w:firstLine="720"/>
        <w:rPr>
          <w:rFonts w:cs="Times New Roman"/>
        </w:rPr>
      </w:pPr>
      <w:r w:rsidRPr="003D1B42">
        <w:rPr>
          <w:rFonts w:cs="Times New Roman"/>
        </w:rPr>
        <w:t xml:space="preserve">There are at least two possible explanations for the heavy isotopic compositions of tourmaline from the pegmatite dikes at the Little Three mine: </w:t>
      </w:r>
      <w:r>
        <w:rPr>
          <w:rFonts w:cs="Times New Roman"/>
        </w:rPr>
        <w:t>(1</w:t>
      </w:r>
      <w:r w:rsidRPr="003D1B42">
        <w:rPr>
          <w:rFonts w:cs="Times New Roman"/>
        </w:rPr>
        <w:t xml:space="preserve">) the system was open to influx or loss of B, such that the pegmatite-forming melt gained </w:t>
      </w:r>
      <w:r w:rsidRPr="003D1B42">
        <w:rPr>
          <w:rFonts w:cs="Times New Roman"/>
          <w:vertAlign w:val="superscript"/>
        </w:rPr>
        <w:t>11</w:t>
      </w:r>
      <w:r w:rsidRPr="003D1B42">
        <w:rPr>
          <w:rFonts w:cs="Times New Roman"/>
        </w:rPr>
        <w:t xml:space="preserve">B or lost </w:t>
      </w:r>
      <w:r w:rsidRPr="003D1B42">
        <w:rPr>
          <w:rFonts w:cs="Times New Roman"/>
          <w:vertAlign w:val="superscript"/>
        </w:rPr>
        <w:t>10</w:t>
      </w:r>
      <w:r w:rsidRPr="003D1B42">
        <w:rPr>
          <w:rFonts w:cs="Times New Roman"/>
        </w:rPr>
        <w:t>B</w:t>
      </w:r>
      <w:r>
        <w:rPr>
          <w:rFonts w:cs="Times New Roman"/>
        </w:rPr>
        <w:t>, and/or</w:t>
      </w:r>
      <w:r w:rsidRPr="003D1B42">
        <w:rPr>
          <w:rFonts w:cs="Times New Roman"/>
        </w:rPr>
        <w:t xml:space="preserve"> (</w:t>
      </w:r>
      <w:r>
        <w:rPr>
          <w:rFonts w:cs="Times New Roman"/>
        </w:rPr>
        <w:t>2</w:t>
      </w:r>
      <w:r w:rsidRPr="003D1B42">
        <w:rPr>
          <w:rFonts w:cs="Times New Roman"/>
        </w:rPr>
        <w:t xml:space="preserve">) the source of the pegmatite-forming melt was isotopically heavy. </w:t>
      </w:r>
    </w:p>
    <w:p w:rsidR="00665C0F" w:rsidRPr="00F65F32" w:rsidRDefault="00F65F32" w:rsidP="00F65F32">
      <w:pPr>
        <w:pStyle w:val="Heading4"/>
        <w:spacing w:line="480" w:lineRule="auto"/>
        <w:rPr>
          <w:rFonts w:cs="Times New Roman"/>
        </w:rPr>
      </w:pPr>
      <w:bookmarkStart w:id="33" w:name="_Toc491246000"/>
      <w:r w:rsidRPr="00F65F32">
        <w:rPr>
          <w:rFonts w:cs="Times New Roman"/>
          <w:bCs/>
          <w:i w:val="0"/>
          <w:iCs w:val="0"/>
        </w:rPr>
        <w:t>5.1.1</w:t>
      </w:r>
      <w:r w:rsidR="00A24071">
        <w:rPr>
          <w:rFonts w:cs="Times New Roman"/>
          <w:bCs/>
          <w:i w:val="0"/>
          <w:iCs w:val="0"/>
        </w:rPr>
        <w:t>.</w:t>
      </w:r>
      <w:r w:rsidRPr="00F65F32">
        <w:rPr>
          <w:rFonts w:cs="Times New Roman"/>
          <w:bCs/>
          <w:i w:val="0"/>
          <w:iCs w:val="0"/>
        </w:rPr>
        <w:t xml:space="preserve"> </w:t>
      </w:r>
      <w:r w:rsidR="00665C0F" w:rsidRPr="00F65F32">
        <w:rPr>
          <w:rFonts w:cs="Times New Roman"/>
          <w:bCs/>
          <w:i w:val="0"/>
          <w:iCs w:val="0"/>
        </w:rPr>
        <w:t>Influx of B into the pegmatites</w:t>
      </w:r>
      <w:bookmarkEnd w:id="33"/>
      <w:r w:rsidR="00665C0F" w:rsidRPr="00F65F32">
        <w:rPr>
          <w:rFonts w:cs="Times New Roman"/>
        </w:rPr>
        <w:t xml:space="preserve"> </w:t>
      </w:r>
    </w:p>
    <w:p w:rsidR="00665C0F" w:rsidRPr="003D1B42" w:rsidRDefault="00F65F32" w:rsidP="00665C0F">
      <w:pPr>
        <w:tabs>
          <w:tab w:val="left" w:pos="720"/>
          <w:tab w:val="left" w:pos="1980"/>
        </w:tabs>
        <w:spacing w:after="240" w:line="480" w:lineRule="auto"/>
        <w:rPr>
          <w:rFonts w:cs="Times New Roman"/>
        </w:rPr>
      </w:pPr>
      <w:r>
        <w:rPr>
          <w:rFonts w:cs="Times New Roman"/>
        </w:rPr>
        <w:tab/>
      </w:r>
      <w:r w:rsidR="00665C0F" w:rsidRPr="003D1B42">
        <w:rPr>
          <w:rFonts w:cs="Times New Roman"/>
        </w:rPr>
        <w:t xml:space="preserve">The host rocks for the Little Three dikes are typical calc-alkaline norite and tonalite of the Peninsular Ranges Batholith (PRB) </w:t>
      </w:r>
      <w:r w:rsidR="00665C0F" w:rsidRPr="003D1B42">
        <w:rPr>
          <w:rFonts w:cs="Times New Roman"/>
        </w:rPr>
        <w:fldChar w:fldCharType="begin" w:fldLock="1"/>
      </w:r>
      <w:r w:rsidR="00266290">
        <w:rPr>
          <w:rFonts w:cs="Times New Roman"/>
        </w:rPr>
        <w:instrText>ADDIN CSL_CITATION { "citationItems" : [ { "id" : "ITEM-1", "itemData" : { "DOI" : "10.1139/E09-035", "ISSN" : "0008-4077", "author" : [ { "dropping-particle" : "", "family" : "Symons", "given" : "D.T.A.", "non-dropping-particle" : "", "parse-names" : false, "suffix" : "" }, { "dropping-particle" : "", "family" : "Smith", "given" : "T. E.", "non-dropping-particle" : "", "parse-names" : false, "suffix" : "" }, { "dropping-particle" : "", "family" : "Kawasaki", "given" : "K.", "non-dropping-particle" : "", "parse-names" : false, "suffix" : "" }, { "dropping-particle" : "", "family" : "Walawender", "given" : "M. J.", "non-dropping-particle" : "", "parse-names" : false, "suffix" : "" } ], "container-title" : "Canadian Journal of Earth Sciences", "id" : "ITEM-1", "issue" : "9", "issued" : { "date-parts" : [ [ "2009" ] ] }, "page" : "675-687", "title" : "Paleomagnetism of the mid-Cretaceous gem-bearing pegmatite dikes of San Diego County, California, USA", "type" : "article-journal", "volume" : "46" }, "uris" : [ "http://www.mendeley.com/documents/?uuid=0982a5c6-90b3-45e7-9de9-2c4e38cd8316" ] } ], "mendeley" : { "formattedCitation" : "(Symons et al., 2009)", "plainTextFormattedCitation" : "(Symons et al., 2009)", "previouslyFormattedCitation" : "(Symons et al. 2009)" }, "properties" : { "noteIndex" : 0 }, "schema" : "https://github.com/citation-style-language/schema/raw/master/csl-citation.json" }</w:instrText>
      </w:r>
      <w:r w:rsidR="00665C0F" w:rsidRPr="003D1B42">
        <w:rPr>
          <w:rFonts w:cs="Times New Roman"/>
        </w:rPr>
        <w:fldChar w:fldCharType="separate"/>
      </w:r>
      <w:r w:rsidR="00266290" w:rsidRPr="00266290">
        <w:rPr>
          <w:rFonts w:cs="Times New Roman"/>
          <w:noProof/>
        </w:rPr>
        <w:t>(Symons et al., 2009)</w:t>
      </w:r>
      <w:r w:rsidR="00665C0F" w:rsidRPr="003D1B42">
        <w:rPr>
          <w:rFonts w:cs="Times New Roman"/>
        </w:rPr>
        <w:fldChar w:fldCharType="end"/>
      </w:r>
      <w:r w:rsidR="00665C0F" w:rsidRPr="003D1B42">
        <w:rPr>
          <w:rFonts w:cs="Times New Roman"/>
        </w:rPr>
        <w:t xml:space="preserve">; therefore, they are not a source of boron that crystallized within the pegmatites. The norite-tonalite is locally altered to tourmaline at one small meter-scale spot along the contact of the Spessartine dike. Otherwise, the contacts between pegmatites and mafic hosts are sharp and fresh along tens of meters of outcrop strike. Thus, there is enough control by outcrop to state that the host rock is reactive to an influx of boron, but that very little boron escaped from the pegmatite system to the host </w:t>
      </w:r>
      <w:r w:rsidR="00665C0F" w:rsidRPr="003D1B42">
        <w:rPr>
          <w:rFonts w:cs="Times New Roman"/>
        </w:rPr>
        <w:fldChar w:fldCharType="begin" w:fldLock="1"/>
      </w:r>
      <w:r w:rsidR="00266290">
        <w:rPr>
          <w:rFonts w:cs="Times New Roman"/>
        </w:rPr>
        <w:instrText>ADDIN CSL_CITATION { "citationItems" : [ { "id" : "ITEM-1", "itemData" : { "DOI" : "10.3749/canmin.50.4.1025", "ISSN" : "00084476", "abstract" : "Miarolitic granitic pegmatites at the Little Three mine property near Ramona, San Diego County, California, USA, possess a bulk composition that closely matches that of a hydrous peraluminous granitic liquid that is saturated with respect to tourmaline at a temperature of \u223c450\u00b0C. As such, the pegmatites appear to represent the compositions of the silicate liquid from which they crystallized, which contained &lt;1 wt% B2O3 and minor amounts of Li and F. They do not appear to have contained phenocrysts upon emplacement, and they are neither partially cumulate nor hydrothermal in nature. The Little Three pegmatites are, however, sharply zoned. Chemical zonation across one small dike matches the patterns expected from crystallization of undercooled granitic liquids, in which the far-field diffusion of alkalis and local constitutional zone refining of fluxing and incompatible elements contribute to the chemical and textural changes from the margins inward. Feldspar thermometry records nearly isothermal crystallization at \u223c420\u00b0\u2013430\u00b0C for dikes from 1 to 2.5 m in thickness. Temperatures recorded by feldspars fall toward the miarolitic center of the thicker (Main) dike, but increase to \u223c500\u00b0C in the thinner (Swamp) dike. Fluid inclusions within quartz and topaz from miarolitic cavities of the Main dike contain cryolite, arsenides, arsenates, pollucite, and borates, including Cs borate, the latter of which indicates a higher degree of chemical fractionation than is present in the minerals that line the cavities. Extrapolation along isochores based on the homogenization (200\u00b0\u2013225\u00b0C) of the low-salinity aqueous fluid (&lt;1 equivalent wt% NaCl) to the temperature of feldspar equilibration (240\u00b0\u2013270\u00b0C) with the miarolitic cavity points to hydrostatic entrapment pressures of \u223c50 to 100 MPa, which are unrealistically low. If the isochores are extrapolated to 370\u00b0 \u00b1 20\u00b0C, the temperatures recorded by feldspars in the pegmatite that surrounds the miarolitic pockets, then the entrapment pressure would be \u223c200\u2013250 MPa. Formation of the miarolitic cavities at \u223c370\u00b0C and 200\u2013250 MPa is plausible, as the cavities contain zeolites; therefore, the feldspars within the pockets have recrystallized (re-equilibrated) to an extent that they no longer preserve their original compositions. ", "author" : [ { "dropping-particle" : "", "family" : "London", "given" : "David", "non-dropping-particle" : "", "parse-names" : false, "suffix" : "" }, { "dropping-particle" : "", "family" : "Morganvi", "given" : "George B.", "non-dropping-particle" : "", "parse-names" : false, "suffix" : "" }, { "dropping-particle" : "", "family" : "Paul", "given" : "Kerry A.", "non-dropping-particle" : "", "parse-names" : false, "suffix" : "" }, { "dropping-particle" : "", "family" : "Guttery", "given" : "Brandon M.", "non-dropping-particle" : "", "parse-names" : false, "suffix" : "" } ], "container-title" : "Canadian Mineralogist", "id" : "ITEM-1", "issue" : "4", "issued" : { "date-parts" : [ [ "2012" ] ] }, "page" : "1025-1054", "title" : "Internal evolution of miarolitic granitic pegmatites at the little three Mine, Ramona, California, USA", "type" : "article-journal", "volume" : "50" }, "uris" : [ "http://www.mendeley.com/documents/?uuid=a213218b-05b1-4ed6-8346-161a0a5501f1" ] } ], "mendeley" : { "formattedCitation" : "(London et al., 2012)", "plainTextFormattedCitation" : "(London et al., 2012)", "previouslyFormattedCitation" : "(London et al. 2012)" }, "properties" : { "noteIndex" : 0 }, "schema" : "https://github.com/citation-style-language/schema/raw/master/csl-citation.json" }</w:instrText>
      </w:r>
      <w:r w:rsidR="00665C0F" w:rsidRPr="003D1B42">
        <w:rPr>
          <w:rFonts w:cs="Times New Roman"/>
        </w:rPr>
        <w:fldChar w:fldCharType="separate"/>
      </w:r>
      <w:r w:rsidR="00266290" w:rsidRPr="00266290">
        <w:rPr>
          <w:rFonts w:cs="Times New Roman"/>
          <w:noProof/>
        </w:rPr>
        <w:t>(London et al., 2012)</w:t>
      </w:r>
      <w:r w:rsidR="00665C0F" w:rsidRPr="003D1B42">
        <w:rPr>
          <w:rFonts w:cs="Times New Roman"/>
        </w:rPr>
        <w:fldChar w:fldCharType="end"/>
      </w:r>
      <w:r w:rsidR="00665C0F" w:rsidRPr="003D1B42">
        <w:rPr>
          <w:rFonts w:cs="Times New Roman"/>
        </w:rPr>
        <w:t>. If correct, then the pegmatites crystallized as essentially closed systems with respect to their hosts, and the b</w:t>
      </w:r>
      <w:r w:rsidR="00665C0F">
        <w:rPr>
          <w:rFonts w:cs="Times New Roman"/>
        </w:rPr>
        <w:t>ulk isotopic signature of borate (hambergite)</w:t>
      </w:r>
      <w:r w:rsidR="00665C0F" w:rsidRPr="003D1B42">
        <w:rPr>
          <w:rFonts w:cs="Times New Roman"/>
        </w:rPr>
        <w:t xml:space="preserve"> and borosilicate minerals in their modal proportion would be close to that of the bulk isotopic system of the pegmatite-forming melt and aqueous solution.</w:t>
      </w:r>
    </w:p>
    <w:p w:rsidR="00665C0F" w:rsidRPr="00F65F32" w:rsidRDefault="00F65F32" w:rsidP="00F65F32">
      <w:pPr>
        <w:pStyle w:val="Heading4"/>
        <w:spacing w:line="480" w:lineRule="auto"/>
        <w:rPr>
          <w:rFonts w:cs="Times New Roman"/>
        </w:rPr>
      </w:pPr>
      <w:bookmarkStart w:id="34" w:name="_Toc491246001"/>
      <w:r w:rsidRPr="00F65F32">
        <w:rPr>
          <w:rFonts w:cs="Times New Roman"/>
          <w:bCs/>
          <w:i w:val="0"/>
          <w:iCs w:val="0"/>
        </w:rPr>
        <w:t>5.1.2</w:t>
      </w:r>
      <w:r w:rsidR="00A24071">
        <w:rPr>
          <w:rFonts w:cs="Times New Roman"/>
          <w:bCs/>
          <w:i w:val="0"/>
          <w:iCs w:val="0"/>
        </w:rPr>
        <w:t>.</w:t>
      </w:r>
      <w:r w:rsidRPr="00F65F32">
        <w:rPr>
          <w:rFonts w:cs="Times New Roman"/>
          <w:bCs/>
          <w:i w:val="0"/>
          <w:iCs w:val="0"/>
        </w:rPr>
        <w:t xml:space="preserve"> </w:t>
      </w:r>
      <w:r w:rsidR="00665C0F" w:rsidRPr="00F65F32">
        <w:rPr>
          <w:rFonts w:cs="Times New Roman"/>
          <w:bCs/>
          <w:i w:val="0"/>
          <w:iCs w:val="0"/>
        </w:rPr>
        <w:t>Potential sources of the pegmatite-forming mel</w:t>
      </w:r>
      <w:r w:rsidRPr="00F65F32">
        <w:rPr>
          <w:rFonts w:cs="Times New Roman"/>
          <w:bCs/>
          <w:i w:val="0"/>
          <w:iCs w:val="0"/>
        </w:rPr>
        <w:t>t</w:t>
      </w:r>
      <w:bookmarkEnd w:id="34"/>
      <w:r w:rsidR="00665C0F" w:rsidRPr="00F65F32">
        <w:rPr>
          <w:rFonts w:cs="Times New Roman"/>
        </w:rPr>
        <w:t xml:space="preserve"> </w:t>
      </w:r>
    </w:p>
    <w:p w:rsidR="00665C0F" w:rsidRDefault="00F65F32" w:rsidP="00665C0F">
      <w:pPr>
        <w:tabs>
          <w:tab w:val="left" w:pos="720"/>
          <w:tab w:val="left" w:pos="1980"/>
        </w:tabs>
        <w:spacing w:after="240" w:line="480" w:lineRule="auto"/>
        <w:rPr>
          <w:rFonts w:cs="Times New Roman"/>
        </w:rPr>
      </w:pPr>
      <w:r>
        <w:rPr>
          <w:rFonts w:cs="Times New Roman"/>
        </w:rPr>
        <w:tab/>
      </w:r>
      <w:r w:rsidR="00665C0F">
        <w:rPr>
          <w:rFonts w:cs="Times New Roman"/>
        </w:rPr>
        <w:t xml:space="preserve">Tourmalines from the Little Three pegmatites differ from other pegmatitic tourmaline in that their </w:t>
      </w:r>
      <w:r w:rsidR="00665C0F">
        <w:t>δ</w:t>
      </w:r>
      <w:r w:rsidR="00665C0F">
        <w:rPr>
          <w:rFonts w:cs="Times New Roman"/>
          <w:vertAlign w:val="superscript"/>
        </w:rPr>
        <w:t>11</w:t>
      </w:r>
      <w:r w:rsidR="00665C0F">
        <w:rPr>
          <w:rFonts w:cs="Times New Roman"/>
        </w:rPr>
        <w:t xml:space="preserve">B values are substantially higher than tourmaline from most pegmatites (Fig. </w:t>
      </w:r>
      <w:r w:rsidR="00815F07">
        <w:rPr>
          <w:rFonts w:cs="Times New Roman"/>
        </w:rPr>
        <w:t>2-</w:t>
      </w:r>
      <w:r w:rsidR="00665C0F">
        <w:rPr>
          <w:rFonts w:cs="Times New Roman"/>
        </w:rPr>
        <w:t xml:space="preserve">7). </w:t>
      </w:r>
      <w:r w:rsidR="00665C0F" w:rsidRPr="003D1B42">
        <w:rPr>
          <w:rFonts w:cs="Times New Roman"/>
        </w:rPr>
        <w:t>The full range of δ</w:t>
      </w:r>
      <w:r w:rsidR="00665C0F" w:rsidRPr="003D1B42">
        <w:rPr>
          <w:rFonts w:cs="Times New Roman"/>
          <w:vertAlign w:val="superscript"/>
        </w:rPr>
        <w:t>11</w:t>
      </w:r>
      <w:r w:rsidR="00665C0F" w:rsidRPr="003D1B42">
        <w:rPr>
          <w:rFonts w:cs="Times New Roman"/>
        </w:rPr>
        <w:t>B</w:t>
      </w:r>
      <w:r w:rsidR="00665C0F" w:rsidRPr="003D1B42">
        <w:rPr>
          <w:rFonts w:cs="Times New Roman"/>
          <w:vertAlign w:val="subscript"/>
        </w:rPr>
        <w:t>Tur</w:t>
      </w:r>
      <w:r w:rsidR="00665C0F" w:rsidRPr="003D1B42">
        <w:rPr>
          <w:rFonts w:cs="Times New Roman"/>
        </w:rPr>
        <w:t xml:space="preserve"> from granites and pegmatites extends from approximately -27‰ to +9‰ </w:t>
      </w:r>
      <w:r w:rsidR="00665C0F">
        <w:rPr>
          <w:rFonts w:cs="Times New Roman"/>
        </w:rPr>
        <w:fldChar w:fldCharType="begin" w:fldLock="1"/>
      </w:r>
      <w:r w:rsidR="00266290">
        <w:rPr>
          <w:rFonts w:cs="Times New Roman"/>
        </w:rPr>
        <w:instrText>ADDIN CSL_CITATION { "citationItems" : [ { "id" : "ITEM-1", "itemData" : { "author" : [ { "dropping-particle" : "", "family" : "Palmer", "given" : "Martin R.", "non-dropping-particle" : "", "parse-names" : false, "suffix" : "" }, { "dropping-particle" : "", "family" : "Swihart", "given" : "George H.", "non-dropping-particle" : "", "parse-names" : false, "suffix" : "" } ], "container-title" : "Reviews in Mineralogy and Geochemistry", "id" : "ITEM-1", "issued" : { "date-parts" : [ [ "1996" ] ] }, "page" : "709-744", "title" : "Boron isotope geochemistry: An overview", "type" : "article-journal", "volume" : "33" }, "uris" : [ "http://www.mendeley.com/documents/?uuid=ae2ad9bb-18c7-414a-9833-d182e3cb0e6f" ] }, { "id" : "ITEM-2", "itemData" : { "DOI" : "10.1080/08120099.2013.813585", "ISBN" : "0812-0099", "ISSN" : "0812-0099", "abstract" : "The high geochemical reactivity of boron and the large relative mass difference between 10 B and 11 B lead to significant boron isotope fractionation in nature. So far the measured range of boron isotope composition (d 11 B) varies between \u201370 and \u00fe75%. The negative d 11 B values are found in non-marine evaporite borate minerals and tourmalines, whereas positive d 11 B values are common in salt lake brines and evaporated seawater. Since the 1980s, with improved measurement methods, applications of boron isotope analysis have increased rapidly. At present, boron isotopes are successfully applied to reconstruct ancient marine environments, to determine depositional environments and ore genesis, to trace groundwater pollution and seawater intrusion, and to study continental erosion. This paper summarises the methods for boron isotope analysis, the mechanisms of boron isotope fractionation and the distribution of boron isotopes in nature, reviews the achievements and the problems of boron isotopes in geochemical applications, and proposes research directions of boron isotopes in geochemical fields.", "author" : [ { "dropping-particle" : "", "family" : "Xiao", "given" : "J", "non-dropping-particle" : "", "parse-names" : false, "suffix" : "" }, { "dropping-particle" : "", "family" : "Xiao", "given" : "Y", "non-dropping-particle" : "", "parse-names" : false, "suffix" : "" }, { "dropping-particle" : "", "family" : "Jin", "given" : "Z", "non-dropping-particle" : "", "parse-names" : false, "suffix" : "" }, { "dropping-particle" : "", "family" : "He", "given" : "M", "non-dropping-particle" : "", "parse-names" : false, "suffix" : "" }, { "dropping-particle" : "", "family" : "Liu", "given" : "C", "non-dropping-particle" : "", "parse-names" : false, "suffix" : "" }, { "dropping-particle" : "", "family" : "Xiao", "given" : "Y-k", "non-dropping-particle" : "", "parse-names" : false, "suffix" : "" }, { "dropping-particle" : "", "family" : "Jin", "given" : "Z-d", "non-dropping-particle" : "", "parse-names" : false, "suffix" : "" }, { "dropping-particle" : "", "family" : "Liu", "given" : "C-q", "non-dropping-particle" : "", "parse-names" : false, "suffix" : "" } ], "container-title" : "Australian Journal of Earth Sciences: An International Geoscience Journal of the Geological Society of Australia", "id" : "ITEM-2", "issue" : "May 2014", "issued" : { "date-parts" : [ [ "2013" ] ] }, "title" : "Boron isotope variations and its geochemical application in nature", "type" : "article-journal", "volume" : "604" }, "uris" : [ "http://www.mendeley.com/documents/?uuid=bd455701-0344-3e34-bdcf-21e30e44323b" ] } ], "mendeley" : { "formattedCitation" : "(Palmer and Swihart, 1996; Xiao et al., 2013)", "plainTextFormattedCitation" : "(Palmer and Swihart, 1996; Xiao et al., 2013)", "previouslyFormattedCitation" : "(Palmer and Swihart 1996; Xiao et al. 2013)" }, "properties" : { "noteIndex" : 0 }, "schema" : "https://github.com/citation-style-language/schema/raw/master/csl-citation.json" }</w:instrText>
      </w:r>
      <w:r w:rsidR="00665C0F">
        <w:rPr>
          <w:rFonts w:cs="Times New Roman"/>
        </w:rPr>
        <w:fldChar w:fldCharType="separate"/>
      </w:r>
      <w:r w:rsidR="00266290" w:rsidRPr="00266290">
        <w:rPr>
          <w:rFonts w:cs="Times New Roman"/>
          <w:noProof/>
        </w:rPr>
        <w:t>(Palmer and Swihart, 1996; Xiao et al., 2013)</w:t>
      </w:r>
      <w:r w:rsidR="00665C0F">
        <w:rPr>
          <w:rFonts w:cs="Times New Roman"/>
        </w:rPr>
        <w:fldChar w:fldCharType="end"/>
      </w:r>
      <w:r w:rsidR="00665C0F" w:rsidRPr="003D1B42">
        <w:rPr>
          <w:rFonts w:cs="Times New Roman"/>
        </w:rPr>
        <w:t xml:space="preserve"> with a </w:t>
      </w:r>
      <w:r w:rsidR="00665C0F">
        <w:rPr>
          <w:rFonts w:cs="Times New Roman"/>
        </w:rPr>
        <w:lastRenderedPageBreak/>
        <w:t>prominent</w:t>
      </w:r>
      <w:r w:rsidR="00665C0F" w:rsidRPr="003D1B42">
        <w:rPr>
          <w:rFonts w:cs="Times New Roman"/>
        </w:rPr>
        <w:t xml:space="preserve"> mode at ~ -10‰</w:t>
      </w:r>
      <w:r w:rsidR="00665C0F">
        <w:rPr>
          <w:rFonts w:cs="Times New Roman"/>
        </w:rPr>
        <w:t xml:space="preserve"> (</w:t>
      </w:r>
      <w:r w:rsidR="00665C0F">
        <w:rPr>
          <w:rFonts w:cs="Times New Roman"/>
        </w:rPr>
        <w:fldChar w:fldCharType="begin" w:fldLock="1"/>
      </w:r>
      <w:r w:rsidR="00266290">
        <w:rPr>
          <w:rFonts w:cs="Times New Roman"/>
        </w:rPr>
        <w:instrText>ADDIN CSL_CITATION { "citationItems" : [ { "id" : "ITEM-1", "itemData" : { "DOI" : "10.1007/s004100000189", "ISBN" : "0010-7999", "ISSN" : "0010-7999", "abstract" : "Whole-rock chemical composition and 11B/10B isotope ratios in tourmaline was investigated to study the geochemical recycling of boron during the evolution of the Andean basement from the Palaeozoic to Mesozoic. In the basement (Cambrian to Ordovician high-grade paragneisses, migmatites and orthogneisses, the Eocambrian Puncoviscana Formation, and Paleozoic-Mesozoic granitoid igneous rocks) whole-rock B contents are generally below 100 ppm, but B contents of \u00a81 wt% are found in cogenetic aplite and pegmatite dikes and in tourmaline-quartz rocks. In the metasedimentary rocks, no systematic variation in B content because of metamorphic grade and no correlation of B with other incompatible elements are apparent. Tourmalines from the high-grade metamorphic basement yield '11B values ranging from m11.2 to m6.8\u2030 and isotope fractionation during migmatisation was small. Metamorphic tourmalines from the Puncoviscana Formation have '11B values between m6.3 and m5.8\u2030. The calculated (corrected for fractionation) '11B values of m6 to m2\u2030 for the sedimentary protolith of the metamorphic basement indicate a continental B source with subordinate marine input. Tourmalines from Palaeozoic and Mesozoic granitoids display an identical range of '11B values from m12 to m5.3\u2030 and indicate a similarly homogeneous B source throughout time. Tourmalines from pegmatites and tourmaline-quartz rocks record the average '11B values of the parental granitic magma. We assume that B in the Palaeozoic and Mesozoic granitoids is derived from the local metamorphic basement supporting the hypothesis that recycling of the lower Palaeozoic crust is the dominant process in granitic magma formation from Palaeozoic to Mesozoic. [Supplementary material obtainable as pdf on Springer web-site]", "author" : [ { "dropping-particle" : "", "family" : "Kasemann", "given" : "Simone", "non-dropping-particle" : "", "parse-names" : false, "suffix" : "" }, { "dropping-particle" : "", "family" : "Erzinger", "given" : "J\u00f6rg", "non-dropping-particle" : "", "parse-names" : false, "suffix" : "" }, { "dropping-particle" : "", "family" : "Franz", "given" : "Gerhard", "non-dropping-particle" : "", "parse-names" : false, "suffix" : "" } ], "container-title" : "Contributions to Mineralogy and Petrology", "id" : "ITEM-1", "issue" : "3", "issued" : { "date-parts" : [ [ "2000" ] ] }, "page" : "328-343", "title" : "Boron recycling in the continental crust of the central Andes from the Palaeozoic to Mesozoic, NW Argentina", "type" : "article-journal", "volume" : "140" }, "uris" : [ "http://www.mendeley.com/documents/?uuid=7f8b84ec-f447-489d-b412-d1bf8f7c55ff" ] } ], "mendeley" : { "formattedCitation" : "(Kasemann et al., 2000)", "manualFormatting" : "Fig. 7)", "plainTextFormattedCitation" : "(Kasemann et al., 2000)", "previouslyFormattedCitation" : "(Kasemann et al. 2000)" }, "properties" : { "noteIndex" : 0 }, "schema" : "https://github.com/citation-style-language/schema/raw/master/csl-citation.json" }</w:instrText>
      </w:r>
      <w:r w:rsidR="00665C0F">
        <w:rPr>
          <w:rFonts w:cs="Times New Roman"/>
        </w:rPr>
        <w:fldChar w:fldCharType="separate"/>
      </w:r>
      <w:r w:rsidR="00665C0F">
        <w:rPr>
          <w:rFonts w:cs="Times New Roman"/>
          <w:noProof/>
        </w:rPr>
        <w:t xml:space="preserve">Fig. </w:t>
      </w:r>
      <w:r w:rsidR="00815F07">
        <w:rPr>
          <w:rFonts w:cs="Times New Roman"/>
          <w:noProof/>
        </w:rPr>
        <w:t>2-</w:t>
      </w:r>
      <w:r w:rsidR="00665C0F">
        <w:rPr>
          <w:rFonts w:cs="Times New Roman"/>
          <w:noProof/>
        </w:rPr>
        <w:t>7</w:t>
      </w:r>
      <w:r w:rsidR="00665C0F" w:rsidRPr="00827DCA">
        <w:rPr>
          <w:rFonts w:cs="Times New Roman"/>
          <w:noProof/>
        </w:rPr>
        <w:t>)</w:t>
      </w:r>
      <w:r w:rsidR="00665C0F">
        <w:rPr>
          <w:rFonts w:cs="Times New Roman"/>
        </w:rPr>
        <w:fldChar w:fldCharType="end"/>
      </w:r>
      <w:r w:rsidR="00665C0F" w:rsidRPr="003D1B42">
        <w:rPr>
          <w:rFonts w:cs="Times New Roman"/>
        </w:rPr>
        <w:t xml:space="preserve">. The light isotopic signature </w:t>
      </w:r>
      <w:r w:rsidR="00665C0F">
        <w:rPr>
          <w:rFonts w:cs="Times New Roman"/>
        </w:rPr>
        <w:t>of tourmaline in these granites and pegmatites is thought to originate</w:t>
      </w:r>
      <w:r w:rsidR="00665C0F" w:rsidRPr="003D1B42">
        <w:rPr>
          <w:rFonts w:cs="Times New Roman"/>
        </w:rPr>
        <w:t xml:space="preserve"> from the loss of </w:t>
      </w:r>
      <w:r w:rsidR="00665C0F" w:rsidRPr="003D1B42">
        <w:rPr>
          <w:rFonts w:cs="Times New Roman"/>
          <w:vertAlign w:val="superscript"/>
        </w:rPr>
        <w:t>11</w:t>
      </w:r>
      <w:r w:rsidR="00665C0F" w:rsidRPr="003D1B42">
        <w:rPr>
          <w:rFonts w:cs="Times New Roman"/>
        </w:rPr>
        <w:t>B</w:t>
      </w:r>
      <w:r w:rsidR="00665C0F">
        <w:rPr>
          <w:rFonts w:cs="Times New Roman"/>
        </w:rPr>
        <w:t xml:space="preserve"> to an aqueous fluid during dehydration of pelitic rocks with increasing metamorphic grade</w:t>
      </w:r>
      <w:r w:rsidR="00665C0F" w:rsidRPr="003D1B42">
        <w:rPr>
          <w:rFonts w:cs="Times New Roman"/>
        </w:rPr>
        <w:t xml:space="preserve"> </w:t>
      </w:r>
      <w:r w:rsidR="00665C0F" w:rsidRPr="003D1B42">
        <w:rPr>
          <w:rFonts w:cs="Times New Roman"/>
        </w:rPr>
        <w:fldChar w:fldCharType="begin" w:fldLock="1"/>
      </w:r>
      <w:r w:rsidR="00266290">
        <w:rPr>
          <w:rFonts w:cs="Times New Roman"/>
        </w:rPr>
        <w:instrText>ADDIN CSL_CITATION { "citationItems" : [ { "id" : "ITEM-1", "itemData" : { "DOI" : "10.1016/j.gca.2014.01.018", "author" : [ { "dropping-particle" : "", "family" : "Romer", "given" : "Rolf L", "non-dropping-particle" : "", "parse-names" : false, "suffix" : "" }, { "dropping-particle" : "", "family" : "Meixner", "given" : "Anette", "non-dropping-particle" : "", "parse-names" : false, "suffix" : "" } ], "id" : "ITEM-1", "issued" : { "date-parts" : [ [ "2014" ] ] }, "page" : "98-114", "title" : "Lithium and boron in late-orogenic granites \u2013 Isotopic fingerprints for the source of crustal melts?", "type" : "article-journal", "volume" : "131" }, "uris" : [ "http://www.mendeley.com/documents/?uuid=91067e09-d0fd-4d16-8638-dacd9b6ae8f1" ] }, { "id" : "ITEM-2", "itemData" : { "DOI" : "10.1029/2002GC000438", "ISBN" : "1525-2027", "ISSN" : "15252027", "abstract" : "Late Miocene to Quaternary volcanic rocks from the frontal arc to the back-arc region of the Central Volcanic Zone in the Andes show a wide range of &amp;#948;11B values (+4 to &amp;#8722;7 &amp;#8240;) and boron concentrations (6 to 60 ppm). Positive &amp;#948;11B values of samples from the volcanic front indicate involvement of a 11B-enriched slab component, most likely derived from altered oceanic crust, despite the thick Andean continental lithosphere, and rule out a pure crust-mantle origin for these lavas. The &amp;#948;11B values and boron concentrations in the lavas decrease with increasing depth of the Wadati-Benioff Zone. This across-arc variation in &amp;#948;11B values and decreasing B/Nb ratios from the arc to the back-arc samples are attributed to the combined effects of boron-isotope fractionation during progressive dehydration in the slab and a steady decrease in slab-fluid flux toward the back arc, coupled with a relatively constant degree of crustal contamination as indicated by similar Sr, Nd and Pb isotope ratios in all samples. Three-component mixing calculations for slab-derived fluid, the mantle wedge and the continental crust based on B, Sr and Nd isotope data indicate that the slab-fluid component dominates the boron composition of the fertile mantle and that the primary arc magmas were contaminated by an average addition of 15 to 30% crustal material. Modeling of fluid-mineral boron-isotope fractionation as a function of temperature shows that dehydration reactions liberate continuously changing fluid compositions from the slab during progressive subduction. A combination of a boron-isotope fractionation model and a temperature model for the Central Andean subduction zone fits the across-arc variation in &amp;#948;11B and we conclude that the boron-isotope composition of arc volcanic rocks, especially in island arcs, is dominated by changing &amp;#948;11B-composition of boron-rich slab-fluids during progressive dehydration. Owing to the decrease in slab-derived fluid flux crustal contamination becomes more important toward the back-arc. Because of the boron-isotope fractionation effect, across-arc variations in &amp;#948;11B need not necessarily reflect different mixing proportions between boron derived from the slab-fluid and the mantle wedge.", "author" : [ { "dropping-particle" : "", "family" : "Rosner", "given" : "Martin", "non-dropping-particle" : "", "parse-names" : false, "suffix" : "" }, { "dropping-particle" : "", "family" : "Erzinger", "given" : "Joerg", "non-dropping-particle" : "", "parse-names" : false, "suffix" : "" }, { "dropping-particle" : "", "family" : "Franz", "given" : "Gerhard", "non-dropping-particle" : "", "parse-names" : false, "suffix" : "" }, { "dropping-particle" : "", "family" : "Trumbull", "given" : "Robert B.", "non-dropping-particle" : "", "parse-names" : false, "suffix" : "" } ], "container-title" : "Geochemistry, Geophysics, Geosystems", "id" : "ITEM-2", "issue" : "8", "issued" : { "date-parts" : [ [ "2003" ] ] }, "title" : "Slab-derived boron isotope signatures in arc volcanic rocks from the Central Andes and evidence for boron isotope fractionation during progressive slab dehydration", "type" : "article-journal", "volume" : "4" }, "uris" : [ "http://www.mendeley.com/documents/?uuid=97e2fba9-1d5a-4867-b9a6-25e34994d8d2" ] } ], "mendeley" : { "formattedCitation" : "(Romer and Meixner, 2014a; Rosner et al., 2003)", "plainTextFormattedCitation" : "(Romer and Meixner, 2014a; Rosner et al., 2003)", "previouslyFormattedCitation" : "(Rosner et al. 2003; Romer and Meixner 2014a)" }, "properties" : { "noteIndex" : 0 }, "schema" : "https://github.com/citation-style-language/schema/raw/master/csl-citation.json" }</w:instrText>
      </w:r>
      <w:r w:rsidR="00665C0F" w:rsidRPr="003D1B42">
        <w:rPr>
          <w:rFonts w:cs="Times New Roman"/>
        </w:rPr>
        <w:fldChar w:fldCharType="separate"/>
      </w:r>
      <w:r w:rsidR="00266290" w:rsidRPr="00266290">
        <w:rPr>
          <w:rFonts w:cs="Times New Roman"/>
          <w:noProof/>
        </w:rPr>
        <w:t>(Romer and Meixner, 2014a; Rosner et al., 2003)</w:t>
      </w:r>
      <w:r w:rsidR="00665C0F" w:rsidRPr="003D1B42">
        <w:rPr>
          <w:rFonts w:cs="Times New Roman"/>
        </w:rPr>
        <w:fldChar w:fldCharType="end"/>
      </w:r>
      <w:r w:rsidR="00665C0F" w:rsidRPr="003D1B42">
        <w:rPr>
          <w:rFonts w:cs="Times New Roman"/>
        </w:rPr>
        <w:t>.</w:t>
      </w:r>
      <w:r w:rsidR="00665C0F">
        <w:rPr>
          <w:rFonts w:cs="Times New Roman"/>
        </w:rPr>
        <w:t xml:space="preserve"> Anatexis of the resultant </w:t>
      </w:r>
      <w:r w:rsidR="00665C0F">
        <w:rPr>
          <w:rFonts w:cs="Times New Roman"/>
          <w:vertAlign w:val="superscript"/>
        </w:rPr>
        <w:t>10</w:t>
      </w:r>
      <w:r w:rsidR="00665C0F">
        <w:rPr>
          <w:rFonts w:cs="Times New Roman"/>
        </w:rPr>
        <w:t xml:space="preserve">B-enriched metapelitic rock results in an isotopically light granitic magma. The LCT family of pegmatites </w:t>
      </w:r>
      <w:r w:rsidR="00665C0F">
        <w:rPr>
          <w:rFonts w:cs="Times New Roman"/>
        </w:rPr>
        <w:fldChar w:fldCharType="begin" w:fldLock="1"/>
      </w:r>
      <w:r w:rsidR="00266290">
        <w:rPr>
          <w:rFonts w:cs="Times New Roman"/>
        </w:rPr>
        <w:instrText>ADDIN CSL_CITATION { "citationItems" : [ { "id" : "ITEM-1", "itemData" : { "author" : [ { "dropping-particle" : "", "family" : "\u010cern\u00fd", "given" : "P.", "non-dropping-particle" : "", "parse-names" : false, "suffix" : "" }, { "dropping-particle" : "", "family" : "Ercit", "given" : "T.S.", "non-dropping-particle" : "", "parse-names" : false, "suffix" : "" } ], "container-title" : "Canadian Mineralogist", "id" : "ITEM-1", "issued" : { "date-parts" : [ [ "2005" ] ] }, "page" : "2005-2026", "title" : "The classification of granitic pegmatites revisited", "type" : "article-journal", "volume" : "43" }, "uris" : [ "http://www.mendeley.com/documents/?uuid=ce74f0b2-9d40-4331-8893-9921f384988e" ] } ], "mendeley" : { "formattedCitation" : "(\u010cern\u00fd and Ercit, 2005)", "plainTextFormattedCitation" : "(\u010cern\u00fd and Ercit, 2005)", "previouslyFormattedCitation" : "(\u010cern\u00fd and Ercit 2005)" }, "properties" : { "noteIndex" : 0 }, "schema" : "https://github.com/citation-style-language/schema/raw/master/csl-citation.json" }</w:instrText>
      </w:r>
      <w:r w:rsidR="00665C0F">
        <w:rPr>
          <w:rFonts w:cs="Times New Roman"/>
        </w:rPr>
        <w:fldChar w:fldCharType="separate"/>
      </w:r>
      <w:r w:rsidR="00266290" w:rsidRPr="00266290">
        <w:rPr>
          <w:rFonts w:cs="Times New Roman"/>
          <w:noProof/>
        </w:rPr>
        <w:t>(Černý and Ercit, 2005)</w:t>
      </w:r>
      <w:r w:rsidR="00665C0F">
        <w:rPr>
          <w:rFonts w:cs="Times New Roman"/>
        </w:rPr>
        <w:fldChar w:fldCharType="end"/>
      </w:r>
      <w:r w:rsidR="00665C0F">
        <w:rPr>
          <w:rFonts w:cs="Times New Roman"/>
        </w:rPr>
        <w:t xml:space="preserve"> arise from extended fractional crystallization of S-type granitic melt and, compared to pegmatites that originate from other sources, they are characterized by elevated concentrations of Li, Cs, Ta, and P. Therefore, the expectation is that if the pegmatites of the Little Three mine were derived from an S-type granitic source, then they should have boron isotopic and trace element compositions similar LCT pegmatites.</w:t>
      </w:r>
    </w:p>
    <w:p w:rsidR="00665C0F" w:rsidRDefault="00F65F32" w:rsidP="00665C0F">
      <w:pPr>
        <w:tabs>
          <w:tab w:val="left" w:pos="720"/>
          <w:tab w:val="left" w:pos="1980"/>
        </w:tabs>
        <w:spacing w:after="240" w:line="480" w:lineRule="auto"/>
        <w:rPr>
          <w:rFonts w:cs="Times New Roman"/>
        </w:rPr>
      </w:pPr>
      <w:r>
        <w:rPr>
          <w:rFonts w:cs="Times New Roman"/>
        </w:rPr>
        <w:tab/>
      </w:r>
      <w:r w:rsidR="00665C0F">
        <w:rPr>
          <w:rFonts w:cs="Times New Roman"/>
        </w:rPr>
        <w:t xml:space="preserve">Unpublished analyses of the foot wall and central portions of the Swamp dike reveal </w:t>
      </w:r>
      <w:r w:rsidR="00665C0F" w:rsidRPr="003D1B42">
        <w:rPr>
          <w:rFonts w:cs="Times New Roman"/>
        </w:rPr>
        <w:t>exceedingly low concentrations of P (0.04 wt% P</w:t>
      </w:r>
      <w:r w:rsidR="00665C0F" w:rsidRPr="003D1B42">
        <w:rPr>
          <w:rFonts w:cs="Times New Roman"/>
          <w:vertAlign w:val="subscript"/>
        </w:rPr>
        <w:t>2</w:t>
      </w:r>
      <w:r w:rsidR="00665C0F" w:rsidRPr="003D1B42">
        <w:rPr>
          <w:rFonts w:cs="Times New Roman"/>
        </w:rPr>
        <w:t>O</w:t>
      </w:r>
      <w:r w:rsidR="00665C0F" w:rsidRPr="003D1B42">
        <w:rPr>
          <w:rFonts w:cs="Times New Roman"/>
          <w:vertAlign w:val="subscript"/>
        </w:rPr>
        <w:t>5</w:t>
      </w:r>
      <w:r w:rsidR="00665C0F" w:rsidRPr="003D1B42">
        <w:rPr>
          <w:rFonts w:cs="Times New Roman"/>
        </w:rPr>
        <w:t>), Be (1.2 pp</w:t>
      </w:r>
      <w:r w:rsidR="00665C0F">
        <w:rPr>
          <w:rFonts w:cs="Times New Roman"/>
        </w:rPr>
        <w:t>m) and Cs (8.4 ppm), and high</w:t>
      </w:r>
      <w:r w:rsidR="00665C0F" w:rsidRPr="003D1B42">
        <w:rPr>
          <w:rFonts w:cs="Times New Roman"/>
        </w:rPr>
        <w:t xml:space="preserve"> F in comparison to other dikes that fit the LCT family of trace element signatures</w:t>
      </w:r>
      <w:r w:rsidR="00665C0F">
        <w:rPr>
          <w:rFonts w:cs="Times New Roman"/>
        </w:rPr>
        <w:t xml:space="preserve">. </w:t>
      </w:r>
      <w:r w:rsidR="00665C0F" w:rsidRPr="003D1B42">
        <w:rPr>
          <w:rFonts w:cs="Times New Roman"/>
        </w:rPr>
        <w:t>The Swamp dike contains no lithium minerals or beryl, which are sparse even in the more fractionated Main dike.</w:t>
      </w:r>
      <w:r w:rsidR="00665C0F" w:rsidRPr="00421621">
        <w:rPr>
          <w:rFonts w:cs="Times New Roman"/>
        </w:rPr>
        <w:t xml:space="preserve"> </w:t>
      </w:r>
      <w:r w:rsidR="00665C0F">
        <w:rPr>
          <w:rFonts w:cs="Times New Roman"/>
        </w:rPr>
        <w:t xml:space="preserve">Based on the heavy values of </w:t>
      </w:r>
      <w:r w:rsidR="00665C0F">
        <w:t>δ</w:t>
      </w:r>
      <w:r w:rsidR="00665C0F">
        <w:rPr>
          <w:rFonts w:cs="Times New Roman"/>
          <w:vertAlign w:val="superscript"/>
        </w:rPr>
        <w:t>11</w:t>
      </w:r>
      <w:r w:rsidR="00665C0F">
        <w:rPr>
          <w:rFonts w:cs="Times New Roman"/>
        </w:rPr>
        <w:t>B</w:t>
      </w:r>
      <w:r w:rsidR="00665C0F">
        <w:rPr>
          <w:rFonts w:cs="Times New Roman"/>
          <w:vertAlign w:val="subscript"/>
        </w:rPr>
        <w:t>Tur</w:t>
      </w:r>
      <w:r w:rsidR="00665C0F">
        <w:rPr>
          <w:rFonts w:cs="Times New Roman"/>
        </w:rPr>
        <w:t xml:space="preserve"> in the Little Three pegmatites, the source of the pegmatite-forming melt must have had a heavy boron isotopic composition; thus, a metapelitic source is not likely. </w:t>
      </w:r>
    </w:p>
    <w:p w:rsidR="00665C0F" w:rsidRPr="002C2D10" w:rsidRDefault="00F65F32" w:rsidP="00665C0F">
      <w:pPr>
        <w:tabs>
          <w:tab w:val="left" w:pos="720"/>
          <w:tab w:val="left" w:pos="1980"/>
        </w:tabs>
        <w:spacing w:after="240" w:line="480" w:lineRule="auto"/>
        <w:rPr>
          <w:rFonts w:cs="Times New Roman"/>
        </w:rPr>
      </w:pPr>
      <w:r>
        <w:rPr>
          <w:rFonts w:cs="Times New Roman"/>
        </w:rPr>
        <w:tab/>
      </w:r>
      <w:r w:rsidR="00665C0F">
        <w:rPr>
          <w:rFonts w:cs="Times New Roman"/>
        </w:rPr>
        <w:t>Potential</w:t>
      </w:r>
      <w:r w:rsidR="00665C0F" w:rsidRPr="003D1B42">
        <w:rPr>
          <w:rFonts w:cs="Times New Roman"/>
        </w:rPr>
        <w:t xml:space="preserve"> sources of</w:t>
      </w:r>
      <w:r w:rsidR="00665C0F">
        <w:rPr>
          <w:rFonts w:cs="Times New Roman"/>
        </w:rPr>
        <w:t xml:space="preserve"> magma for</w:t>
      </w:r>
      <w:r w:rsidR="00665C0F" w:rsidRPr="003D1B42">
        <w:rPr>
          <w:rFonts w:cs="Times New Roman"/>
        </w:rPr>
        <w:t xml:space="preserve"> the pegmatites at the Little Three mine are the granitic rocks of the PRB</w:t>
      </w:r>
      <w:r w:rsidR="00665C0F">
        <w:rPr>
          <w:rFonts w:cs="Times New Roman"/>
        </w:rPr>
        <w:t>, namely the La-Posta and Corte Madre plutons. The La-Posta pluton, located in the</w:t>
      </w:r>
      <w:r w:rsidR="00665C0F" w:rsidRPr="003D1B42">
        <w:rPr>
          <w:rFonts w:cs="Times New Roman"/>
        </w:rPr>
        <w:t xml:space="preserve"> Eastern </w:t>
      </w:r>
      <w:r w:rsidR="00665C0F">
        <w:rPr>
          <w:rFonts w:cs="Times New Roman"/>
        </w:rPr>
        <w:t xml:space="preserve">zone of the </w:t>
      </w:r>
      <w:r w:rsidR="00665C0F" w:rsidRPr="003D1B42">
        <w:rPr>
          <w:rFonts w:cs="Times New Roman"/>
        </w:rPr>
        <w:t xml:space="preserve">PRB, </w:t>
      </w:r>
      <w:r w:rsidR="00665C0F">
        <w:rPr>
          <w:rFonts w:cs="Times New Roman"/>
        </w:rPr>
        <w:t>has been suggested to be</w:t>
      </w:r>
      <w:r w:rsidR="00665C0F" w:rsidRPr="003D1B42">
        <w:rPr>
          <w:rFonts w:cs="Times New Roman"/>
        </w:rPr>
        <w:t xml:space="preserve"> a potential source of </w:t>
      </w:r>
      <w:r w:rsidR="00665C0F">
        <w:rPr>
          <w:rFonts w:cs="Times New Roman"/>
        </w:rPr>
        <w:t xml:space="preserve">the melt for the pegmatites, based on similar </w:t>
      </w:r>
      <w:r w:rsidR="00665C0F" w:rsidRPr="007332FF">
        <w:rPr>
          <w:rFonts w:cs="Times New Roman"/>
        </w:rPr>
        <w:t xml:space="preserve">ages </w:t>
      </w:r>
      <w:r w:rsidR="00665C0F">
        <w:rPr>
          <w:rFonts w:cs="Times New Roman"/>
        </w:rPr>
        <w:fldChar w:fldCharType="begin" w:fldLock="1"/>
      </w:r>
      <w:r w:rsidR="00266290">
        <w:rPr>
          <w:rFonts w:cs="Times New Roman"/>
        </w:rPr>
        <w:instrText>ADDIN CSL_CITATION { "citationItems" : [ { "id" : "ITEM-1", "itemData" : { "DOI" : "10.1139/E09-035", "ISSN" : "0008-4077", "author" : [ { "dropping-particle" : "", "family" : "Symons", "given" : "D.T.A.", "non-dropping-particle" : "", "parse-names" : false, "suffix" : "" }, { "dropping-particle" : "", "family" : "Smith", "given" : "T. E.", "non-dropping-particle" : "", "parse-names" : false, "suffix" : "" }, { "dropping-particle" : "", "family" : "Kawasaki", "given" : "K.", "non-dropping-particle" : "", "parse-names" : false, "suffix" : "" }, { "dropping-particle" : "", "family" : "Walawender", "given" : "M. J.", "non-dropping-particle" : "", "parse-names" : false, "suffix" : "" } ], "container-title" : "Canadian Journal of Earth Sciences", "id" : "ITEM-1", "issue" : "9", "issued" : { "date-parts" : [ [ "2009" ] ] }, "page" : "675-687", "title" : "Paleomagnetism of the mid-Cretaceous gem-bearing pegmatite dikes of San Diego County, California, USA", "type" : "article-journal", "volume" : "46" }, "uris" : [ "http://www.mendeley.com/documents/?uuid=0982a5c6-90b3-45e7-9de9-2c4e38cd8316" ] } ], "mendeley" : { "formattedCitation" : "(Symons et al., 2009)", "plainTextFormattedCitation" : "(Symons et al., 2009)", "previouslyFormattedCitation" : "(Symons et al. 2009)" }, "properties" : { "noteIndex" : 0 }, "schema" : "https://github.com/citation-style-language/schema/raw/master/csl-citation.json" }</w:instrText>
      </w:r>
      <w:r w:rsidR="00665C0F">
        <w:rPr>
          <w:rFonts w:cs="Times New Roman"/>
        </w:rPr>
        <w:fldChar w:fldCharType="separate"/>
      </w:r>
      <w:r w:rsidR="00266290" w:rsidRPr="00266290">
        <w:rPr>
          <w:rFonts w:cs="Times New Roman"/>
          <w:noProof/>
        </w:rPr>
        <w:t>(Symons et al., 2009)</w:t>
      </w:r>
      <w:r w:rsidR="00665C0F">
        <w:rPr>
          <w:rFonts w:cs="Times New Roman"/>
        </w:rPr>
        <w:fldChar w:fldCharType="end"/>
      </w:r>
      <w:r w:rsidR="00665C0F" w:rsidRPr="007332FF">
        <w:rPr>
          <w:rFonts w:cs="Times New Roman"/>
        </w:rPr>
        <w:t>; however</w:t>
      </w:r>
      <w:r w:rsidR="00665C0F">
        <w:rPr>
          <w:rFonts w:cs="Times New Roman"/>
        </w:rPr>
        <w:t>, t</w:t>
      </w:r>
      <w:r w:rsidR="00665C0F" w:rsidRPr="003D1B42">
        <w:rPr>
          <w:rFonts w:cs="Times New Roman"/>
        </w:rPr>
        <w:t>he Corte Madre</w:t>
      </w:r>
      <w:r w:rsidR="00665C0F">
        <w:rPr>
          <w:rFonts w:cs="Times New Roman"/>
        </w:rPr>
        <w:t xml:space="preserve"> pluton</w:t>
      </w:r>
      <w:r w:rsidR="00665C0F" w:rsidRPr="003D1B42">
        <w:rPr>
          <w:rFonts w:cs="Times New Roman"/>
        </w:rPr>
        <w:t>, a high</w:t>
      </w:r>
      <w:r w:rsidR="00665C0F">
        <w:rPr>
          <w:rFonts w:cs="Times New Roman"/>
        </w:rPr>
        <w:t>-</w:t>
      </w:r>
      <w:r w:rsidR="00665C0F" w:rsidRPr="003D1B42">
        <w:rPr>
          <w:rFonts w:cs="Times New Roman"/>
        </w:rPr>
        <w:t>silica leucogranit</w:t>
      </w:r>
      <w:r w:rsidR="00665C0F">
        <w:rPr>
          <w:rFonts w:cs="Times New Roman"/>
        </w:rPr>
        <w:t xml:space="preserve">e located in the Western </w:t>
      </w:r>
      <w:r w:rsidR="00665C0F">
        <w:rPr>
          <w:rFonts w:cs="Times New Roman"/>
        </w:rPr>
        <w:lastRenderedPageBreak/>
        <w:t>zone,</w:t>
      </w:r>
      <w:r w:rsidR="00665C0F" w:rsidRPr="003D1B42">
        <w:rPr>
          <w:rFonts w:cs="Times New Roman"/>
        </w:rPr>
        <w:t xml:space="preserve"> could be a source of melt for the pegmatites</w:t>
      </w:r>
      <w:r w:rsidR="00665C0F">
        <w:rPr>
          <w:rFonts w:cs="Times New Roman"/>
        </w:rPr>
        <w:t xml:space="preserve"> due to its proximity to the pegmatites</w:t>
      </w:r>
      <w:r w:rsidR="00665C0F" w:rsidRPr="003D1B42">
        <w:rPr>
          <w:rFonts w:cs="Times New Roman"/>
        </w:rPr>
        <w:t>.</w:t>
      </w:r>
      <w:r w:rsidR="00665C0F">
        <w:rPr>
          <w:rFonts w:cs="Times New Roman"/>
        </w:rPr>
        <w:t xml:space="preserve"> </w:t>
      </w:r>
      <w:r w:rsidR="00665C0F" w:rsidRPr="003D1B42">
        <w:rPr>
          <w:rFonts w:cs="Times New Roman"/>
        </w:rPr>
        <w:t xml:space="preserve">The pegmatites have K-Ar </w:t>
      </w:r>
      <w:r w:rsidR="00665C0F" w:rsidRPr="003D1B42">
        <w:rPr>
          <w:rFonts w:cs="Times New Roman"/>
        </w:rPr>
        <w:fldChar w:fldCharType="begin" w:fldLock="1"/>
      </w:r>
      <w:r w:rsidR="00266290">
        <w:rPr>
          <w:rFonts w:cs="Times New Roman"/>
        </w:rPr>
        <w:instrText>ADDIN CSL_CITATION { "citationItems" : [ { "id" : "ITEM-1", "itemData" : { "author" : [ { "dropping-particle" : "", "family" : "Foord", "given" : "E.E.", "non-dropping-particle" : "", "parse-names" : false, "suffix" : "" }, { "dropping-particle" : "", "family" : "London", "given" : "D.", "non-dropping-particle" : "", "parse-names" : false, "suffix" : "" }, { "dropping-particle" : "", "family" : "Kampf", "given" : "A.R.", "non-dropping-particle" : "", "parse-names" : false, "suffix" : "" }, { "dropping-particle" : "", "family" : "Shigley", "given" : "J.E.", "non-dropping-particle" : "", "parse-names" : false, "suffix" : "" }, { "dropping-particle" : "", "family" : "Snee", "given" : "L W", "non-dropping-particle" : "", "parse-names" : false, "suffix" : "" } ], "container-title" : "In Geological Excursions in Southern California and Mexico", "id" : "ITEM-1", "issued" : { "date-parts" : [ [ "1991" ] ] }, "page" : "128-146", "title" : "Gem-bearing pegmatites of San Diego County, California", "type" : "article-journal" }, "uris" : [ "http://www.mendeley.com/documents/?uuid=6d2b5c86-1365-4274-8210-6c985fb86ead" ] } ], "mendeley" : { "formattedCitation" : "(Foord et al., 1991a)", "plainTextFormattedCitation" : "(Foord et al., 1991a)", "previouslyFormattedCitation" : "(Foord et al. 1991b)" }, "properties" : { "noteIndex" : 0 }, "schema" : "https://github.com/citation-style-language/schema/raw/master/csl-citation.json" }</w:instrText>
      </w:r>
      <w:r w:rsidR="00665C0F" w:rsidRPr="003D1B42">
        <w:rPr>
          <w:rFonts w:cs="Times New Roman"/>
        </w:rPr>
        <w:fldChar w:fldCharType="separate"/>
      </w:r>
      <w:r w:rsidR="00266290" w:rsidRPr="00266290">
        <w:rPr>
          <w:rFonts w:cs="Times New Roman"/>
          <w:noProof/>
        </w:rPr>
        <w:t>(Foord et al., 1991a)</w:t>
      </w:r>
      <w:r w:rsidR="00665C0F" w:rsidRPr="003D1B42">
        <w:rPr>
          <w:rFonts w:cs="Times New Roman"/>
        </w:rPr>
        <w:fldChar w:fldCharType="end"/>
      </w:r>
      <w:r w:rsidR="00665C0F" w:rsidRPr="003D1B42">
        <w:rPr>
          <w:rFonts w:cs="Times New Roman"/>
        </w:rPr>
        <w:t xml:space="preserve"> and paleomagnetic ages </w:t>
      </w:r>
      <w:r w:rsidR="00665C0F" w:rsidRPr="003D1B42">
        <w:rPr>
          <w:rFonts w:cs="Times New Roman"/>
        </w:rPr>
        <w:fldChar w:fldCharType="begin" w:fldLock="1"/>
      </w:r>
      <w:r w:rsidR="00266290">
        <w:rPr>
          <w:rFonts w:cs="Times New Roman"/>
        </w:rPr>
        <w:instrText>ADDIN CSL_CITATION { "citationItems" : [ { "id" : "ITEM-1", "itemData" : { "DOI" : "10.1139/E09-035", "ISSN" : "0008-4077", "author" : [ { "dropping-particle" : "", "family" : "Symons", "given" : "D.T.A.", "non-dropping-particle" : "", "parse-names" : false, "suffix" : "" }, { "dropping-particle" : "", "family" : "Smith", "given" : "T. E.", "non-dropping-particle" : "", "parse-names" : false, "suffix" : "" }, { "dropping-particle" : "", "family" : "Kawasaki", "given" : "K.", "non-dropping-particle" : "", "parse-names" : false, "suffix" : "" }, { "dropping-particle" : "", "family" : "Walawender", "given" : "M. J.", "non-dropping-particle" : "", "parse-names" : false, "suffix" : "" } ], "container-title" : "Canadian Journal of Earth Sciences", "id" : "ITEM-1", "issue" : "9", "issued" : { "date-parts" : [ [ "2009" ] ] }, "page" : "675-687", "title" : "Paleomagnetism of the mid-Cretaceous gem-bearing pegmatite dikes of San Diego County, California, USA", "type" : "article-journal", "volume" : "46" }, "uris" : [ "http://www.mendeley.com/documents/?uuid=0982a5c6-90b3-45e7-9de9-2c4e38cd8316" ] } ], "mendeley" : { "formattedCitation" : "(Symons et al., 2009)", "plainTextFormattedCitation" : "(Symons et al., 2009)", "previouslyFormattedCitation" : "(Symons et al. 2009)" }, "properties" : { "noteIndex" : 0 }, "schema" : "https://github.com/citation-style-language/schema/raw/master/csl-citation.json" }</w:instrText>
      </w:r>
      <w:r w:rsidR="00665C0F" w:rsidRPr="003D1B42">
        <w:rPr>
          <w:rFonts w:cs="Times New Roman"/>
        </w:rPr>
        <w:fldChar w:fldCharType="separate"/>
      </w:r>
      <w:r w:rsidR="00266290" w:rsidRPr="00266290">
        <w:rPr>
          <w:rFonts w:cs="Times New Roman"/>
          <w:noProof/>
        </w:rPr>
        <w:t>(Symons et al., 2009)</w:t>
      </w:r>
      <w:r w:rsidR="00665C0F" w:rsidRPr="003D1B42">
        <w:rPr>
          <w:rFonts w:cs="Times New Roman"/>
        </w:rPr>
        <w:fldChar w:fldCharType="end"/>
      </w:r>
      <w:r w:rsidR="00665C0F" w:rsidRPr="003D1B42">
        <w:rPr>
          <w:rFonts w:cs="Times New Roman"/>
        </w:rPr>
        <w:t xml:space="preserve"> older than, but slightly overlapping, granitoids of the Eastern PRB (</w:t>
      </w:r>
      <w:r w:rsidR="00665C0F" w:rsidRPr="002C2D10">
        <w:rPr>
          <w:rFonts w:cs="Times New Roman"/>
        </w:rPr>
        <w:t>98 to 100 Ma vs 80 to 100 Ma</w:t>
      </w:r>
      <w:r w:rsidR="00665C0F" w:rsidRPr="003D1B42">
        <w:rPr>
          <w:rFonts w:cs="Times New Roman"/>
        </w:rPr>
        <w:t xml:space="preserve">: </w:t>
      </w:r>
      <w:r w:rsidR="00665C0F">
        <w:rPr>
          <w:rFonts w:cs="Times New Roman"/>
        </w:rPr>
        <w:fldChar w:fldCharType="begin" w:fldLock="1"/>
      </w:r>
      <w:r w:rsidR="00266290">
        <w:rPr>
          <w:rFonts w:cs="Times New Roman"/>
        </w:rPr>
        <w:instrText>ADDIN CSL_CITATION { "citationItems" : [ { "id" : "ITEM-1", "itemData" : { "DOI" : "10.1130/0-8137-2374-4.135", "ISSN" : "00721077", "author" : [ { "dropping-particle" : "", "family" : "Symons", "given" : "D.T.A.", "non-dropping-particle" : "", "parse-names" : false, "suffix" : "" }, { "dropping-particle" : "", "family" : "Wlawender", "given" : "M.J.", "non-dropping-particle" : "", "parse-names" : false, "suffix" : "" }, { "dropping-particle" : "", "family" : "Smith", "given" : "T.E.", "non-dropping-particle" : "", "parse-names" : false, "suffix" : "" }, { "dropping-particle" : "", "family" : "Molnar", "given" : "S.E.", "non-dropping-particle" : "", "parse-names" : false, "suffix" : "" }, { "dropping-particle" : "", "family" : "Harris", "given" : "M.J.", "non-dropping-particle" : "", "parse-names" : false, "suffix" : "" }, { "dropping-particle" : "", "family" : "Blackburn", "given" : "W.H.", "non-dropping-particle" : "", "parse-names" : false, "suffix" : "" } ], "container-title" : "Geological Society of America", "id" : "ITEM-1", "issued" : { "date-parts" : [ [ "2003" ] ] }, "page" : "135-155", "title" : "Paleomagnetism and geobarometry of the La Posta pluton, California", "type" : "article-journal", "volume" : "Special Pa" }, "uris" : [ "http://www.mendeley.com/documents/?uuid=510a7e25-39f5-4844-bc81-23383a93bea4" ] } ], "mendeley" : { "formattedCitation" : "(Symons et al., 2003)", "manualFormatting" : "Symons et al., 2003)", "plainTextFormattedCitation" : "(Symons et al., 2003)", "previouslyFormattedCitation" : "(Symons et al. 2003)" }, "properties" : { "noteIndex" : 0 }, "schema" : "https://github.com/citation-style-language/schema/raw/master/csl-citation.json" }</w:instrText>
      </w:r>
      <w:r w:rsidR="00665C0F">
        <w:rPr>
          <w:rFonts w:cs="Times New Roman"/>
        </w:rPr>
        <w:fldChar w:fldCharType="separate"/>
      </w:r>
      <w:r w:rsidR="00665C0F" w:rsidRPr="003D1B42">
        <w:rPr>
          <w:rFonts w:cs="Times New Roman"/>
          <w:noProof/>
        </w:rPr>
        <w:t>Symons et al., 2003)</w:t>
      </w:r>
      <w:r w:rsidR="00665C0F">
        <w:rPr>
          <w:rFonts w:cs="Times New Roman"/>
        </w:rPr>
        <w:fldChar w:fldCharType="end"/>
      </w:r>
      <w:r w:rsidR="00665C0F">
        <w:rPr>
          <w:rFonts w:cs="Times New Roman"/>
        </w:rPr>
        <w:t xml:space="preserve">. The age of the Corte Madre is reported to be 111±2 Ma </w:t>
      </w:r>
      <w:r w:rsidR="00665C0F">
        <w:rPr>
          <w:rFonts w:cs="Times New Roman"/>
        </w:rPr>
        <w:fldChar w:fldCharType="begin" w:fldLock="1"/>
      </w:r>
      <w:r w:rsidR="00266290">
        <w:rPr>
          <w:rFonts w:cs="Times New Roman"/>
        </w:rPr>
        <w:instrText>ADDIN CSL_CITATION { "citationItems" : [ { "id" : "ITEM-1", "itemData" : { "DOI" : "10.1130/0-8137-2374-4.185", "ISSN" : "00721077", "author" : [ { "dropping-particle" : "", "family" : "Todd", "given" : "Victoria R.", "non-dropping-particle" : "", "parse-names" : false, "suffix" : "" }, { "dropping-particle" : "", "family" : "Shaw", "given" : "Stirling E.", "non-dropping-particle" : "", "parse-names" : false, "suffix" : "" }, { "dropping-particle" : "", "family" : "Hammerstrom", "given" : "Jane M.", "non-dropping-particle" : "", "parse-names" : false, "suffix" : "" } ], "container-title" : "Geological Society of America", "id" : "ITEM-1", "issued" : { "date-parts" : [ [ "2003" ] ] }, "page" : "185-235", "title" : "Cretaceous plutons of the Peninsular Ranges batholith, San Diego and westernmost Imperial Counties, California: Intrusion across a Lake Jurassic continental margin", "type" : "article-journal", "volume" : "Special Pa" }, "uris" : [ "http://www.mendeley.com/documents/?uuid=79da4ca7-6c9a-4a2b-a22b-8c5cd34bc74e" ] } ], "mendeley" : { "formattedCitation" : "(Todd et al., 2003)", "plainTextFormattedCitation" : "(Todd et al., 2003)", "previouslyFormattedCitation" : "(Todd et al. 2003)" }, "properties" : { "noteIndex" : 0 }, "schema" : "https://github.com/citation-style-language/schema/raw/master/csl-citation.json" }</w:instrText>
      </w:r>
      <w:r w:rsidR="00665C0F">
        <w:rPr>
          <w:rFonts w:cs="Times New Roman"/>
        </w:rPr>
        <w:fldChar w:fldCharType="separate"/>
      </w:r>
      <w:r w:rsidR="00266290" w:rsidRPr="00266290">
        <w:rPr>
          <w:rFonts w:cs="Times New Roman"/>
          <w:noProof/>
        </w:rPr>
        <w:t>(Todd et al., 2003)</w:t>
      </w:r>
      <w:r w:rsidR="00665C0F">
        <w:rPr>
          <w:rFonts w:cs="Times New Roman"/>
        </w:rPr>
        <w:fldChar w:fldCharType="end"/>
      </w:r>
      <w:r w:rsidR="00665C0F">
        <w:rPr>
          <w:rFonts w:cs="Times New Roman"/>
        </w:rPr>
        <w:t xml:space="preserve">, which is ~12 Ma older than the pegmatites. The Corte Madre and La-Posta plutons are characterized as peraluminous, I-type granites based on their chemical and isotopic compositions (ASI ≈1.00-1.20; </w:t>
      </w:r>
      <w:r w:rsidR="00665C0F" w:rsidRPr="003D1B42">
        <w:rPr>
          <w:rFonts w:cs="Times New Roman"/>
        </w:rPr>
        <w:t>Sr</w:t>
      </w:r>
      <w:r w:rsidR="00665C0F" w:rsidRPr="003D1B42">
        <w:rPr>
          <w:rFonts w:cs="Times New Roman"/>
          <w:vertAlign w:val="subscript"/>
        </w:rPr>
        <w:t>i</w:t>
      </w:r>
      <w:r w:rsidR="00665C0F">
        <w:rPr>
          <w:rFonts w:cs="Times New Roman"/>
        </w:rPr>
        <w:t xml:space="preserve"> ≤ 0.705; and </w:t>
      </w:r>
      <w:r w:rsidR="00665C0F" w:rsidRPr="003D1B42">
        <w:rPr>
          <w:rFonts w:cs="Times New Roman"/>
        </w:rPr>
        <w:t>δ</w:t>
      </w:r>
      <w:r w:rsidR="00665C0F" w:rsidRPr="003D1B42">
        <w:rPr>
          <w:rFonts w:cs="Times New Roman"/>
          <w:vertAlign w:val="superscript"/>
        </w:rPr>
        <w:t>18</w:t>
      </w:r>
      <w:r w:rsidR="00665C0F" w:rsidRPr="003D1B42">
        <w:rPr>
          <w:rFonts w:cs="Times New Roman"/>
        </w:rPr>
        <w:t>O</w:t>
      </w:r>
      <w:r w:rsidR="00665C0F">
        <w:rPr>
          <w:rFonts w:cs="Times New Roman"/>
        </w:rPr>
        <w:t xml:space="preserve"> </w:t>
      </w:r>
      <w:r w:rsidR="00665C0F">
        <w:t xml:space="preserve">≥ </w:t>
      </w:r>
      <w:r w:rsidR="00665C0F">
        <w:rPr>
          <w:rFonts w:cs="Times New Roman"/>
        </w:rPr>
        <w:t xml:space="preserve">7.2‰: </w:t>
      </w:r>
      <w:r w:rsidR="00665C0F">
        <w:rPr>
          <w:rFonts w:cs="Times New Roman"/>
        </w:rPr>
        <w:fldChar w:fldCharType="begin" w:fldLock="1"/>
      </w:r>
      <w:r w:rsidR="00266290">
        <w:rPr>
          <w:rFonts w:cs="Times New Roman"/>
        </w:rPr>
        <w:instrText>ADDIN CSL_CITATION { "citationItems" : [ { "id" : "ITEM-1", "itemData" : { "DOI" : "10.1130/0-8137-2374-4.185", "ISSN" : "00721077", "author" : [ { "dropping-particle" : "", "family" : "Todd", "given" : "Victoria R.", "non-dropping-particle" : "", "parse-names" : false, "suffix" : "" }, { "dropping-particle" : "", "family" : "Shaw", "given" : "Stirling E.", "non-dropping-particle" : "", "parse-names" : false, "suffix" : "" }, { "dropping-particle" : "", "family" : "Hammerstrom", "given" : "Jane M.", "non-dropping-particle" : "", "parse-names" : false, "suffix" : "" } ], "container-title" : "Geological Society of America", "id" : "ITEM-1", "issued" : { "date-parts" : [ [ "2003" ] ] }, "page" : "185-235", "title" : "Cretaceous plutons of the Peninsular Ranges batholith, San Diego and westernmost Imperial Counties, California: Intrusion across a Lake Jurassic continental margin", "type" : "article-journal", "volume" : "Special Pa" }, "uris" : [ "http://www.mendeley.com/documents/?uuid=79da4ca7-6c9a-4a2b-a22b-8c5cd34bc74e" ] } ], "mendeley" : { "formattedCitation" : "(Todd et al., 2003)", "manualFormatting" : "Todd et al., 2003)", "plainTextFormattedCitation" : "(Todd et al., 2003)", "previouslyFormattedCitation" : "(Todd et al. 2003)" }, "properties" : { "noteIndex" : 0 }, "schema" : "https://github.com/citation-style-language/schema/raw/master/csl-citation.json" }</w:instrText>
      </w:r>
      <w:r w:rsidR="00665C0F">
        <w:rPr>
          <w:rFonts w:cs="Times New Roman"/>
        </w:rPr>
        <w:fldChar w:fldCharType="separate"/>
      </w:r>
      <w:r w:rsidR="00665C0F" w:rsidRPr="00BC6814">
        <w:rPr>
          <w:rFonts w:cs="Times New Roman"/>
          <w:noProof/>
        </w:rPr>
        <w:t>Todd et al., 2003)</w:t>
      </w:r>
      <w:r w:rsidR="00665C0F">
        <w:rPr>
          <w:rFonts w:cs="Times New Roman"/>
        </w:rPr>
        <w:fldChar w:fldCharType="end"/>
      </w:r>
      <w:r w:rsidR="00665C0F">
        <w:rPr>
          <w:rFonts w:cs="Times New Roman"/>
        </w:rPr>
        <w:t xml:space="preserve"> and both plutons show a trend of decreasing P</w:t>
      </w:r>
      <w:r w:rsidR="00665C0F">
        <w:rPr>
          <w:rFonts w:cs="Times New Roman"/>
          <w:vertAlign w:val="subscript"/>
        </w:rPr>
        <w:t>2</w:t>
      </w:r>
      <w:r w:rsidR="00665C0F">
        <w:rPr>
          <w:rFonts w:cs="Times New Roman"/>
        </w:rPr>
        <w:t>O</w:t>
      </w:r>
      <w:r w:rsidR="00665C0F">
        <w:rPr>
          <w:rFonts w:cs="Times New Roman"/>
          <w:vertAlign w:val="subscript"/>
        </w:rPr>
        <w:t>5</w:t>
      </w:r>
      <w:r w:rsidR="00665C0F">
        <w:rPr>
          <w:rFonts w:cs="Times New Roman"/>
        </w:rPr>
        <w:t xml:space="preserve"> with increasing differentiation </w:t>
      </w:r>
      <w:r w:rsidR="00665C0F">
        <w:rPr>
          <w:rFonts w:cs="Times New Roman"/>
        </w:rPr>
        <w:fldChar w:fldCharType="begin" w:fldLock="1"/>
      </w:r>
      <w:r w:rsidR="00266290">
        <w:rPr>
          <w:rFonts w:cs="Times New Roman"/>
        </w:rPr>
        <w:instrText>ADDIN CSL_CITATION { "citationItems" : [ { "id" : "ITEM-1", "itemData" : { "DOI" : "10.1130/0-8137-2374-4.185", "ISSN" : "00721077", "author" : [ { "dropping-particle" : "", "family" : "Todd", "given" : "Victoria R.", "non-dropping-particle" : "", "parse-names" : false, "suffix" : "" }, { "dropping-particle" : "", "family" : "Shaw", "given" : "Stirling E.", "non-dropping-particle" : "", "parse-names" : false, "suffix" : "" }, { "dropping-particle" : "", "family" : "Hammerstrom", "given" : "Jane M.", "non-dropping-particle" : "", "parse-names" : false, "suffix" : "" } ], "container-title" : "Geological Society of America", "id" : "ITEM-1", "issued" : { "date-parts" : [ [ "2003" ] ] }, "page" : "185-235", "title" : "Cretaceous plutons of the Peninsular Ranges batholith, San Diego and westernmost Imperial Counties, California: Intrusion across a Lake Jurassic continental margin", "type" : "article-journal", "volume" : "Special Pa" }, "uris" : [ "http://www.mendeley.com/documents/?uuid=79da4ca7-6c9a-4a2b-a22b-8c5cd34bc74e" ] } ], "mendeley" : { "formattedCitation" : "(Todd et al., 2003)", "plainTextFormattedCitation" : "(Todd et al., 2003)", "previouslyFormattedCitation" : "(Todd et al. 2003)" }, "properties" : { "noteIndex" : 0 }, "schema" : "https://github.com/citation-style-language/schema/raw/master/csl-citation.json" }</w:instrText>
      </w:r>
      <w:r w:rsidR="00665C0F">
        <w:rPr>
          <w:rFonts w:cs="Times New Roman"/>
        </w:rPr>
        <w:fldChar w:fldCharType="separate"/>
      </w:r>
      <w:r w:rsidR="00266290" w:rsidRPr="00266290">
        <w:rPr>
          <w:rFonts w:cs="Times New Roman"/>
          <w:noProof/>
        </w:rPr>
        <w:t>(Todd et al., 2003)</w:t>
      </w:r>
      <w:r w:rsidR="00665C0F">
        <w:rPr>
          <w:rFonts w:cs="Times New Roman"/>
        </w:rPr>
        <w:fldChar w:fldCharType="end"/>
      </w:r>
      <w:r w:rsidR="00665C0F">
        <w:rPr>
          <w:rFonts w:cs="Times New Roman"/>
        </w:rPr>
        <w:t>. These leucocratic plutons are suitable sources of melt for the Little Three pegmatites based on their peraluminous character and low concentration of P.</w:t>
      </w:r>
    </w:p>
    <w:p w:rsidR="00665C0F" w:rsidRPr="00B46B1C" w:rsidRDefault="00F65F32" w:rsidP="00665C0F">
      <w:pPr>
        <w:tabs>
          <w:tab w:val="left" w:pos="720"/>
          <w:tab w:val="left" w:pos="1980"/>
        </w:tabs>
        <w:spacing w:after="240" w:line="480" w:lineRule="auto"/>
        <w:rPr>
          <w:rFonts w:cs="Times New Roman"/>
          <w:noProof/>
        </w:rPr>
      </w:pPr>
      <w:r>
        <w:rPr>
          <w:rFonts w:cs="Times New Roman"/>
        </w:rPr>
        <w:tab/>
      </w:r>
      <w:r w:rsidR="00665C0F">
        <w:rPr>
          <w:rFonts w:cs="Times New Roman"/>
        </w:rPr>
        <w:t>Though the Corte Madre and La-Post plutons differ in location and age, both are thought to be products of</w:t>
      </w:r>
      <w:r w:rsidR="00665C0F" w:rsidRPr="003D1B42">
        <w:rPr>
          <w:rFonts w:cs="Times New Roman"/>
        </w:rPr>
        <w:t xml:space="preserve"> </w:t>
      </w:r>
      <w:r w:rsidR="00665C0F">
        <w:rPr>
          <w:rFonts w:cs="Times New Roman"/>
        </w:rPr>
        <w:t>fractional crystallization of melt generated in the</w:t>
      </w:r>
      <w:r w:rsidR="00665C0F" w:rsidRPr="003D1B42">
        <w:rPr>
          <w:rFonts w:cs="Times New Roman"/>
        </w:rPr>
        <w:t xml:space="preserve"> </w:t>
      </w:r>
      <w:r w:rsidR="00665C0F">
        <w:rPr>
          <w:rFonts w:cs="Times New Roman"/>
        </w:rPr>
        <w:t xml:space="preserve">deep-crust or mantle wedge. </w:t>
      </w:r>
      <w:r w:rsidR="00665C0F">
        <w:rPr>
          <w:rFonts w:cs="Times New Roman"/>
        </w:rPr>
        <w:fldChar w:fldCharType="begin" w:fldLock="1"/>
      </w:r>
      <w:r w:rsidR="00266290">
        <w:rPr>
          <w:rFonts w:cs="Times New Roman"/>
        </w:rPr>
        <w:instrText>ADDIN CSL_CITATION { "citationItems" : [ { "id" : "ITEM-1", "itemData" : { "DOI" : "10.1130/0-8137-2374-4.185", "ISSN" : "00721077", "author" : [ { "dropping-particle" : "", "family" : "Todd", "given" : "Victoria R.", "non-dropping-particle" : "", "parse-names" : false, "suffix" : "" }, { "dropping-particle" : "", "family" : "Shaw", "given" : "Stirling E.", "non-dropping-particle" : "", "parse-names" : false, "suffix" : "" }, { "dropping-particle" : "", "family" : "Hammerstrom", "given" : "Jane M.", "non-dropping-particle" : "", "parse-names" : false, "suffix" : "" } ], "container-title" : "Geological Society of America", "id" : "ITEM-1", "issued" : { "date-parts" : [ [ "2003" ] ] }, "page" : "185-235", "title" : "Cretaceous plutons of the Peninsular Ranges batholith, San Diego and westernmost Imperial Counties, California: Intrusion across a Lake Jurassic continental margin", "type" : "article-journal", "volume" : "Special Pa" }, "uris" : [ "http://www.mendeley.com/documents/?uuid=79da4ca7-6c9a-4a2b-a22b-8c5cd34bc74e" ] }, { "id" : "ITEM-2", "itemData" : { "author" : [ { "dropping-particle" : "", "family" : "Walawender", "given" : "M J", "non-dropping-particle" : "", "parse-names" : false, "suffix" : "" }, { "dropping-particle" : "", "family" : "Gastil", "given" : "R G", "non-dropping-particle" : "", "parse-names" : false, "suffix" : "" }, { "dropping-particle" : "", "family" : "Clinkenbeard", "given" : "J P", "non-dropping-particle" : "", "parse-names" : false, "suffix" : "" }, { "dropping-particle" : "V", "family" : "Mccormick", "given" : "W", "non-dropping-particle" : "", "parse-names" : false, "suffix" : "" }, { "dropping-particle" : "", "family" : "Eastman", "given" : "B G", "non-dropping-particle" : "", "parse-names" : false, "suffix" : "" }, { "dropping-particle" : "", "family" : "Wernicke", "given" : "R S", "non-dropping-particle" : "", "parse-names" : false, "suffix" : "" }, { "dropping-particle" : "", "family" : "Wardlaw", "given" : "M S", "non-dropping-particle" : "", "parse-names" : false, "suffix" : "" }, { "dropping-particle" : "", "family" : "Gunn", "given" : "S H", "non-dropping-particle" : "", "parse-names" : false, "suffix" : "" }, { "dropping-particle" : "", "family" : "Smith", "given" : "B M", "non-dropping-particle" : "", "parse-names" : false, "suffix" : "" } ], "container-title" : "The Geology of North America Memoir 174", "id" : "ITEM-2", "issued" : { "date-parts" : [ [ "1990" ] ] }, "page" : "1-18", "title" : "Origin and evolution of the zoned La Posta-type plutons, easter Peninsular Ranges batholith, southern and Baja California", "type" : "article-journal" }, "uris" : [ "http://www.mendeley.com/documents/?uuid=15bb3c4f-d2ae-44e5-b5a9-7525530b30dd" ] } ], "mendeley" : { "formattedCitation" : "(Todd et al., 2003; Walawender et al., 1990)", "manualFormatting" : "Todd et al. (2003) and Walawender et al. (1990)", "plainTextFormattedCitation" : "(Todd et al., 2003; Walawender et al., 1990)", "previouslyFormattedCitation" : "(Walawender et al. 1990; Todd et al. 2003)" }, "properties" : { "noteIndex" : 0 }, "schema" : "https://github.com/citation-style-language/schema/raw/master/csl-citation.json" }</w:instrText>
      </w:r>
      <w:r w:rsidR="00665C0F">
        <w:rPr>
          <w:rFonts w:cs="Times New Roman"/>
        </w:rPr>
        <w:fldChar w:fldCharType="separate"/>
      </w:r>
      <w:r w:rsidR="00665C0F">
        <w:rPr>
          <w:rFonts w:cs="Times New Roman"/>
          <w:noProof/>
        </w:rPr>
        <w:t>Todd et al.</w:t>
      </w:r>
      <w:r w:rsidR="00665C0F" w:rsidRPr="002837D9">
        <w:rPr>
          <w:rFonts w:cs="Times New Roman"/>
          <w:noProof/>
        </w:rPr>
        <w:t xml:space="preserve"> </w:t>
      </w:r>
      <w:r w:rsidR="00665C0F">
        <w:rPr>
          <w:rFonts w:cs="Times New Roman"/>
          <w:noProof/>
        </w:rPr>
        <w:t>(</w:t>
      </w:r>
      <w:r w:rsidR="00665C0F" w:rsidRPr="002837D9">
        <w:rPr>
          <w:rFonts w:cs="Times New Roman"/>
          <w:noProof/>
        </w:rPr>
        <w:t>2003</w:t>
      </w:r>
      <w:r w:rsidR="00665C0F">
        <w:rPr>
          <w:rFonts w:cs="Times New Roman"/>
          <w:noProof/>
        </w:rPr>
        <w:t>) and Walawender et al. (</w:t>
      </w:r>
      <w:r w:rsidR="00665C0F" w:rsidRPr="002837D9">
        <w:rPr>
          <w:rFonts w:cs="Times New Roman"/>
          <w:noProof/>
        </w:rPr>
        <w:t>1990)</w:t>
      </w:r>
      <w:r w:rsidR="00665C0F">
        <w:rPr>
          <w:rFonts w:cs="Times New Roman"/>
        </w:rPr>
        <w:fldChar w:fldCharType="end"/>
      </w:r>
      <w:r w:rsidR="00665C0F">
        <w:rPr>
          <w:rFonts w:cs="Times New Roman"/>
        </w:rPr>
        <w:t xml:space="preserve"> proposed that these plutons arose anatexis of material in the deep crust or mantle wedge driven by the influx of water from an underlying oceanic slab. </w:t>
      </w:r>
      <w:r w:rsidR="00665C0F" w:rsidRPr="003D1B42">
        <w:rPr>
          <w:rFonts w:cs="Times New Roman"/>
        </w:rPr>
        <w:t xml:space="preserve">If the pegmatites associated with the PRB resulted from crystallization of a magma generated </w:t>
      </w:r>
      <w:r w:rsidR="00665C0F">
        <w:rPr>
          <w:rFonts w:cs="Times New Roman"/>
        </w:rPr>
        <w:t>by the release of fluids emanating from</w:t>
      </w:r>
      <w:r w:rsidR="00665C0F" w:rsidRPr="003D1B42">
        <w:rPr>
          <w:rFonts w:cs="Times New Roman"/>
        </w:rPr>
        <w:t xml:space="preserve"> oceanic crust, we would expect the boron isotopic composition of the pegmatites to be similar to that of oceanic crust, assuming there is no loss of B or isotopic fractionation during the transition from melt at the source to emplacement and crystallization of the pegmatites.</w:t>
      </w:r>
      <w:r w:rsidR="00665C0F">
        <w:rPr>
          <w:rFonts w:cs="Times New Roman"/>
        </w:rPr>
        <w:t xml:space="preserve"> </w:t>
      </w:r>
      <w:r w:rsidR="00665C0F" w:rsidRPr="009519FC">
        <w:rPr>
          <w:rFonts w:cs="Times New Roman"/>
        </w:rPr>
        <w:t>The δ</w:t>
      </w:r>
      <w:r w:rsidR="00665C0F" w:rsidRPr="009519FC">
        <w:rPr>
          <w:rFonts w:cs="Times New Roman"/>
          <w:vertAlign w:val="superscript"/>
        </w:rPr>
        <w:t>11</w:t>
      </w:r>
      <w:r w:rsidR="00665C0F" w:rsidRPr="009519FC">
        <w:rPr>
          <w:rFonts w:cs="Times New Roman"/>
        </w:rPr>
        <w:t xml:space="preserve">B of altered oceanic crust is heavier than fresh mid-ocean ridge basalt (MORB) </w:t>
      </w:r>
      <w:r w:rsidR="00665C0F" w:rsidRPr="009519FC">
        <w:rPr>
          <w:rFonts w:cs="Times New Roman"/>
        </w:rPr>
        <w:fldChar w:fldCharType="begin" w:fldLock="1"/>
      </w:r>
      <w:r w:rsidR="00266290">
        <w:rPr>
          <w:rFonts w:cs="Times New Roman"/>
        </w:rPr>
        <w:instrText>ADDIN CSL_CITATION { "citationItems" : [ { "id" : "ITEM-1", "itemData" : { "author" : [ { "dropping-particle" : "", "family" : "Palmer", "given" : "Martin R.", "non-dropping-particle" : "", "parse-names" : false, "suffix" : "" }, { "dropping-particle" : "", "family" : "Swihart", "given" : "George H.", "non-dropping-particle" : "", "parse-names" : false, "suffix" : "" } ], "container-title" : "Reviews in Mineralogy and Geochemistry", "id" : "ITEM-1", "issued" : { "date-parts" : [ [ "1996" ] ] }, "page" : "709-744", "title" : "Boron isotope geochemistry: An overview", "type" : "article-journal", "volume" : "33" }, "uris" : [ "http://www.mendeley.com/documents/?uuid=ae2ad9bb-18c7-414a-9833-d182e3cb0e6f" ] }, { "id" : "ITEM-2", "itemData" : { "author" : [ { "dropping-particle" : "", "family" : "Leeman", "given" : "W.P.", "non-dropping-particle" : "", "parse-names" : false, "suffix" : "" }, { "dropping-particle" : "", "family" : "Sisson", "given" : "V.B.", "non-dropping-particle" : "", "parse-names" : false, "suffix" : "" } ], "container-title" : "Reviews in Mineralogy and Geochemistry", "id" : "ITEM-2", "issued" : { "date-parts" : [ [ "1996" ] ] }, "page" : "645-708", "title" : "Geochemistry of Boron and its implications for crustal and mantle processes", "type" : "article-journal", "volume" : "33" }, "uris" : [ "http://www.mendeley.com/documents/?uuid=46fd8e23-ef12-4894-ba80-de312ec782aa" ] } ], "mendeley" : { "formattedCitation" : "(Leeman and Sisson, 1996; Palmer and Swihart, 1996)", "plainTextFormattedCitation" : "(Leeman and Sisson, 1996; Palmer and Swihart, 1996)", "previouslyFormattedCitation" : "(Leeman and Sisson 1996; Palmer and Swihart 1996)" }, "properties" : { "noteIndex" : 0 }, "schema" : "https://github.com/citation-style-language/schema/raw/master/csl-citation.json" }</w:instrText>
      </w:r>
      <w:r w:rsidR="00665C0F" w:rsidRPr="009519FC">
        <w:rPr>
          <w:rFonts w:cs="Times New Roman"/>
        </w:rPr>
        <w:fldChar w:fldCharType="separate"/>
      </w:r>
      <w:r w:rsidR="00266290" w:rsidRPr="00266290">
        <w:rPr>
          <w:rFonts w:cs="Times New Roman"/>
          <w:noProof/>
        </w:rPr>
        <w:t>(Leeman and Sisson, 1996; Palmer and Swihart, 1996)</w:t>
      </w:r>
      <w:r w:rsidR="00665C0F" w:rsidRPr="009519FC">
        <w:rPr>
          <w:rFonts w:cs="Times New Roman"/>
        </w:rPr>
        <w:fldChar w:fldCharType="end"/>
      </w:r>
      <w:r w:rsidR="00665C0F" w:rsidRPr="00B46B1C">
        <w:rPr>
          <w:rFonts w:cs="Times New Roman"/>
        </w:rPr>
        <w:t xml:space="preserve"> and is similar to the average δ</w:t>
      </w:r>
      <w:r w:rsidR="00665C0F" w:rsidRPr="00B46B1C">
        <w:rPr>
          <w:rFonts w:cs="Times New Roman"/>
          <w:vertAlign w:val="superscript"/>
        </w:rPr>
        <w:t>11</w:t>
      </w:r>
      <w:r w:rsidR="00665C0F" w:rsidRPr="00B46B1C">
        <w:rPr>
          <w:rFonts w:cs="Times New Roman"/>
        </w:rPr>
        <w:t xml:space="preserve">B of </w:t>
      </w:r>
      <w:r w:rsidR="00665C0F">
        <w:rPr>
          <w:rFonts w:cs="Times New Roman"/>
        </w:rPr>
        <w:t>the Little Three</w:t>
      </w:r>
      <w:r w:rsidR="00665C0F" w:rsidRPr="00B46B1C">
        <w:rPr>
          <w:rFonts w:cs="Times New Roman"/>
        </w:rPr>
        <w:t xml:space="preserve"> pegmatite</w:t>
      </w:r>
      <w:r w:rsidR="00665C0F">
        <w:rPr>
          <w:rFonts w:cs="Times New Roman"/>
        </w:rPr>
        <w:t>s</w:t>
      </w:r>
      <w:r w:rsidR="00665C0F" w:rsidRPr="00B46B1C">
        <w:rPr>
          <w:rFonts w:cs="Times New Roman"/>
        </w:rPr>
        <w:t>.</w:t>
      </w:r>
      <w:r w:rsidR="00665C0F" w:rsidRPr="00BB3F1D">
        <w:rPr>
          <w:rFonts w:cs="Times New Roman"/>
        </w:rPr>
        <w:t xml:space="preserve"> </w:t>
      </w:r>
      <w:r w:rsidR="00665C0F">
        <w:rPr>
          <w:rFonts w:cs="Times New Roman"/>
        </w:rPr>
        <w:t xml:space="preserve">Therefore, the best </w:t>
      </w:r>
      <w:r w:rsidR="00665C0F">
        <w:rPr>
          <w:rFonts w:cs="Times New Roman"/>
        </w:rPr>
        <w:lastRenderedPageBreak/>
        <w:t xml:space="preserve">candidate for </w:t>
      </w:r>
      <w:r w:rsidR="00665C0F" w:rsidRPr="00B46B1C">
        <w:rPr>
          <w:rFonts w:cs="Times New Roman"/>
        </w:rPr>
        <w:t>the heavy δ</w:t>
      </w:r>
      <w:r w:rsidR="00665C0F" w:rsidRPr="00B46B1C">
        <w:rPr>
          <w:rFonts w:cs="Times New Roman"/>
          <w:vertAlign w:val="superscript"/>
        </w:rPr>
        <w:t>11</w:t>
      </w:r>
      <w:r w:rsidR="00665C0F" w:rsidRPr="00B46B1C">
        <w:rPr>
          <w:rFonts w:cs="Times New Roman"/>
        </w:rPr>
        <w:t>B observed in the Little Three pegmatites</w:t>
      </w:r>
      <w:r w:rsidR="00665C0F">
        <w:rPr>
          <w:rFonts w:cs="Times New Roman"/>
        </w:rPr>
        <w:t xml:space="preserve"> appears to have been altered oceanic crust</w:t>
      </w:r>
      <w:r w:rsidR="00665C0F" w:rsidRPr="00972942">
        <w:rPr>
          <w:rFonts w:cs="Times New Roman"/>
        </w:rPr>
        <w:t>.</w:t>
      </w:r>
    </w:p>
    <w:p w:rsidR="00665C0F" w:rsidRPr="00F65F32" w:rsidRDefault="00F65F32" w:rsidP="00F65F32">
      <w:pPr>
        <w:pStyle w:val="Heading3"/>
        <w:spacing w:line="480" w:lineRule="auto"/>
        <w:rPr>
          <w:rFonts w:cs="Times New Roman"/>
          <w:bCs/>
        </w:rPr>
      </w:pPr>
      <w:bookmarkStart w:id="35" w:name="_Toc491246002"/>
      <w:r w:rsidRPr="00F65F32">
        <w:rPr>
          <w:rFonts w:cs="Times New Roman"/>
          <w:bCs/>
        </w:rPr>
        <w:t>5.2</w:t>
      </w:r>
      <w:r w:rsidR="00A24071">
        <w:rPr>
          <w:rFonts w:cs="Times New Roman"/>
          <w:bCs/>
        </w:rPr>
        <w:t>.</w:t>
      </w:r>
      <w:r w:rsidRPr="00F65F32">
        <w:rPr>
          <w:rFonts w:cs="Times New Roman"/>
          <w:bCs/>
        </w:rPr>
        <w:t xml:space="preserve"> </w:t>
      </w:r>
      <w:r w:rsidR="00665C0F" w:rsidRPr="00F65F32">
        <w:rPr>
          <w:rFonts w:cs="Times New Roman"/>
          <w:bCs/>
        </w:rPr>
        <w:t>Evaluation of Boron Isotopic Equilibrium among Tourmaline-Melt-Aqueous Fluid</w:t>
      </w:r>
      <w:bookmarkEnd w:id="35"/>
    </w:p>
    <w:p w:rsidR="00665C0F" w:rsidRDefault="00665C0F" w:rsidP="00F65F32">
      <w:pPr>
        <w:spacing w:after="240" w:line="480" w:lineRule="auto"/>
        <w:ind w:firstLine="720"/>
        <w:rPr>
          <w:rFonts w:cs="Times New Roman"/>
        </w:rPr>
      </w:pPr>
      <w:r>
        <w:rPr>
          <w:rFonts w:cs="Times New Roman"/>
        </w:rPr>
        <w:t xml:space="preserve">If an equilibrium distribution of boron isotopes between tourmaline and melt was maintained during the crystallization of the Main and Swamp dikes, then the </w:t>
      </w:r>
      <w:r w:rsidRPr="003D1B42">
        <w:rPr>
          <w:rFonts w:cs="Times New Roman"/>
        </w:rPr>
        <w:t>δ</w:t>
      </w:r>
      <w:r w:rsidRPr="003D1B42">
        <w:rPr>
          <w:rFonts w:cs="Times New Roman"/>
          <w:vertAlign w:val="superscript"/>
        </w:rPr>
        <w:t>11</w:t>
      </w:r>
      <w:r w:rsidRPr="003D1B42">
        <w:rPr>
          <w:rFonts w:cs="Times New Roman"/>
        </w:rPr>
        <w:t>B</w:t>
      </w:r>
      <w:r>
        <w:rPr>
          <w:rFonts w:cs="Times New Roman"/>
        </w:rPr>
        <w:t xml:space="preserve"> of tourmaline from margin-to-core of each pegmatite should follow a pattern similar to one predicted by the Rayleigh equation. However, this assessment hinges upon knowing the value of </w:t>
      </w:r>
      <w:r w:rsidRPr="003D1B42">
        <w:rPr>
          <w:rFonts w:cs="Times New Roman"/>
        </w:rPr>
        <w:t>Δ</w:t>
      </w:r>
      <w:r w:rsidRPr="003D1B42">
        <w:rPr>
          <w:rFonts w:cs="Times New Roman"/>
          <w:vertAlign w:val="superscript"/>
        </w:rPr>
        <w:t>11</w:t>
      </w:r>
      <w:r w:rsidRPr="003D1B42">
        <w:rPr>
          <w:rFonts w:cs="Times New Roman"/>
        </w:rPr>
        <w:t>B</w:t>
      </w:r>
      <w:r w:rsidRPr="003D1B42">
        <w:rPr>
          <w:rFonts w:cs="Times New Roman"/>
          <w:vertAlign w:val="subscript"/>
        </w:rPr>
        <w:t>Tur-melt</w:t>
      </w:r>
      <w:r>
        <w:rPr>
          <w:rFonts w:cs="Times New Roman"/>
        </w:rPr>
        <w:t xml:space="preserve">, which has not been experimentally measured or calculated using first principles methods. If the values for </w:t>
      </w:r>
      <w:r w:rsidRPr="003D1B42">
        <w:rPr>
          <w:rFonts w:cs="Times New Roman"/>
        </w:rPr>
        <w:t>Δ</w:t>
      </w:r>
      <w:r w:rsidRPr="003D1B42">
        <w:rPr>
          <w:rFonts w:cs="Times New Roman"/>
          <w:vertAlign w:val="superscript"/>
        </w:rPr>
        <w:t>11</w:t>
      </w:r>
      <w:r w:rsidRPr="003D1B42">
        <w:rPr>
          <w:rFonts w:cs="Times New Roman"/>
        </w:rPr>
        <w:t>B</w:t>
      </w:r>
      <w:r>
        <w:rPr>
          <w:rFonts w:cs="Times New Roman"/>
          <w:vertAlign w:val="subscript"/>
        </w:rPr>
        <w:t>melt-vpr</w:t>
      </w:r>
      <w:r>
        <w:rPr>
          <w:rFonts w:cs="Times New Roman"/>
        </w:rPr>
        <w:t xml:space="preserve"> </w:t>
      </w:r>
      <w:r>
        <w:rPr>
          <w:rFonts w:cs="Times New Roman"/>
        </w:rPr>
        <w:fldChar w:fldCharType="begin" w:fldLock="1"/>
      </w:r>
      <w:r w:rsidR="00266290">
        <w:rPr>
          <w:rFonts w:cs="Times New Roman"/>
        </w:rPr>
        <w:instrText>ADDIN CSL_CITATION { "citationItems" : [ { "id" : "ITEM-1",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"ITEM-1", "issue" : "5-6", "issued" : { "date-parts" : [ [ "2002" ] ] }, "page" : "769-774", "title" : "Isotopic and elemental partitioning of boron between hydrous fluid and silicate melt", "type" : "article-journal", "volume" : "87" }, "uris" : [ "http://www.mendeley.com/documents/?uuid=6b1d0590-ae63-44d0-990b-7cd3b5a05b06" ] } ], "mendeley" : { "formattedCitation" : "(Hervig et al., 2002)", "plainTextFormattedCitation" : "(Hervig et al., 2002)", "previouslyFormattedCitation" : "(Hervig et al. 2002)" }, "properties" : { "noteIndex" : 0 }, "schema" : "https://github.com/citation-style-language/schema/raw/master/csl-citation.json" }</w:instrText>
      </w:r>
      <w:r>
        <w:rPr>
          <w:rFonts w:cs="Times New Roman"/>
        </w:rPr>
        <w:fldChar w:fldCharType="separate"/>
      </w:r>
      <w:r w:rsidR="00266290" w:rsidRPr="00266290">
        <w:rPr>
          <w:rFonts w:cs="Times New Roman"/>
          <w:noProof/>
        </w:rPr>
        <w:t>(Hervig et al., 2002)</w:t>
      </w:r>
      <w:r>
        <w:rPr>
          <w:rFonts w:cs="Times New Roman"/>
        </w:rPr>
        <w:fldChar w:fldCharType="end"/>
      </w:r>
      <w:r>
        <w:rPr>
          <w:rFonts w:cs="Times New Roman"/>
        </w:rPr>
        <w:t xml:space="preserve"> and </w:t>
      </w:r>
      <w:r w:rsidRPr="003D1B42">
        <w:rPr>
          <w:rFonts w:cs="Times New Roman"/>
        </w:rPr>
        <w:t>Δ</w:t>
      </w:r>
      <w:r w:rsidRPr="003D1B42">
        <w:rPr>
          <w:rFonts w:cs="Times New Roman"/>
          <w:vertAlign w:val="superscript"/>
        </w:rPr>
        <w:t>11</w:t>
      </w:r>
      <w:r w:rsidRPr="003D1B42">
        <w:rPr>
          <w:rFonts w:cs="Times New Roman"/>
        </w:rPr>
        <w:t>B</w:t>
      </w:r>
      <w:r>
        <w:rPr>
          <w:rFonts w:cs="Times New Roman"/>
          <w:vertAlign w:val="subscript"/>
        </w:rPr>
        <w:t>Tur-vapor</w:t>
      </w:r>
      <w:r>
        <w:rPr>
          <w:rFonts w:cs="Times New Roman"/>
        </w:rPr>
        <w:t xml:space="preserve"> </w:t>
      </w:r>
      <w:r>
        <w:rPr>
          <w:rFonts w:cs="Times New Roman"/>
        </w:rPr>
        <w:fldChar w:fldCharType="begin" w:fldLock="1"/>
      </w:r>
      <w:r w:rsidR="00266290">
        <w:rPr>
          <w:rFonts w:cs="Times New Roman"/>
        </w:rPr>
        <w:instrText>ADDIN CSL_CITATION { "citationItems" : [ { "id" : "ITEM-1", "itemData" : { "DOI" : "http://dx.doi.org/10.1016/0009-2541(92)90209-N", "ISBN" : "0168-9622", "ISSN" : "00092541", "abstract" : "The extent of boron isotope fractionation between tourmaline and aqueous vapor has been determined over theP-T range 50-200 MPa and 350-750\u00b0C. The results show that the extent of fractionation is inversely dependent on temperature. An unusual feature of the reaction is that the isotope fractionation is less of extensive at higher pressures for an equivalent temperature. Due to its refractory nature the experiments involved synthesis of tourmaline from constituents rather than equilibration of the preformed mineral with an isotopically distinct aqueous phase. For this reason we cannot, as yet, be certain whether the pressure effect is the result of equilibrium or kinetic processes.", "author" : [ { "dropping-particle" : "", "family" : "Palmer", "given" : "MR", "non-dropping-particle" : "", "parse-names" : false, "suffix" : "" }, { "dropping-particle" : "", "family" : "London", "given" : "D", "non-dropping-particle" : "", "parse-names" : false, "suffix" : "" }, { "dropping-particle" : "", "family" : "Morgan VI", "given" : "GB", "non-dropping-particle" : "", "parse-names" : false, "suffix" : "" }, { "dropping-particle" : "", "family" : "Babb", "given" : "HA", "non-dropping-particle" : "", "parse-names" : false, "suffix" : "" } ], "container-title" : "Chemical Geology", "id" : "ITEM-1", "issued" : { "date-parts" : [ [ "1992" ] ] }, "page" : "123-129", "title" : "Experimental determination of fractionation of 11B/10B between tourmaline and aqueous vapor: A temperature- and pressure-dependent isotopic system", "type" : "article-journal", "volume" : "101" }, "uris" : [ "http://www.mendeley.com/documents/?uuid=551614f3-36a5-485e-9b7a-dec99baa6926" ] }, { "id" : "ITEM-2", "itemData" : { "DOI" : "10.1007/s00410-008-0285-1", "ISBN" : "0010-7999", "ISSN" : "00107999", "abstract" : "The fractionation of boron isotopes between synthetic dravitic tourmaline and fluid was determined by hydrothermal experiments between 400 and 700 degrees C at 200 MPa and at 500 degrees C, 500 MPa. Tourmaline was crystallized from an oxide mix in presence of water that contained boron in excess. In one series of experiments, [B](fluid)/[B](tour) was 9 after the run; in another series it was 0.1. All experiments produced tourmaline as the sole boron-bearing solid, along with traces of quartz and talc. Powder XRD and Rietveld refinements revealed no significant amounts of tetrahedrally coordinated boron in tourmaline. B-11 always preferentially fractionated into the fluid. For experiments where [B](fluid)/[B](tour) was 9, a consistent temperature-dependent boron isotope fractionation curve resulted, approximated by Delta B-11((tour-fluid)) = -4.20 . [1,000/T (K)] + 3.52; R-2 = 0.77, and valid from 400 to 700 degrees C. No pressure dependence was observed. The fractionation (-2.7 +/- 0.5 parts per thousand at 400 degrees C; and -0.8 +/- 0.5 parts per thousand at 700 degrees C) is much lower than that previously presented by Palmer et al. (1992). Experiments where [B](fluid)/[B](tour) was 0.1 showed a significant larger apparent fractionation of up to -4.7 parts per thousand. In one of these runs, the isotopic composition of handpicked tourmaline crystals of different size varied by 1.3%. This is interpreted as resulting from fractional crystallization of boron isotopes during tourmaline growth due to the small boron reservoir of the fluid relative to tourmaline, thus indicating larger fractionation than observed at equilibrium. The effect is eliminated or minimized in experiments with very high boron excess in the fluid. We therefore suggest that values given by the above relation represent the true equilibrium fractionations.", "author" : [ { "dropping-particle" : "", "family" : "Meyer", "given" : "Christian", "non-dropping-particle" : "", "parse-names" : false, "suffix" : "" }, { "dropping-particle" : "", "family" : "Wunder", "given" : "Bernd", "non-dropping-particle" : "", "parse-names" : false, "suffix" : "" }, { "dropping-particle" : "", "family" : "Meixner", "given" : "Anette", "non-dropping-particle" : "", "parse-names" : false, "suffix" : "" }, { "dropping-particle" : "", "family" : "Romer", "given" : "Rolf L.", "non-dropping-particle" : "", "parse-names" : false, "suffix" : "" }, { "dropping-particle" : "", "family" : "Heinrich", "given" : "Wilhelm", "non-dropping-particle" : "", "parse-names" : false, "suffix" : "" } ], "container-title" : "Contributions to Mineralogy and Petrology", "id" : "ITEM-2", "issue" : "2", "issued" : { "date-parts" : [ [ "2008" ] ] }, "page" : "259-267", "title" : "Boron-isotope fractionation between tourmaline and fluid: An experimental re-investigation", "type" : "article-journal", "volume" : "156" }, "uris" : [ "http://www.mendeley.com/documents/?uuid=02c37c62-9b3e-4dfe-99ce-a807defc9a6f" ] }, { "id" : "ITEM-3", "itemData" : { "DOI" : "10.1016/j.gca.2012.10.007", "ISSN" : "0016-7037", "author" : [ { "dropping-particle" : "", "family" : "Kowalski", "given" : "Piotr M", "non-dropping-particle" : "", "parse-names" : false, "suffix" : "" }, { "dropping-particle" : "", "family" : "Wunder", "given" : "Bernd", "non-dropping-particle" : "", "parse-names" : false, "suffix" : "" }, { "dropping-particle" : "", "family" : "Jahn", "given" : "Sandro", "non-dropping-particle" : "", "parse-names" : false, "suffix" : "" } ], "container-title" : "Geochimica et Cosmochimica Acta", "id" : "ITEM-3", "issued" : { "date-parts" : [ [ "2013" ] ] }, "page" : "285-301", "publisher" : "Elsevier Ltd", "title" : "Ab initio prediction of equilibrium boron isotope fractionation between minerals and aqueous fluids at high P and T", "type" : "article-journal", "volume" : "101" }, "uris" : [ "http://www.mendeley.com/documents/?uuid=2b6916a8-729a-4980-908b-d7815713dbe1" ] } ], "mendeley" : { "formattedCitation" : "(Kowalski et al., 2013; Meyer et al., 2008; Palmer et al., 1992)", "plainTextFormattedCitation" : "(Kowalski et al., 2013; Meyer et al., 2008; Palmer et al., 1992)", "previouslyFormattedCitation" : "(Palmer et al. 1992; Meyer et al. 2008; Kowalski et al. 2013)" }, "properties" : { "noteIndex" : 0 }, "schema" : "https://github.com/citation-style-language/schema/raw/master/csl-citation.json" }</w:instrText>
      </w:r>
      <w:r>
        <w:rPr>
          <w:rFonts w:cs="Times New Roman"/>
        </w:rPr>
        <w:fldChar w:fldCharType="separate"/>
      </w:r>
      <w:r w:rsidR="00266290" w:rsidRPr="00266290">
        <w:rPr>
          <w:rFonts w:cs="Times New Roman"/>
          <w:noProof/>
        </w:rPr>
        <w:t>(Kowalski et al., 2013; Meyer et al., 2008; Palmer et al., 1992)</w:t>
      </w:r>
      <w:r>
        <w:rPr>
          <w:rFonts w:cs="Times New Roman"/>
        </w:rPr>
        <w:fldChar w:fldCharType="end"/>
      </w:r>
      <w:r>
        <w:rPr>
          <w:rFonts w:cs="Times New Roman"/>
        </w:rPr>
        <w:t xml:space="preserve"> are correct, then an estimate for </w:t>
      </w:r>
      <w:r w:rsidRPr="003D1B42">
        <w:rPr>
          <w:rFonts w:cs="Times New Roman"/>
        </w:rPr>
        <w:t>Δ</w:t>
      </w:r>
      <w:r w:rsidRPr="003D1B42">
        <w:rPr>
          <w:rFonts w:cs="Times New Roman"/>
          <w:vertAlign w:val="superscript"/>
        </w:rPr>
        <w:t>11</w:t>
      </w:r>
      <w:r w:rsidRPr="003D1B42">
        <w:rPr>
          <w:rFonts w:cs="Times New Roman"/>
        </w:rPr>
        <w:t>B</w:t>
      </w:r>
      <w:r w:rsidRPr="003D1B42">
        <w:rPr>
          <w:rFonts w:cs="Times New Roman"/>
          <w:vertAlign w:val="subscript"/>
        </w:rPr>
        <w:t>Tur-melt</w:t>
      </w:r>
      <w:r>
        <w:rPr>
          <w:rFonts w:cs="Times New Roman"/>
        </w:rPr>
        <w:t xml:space="preserve"> can be calculated from these datasets. The calculated value for </w:t>
      </w:r>
      <w:r w:rsidRPr="003D1B42">
        <w:rPr>
          <w:rFonts w:cs="Times New Roman"/>
        </w:rPr>
        <w:t>Δ</w:t>
      </w:r>
      <w:r w:rsidRPr="003D1B42">
        <w:rPr>
          <w:rFonts w:cs="Times New Roman"/>
          <w:vertAlign w:val="superscript"/>
        </w:rPr>
        <w:t>11</w:t>
      </w:r>
      <w:r w:rsidRPr="003D1B42">
        <w:rPr>
          <w:rFonts w:cs="Times New Roman"/>
        </w:rPr>
        <w:t>B</w:t>
      </w:r>
      <w:r w:rsidRPr="003D1B42">
        <w:rPr>
          <w:rFonts w:cs="Times New Roman"/>
          <w:vertAlign w:val="subscript"/>
        </w:rPr>
        <w:t>Tur-melt</w:t>
      </w:r>
      <w:r>
        <w:rPr>
          <w:rFonts w:cs="Times New Roman"/>
        </w:rPr>
        <w:t xml:space="preserve"> is between +8.9‰ and +6.5‰, at 450</w:t>
      </w:r>
      <w:r>
        <w:t>°</w:t>
      </w:r>
      <w:r>
        <w:rPr>
          <w:rFonts w:cs="Times New Roman"/>
        </w:rPr>
        <w:t>C, the temperature of crystallization for the Main and Swamp dikes (</w:t>
      </w:r>
      <w:r>
        <w:rPr>
          <w:rFonts w:cs="Times New Roman"/>
        </w:rPr>
        <w:fldChar w:fldCharType="begin" w:fldLock="1"/>
      </w:r>
      <w:r w:rsidR="00266290">
        <w:rPr>
          <w:rFonts w:cs="Times New Roman"/>
        </w:rPr>
        <w:instrText>ADDIN CSL_CITATION { "citationItems" : [ { "id" : "ITEM-1", "itemData" : { "DOI" : "10.3749/canmin.50.4.1025", "ISSN" : "00084476", "abstract" : "Miarolitic granitic pegmatites at the Little Three mine property near Ramona, San Diego County, California, USA, possess a bulk composition that closely matches that of a hydrous peraluminous granitic liquid that is saturated with respect to tourmaline at a temperature of \u223c450\u00b0C. As such, the pegmatites appear to represent the compositions of the silicate liquid from which they crystallized, which contained &lt;1 wt% B2O3 and minor amounts of Li and F. They do not appear to have contained phenocrysts upon emplacement, and they are neither partially cumulate nor hydrothermal in nature. The Little Three pegmatites are, however, sharply zoned. Chemical zonation across one small dike matches the patterns expected from crystallization of undercooled granitic liquids, in which the far-field diffusion of alkalis and local constitutional zone refining of fluxing and incompatible elements contribute to the chemical and textural changes from the margins inward. Feldspar thermometry records nearly isothermal crystallization at \u223c420\u00b0\u2013430\u00b0C for dikes from 1 to 2.5 m in thickness. Temperatures recorded by feldspars fall toward the miarolitic center of the thicker (Main) dike, but increase to \u223c500\u00b0C in the thinner (Swamp) dike. Fluid inclusions within quartz and topaz from miarolitic cavities of the Main dike contain cryolite, arsenides, arsenates, pollucite, and borates, including Cs borate, the latter of which indicates a higher degree of chemical fractionation than is present in the minerals that line the cavities. Extrapolation along isochores based on the homogenization (200\u00b0\u2013225\u00b0C) of the low-salinity aqueous fluid (&lt;1 equivalent wt% NaCl) to the temperature of feldspar equilibration (240\u00b0\u2013270\u00b0C) with the miarolitic cavity points to hydrostatic entrapment pressures of \u223c50 to 100 MPa, which are unrealistically low. If the isochores are extrapolated to 370\u00b0 \u00b1 20\u00b0C, the temperatures recorded by feldspars in the pegmatite that surrounds the miarolitic pockets, then the entrapment pressure would be \u223c200\u2013250 MPa. Formation of the miarolitic cavities at \u223c370\u00b0C and 200\u2013250 MPa is plausible, as the cavities contain zeolites; therefore, the feldspars within the pockets have recrystallized (re-equilibrated) to an extent that they no longer preserve their original compositions. ", "author" : [ { "dropping-particle" : "", "family" : "London", "given" : "David", "non-dropping-particle" : "", "parse-names" : false, "suffix" : "" }, { "dropping-particle" : "", "family" : "Morganvi", "given" : "George B.", "non-dropping-particle" : "", "parse-names" : false, "suffix" : "" }, { "dropping-particle" : "", "family" : "Paul", "given" : "Kerry A.", "non-dropping-particle" : "", "parse-names" : false, "suffix" : "" }, { "dropping-particle" : "", "family" : "Guttery", "given" : "Brandon M.", "non-dropping-particle" : "", "parse-names" : false, "suffix" : "" } ], "container-title" : "Canadian Mineralogist", "id" : "ITEM-1", "issue" : "4", "issued" : { "date-parts" : [ [ "2012" ] ] }, "page" : "1025-1054", "title" : "Internal evolution of miarolitic granitic pegmatites at the little three Mine, Ramona, California, USA", "type" : "article-journal", "volume" : "50" }, "uris" : [ "http://www.mendeley.com/documents/?uuid=a213218b-05b1-4ed6-8346-161a0a5501f1" ] }, { "id" : "ITEM-2", "itemData" : { "DOI" : "10.1007/s004100050541", "ISSN" : "00107999", "author" : [ { "dropping-particle" : "", "family" : "Morgan", "given" : "George B.", "non-dropping-particle" : "", "parse-names" : false, "suffix" : "" }, { "dropping-particle" : "", "family" : "London", "given" : "David", "non-dropping-particle" : "", "parse-names" : false, "suffix" : "" } ], "container-title" : "Contributions to Mineralogy and Petrology", "id" : "ITEM-2", "issue" : "4", "issued" : { "date-parts" : [ [ "1999" ] ] }, "page" : "310-330", "title" : "Crystallization of the Little Three layered pegmatite-aplite dike, Ramona District, California", "type" : "article-journal", "volume" : "136" }, "uris" : [ "http://www.mendeley.com/documents/?uuid=5d1566b0-c89b-4e61-94c5-4a9310a32eb3" ] } ], "mendeley" : { "formattedCitation" : "(London et al., 2012; Morgan and London, 1999)", "manualFormatting" : "London et al., 2012; Morgan and London, 1999)", "plainTextFormattedCitation" : "(London et al., 2012; Morgan and London, 1999)", "previouslyFormattedCitation" : "(Morgan and London 1999; London et al. 2012)" }, "properties" : { "noteIndex" : 0 }, "schema" : "https://github.com/citation-style-language/schema/raw/master/csl-citation.json" }</w:instrText>
      </w:r>
      <w:r>
        <w:rPr>
          <w:rFonts w:cs="Times New Roman"/>
        </w:rPr>
        <w:fldChar w:fldCharType="separate"/>
      </w:r>
      <w:r>
        <w:rPr>
          <w:rFonts w:cs="Times New Roman"/>
          <w:noProof/>
        </w:rPr>
        <w:t>London et al., 2012; Morgan</w:t>
      </w:r>
      <w:r w:rsidRPr="00B47508">
        <w:rPr>
          <w:rFonts w:cs="Times New Roman"/>
          <w:noProof/>
        </w:rPr>
        <w:t xml:space="preserve"> and London, 1999)</w:t>
      </w:r>
      <w:r>
        <w:rPr>
          <w:rFonts w:cs="Times New Roman"/>
        </w:rPr>
        <w:fldChar w:fldCharType="end"/>
      </w:r>
      <w:r>
        <w:rPr>
          <w:rFonts w:cs="Times New Roman"/>
        </w:rPr>
        <w:t xml:space="preserve">. The model shown in Figure </w:t>
      </w:r>
      <w:r w:rsidR="00815F07">
        <w:rPr>
          <w:rFonts w:cs="Times New Roman"/>
        </w:rPr>
        <w:t>2-</w:t>
      </w:r>
      <w:r>
        <w:rPr>
          <w:rFonts w:cs="Times New Roman"/>
        </w:rPr>
        <w:t xml:space="preserve">8 begins with the compositions of tourmaline form the massive aplite in the footwall and from the upper intermediate zone in the hanging wall of the Main dike. As shown by </w:t>
      </w:r>
      <w:r>
        <w:rPr>
          <w:rFonts w:cs="Times New Roman"/>
        </w:rPr>
        <w:fldChar w:fldCharType="begin" w:fldLock="1"/>
      </w:r>
      <w:r w:rsidR="00266290">
        <w:rPr>
          <w:rFonts w:cs="Times New Roman"/>
        </w:rPr>
        <w:instrText>ADDIN CSL_CITATION { "citationItems" : [ { "id" : "ITEM-1", "itemData" : { "DOI" : "10.1007/s004100050541", "ISSN" : "00107999", "author" : [ { "dropping-particle" : "", "family" : "Morgan", "given" : "George B.", "non-dropping-particle" : "", "parse-names" : false, "suffix" : "" }, { "dropping-particle" : "", "family" : "London", "given" : "David", "non-dropping-particle" : "", "parse-names" : false, "suffix" : "" } ], "container-title" : "Contributions to Mineralogy and Petrology", "id" : "ITEM-1", "issue" : "4", "issued" : { "date-parts" : [ [ "1999" ] ] }, "page" : "310-330", "title" : "Crystallization of the Little Three layered pegmatite-aplite dike, Ramona District, California", "type" : "article-journal", "volume" : "136" }, "uris" : [ "http://www.mendeley.com/documents/?uuid=5d1566b0-c89b-4e61-94c5-4a9310a32eb3" ] }, { "id" : "ITEM-2", "itemData" : { "DOI" : "10.3749/canmin.50.4.1025", "ISSN" : "00084476", "abstract" : "Miarolitic granitic pegmatites at the Little Three mine property near Ramona, San Diego County, California, USA, possess a bulk composition that closely matches that of a hydrous peraluminous granitic liquid that is saturated with respect to tourmaline at a temperature of \u223c450\u00b0C. As such, the pegmatites appear to represent the compositions of the silicate liquid from which they crystallized, which contained &lt;1 wt% B2O3 and minor amounts of Li and F. They do not appear to have contained phenocrysts upon emplacement, and they are neither partially cumulate nor hydrothermal in nature. The Little Three pegmatites are, however, sharply zoned. Chemical zonation across one small dike matches the patterns expected from crystallization of undercooled granitic liquids, in which the far-field diffusion of alkalis and local constitutional zone refining of fluxing and incompatible elements contribute to the chemical and textural changes from the margins inward. Feldspar thermometry records nearly isothermal crystallization at \u223c420\u00b0\u2013430\u00b0C for dikes from 1 to 2.5 m in thickness. Temperatures recorded by feldspars fall toward the miarolitic center of the thicker (Main) dike, but increase to \u223c500\u00b0C in the thinner (Swamp) dike. Fluid inclusions within quartz and topaz from miarolitic cavities of the Main dike contain cryolite, arsenides, arsenates, pollucite, and borates, including Cs borate, the latter of which indicates a higher degree of chemical fractionation than is present in the minerals that line the cavities. Extrapolation along isochores based on the homogenization (200\u00b0\u2013225\u00b0C) of the low-salinity aqueous fluid (&lt;1 equivalent wt% NaCl) to the temperature of feldspar equilibration (240\u00b0\u2013270\u00b0C) with the miarolitic cavity points to hydrostatic entrapment pressures of \u223c50 to 100 MPa, which are unrealistically low. If the isochores are extrapolated to 370\u00b0 \u00b1 20\u00b0C, the temperatures recorded by feldspars in the pegmatite that surrounds the miarolitic pockets, then the entrapment pressure would be \u223c200\u2013250 MPa. Formation of the miarolitic cavities at \u223c370\u00b0C and 200\u2013250 MPa is plausible, as the cavities contain zeolites; therefore, the feldspars within the pockets have recrystallized (re-equilibrated) to an extent that they no longer preserve their original compositions. ", "author" : [ { "dropping-particle" : "", "family" : "London", "given" : "David", "non-dropping-particle" : "", "parse-names" : false, "suffix" : "" }, { "dropping-particle" : "", "family" : "Morganvi", "given" : "George B.", "non-dropping-particle" : "", "parse-names" : false, "suffix" : "" }, { "dropping-particle" : "", "family" : "Paul", "given" : "Kerry A.", "non-dropping-particle" : "", "parse-names" : false, "suffix" : "" }, { "dropping-particle" : "", "family" : "Guttery", "given" : "Brandon M.", "non-dropping-particle" : "", "parse-names" : false, "suffix" : "" } ], "container-title" : "Canadian Mineralogist", "id" : "ITEM-2", "issue" : "4", "issued" : { "date-parts" : [ [ "2012" ] ] }, "page" : "1025-1054", "title" : "Internal evolution of miarolitic granitic pegmatites at the little three Mine, Ramona, California, USA", "type" : "article-journal", "volume" : "50" }, "uris" : [ "http://www.mendeley.com/documents/?uuid=a213218b-05b1-4ed6-8346-161a0a5501f1" ] } ], "mendeley" : { "formattedCitation" : "(London et al., 2012; Morgan and London, 1999)", "manualFormatting" : "London et al. (2012 and Morgan and London (1999)", "plainTextFormattedCitation" : "(London et al., 2012; Morgan and London, 1999)", "previouslyFormattedCitation" : "(Morgan and London 1999; London et al. 2012)" }, "properties" : { "noteIndex" : 0 }, "schema" : "https://github.com/citation-style-language/schema/raw/master/csl-citation.json" }</w:instrText>
      </w:r>
      <w:r>
        <w:rPr>
          <w:rFonts w:cs="Times New Roman"/>
        </w:rPr>
        <w:fldChar w:fldCharType="separate"/>
      </w:r>
      <w:r w:rsidRPr="00B47508">
        <w:rPr>
          <w:rFonts w:cs="Times New Roman"/>
          <w:noProof/>
        </w:rPr>
        <w:t xml:space="preserve">London et al. </w:t>
      </w:r>
      <w:r>
        <w:rPr>
          <w:rFonts w:cs="Times New Roman"/>
          <w:noProof/>
        </w:rPr>
        <w:t>(2012</w:t>
      </w:r>
      <w:r w:rsidR="00DB6C77">
        <w:rPr>
          <w:rFonts w:cs="Times New Roman"/>
          <w:noProof/>
        </w:rPr>
        <w:t>)</w:t>
      </w:r>
      <w:r>
        <w:rPr>
          <w:rFonts w:cs="Times New Roman"/>
          <w:noProof/>
        </w:rPr>
        <w:t xml:space="preserve"> and</w:t>
      </w:r>
      <w:r w:rsidRPr="00B47508">
        <w:rPr>
          <w:rFonts w:cs="Times New Roman"/>
          <w:noProof/>
        </w:rPr>
        <w:t xml:space="preserve"> Morgan and London</w:t>
      </w:r>
      <w:r>
        <w:rPr>
          <w:rFonts w:cs="Times New Roman"/>
          <w:noProof/>
        </w:rPr>
        <w:t xml:space="preserve"> (</w:t>
      </w:r>
      <w:r w:rsidRPr="00B47508">
        <w:rPr>
          <w:rFonts w:cs="Times New Roman"/>
          <w:noProof/>
        </w:rPr>
        <w:t>1999)</w:t>
      </w:r>
      <w:r>
        <w:rPr>
          <w:rFonts w:cs="Times New Roman"/>
        </w:rPr>
        <w:fldChar w:fldCharType="end"/>
      </w:r>
      <w:r>
        <w:rPr>
          <w:rFonts w:cs="Times New Roman"/>
        </w:rPr>
        <w:t>, the Main and Swamp dikes crystallized inward from the margins such that the core zone crystallized last.</w:t>
      </w:r>
    </w:p>
    <w:p w:rsidR="00665C0F" w:rsidRDefault="00665C0F" w:rsidP="00F65F32">
      <w:pPr>
        <w:spacing w:after="240" w:line="480" w:lineRule="auto"/>
        <w:ind w:firstLine="720"/>
        <w:rPr>
          <w:rFonts w:cs="Times New Roman"/>
        </w:rPr>
      </w:pPr>
      <w:r>
        <w:rPr>
          <w:rFonts w:cs="Times New Roman"/>
        </w:rPr>
        <w:t>In the Main and Swamp dikes, values</w:t>
      </w:r>
      <w:r w:rsidRPr="003D1B42">
        <w:rPr>
          <w:rFonts w:cs="Times New Roman"/>
        </w:rPr>
        <w:t xml:space="preserve"> of δ</w:t>
      </w:r>
      <w:r w:rsidRPr="003D1B42">
        <w:rPr>
          <w:rFonts w:cs="Times New Roman"/>
          <w:vertAlign w:val="superscript"/>
        </w:rPr>
        <w:t>11</w:t>
      </w:r>
      <w:r w:rsidRPr="003D1B42">
        <w:rPr>
          <w:rFonts w:cs="Times New Roman"/>
        </w:rPr>
        <w:t>B</w:t>
      </w:r>
      <w:r w:rsidRPr="003D1B42">
        <w:rPr>
          <w:rFonts w:cs="Times New Roman"/>
          <w:vertAlign w:val="subscript"/>
        </w:rPr>
        <w:t xml:space="preserve">Tur </w:t>
      </w:r>
      <w:r>
        <w:rPr>
          <w:rFonts w:cs="Times New Roman"/>
        </w:rPr>
        <w:t xml:space="preserve">form a mostly flat pattern from margin to core of the pegmatite (Fig </w:t>
      </w:r>
      <w:r w:rsidR="00815F07">
        <w:rPr>
          <w:rFonts w:cs="Times New Roman"/>
        </w:rPr>
        <w:t>2-</w:t>
      </w:r>
      <w:r>
        <w:rPr>
          <w:rFonts w:cs="Times New Roman"/>
        </w:rPr>
        <w:t>8). The flat pattern could have resulted from (1) a</w:t>
      </w:r>
      <w:r w:rsidRPr="003D1B42">
        <w:rPr>
          <w:rFonts w:cs="Times New Roman"/>
        </w:rPr>
        <w:t xml:space="preserve"> small </w:t>
      </w:r>
      <w:r>
        <w:rPr>
          <w:rFonts w:cs="Times New Roman"/>
        </w:rPr>
        <w:t xml:space="preserve">value for </w:t>
      </w:r>
      <w:r w:rsidRPr="003D1B42">
        <w:rPr>
          <w:rFonts w:cs="Times New Roman"/>
        </w:rPr>
        <w:t>Δ</w:t>
      </w:r>
      <w:r w:rsidRPr="003D1B42">
        <w:rPr>
          <w:rFonts w:cs="Times New Roman"/>
          <w:vertAlign w:val="superscript"/>
        </w:rPr>
        <w:t>11</w:t>
      </w:r>
      <w:r w:rsidRPr="003D1B42">
        <w:rPr>
          <w:rFonts w:cs="Times New Roman"/>
        </w:rPr>
        <w:t>B</w:t>
      </w:r>
      <w:r w:rsidRPr="003D1B42">
        <w:rPr>
          <w:rFonts w:cs="Times New Roman"/>
          <w:vertAlign w:val="subscript"/>
        </w:rPr>
        <w:t>Tur-melt</w:t>
      </w:r>
      <w:r w:rsidRPr="003D1B42">
        <w:rPr>
          <w:rFonts w:cs="Times New Roman"/>
        </w:rPr>
        <w:t xml:space="preserve"> </w:t>
      </w:r>
      <w:r>
        <w:rPr>
          <w:rFonts w:cs="Times New Roman"/>
        </w:rPr>
        <w:t xml:space="preserve">(i.e. a small α factor in the Rayleigh equation), or </w:t>
      </w:r>
      <w:r w:rsidRPr="003D1B42">
        <w:rPr>
          <w:rFonts w:cs="Times New Roman"/>
        </w:rPr>
        <w:t xml:space="preserve">(2) </w:t>
      </w:r>
      <w:r>
        <w:rPr>
          <w:rFonts w:cs="Times New Roman"/>
        </w:rPr>
        <w:t>a non-equilibrium distribution of boron isotopes between tourmaline and melt</w:t>
      </w:r>
      <w:r w:rsidRPr="003D1B42">
        <w:rPr>
          <w:rFonts w:cs="Times New Roman"/>
        </w:rPr>
        <w:t xml:space="preserve">. </w:t>
      </w:r>
      <w:r>
        <w:rPr>
          <w:rFonts w:cs="Times New Roman"/>
        </w:rPr>
        <w:t xml:space="preserve">As shown in Figures </w:t>
      </w:r>
      <w:r w:rsidR="00815F07">
        <w:rPr>
          <w:rFonts w:cs="Times New Roman"/>
        </w:rPr>
        <w:t>2-</w:t>
      </w:r>
      <w:r>
        <w:rPr>
          <w:rFonts w:cs="Times New Roman"/>
        </w:rPr>
        <w:t xml:space="preserve">8 and </w:t>
      </w:r>
      <w:r w:rsidR="00815F07">
        <w:rPr>
          <w:rFonts w:cs="Times New Roman"/>
        </w:rPr>
        <w:t>2-</w:t>
      </w:r>
      <w:r>
        <w:rPr>
          <w:rFonts w:cs="Times New Roman"/>
        </w:rPr>
        <w:t xml:space="preserve">9, the patterns of </w:t>
      </w:r>
      <w:r w:rsidRPr="003D1B42">
        <w:rPr>
          <w:rFonts w:cs="Times New Roman"/>
        </w:rPr>
        <w:t>δ</w:t>
      </w:r>
      <w:r w:rsidRPr="003D1B42">
        <w:rPr>
          <w:rFonts w:cs="Times New Roman"/>
          <w:vertAlign w:val="superscript"/>
        </w:rPr>
        <w:t>11</w:t>
      </w:r>
      <w:r w:rsidRPr="003D1B42">
        <w:rPr>
          <w:rFonts w:cs="Times New Roman"/>
        </w:rPr>
        <w:t>B</w:t>
      </w:r>
      <w:r w:rsidRPr="003D1B42">
        <w:rPr>
          <w:rFonts w:cs="Times New Roman"/>
          <w:vertAlign w:val="subscript"/>
        </w:rPr>
        <w:t>Tur</w:t>
      </w:r>
      <w:r>
        <w:rPr>
          <w:rFonts w:cs="Times New Roman"/>
          <w:vertAlign w:val="subscript"/>
        </w:rPr>
        <w:t xml:space="preserve"> </w:t>
      </w:r>
      <w:r>
        <w:rPr>
          <w:rFonts w:cs="Times New Roman"/>
        </w:rPr>
        <w:t xml:space="preserve">from margin-to-core of each pegmatite </w:t>
      </w:r>
      <w:r>
        <w:rPr>
          <w:rFonts w:cs="Times New Roman"/>
        </w:rPr>
        <w:lastRenderedPageBreak/>
        <w:t xml:space="preserve">does not match the Rayleigh curve that uses a </w:t>
      </w:r>
      <w:r w:rsidRPr="003D1B42">
        <w:rPr>
          <w:rFonts w:cs="Times New Roman"/>
        </w:rPr>
        <w:t>Δ</w:t>
      </w:r>
      <w:r w:rsidRPr="003D1B42">
        <w:rPr>
          <w:rFonts w:cs="Times New Roman"/>
          <w:vertAlign w:val="superscript"/>
        </w:rPr>
        <w:t>11</w:t>
      </w:r>
      <w:r w:rsidRPr="003D1B42">
        <w:rPr>
          <w:rFonts w:cs="Times New Roman"/>
        </w:rPr>
        <w:t>B</w:t>
      </w:r>
      <w:r w:rsidRPr="003D1B42">
        <w:rPr>
          <w:rFonts w:cs="Times New Roman"/>
          <w:vertAlign w:val="subscript"/>
        </w:rPr>
        <w:t>Tur-melt</w:t>
      </w:r>
      <w:r>
        <w:rPr>
          <w:rFonts w:cs="Times New Roman"/>
          <w:vertAlign w:val="subscript"/>
        </w:rPr>
        <w:t xml:space="preserve"> </w:t>
      </w:r>
      <w:r>
        <w:rPr>
          <w:rFonts w:cs="Times New Roman"/>
        </w:rPr>
        <w:t xml:space="preserve">of +6.5‰. If the value of </w:t>
      </w:r>
      <w:r w:rsidRPr="003D1B42">
        <w:rPr>
          <w:rFonts w:cs="Times New Roman"/>
        </w:rPr>
        <w:t>Δ</w:t>
      </w:r>
      <w:r w:rsidRPr="003D1B42">
        <w:rPr>
          <w:rFonts w:cs="Times New Roman"/>
          <w:vertAlign w:val="superscript"/>
        </w:rPr>
        <w:t>11</w:t>
      </w:r>
      <w:r w:rsidRPr="003D1B42">
        <w:rPr>
          <w:rFonts w:cs="Times New Roman"/>
        </w:rPr>
        <w:t>B</w:t>
      </w:r>
      <w:r w:rsidRPr="003D1B42">
        <w:rPr>
          <w:rFonts w:cs="Times New Roman"/>
          <w:vertAlign w:val="subscript"/>
        </w:rPr>
        <w:t>Tur-melt</w:t>
      </w:r>
      <w:r>
        <w:rPr>
          <w:rFonts w:cs="Times New Roman"/>
          <w:vertAlign w:val="subscript"/>
        </w:rPr>
        <w:t xml:space="preserve"> </w:t>
      </w:r>
      <w:r>
        <w:rPr>
          <w:rFonts w:cs="Times New Roman"/>
        </w:rPr>
        <w:t xml:space="preserve">is reduced to +1.0‰, the Rayleigh curve becomes more similar to the observed pattern of </w:t>
      </w:r>
      <w:r w:rsidRPr="003D1B42">
        <w:rPr>
          <w:rFonts w:cs="Times New Roman"/>
        </w:rPr>
        <w:t>δ</w:t>
      </w:r>
      <w:r w:rsidRPr="003D1B42">
        <w:rPr>
          <w:rFonts w:cs="Times New Roman"/>
          <w:vertAlign w:val="superscript"/>
        </w:rPr>
        <w:t>11</w:t>
      </w:r>
      <w:r w:rsidRPr="003D1B42">
        <w:rPr>
          <w:rFonts w:cs="Times New Roman"/>
        </w:rPr>
        <w:t>B</w:t>
      </w:r>
      <w:r w:rsidRPr="003D1B42">
        <w:rPr>
          <w:rFonts w:cs="Times New Roman"/>
          <w:vertAlign w:val="subscript"/>
        </w:rPr>
        <w:t>Tur</w:t>
      </w:r>
      <w:r>
        <w:rPr>
          <w:rFonts w:cs="Times New Roman"/>
        </w:rPr>
        <w:t xml:space="preserve">. </w:t>
      </w:r>
    </w:p>
    <w:p w:rsidR="00665C0F" w:rsidRPr="001773B7" w:rsidRDefault="00665C0F" w:rsidP="00F65F32">
      <w:pPr>
        <w:spacing w:after="240" w:line="480" w:lineRule="auto"/>
        <w:ind w:firstLine="720"/>
        <w:rPr>
          <w:rFonts w:cs="Times New Roman"/>
        </w:rPr>
      </w:pPr>
      <w:r>
        <w:rPr>
          <w:rFonts w:cs="Times New Roman"/>
        </w:rPr>
        <w:t xml:space="preserve">Unlike the Main dike, there is an abrupt </w:t>
      </w:r>
      <w:r w:rsidRPr="007D5A6A">
        <w:rPr>
          <w:rFonts w:cs="Times New Roman"/>
        </w:rPr>
        <w:t>4.4‰</w:t>
      </w:r>
      <w:r>
        <w:rPr>
          <w:rFonts w:cs="Times New Roman"/>
        </w:rPr>
        <w:t xml:space="preserve"> decrease in </w:t>
      </w:r>
      <w:r w:rsidRPr="003D1B42">
        <w:rPr>
          <w:rFonts w:cs="Times New Roman"/>
        </w:rPr>
        <w:t>δ</w:t>
      </w:r>
      <w:r w:rsidRPr="003D1B42">
        <w:rPr>
          <w:rFonts w:cs="Times New Roman"/>
          <w:vertAlign w:val="superscript"/>
        </w:rPr>
        <w:t>11</w:t>
      </w:r>
      <w:r w:rsidRPr="003D1B42">
        <w:rPr>
          <w:rFonts w:cs="Times New Roman"/>
        </w:rPr>
        <w:t>B</w:t>
      </w:r>
      <w:r w:rsidRPr="003D1B42">
        <w:rPr>
          <w:rFonts w:cs="Times New Roman"/>
          <w:vertAlign w:val="subscript"/>
        </w:rPr>
        <w:t>Tur</w:t>
      </w:r>
      <w:r w:rsidRPr="003D1B42">
        <w:rPr>
          <w:rFonts w:cs="Times New Roman"/>
        </w:rPr>
        <w:t xml:space="preserve"> </w:t>
      </w:r>
      <w:r>
        <w:rPr>
          <w:rFonts w:cs="Times New Roman"/>
        </w:rPr>
        <w:t xml:space="preserve">at the transition from layered aplite to intermediate zone (Fig. </w:t>
      </w:r>
      <w:r w:rsidR="00815F07">
        <w:rPr>
          <w:rFonts w:cs="Times New Roman"/>
        </w:rPr>
        <w:t>2-</w:t>
      </w:r>
      <w:r>
        <w:rPr>
          <w:rFonts w:cs="Times New Roman"/>
        </w:rPr>
        <w:t xml:space="preserve">9) in the Swamp dike. </w:t>
      </w:r>
      <w:r w:rsidRPr="003D1B42">
        <w:rPr>
          <w:rFonts w:cs="Times New Roman"/>
        </w:rPr>
        <w:t>The abrupt decrease in δ</w:t>
      </w:r>
      <w:r w:rsidRPr="003D1B42">
        <w:rPr>
          <w:rFonts w:cs="Times New Roman"/>
          <w:vertAlign w:val="superscript"/>
        </w:rPr>
        <w:t>11</w:t>
      </w:r>
      <w:r w:rsidRPr="003D1B42">
        <w:rPr>
          <w:rFonts w:cs="Times New Roman"/>
        </w:rPr>
        <w:t>B</w:t>
      </w:r>
      <w:r w:rsidRPr="003D1B42">
        <w:rPr>
          <w:rFonts w:cs="Times New Roman"/>
          <w:vertAlign w:val="subscript"/>
        </w:rPr>
        <w:t>Tur</w:t>
      </w:r>
      <w:r w:rsidRPr="003D1B42">
        <w:rPr>
          <w:rFonts w:cs="Times New Roman"/>
        </w:rPr>
        <w:t xml:space="preserve"> from layered aplite to intermediate zone could </w:t>
      </w:r>
      <w:r>
        <w:rPr>
          <w:rFonts w:cs="Times New Roman"/>
        </w:rPr>
        <w:t>not result from</w:t>
      </w:r>
      <w:r w:rsidRPr="003D1B42">
        <w:rPr>
          <w:rFonts w:cs="Times New Roman"/>
        </w:rPr>
        <w:t xml:space="preserve"> </w:t>
      </w:r>
      <w:r>
        <w:rPr>
          <w:rFonts w:cs="Times New Roman"/>
        </w:rPr>
        <w:t xml:space="preserve">an equilibrium distribution of boron isotopes between tourmaline and melt. A loss of </w:t>
      </w:r>
      <w:r>
        <w:rPr>
          <w:rFonts w:cs="Times New Roman"/>
          <w:vertAlign w:val="superscript"/>
        </w:rPr>
        <w:t>11</w:t>
      </w:r>
      <w:r>
        <w:rPr>
          <w:rFonts w:cs="Times New Roman"/>
        </w:rPr>
        <w:t xml:space="preserve">B from melt to an aqueous fluid is possible if the mass of aqueous fluid was large relative to the mass of melt. Even so, we would expect the </w:t>
      </w:r>
      <w:r w:rsidRPr="000003CA">
        <w:rPr>
          <w:rFonts w:cs="Times New Roman"/>
        </w:rPr>
        <w:t>δ</w:t>
      </w:r>
      <w:r w:rsidRPr="000003CA">
        <w:rPr>
          <w:rFonts w:cs="Times New Roman"/>
          <w:vertAlign w:val="superscript"/>
        </w:rPr>
        <w:t>11</w:t>
      </w:r>
      <w:r w:rsidRPr="000003CA">
        <w:rPr>
          <w:rFonts w:cs="Times New Roman"/>
        </w:rPr>
        <w:t>B</w:t>
      </w:r>
      <w:r>
        <w:rPr>
          <w:rFonts w:cs="Times New Roman"/>
        </w:rPr>
        <w:t xml:space="preserve"> of tourmaline from the miarolitic cavity to be commensurately heavy compared to tourmaline from the intermediate zone, assuming the experimentally determined values of </w:t>
      </w:r>
      <w:r w:rsidRPr="003D1B42">
        <w:rPr>
          <w:rFonts w:cs="Times New Roman"/>
        </w:rPr>
        <w:t>Δ</w:t>
      </w:r>
      <w:r w:rsidRPr="003D1B42">
        <w:rPr>
          <w:rFonts w:cs="Times New Roman"/>
          <w:vertAlign w:val="superscript"/>
        </w:rPr>
        <w:t>11</w:t>
      </w:r>
      <w:r w:rsidRPr="003D1B42">
        <w:rPr>
          <w:rFonts w:cs="Times New Roman"/>
        </w:rPr>
        <w:t>B</w:t>
      </w:r>
      <w:r>
        <w:rPr>
          <w:rFonts w:cs="Times New Roman"/>
          <w:vertAlign w:val="subscript"/>
        </w:rPr>
        <w:t>melt-vapor</w:t>
      </w:r>
      <w:r>
        <w:rPr>
          <w:rFonts w:cs="Times New Roman"/>
        </w:rPr>
        <w:t xml:space="preserve"> are correct</w:t>
      </w:r>
      <w:r w:rsidRPr="003D1B42">
        <w:rPr>
          <w:rFonts w:cs="Times New Roman"/>
        </w:rPr>
        <w:t>.</w:t>
      </w:r>
      <w:r>
        <w:rPr>
          <w:rFonts w:cs="Times New Roman"/>
        </w:rPr>
        <w:t xml:space="preserve"> With two exceptions, discussed in section 5.3., the </w:t>
      </w:r>
      <w:r w:rsidRPr="000003CA">
        <w:rPr>
          <w:rFonts w:cs="Times New Roman"/>
        </w:rPr>
        <w:t>δ</w:t>
      </w:r>
      <w:r w:rsidRPr="000003CA">
        <w:rPr>
          <w:rFonts w:cs="Times New Roman"/>
          <w:vertAlign w:val="superscript"/>
        </w:rPr>
        <w:t>11</w:t>
      </w:r>
      <w:r w:rsidRPr="000003CA">
        <w:rPr>
          <w:rFonts w:cs="Times New Roman"/>
        </w:rPr>
        <w:t>B</w:t>
      </w:r>
      <w:r>
        <w:rPr>
          <w:rFonts w:cs="Times New Roman"/>
        </w:rPr>
        <w:t xml:space="preserve"> of tourmaline from intermediate zones and miarolitic cavities in the Main and Swamp dikes are identical. </w:t>
      </w:r>
      <w:r w:rsidRPr="00732DED">
        <w:rPr>
          <w:rFonts w:cs="Times New Roman"/>
        </w:rPr>
        <w:t>Textural evidence within the Main and Swamp dikes indicates that an aqueous fluid was present only after the interm</w:t>
      </w:r>
      <w:r>
        <w:rPr>
          <w:rFonts w:cs="Times New Roman"/>
        </w:rPr>
        <w:t xml:space="preserve">ediate zones were mostly solidified; small miaroles are present ~10 cm from the larger miarolitic cavities </w:t>
      </w:r>
      <w:r>
        <w:rPr>
          <w:rFonts w:cs="Times New Roman"/>
        </w:rPr>
        <w:fldChar w:fldCharType="begin" w:fldLock="1"/>
      </w:r>
      <w:r w:rsidR="00266290">
        <w:rPr>
          <w:rFonts w:cs="Times New Roman"/>
        </w:rPr>
        <w:instrText>ADDIN CSL_CITATION { "citationItems" : [ { "id" : "ITEM-1", "itemData" : { "DOI" : "10.1007/s004100050541", "ISSN" : "00107999", "author" : [ { "dropping-particle" : "", "family" : "Morgan", "given" : "George B.", "non-dropping-particle" : "", "parse-names" : false, "suffix" : "" }, { "dropping-particle" : "", "family" : "London", "given" : "David", "non-dropping-particle" : "", "parse-names" : false, "suffix" : "" } ], "container-title" : "Contributions to Mineralogy and Petrology", "id" : "ITEM-1", "issue" : "4", "issued" : { "date-parts" : [ [ "1999" ] ] }, "page" : "310-330", "title" : "Crystallization of the Little Three layered pegmatite-aplite dike, Ramona District, California", "type" : "article-journal", "volume" : "136" }, "uris" : [ "http://www.mendeley.com/documents/?uuid=5d1566b0-c89b-4e61-94c5-4a9310a32eb3" ] } ], "mendeley" : { "formattedCitation" : "(Morgan and London, 1999)", "plainTextFormattedCitation" : "(Morgan and London, 1999)", "previouslyFormattedCitation" : "(Morgan and London 1999)" }, "properties" : { "noteIndex" : 0 }, "schema" : "https://github.com/citation-style-language/schema/raw/master/csl-citation.json" }</w:instrText>
      </w:r>
      <w:r>
        <w:rPr>
          <w:rFonts w:cs="Times New Roman"/>
        </w:rPr>
        <w:fldChar w:fldCharType="separate"/>
      </w:r>
      <w:r w:rsidR="00266290" w:rsidRPr="00266290">
        <w:rPr>
          <w:rFonts w:cs="Times New Roman"/>
          <w:noProof/>
        </w:rPr>
        <w:t>(Morgan and London, 1999)</w:t>
      </w:r>
      <w:r>
        <w:rPr>
          <w:rFonts w:cs="Times New Roman"/>
        </w:rPr>
        <w:fldChar w:fldCharType="end"/>
      </w:r>
      <w:r w:rsidRPr="00C6778F">
        <w:rPr>
          <w:rFonts w:cs="Times New Roman"/>
        </w:rPr>
        <w:t xml:space="preserve">. </w:t>
      </w:r>
      <w:r>
        <w:rPr>
          <w:rFonts w:cs="Times New Roman"/>
        </w:rPr>
        <w:t>The Swamp dike is essentially massive, with only rare and small miarolitic cavities found at its dike center. In the Swamp dike,</w:t>
      </w:r>
      <w:r w:rsidRPr="00732DED">
        <w:rPr>
          <w:rFonts w:cs="Times New Roman"/>
        </w:rPr>
        <w:t xml:space="preserve"> systematic variations in Al/Si order and Cs contents of K-feldspar are those expected of an entirely igneous origin, with aqueous fluid present only as the pegmatite approached the core stage of crystallization </w:t>
      </w:r>
      <w:r w:rsidRPr="00732DED">
        <w:rPr>
          <w:rFonts w:cs="Times New Roman"/>
        </w:rPr>
        <w:fldChar w:fldCharType="begin" w:fldLock="1"/>
      </w:r>
      <w:r w:rsidR="00266290">
        <w:rPr>
          <w:rFonts w:cs="Times New Roman"/>
        </w:rPr>
        <w:instrText>ADDIN CSL_CITATION { "citationItems" : [ { "id" : "ITEM-1", "itemData" : { "DOI" : "10.3749/canmin.50.4.1025", "ISSN" : "00084476", "abstract" : "Miarolitic granitic pegmatites at the Little Three mine property near Ramona, San Diego County, California, USA, possess a bulk composition that closely matches that of a hydrous peraluminous granitic liquid that is saturated with respect to tourmaline at a temperature of \u223c450\u00b0C. As such, the pegmatites appear to represent the compositions of the silicate liquid from which they crystallized, which contained &lt;1 wt% B2O3 and minor amounts of Li and F. They do not appear to have contained phenocrysts upon emplacement, and they are neither partially cumulate nor hydrothermal in nature. The Little Three pegmatites are, however, sharply zoned. Chemical zonation across one small dike matches the patterns expected from crystallization of undercooled granitic liquids, in which the far-field diffusion of alkalis and local constitutional zone refining of fluxing and incompatible elements contribute to the chemical and textural changes from the margins inward. Feldspar thermometry records nearly isothermal crystallization at \u223c420\u00b0\u2013430\u00b0C for dikes from 1 to 2.5 m in thickness. Temperatures recorded by feldspars fall toward the miarolitic center of the thicker (Main) dike, but increase to \u223c500\u00b0C in the thinner (Swamp) dike. Fluid inclusions within quartz and topaz from miarolitic cavities of the Main dike contain cryolite, arsenides, arsenates, pollucite, and borates, including Cs borate, the latter of which indicates a higher degree of chemical fractionation than is present in the minerals that line the cavities. Extrapolation along isochores based on the homogenization (200\u00b0\u2013225\u00b0C) of the low-salinity aqueous fluid (&lt;1 equivalent wt% NaCl) to the temperature of feldspar equilibration (240\u00b0\u2013270\u00b0C) with the miarolitic cavity points to hydrostatic entrapment pressures of \u223c50 to 100 MPa, which are unrealistically low. If the isochores are extrapolated to 370\u00b0 \u00b1 20\u00b0C, the temperatures recorded by feldspars in the pegmatite that surrounds the miarolitic pockets, then the entrapment pressure would be \u223c200\u2013250 MPa. Formation of the miarolitic cavities at \u223c370\u00b0C and 200\u2013250 MPa is plausible, as the cavities contain zeolites; therefore, the feldspars within the pockets have recrystallized (re-equilibrated) to an extent that they no longer preserve their original compositions. ", "author" : [ { "dropping-particle" : "", "family" : "London", "given" : "David", "non-dropping-particle" : "", "parse-names" : false, "suffix" : "" }, { "dropping-particle" : "", "family" : "Morganvi", "given" : "George B.", "non-dropping-particle" : "", "parse-names" : false, "suffix" : "" }, { "dropping-particle" : "", "family" : "Paul", "given" : "Kerry A.", "non-dropping-particle" : "", "parse-names" : false, "suffix" : "" }, { "dropping-particle" : "", "family" : "Guttery", "given" : "Brandon M.", "non-dropping-particle" : "", "parse-names" : false, "suffix" : "" } ], "container-title" : "Canadian Mineralogist", "id" : "ITEM-1", "issue" : "4", "issued" : { "date-parts" : [ [ "2012" ] ] }, "page" : "1025-1054", "title" : "Internal evolution of miarolitic granitic pegmatites at the little three Mine, Ramona, California, USA", "type" : "article-journal", "volume" : "50" }, "uris" : [ "http://www.mendeley.com/documents/?uuid=a213218b-05b1-4ed6-8346-161a0a5501f1" ] } ], "mendeley" : { "formattedCitation" : "(London et al., 2012)", "plainTextFormattedCitation" : "(London et al., 2012)", "previouslyFormattedCitation" : "(London et al. 2012)" }, "properties" : { "noteIndex" : 0 }, "schema" : "https://github.com/citation-style-language/schema/raw/master/csl-citation.json" }</w:instrText>
      </w:r>
      <w:r w:rsidRPr="00732DED">
        <w:rPr>
          <w:rFonts w:cs="Times New Roman"/>
        </w:rPr>
        <w:fldChar w:fldCharType="separate"/>
      </w:r>
      <w:r w:rsidR="00266290" w:rsidRPr="00266290">
        <w:rPr>
          <w:rFonts w:cs="Times New Roman"/>
          <w:noProof/>
        </w:rPr>
        <w:t>(London et al., 2012)</w:t>
      </w:r>
      <w:r w:rsidRPr="00732DED">
        <w:rPr>
          <w:rFonts w:cs="Times New Roman"/>
        </w:rPr>
        <w:fldChar w:fldCharType="end"/>
      </w:r>
      <w:r w:rsidRPr="00732DED">
        <w:rPr>
          <w:rFonts w:cs="Times New Roman"/>
        </w:rPr>
        <w:t xml:space="preserve">. </w:t>
      </w:r>
      <w:r>
        <w:rPr>
          <w:rFonts w:cs="Times New Roman"/>
        </w:rPr>
        <w:t xml:space="preserve">Therefore, the </w:t>
      </w:r>
      <w:r w:rsidRPr="00234135">
        <w:rPr>
          <w:rFonts w:cs="Times New Roman"/>
        </w:rPr>
        <w:t>decrease in δ</w:t>
      </w:r>
      <w:r w:rsidRPr="00234135">
        <w:rPr>
          <w:rFonts w:cs="Times New Roman"/>
          <w:vertAlign w:val="superscript"/>
        </w:rPr>
        <w:t>11</w:t>
      </w:r>
      <w:r w:rsidRPr="00234135">
        <w:rPr>
          <w:rFonts w:cs="Times New Roman"/>
        </w:rPr>
        <w:t>B</w:t>
      </w:r>
      <w:r w:rsidRPr="00234135">
        <w:rPr>
          <w:rFonts w:cs="Times New Roman"/>
          <w:vertAlign w:val="subscript"/>
        </w:rPr>
        <w:t>Tur</w:t>
      </w:r>
      <w:r w:rsidRPr="00234135">
        <w:rPr>
          <w:rFonts w:cs="Times New Roman"/>
        </w:rPr>
        <w:t xml:space="preserve"> in the</w:t>
      </w:r>
      <w:r>
        <w:rPr>
          <w:rFonts w:cs="Times New Roman"/>
        </w:rPr>
        <w:t xml:space="preserve"> Swamp dike is not likely caused by an enrichment of </w:t>
      </w:r>
      <w:r>
        <w:rPr>
          <w:rFonts w:cs="Times New Roman"/>
          <w:vertAlign w:val="superscript"/>
        </w:rPr>
        <w:t>10</w:t>
      </w:r>
      <w:r>
        <w:rPr>
          <w:rFonts w:cs="Times New Roman"/>
        </w:rPr>
        <w:t xml:space="preserve">B in melt resulting from the loss of </w:t>
      </w:r>
      <w:r>
        <w:rPr>
          <w:rFonts w:cs="Times New Roman"/>
          <w:vertAlign w:val="superscript"/>
        </w:rPr>
        <w:t>11</w:t>
      </w:r>
      <w:r>
        <w:rPr>
          <w:rFonts w:cs="Times New Roman"/>
        </w:rPr>
        <w:t xml:space="preserve">B to an exsolved aqueous solution. </w:t>
      </w:r>
    </w:p>
    <w:p w:rsidR="00665C0F" w:rsidRPr="00F65F32" w:rsidRDefault="00665C0F" w:rsidP="00F65F32">
      <w:pPr>
        <w:pStyle w:val="Heading3"/>
        <w:spacing w:line="480" w:lineRule="auto"/>
        <w:rPr>
          <w:rFonts w:cs="Times New Roman"/>
          <w:bCs/>
        </w:rPr>
      </w:pPr>
      <w:bookmarkStart w:id="36" w:name="_Toc491246003"/>
      <w:r w:rsidRPr="00F65F32">
        <w:rPr>
          <w:rFonts w:cs="Times New Roman"/>
          <w:bCs/>
        </w:rPr>
        <w:lastRenderedPageBreak/>
        <w:t>5</w:t>
      </w:r>
      <w:r w:rsidR="00F65F32" w:rsidRPr="00F65F32">
        <w:rPr>
          <w:rFonts w:cs="Times New Roman"/>
          <w:bCs/>
        </w:rPr>
        <w:t>.3</w:t>
      </w:r>
      <w:r w:rsidR="00A24071">
        <w:rPr>
          <w:rFonts w:cs="Times New Roman"/>
          <w:bCs/>
        </w:rPr>
        <w:t>.</w:t>
      </w:r>
      <w:r w:rsidRPr="00F65F32">
        <w:rPr>
          <w:rFonts w:cs="Times New Roman"/>
          <w:bCs/>
        </w:rPr>
        <w:t xml:space="preserve"> Boron Isotopic Compositions of Tourmaline at the Transition between Intermediate Zone and Miarolitic Cavity</w:t>
      </w:r>
      <w:bookmarkEnd w:id="36"/>
    </w:p>
    <w:p w:rsidR="00665C0F" w:rsidRDefault="00665C0F" w:rsidP="00F65F32">
      <w:pPr>
        <w:spacing w:after="240" w:line="480" w:lineRule="auto"/>
        <w:ind w:firstLine="720"/>
        <w:rPr>
          <w:rFonts w:cs="Times New Roman"/>
        </w:rPr>
      </w:pPr>
      <w:r>
        <w:rPr>
          <w:rFonts w:cs="Times New Roman"/>
        </w:rPr>
        <w:t>V</w:t>
      </w:r>
      <w:r w:rsidRPr="00C409AC">
        <w:rPr>
          <w:rFonts w:cs="Times New Roman"/>
        </w:rPr>
        <w:t>alues of δ</w:t>
      </w:r>
      <w:r w:rsidRPr="00C409AC">
        <w:rPr>
          <w:rFonts w:cs="Times New Roman"/>
          <w:vertAlign w:val="superscript"/>
        </w:rPr>
        <w:t>11</w:t>
      </w:r>
      <w:r w:rsidRPr="00C409AC">
        <w:rPr>
          <w:rFonts w:cs="Times New Roman"/>
        </w:rPr>
        <w:t>B</w:t>
      </w:r>
      <w:r w:rsidRPr="00C409AC">
        <w:rPr>
          <w:rFonts w:cs="Times New Roman"/>
          <w:vertAlign w:val="subscript"/>
        </w:rPr>
        <w:t>Tur</w:t>
      </w:r>
      <w:r w:rsidRPr="00C409AC">
        <w:rPr>
          <w:rFonts w:cs="Times New Roman"/>
        </w:rPr>
        <w:t xml:space="preserve"> from the intermediate zones and miarolitic cavities are virtually identical, </w:t>
      </w:r>
      <w:r>
        <w:rPr>
          <w:rFonts w:cs="Times New Roman"/>
        </w:rPr>
        <w:t xml:space="preserve">with two </w:t>
      </w:r>
      <w:r w:rsidRPr="00C409AC">
        <w:rPr>
          <w:rFonts w:cs="Times New Roman"/>
        </w:rPr>
        <w:t>except</w:t>
      </w:r>
      <w:r>
        <w:rPr>
          <w:rFonts w:cs="Times New Roman"/>
        </w:rPr>
        <w:t xml:space="preserve">ions (Figs </w:t>
      </w:r>
      <w:r w:rsidR="00815F07">
        <w:rPr>
          <w:rFonts w:cs="Times New Roman"/>
        </w:rPr>
        <w:t>2-</w:t>
      </w:r>
      <w:r>
        <w:rPr>
          <w:rFonts w:cs="Times New Roman"/>
        </w:rPr>
        <w:t xml:space="preserve">6, </w:t>
      </w:r>
      <w:r w:rsidR="00815F07">
        <w:rPr>
          <w:rFonts w:cs="Times New Roman"/>
        </w:rPr>
        <w:t>2-</w:t>
      </w:r>
      <w:r>
        <w:rPr>
          <w:rFonts w:cs="Times New Roman"/>
        </w:rPr>
        <w:t>8</w:t>
      </w:r>
      <w:r w:rsidR="00815F07">
        <w:rPr>
          <w:rFonts w:cs="Times New Roman"/>
        </w:rPr>
        <w:t>, 2</w:t>
      </w:r>
      <w:r>
        <w:rPr>
          <w:rFonts w:cs="Times New Roman"/>
        </w:rPr>
        <w:t>-9). The boron isotopic composition of t</w:t>
      </w:r>
      <w:r w:rsidRPr="00C409AC">
        <w:rPr>
          <w:rFonts w:cs="Times New Roman"/>
        </w:rPr>
        <w:t>ourmaline collected from pockets containing B-rich minerals whose B is structurally bound in 4-fold coordination (danburite: Swamp dike; axinite: Spessartine dike)</w:t>
      </w:r>
      <w:r>
        <w:rPr>
          <w:rFonts w:cs="Times New Roman"/>
        </w:rPr>
        <w:t xml:space="preserve"> is heavier than tourmaline from the adjacent intermediate zone and, in the Spessartine dike, heavier than other tourmaline crystals from the same miarolitic cavity. In the Spessartine dike, </w:t>
      </w:r>
      <w:r w:rsidRPr="00E12403">
        <w:rPr>
          <w:rFonts w:cs="Times New Roman"/>
        </w:rPr>
        <w:t>the boron isotopic compositions of three tourmaline crystals from a pocket in the Spessartine dike display a bimodal distribution: two crystals are isotopically similar to tourmaline from massive pegmatite and the third is heavier</w:t>
      </w:r>
      <w:r>
        <w:rPr>
          <w:rFonts w:cs="Times New Roman"/>
        </w:rPr>
        <w:t xml:space="preserve"> (Fig </w:t>
      </w:r>
      <w:r w:rsidR="00815F07">
        <w:rPr>
          <w:rFonts w:cs="Times New Roman"/>
        </w:rPr>
        <w:t>2-</w:t>
      </w:r>
      <w:r>
        <w:rPr>
          <w:rFonts w:cs="Times New Roman"/>
        </w:rPr>
        <w:t>6)</w:t>
      </w:r>
      <w:r w:rsidRPr="00E12403">
        <w:rPr>
          <w:rFonts w:cs="Times New Roman"/>
        </w:rPr>
        <w:t>. The heavier tourmaline is intergrown with axinite, whose B is in 4-fold coordination and has a lighter composition than tourmaline.</w:t>
      </w:r>
      <w:r>
        <w:rPr>
          <w:rFonts w:cs="Times New Roman"/>
        </w:rPr>
        <w:t xml:space="preserve"> </w:t>
      </w:r>
    </w:p>
    <w:p w:rsidR="00665C0F" w:rsidRPr="002D7C43" w:rsidRDefault="00665C0F" w:rsidP="00F65F32">
      <w:pPr>
        <w:spacing w:after="240" w:line="480" w:lineRule="auto"/>
        <w:ind w:firstLine="720"/>
        <w:rPr>
          <w:rFonts w:cs="Times New Roman"/>
        </w:rPr>
      </w:pPr>
      <w:r>
        <w:rPr>
          <w:rFonts w:cs="Times New Roman"/>
        </w:rPr>
        <w:t>T</w:t>
      </w:r>
      <w:r w:rsidRPr="00C409AC">
        <w:rPr>
          <w:rFonts w:cs="Times New Roman"/>
        </w:rPr>
        <w:t>he δ</w:t>
      </w:r>
      <w:r w:rsidRPr="00C409AC">
        <w:rPr>
          <w:rFonts w:cs="Times New Roman"/>
          <w:vertAlign w:val="superscript"/>
        </w:rPr>
        <w:t>11</w:t>
      </w:r>
      <w:r w:rsidRPr="00C409AC">
        <w:rPr>
          <w:rFonts w:cs="Times New Roman"/>
        </w:rPr>
        <w:t xml:space="preserve">B of tourmaline from the intermediate zones, </w:t>
      </w:r>
      <w:r>
        <w:rPr>
          <w:rFonts w:cs="Times New Roman"/>
        </w:rPr>
        <w:t>if crystallized from the melt only</w:t>
      </w:r>
      <w:r w:rsidRPr="00C409AC">
        <w:rPr>
          <w:rFonts w:cs="Times New Roman"/>
        </w:rPr>
        <w:t>, should be substantially lighter than tourmaline formed from aqueous fluid</w:t>
      </w:r>
      <w:r>
        <w:rPr>
          <w:rFonts w:cs="Times New Roman"/>
        </w:rPr>
        <w:t xml:space="preserve"> in the miarolitic cavities</w:t>
      </w:r>
      <w:r w:rsidRPr="00E12403">
        <w:rPr>
          <w:rFonts w:cs="Times New Roman"/>
        </w:rPr>
        <w:t xml:space="preserve"> </w:t>
      </w:r>
      <w:r>
        <w:rPr>
          <w:rFonts w:cs="Times New Roman"/>
        </w:rPr>
        <w:t>i</w:t>
      </w:r>
      <w:r w:rsidRPr="00E12403">
        <w:rPr>
          <w:rFonts w:cs="Times New Roman"/>
        </w:rPr>
        <w:t>f miarolitic</w:t>
      </w:r>
      <w:r w:rsidRPr="00C409AC">
        <w:rPr>
          <w:rFonts w:cs="Times New Roman"/>
        </w:rPr>
        <w:t xml:space="preserve"> cavities form from a typical, solute-poor hydrothermal solution </w:t>
      </w:r>
      <w:r w:rsidRPr="00C409AC">
        <w:rPr>
          <w:rFonts w:cs="Times New Roman"/>
        </w:rPr>
        <w:fldChar w:fldCharType="begin" w:fldLock="1"/>
      </w:r>
      <w:r w:rsidR="00266290">
        <w:rPr>
          <w:rFonts w:cs="Times New Roman"/>
        </w:rPr>
        <w:instrText>ADDIN CSL_CITATION { "citationItems" : [ { "id" : "ITEM-1", "itemData" : { "author" : [ { "dropping-particle" : "", "family" : "Simmons", "given" : "William B.", "non-dropping-particle" : "", "parse-names" : false, "suffix" : "" }, { "dropping-particle" : "", "family" : "Pezzotta", "given" : "Federico", "non-dropping-particle" : "", "parse-names" : false, "suffix" : "" }, { "dropping-particle" : "", "family" : "Shigley", "given" : "J.E.", "non-dropping-particle" : "", "parse-names" : false, "suffix" : "" }, { "dropping-particle" : "", "family" : "Beurlen", "given" : "Hartmut", "non-dropping-particle" : "", "parse-names" : false, "suffix" : "" } ], "container-title" : "Elements", "id" : "ITEM-1", "issued" : { "date-parts" : [ [ "2012" ] ] }, "page" : "281-287", "title" : "Granitic pegmatites: Storehouses of colored gemstones", "type" : "article-journal", "volume" : "8" }, "uris" : [ "http://www.mendeley.com/documents/?uuid=afa798ed-c248-42ec-bbd4-c5e69f59c897" ] }, { "id" : "ITEM-2", "itemData" : { "DOI" : "10.2113/gsecongeo.64.8.843", "ISSN" : "03610128", "abstract" : "The genesis of granitic igneous pegmatites is here considered in terms of a model conceived from results of field and laboratory studies and subsequently tested by means of experimental investigations. This model emphasizes the roles of water (and/or other relatively volatile substances), both as a dissolved constituent in granitic magmas and as the dominant constituent of a separate fluid phase that is in the supercritical state under most conditions of pegmatite formation. Pegmatite magma, as distinguished by a content of dissolved water that is high relative to the limit of solubility under existing confining pressure, can be formed either through partial melting of crustal materials or as rest-liquid in a cooling igneous body yielding dominantly anhydrous crystalline phases. Such granitic magma can be expected to consolidate according to the following three-fold sequence: 1. Crystallization from hydrous silicate melt, yielding anhydrous solid phases with or without OH-bearing phases. The product is characterized by normal phaneritic textures that generally are coarse grained. It has been termed pegmatite in some occurrences, and granite in others. 2. Crystallization concomitantly from silicate melt and from a coexisting exsolved aqueous fluid of considerably lower viscosity, yielding giant-textured pegmatite along with much finer-grained, even aplitic, mineral aggregates. Segregation of these products can vary enormously in scale and degree. Partitioning of constituents between melt and aqueous fluid, rapid diffusion of constituents through the aqueous phase, and gravitational rising of this fluid through the system contribute to formation of pods, zones, and other rock units of unusual composition and texture. 3. Crystallization in the absence of silicate melt, yielding a wide variety of late-stage products. These include so-called \"pocket minerals\" and numerous mineral aggregates formed through exchanges of material among aqueous fluid and earlier-formed crystal-line phases. Development of pegmatite bodies can begin with either Step 1 or Step 2, but it is suggested that the processes involved in Step 2 are essential to the formation of all true pegmatites of igneous origin. The appearance of a second fluid phase, in general a supercritical aqueous fluid derived from the crystallizing melt, is regarded as the decisive event; it is promptly followed by fundamental changes in distribution and texture of the solid phases being formed.The processes can\u2026", "author" : [ { "dropping-particle" : "", "family" : "Jahns", "given" : "Richard H.", "non-dropping-particle" : "", "parse-names" : false, "suffix" : "" }, { "dropping-particle" : "", "family" : "Burnham", "given" : "C. Wayne", "non-dropping-particle" : "", "parse-names" : false, "suffix" : "" } ], "container-title" : "Economic Geology", "id" : "ITEM-2", "issue" : "8", "issued" : { "date-parts" : [ [ "1969" ] ] }, "page" : "843-864", "title" : "Experimental studies of pegmatite genesis: I. A model for the derivation and crystallization of granitic pegmatites", "type" : "article-journal", "volume" : "64" }, "uris" : [ "http://www.mendeley.com/documents/?uuid=0ef9c20b-53e8-42a2-8abb-5760964b770a" ] } ], "mendeley" : { "formattedCitation" : "(Jahns and Burnham, 1969; Simmons et al., 2012)", "plainTextFormattedCitation" : "(Jahns and Burnham, 1969; Simmons et al., 2012)", "previouslyFormattedCitation" : "(Jahns and Burnham 1969; Simmons et al. 2012)" }, "properties" : { "noteIndex" : 0 }, "schema" : "https://github.com/citation-style-language/schema/raw/master/csl-citation.json" }</w:instrText>
      </w:r>
      <w:r w:rsidRPr="00C409AC">
        <w:rPr>
          <w:rFonts w:cs="Times New Roman"/>
        </w:rPr>
        <w:fldChar w:fldCharType="separate"/>
      </w:r>
      <w:r w:rsidR="00266290" w:rsidRPr="00266290">
        <w:rPr>
          <w:rFonts w:cs="Times New Roman"/>
          <w:noProof/>
        </w:rPr>
        <w:t>(Jahns and Burnham, 1969; Simmons et al., 2012)</w:t>
      </w:r>
      <w:r w:rsidRPr="00C409AC">
        <w:rPr>
          <w:rFonts w:cs="Times New Roman"/>
        </w:rPr>
        <w:fldChar w:fldCharType="end"/>
      </w:r>
      <w:r w:rsidRPr="00C409AC">
        <w:rPr>
          <w:rFonts w:cs="Times New Roman"/>
        </w:rPr>
        <w:t xml:space="preserve">, and the </w:t>
      </w:r>
      <w:r>
        <w:rPr>
          <w:rFonts w:cs="Times New Roman"/>
        </w:rPr>
        <w:t>experimental data</w:t>
      </w:r>
      <w:r w:rsidRPr="00C409AC">
        <w:rPr>
          <w:rFonts w:cs="Times New Roman"/>
        </w:rPr>
        <w:t xml:space="preserve"> of </w:t>
      </w:r>
      <w:r>
        <w:rPr>
          <w:rFonts w:cs="Times New Roman"/>
        </w:rPr>
        <w:fldChar w:fldCharType="begin" w:fldLock="1"/>
      </w:r>
      <w:r w:rsidR="00266290">
        <w:rPr>
          <w:rFonts w:cs="Times New Roman"/>
        </w:rPr>
        <w:instrText>ADDIN CSL_CITATION { "citationItems" : [ { "id" : "ITEM-1",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"ITEM-1", "issue" : "5-6", "issued" : { "date-parts" : [ [ "2002" ] ] }, "page" : "769-774", "title" : "Isotopic and elemental partitioning of boron between hydrous fluid and silicate melt", "type" : "article-journal", "volume" : "87" }, "uris" : [ "http://www.mendeley.com/documents/?uuid=6b1d0590-ae63-44d0-990b-7cd3b5a05b06" ] } ], "mendeley" : { "formattedCitation" : "(Hervig et al., 2002)", "manualFormatting" : "Hervig et al. (2002)", "plainTextFormattedCitation" : "(Hervig et al., 2002)", "previouslyFormattedCitation" : "(Hervig et al. 2002)" }, "properties" : { "noteIndex" : 0 }, "schema" : "https://github.com/citation-style-language/schema/raw/master/csl-citation.json" }</w:instrText>
      </w:r>
      <w:r>
        <w:rPr>
          <w:rFonts w:cs="Times New Roman"/>
        </w:rPr>
        <w:fldChar w:fldCharType="separate"/>
      </w:r>
      <w:r>
        <w:rPr>
          <w:rFonts w:cs="Times New Roman"/>
          <w:noProof/>
        </w:rPr>
        <w:t>Hervig et al. (</w:t>
      </w:r>
      <w:r w:rsidRPr="00B47508">
        <w:rPr>
          <w:rFonts w:cs="Times New Roman"/>
          <w:noProof/>
        </w:rPr>
        <w:t>2002)</w:t>
      </w:r>
      <w:r>
        <w:rPr>
          <w:rFonts w:cs="Times New Roman"/>
        </w:rPr>
        <w:fldChar w:fldCharType="end"/>
      </w:r>
      <w:r w:rsidRPr="00C409AC">
        <w:rPr>
          <w:rFonts w:cs="Times New Roman"/>
        </w:rPr>
        <w:t xml:space="preserve"> </w:t>
      </w:r>
      <w:r>
        <w:rPr>
          <w:rFonts w:cs="Times New Roman"/>
        </w:rPr>
        <w:t>are applied. The δ</w:t>
      </w:r>
      <w:r>
        <w:rPr>
          <w:rFonts w:cs="Times New Roman"/>
          <w:vertAlign w:val="superscript"/>
        </w:rPr>
        <w:t>11</w:t>
      </w:r>
      <w:r>
        <w:rPr>
          <w:rFonts w:cs="Times New Roman"/>
        </w:rPr>
        <w:t xml:space="preserve">B of tourmaline in the miarolitic cavities is heavier than in the adjoining massive pegmatite only when danburite or axinite are present in the cavities. The constancy of </w:t>
      </w:r>
      <w:r w:rsidRPr="00C409AC">
        <w:rPr>
          <w:rFonts w:cs="Times New Roman"/>
        </w:rPr>
        <w:t>δ</w:t>
      </w:r>
      <w:r w:rsidRPr="00C409AC">
        <w:rPr>
          <w:rFonts w:cs="Times New Roman"/>
          <w:vertAlign w:val="superscript"/>
        </w:rPr>
        <w:t>11</w:t>
      </w:r>
      <w:r w:rsidRPr="00C409AC">
        <w:rPr>
          <w:rFonts w:cs="Times New Roman"/>
        </w:rPr>
        <w:t>B</w:t>
      </w:r>
      <w:r>
        <w:rPr>
          <w:rFonts w:cs="Times New Roman"/>
          <w:vertAlign w:val="subscript"/>
        </w:rPr>
        <w:t>Tur</w:t>
      </w:r>
      <w:r>
        <w:rPr>
          <w:rFonts w:cs="Times New Roman"/>
        </w:rPr>
        <w:t xml:space="preserve"> between the intermediate zones and miarolitic cavities signifies that the fractionation of boron isotopes between melt and aqueous fluid is negligible, or that tourmaline in the </w:t>
      </w:r>
      <w:r w:rsidRPr="00C409AC">
        <w:rPr>
          <w:rFonts w:cs="Times New Roman"/>
        </w:rPr>
        <w:t xml:space="preserve">miarolitic cavities </w:t>
      </w:r>
      <w:r>
        <w:rPr>
          <w:rFonts w:cs="Times New Roman"/>
        </w:rPr>
        <w:t xml:space="preserve">did not crystallize from a typically solute-poor aqueous solution. </w:t>
      </w:r>
    </w:p>
    <w:p w:rsidR="00665C0F" w:rsidRDefault="00F65F32" w:rsidP="00665C0F">
      <w:pPr>
        <w:spacing w:after="240" w:line="480" w:lineRule="auto"/>
        <w:rPr>
          <w:rFonts w:cs="Times New Roman"/>
        </w:rPr>
      </w:pPr>
      <w:r>
        <w:rPr>
          <w:rFonts w:cs="Times New Roman"/>
        </w:rPr>
        <w:lastRenderedPageBreak/>
        <w:tab/>
      </w:r>
      <w:r w:rsidR="00665C0F">
        <w:rPr>
          <w:rFonts w:cs="Times New Roman"/>
        </w:rPr>
        <w:fldChar w:fldCharType="begin" w:fldLock="1"/>
      </w:r>
      <w:r w:rsidR="00266290">
        <w:rPr>
          <w:rFonts w:cs="Times New Roman"/>
        </w:rPr>
        <w:instrText>ADDIN CSL_CITATION { "citationItems" : [ { "id" : "ITEM-1", "itemData" : { "DOI" : "10.1080/00357529.2013.826090", "ISSN" : "0035-7529", "author" : [ { "dropping-particle" : "", "family" : "London", "given" : "David", "non-dropping-particle" : "", "parse-names" : false, "suffix" : "" } ], "container-title" : "Rocks &amp; Minerals", "id" : "ITEM-1", "issue" : "6", "issued" : { "date-parts" : [ [ "2013" ] ] }, "page" : "527-538", "title" : "Crystal-Filled Cavities in Granitic Pegmatites: Bursting the Bubble", "type" : "article-journal", "volume" : "88" }, "uris" : [ "http://www.mendeley.com/documents/?uuid=9acb70be-4d48-4a13-b03b-421187e4c15f" ] } ], "mendeley" : { "formattedCitation" : "(London, 2013)", "manualFormatting" : "London (2013)", "plainTextFormattedCitation" : "(London, 2013)", "previouslyFormattedCitation" : "(London 2013)" }, "properties" : { "noteIndex" : 0 }, "schema" : "https://github.com/citation-style-language/schema/raw/master/csl-citation.json" }</w:instrText>
      </w:r>
      <w:r w:rsidR="00665C0F">
        <w:rPr>
          <w:rFonts w:cs="Times New Roman"/>
        </w:rPr>
        <w:fldChar w:fldCharType="separate"/>
      </w:r>
      <w:r w:rsidR="00665C0F">
        <w:rPr>
          <w:rFonts w:cs="Times New Roman"/>
          <w:noProof/>
        </w:rPr>
        <w:t>London (</w:t>
      </w:r>
      <w:r w:rsidR="00665C0F" w:rsidRPr="00B47508">
        <w:rPr>
          <w:rFonts w:cs="Times New Roman"/>
          <w:noProof/>
        </w:rPr>
        <w:t>2013)</w:t>
      </w:r>
      <w:r w:rsidR="00665C0F">
        <w:rPr>
          <w:rFonts w:cs="Times New Roman"/>
        </w:rPr>
        <w:fldChar w:fldCharType="end"/>
      </w:r>
      <w:r w:rsidR="00665C0F" w:rsidRPr="00732DED">
        <w:rPr>
          <w:rFonts w:cs="Times New Roman"/>
        </w:rPr>
        <w:t xml:space="preserve"> put forward an argument that </w:t>
      </w:r>
      <w:r w:rsidR="00665C0F">
        <w:rPr>
          <w:rFonts w:cs="Times New Roman"/>
        </w:rPr>
        <w:t>crystal-filled</w:t>
      </w:r>
      <w:r w:rsidR="00665C0F" w:rsidRPr="00732DED">
        <w:rPr>
          <w:rFonts w:cs="Times New Roman"/>
        </w:rPr>
        <w:t xml:space="preserve"> miarolitic cavities </w:t>
      </w:r>
      <w:r w:rsidR="00665C0F">
        <w:rPr>
          <w:rFonts w:cs="Times New Roman"/>
        </w:rPr>
        <w:t xml:space="preserve">in pegmatites </w:t>
      </w:r>
      <w:r w:rsidR="00665C0F" w:rsidRPr="00732DED">
        <w:rPr>
          <w:rFonts w:cs="Times New Roman"/>
        </w:rPr>
        <w:t>formed mostly from a dense hydrosilicate liquid that deposited massive clay as the final crystal</w:t>
      </w:r>
      <w:r w:rsidR="00665C0F" w:rsidRPr="00C5049C">
        <w:rPr>
          <w:rFonts w:cs="Times New Roman"/>
        </w:rPr>
        <w:t>line material. The heavier composition of tourmaline associated with axinite compared to other individual tourmaline from the same pocket likely derives from local equilibration with axinite through a</w:t>
      </w:r>
      <w:r w:rsidR="00665C0F">
        <w:rPr>
          <w:rFonts w:cs="Times New Roman"/>
        </w:rPr>
        <w:t>n isotopically heavy</w:t>
      </w:r>
      <w:r w:rsidR="00665C0F" w:rsidRPr="00C5049C">
        <w:rPr>
          <w:rFonts w:cs="Times New Roman"/>
        </w:rPr>
        <w:t xml:space="preserve"> fluid. If the principal pocket-forming fluid was a dense, hydrous, and viscous silicate liquid </w:t>
      </w:r>
      <w:r w:rsidR="00665C0F">
        <w:rPr>
          <w:rFonts w:cs="Times New Roman"/>
        </w:rPr>
        <w:fldChar w:fldCharType="begin" w:fldLock="1"/>
      </w:r>
      <w:r w:rsidR="00266290">
        <w:rPr>
          <w:rFonts w:cs="Times New Roman"/>
        </w:rPr>
        <w:instrText>ADDIN CSL_CITATION { "citationItems" : [ { "id" : "ITEM-1", "itemData" : { "DOI" : "10.1080/00357529.2013.826090", "ISSN" : "0035-7529", "author" : [ { "dropping-particle" : "", "family" : "London", "given" : "David", "non-dropping-particle" : "", "parse-names" : false, "suffix" : "" } ], "container-title" : "Rocks &amp; Minerals", "id" : "ITEM-1", "issue" : "6", "issued" : { "date-parts" : [ [ "2013" ] ] }, "page" : "527-538", "title" : "Crystal-Filled Cavities in Granitic Pegmatites: Bursting the Bubble", "type" : "article-journal", "volume" : "88" }, "uris" : [ "http://www.mendeley.com/documents/?uuid=9acb70be-4d48-4a13-b03b-421187e4c15f" ] } ], "mendeley" : { "formattedCitation" : "(London, 2013)", "plainTextFormattedCitation" : "(London, 2013)", "previouslyFormattedCitation" : "(London 2013)" }, "properties" : { "noteIndex" : 0 }, "schema" : "https://github.com/citation-style-language/schema/raw/master/csl-citation.json" }</w:instrText>
      </w:r>
      <w:r w:rsidR="00665C0F">
        <w:rPr>
          <w:rFonts w:cs="Times New Roman"/>
        </w:rPr>
        <w:fldChar w:fldCharType="separate"/>
      </w:r>
      <w:r w:rsidR="00266290" w:rsidRPr="00266290">
        <w:rPr>
          <w:rFonts w:cs="Times New Roman"/>
          <w:noProof/>
        </w:rPr>
        <w:t>(London, 2013)</w:t>
      </w:r>
      <w:r w:rsidR="00665C0F">
        <w:rPr>
          <w:rFonts w:cs="Times New Roman"/>
        </w:rPr>
        <w:fldChar w:fldCharType="end"/>
      </w:r>
      <w:r w:rsidR="00665C0F" w:rsidRPr="00C5049C">
        <w:rPr>
          <w:rFonts w:cs="Times New Roman"/>
        </w:rPr>
        <w:t>, then δ</w:t>
      </w:r>
      <w:r w:rsidR="00665C0F" w:rsidRPr="00C5049C">
        <w:rPr>
          <w:rFonts w:cs="Times New Roman"/>
          <w:vertAlign w:val="superscript"/>
        </w:rPr>
        <w:t>11</w:t>
      </w:r>
      <w:r w:rsidR="00665C0F" w:rsidRPr="00C5049C">
        <w:rPr>
          <w:rFonts w:cs="Times New Roman"/>
        </w:rPr>
        <w:t>B</w:t>
      </w:r>
      <w:r w:rsidR="00665C0F" w:rsidRPr="00C5049C">
        <w:rPr>
          <w:rFonts w:cs="Times New Roman"/>
          <w:vertAlign w:val="subscript"/>
        </w:rPr>
        <w:t>Tur</w:t>
      </w:r>
      <w:r w:rsidR="00665C0F" w:rsidRPr="00C5049C">
        <w:rPr>
          <w:rFonts w:cs="Times New Roman"/>
        </w:rPr>
        <w:t xml:space="preserve"> might reflect only local reaction relationships and locally controlled fractionation of boron’s isotopes, as limited by the low diffusivity of boron in viscous melts. This would explain the large disparity in δ</w:t>
      </w:r>
      <w:r w:rsidR="00665C0F" w:rsidRPr="00C5049C">
        <w:rPr>
          <w:rFonts w:cs="Times New Roman"/>
          <w:vertAlign w:val="superscript"/>
        </w:rPr>
        <w:t>11</w:t>
      </w:r>
      <w:r w:rsidR="00665C0F" w:rsidRPr="00C5049C">
        <w:rPr>
          <w:rFonts w:cs="Times New Roman"/>
        </w:rPr>
        <w:t>B</w:t>
      </w:r>
      <w:r w:rsidR="00665C0F" w:rsidRPr="00C5049C">
        <w:rPr>
          <w:rFonts w:cs="Times New Roman"/>
          <w:vertAlign w:val="subscript"/>
        </w:rPr>
        <w:t xml:space="preserve">Tur </w:t>
      </w:r>
      <w:r w:rsidR="00665C0F" w:rsidRPr="00C5049C">
        <w:rPr>
          <w:rFonts w:cs="Times New Roman"/>
        </w:rPr>
        <w:t>among the three tourmaline samples, only one of which is in contact with axinite.</w:t>
      </w:r>
      <w:r w:rsidR="00665C0F">
        <w:rPr>
          <w:rFonts w:cs="Times New Roman"/>
        </w:rPr>
        <w:t xml:space="preserve"> Furthermore, the composition of muscovite is ~15‰ lighter than the lightest tourmaline from the miarolitic cavity. If the boron isotopic compositions of muscovite and tourmaline represent a state of equilibrium fractionation, then their boron isotopic compositions should differ by an amount predicted by the fractionation factors for tourmaline-aqueous fluid and muscovite-aqueous </w:t>
      </w:r>
      <w:r w:rsidR="00665C0F" w:rsidRPr="00616378">
        <w:rPr>
          <w:rFonts w:cs="Times New Roman"/>
        </w:rPr>
        <w:t xml:space="preserve">fluid. </w:t>
      </w:r>
      <w:r w:rsidR="00665C0F">
        <w:rPr>
          <w:rFonts w:cs="Times New Roman"/>
        </w:rPr>
        <w:t>At 450°C, t</w:t>
      </w:r>
      <w:r w:rsidR="00665C0F" w:rsidRPr="00616378">
        <w:rPr>
          <w:rFonts w:cs="Times New Roman"/>
        </w:rPr>
        <w:t>he δ</w:t>
      </w:r>
      <w:r w:rsidR="00665C0F" w:rsidRPr="00616378">
        <w:rPr>
          <w:rFonts w:cs="Times New Roman"/>
          <w:vertAlign w:val="superscript"/>
        </w:rPr>
        <w:t>11</w:t>
      </w:r>
      <w:r w:rsidR="00665C0F" w:rsidRPr="00616378">
        <w:rPr>
          <w:rFonts w:cs="Times New Roman"/>
        </w:rPr>
        <w:t>B</w:t>
      </w:r>
      <w:r w:rsidR="00665C0F">
        <w:rPr>
          <w:rFonts w:cs="Times New Roman"/>
        </w:rPr>
        <w:t xml:space="preserve"> of muscovite and tourmaline should differ by ~7 to ~10‰, which is not the case.</w:t>
      </w:r>
    </w:p>
    <w:p w:rsidR="00665C0F" w:rsidRPr="00F65F32" w:rsidRDefault="00665C0F" w:rsidP="00F65F32">
      <w:pPr>
        <w:pStyle w:val="Heading3"/>
        <w:spacing w:line="480" w:lineRule="auto"/>
        <w:rPr>
          <w:rFonts w:cs="Times New Roman"/>
          <w:bCs/>
        </w:rPr>
      </w:pPr>
      <w:bookmarkStart w:id="37" w:name="_Toc491246004"/>
      <w:r w:rsidRPr="00F65F32">
        <w:rPr>
          <w:rFonts w:cs="Times New Roman"/>
          <w:bCs/>
        </w:rPr>
        <w:t>5.4</w:t>
      </w:r>
      <w:r w:rsidR="00A24071">
        <w:rPr>
          <w:rFonts w:cs="Times New Roman"/>
          <w:bCs/>
        </w:rPr>
        <w:t>.</w:t>
      </w:r>
      <w:r w:rsidRPr="00F65F32">
        <w:rPr>
          <w:rFonts w:cs="Times New Roman"/>
          <w:bCs/>
        </w:rPr>
        <w:t xml:space="preserve"> Alteration of the Host Rock</w:t>
      </w:r>
      <w:bookmarkEnd w:id="37"/>
    </w:p>
    <w:p w:rsidR="00665C0F" w:rsidRPr="003D1B42" w:rsidRDefault="00665C0F" w:rsidP="00F65F32">
      <w:pPr>
        <w:spacing w:after="240" w:line="480" w:lineRule="auto"/>
        <w:ind w:firstLine="720"/>
        <w:rPr>
          <w:rFonts w:cs="Times New Roman"/>
        </w:rPr>
      </w:pPr>
      <w:r w:rsidRPr="00732DED">
        <w:rPr>
          <w:rFonts w:cs="Times New Roman"/>
        </w:rPr>
        <w:t xml:space="preserve">Localized tourmalinization of the host tonalite has been observed only in one small, meter-scale area along the hanging wall of the Spessartine dike. The source of B for the </w:t>
      </w:r>
      <w:r>
        <w:rPr>
          <w:rFonts w:cs="Times New Roman"/>
        </w:rPr>
        <w:t>external</w:t>
      </w:r>
      <w:r w:rsidRPr="00732DED">
        <w:rPr>
          <w:rFonts w:cs="Times New Roman"/>
        </w:rPr>
        <w:t xml:space="preserve"> tourmaline could only have been the pegmatite; thus, the boron isotopic composition of the </w:t>
      </w:r>
      <w:r>
        <w:rPr>
          <w:rFonts w:cs="Times New Roman"/>
        </w:rPr>
        <w:t>external</w:t>
      </w:r>
      <w:r w:rsidRPr="00732DED">
        <w:rPr>
          <w:rFonts w:cs="Times New Roman"/>
        </w:rPr>
        <w:t xml:space="preserve"> tourmaline must be similar to a</w:t>
      </w:r>
      <w:r>
        <w:rPr>
          <w:rFonts w:cs="Times New Roman"/>
        </w:rPr>
        <w:t>n aqueous</w:t>
      </w:r>
      <w:r w:rsidRPr="00732DED">
        <w:rPr>
          <w:rFonts w:cs="Times New Roman"/>
        </w:rPr>
        <w:t xml:space="preserve"> fluid</w:t>
      </w:r>
      <w:r>
        <w:rPr>
          <w:rFonts w:cs="Times New Roman"/>
        </w:rPr>
        <w:t xml:space="preserve"> </w:t>
      </w:r>
      <w:r w:rsidRPr="00732DED">
        <w:rPr>
          <w:rFonts w:cs="Times New Roman"/>
        </w:rPr>
        <w:t xml:space="preserve">from within the pegmatite. However, the isotopic composition of the </w:t>
      </w:r>
      <w:r>
        <w:rPr>
          <w:rFonts w:cs="Times New Roman"/>
        </w:rPr>
        <w:t>external</w:t>
      </w:r>
      <w:r w:rsidRPr="00732DED">
        <w:rPr>
          <w:rFonts w:cs="Times New Roman"/>
        </w:rPr>
        <w:t xml:space="preserve"> tourmaline is significantly lighter than all other tourmaline in the pegmatites (Fig</w:t>
      </w:r>
      <w:r>
        <w:rPr>
          <w:rFonts w:cs="Times New Roman"/>
        </w:rPr>
        <w:t>s</w:t>
      </w:r>
      <w:r w:rsidRPr="00732DED">
        <w:rPr>
          <w:rFonts w:cs="Times New Roman"/>
        </w:rPr>
        <w:t xml:space="preserve">. </w:t>
      </w:r>
      <w:r w:rsidR="00815F07">
        <w:rPr>
          <w:rFonts w:cs="Times New Roman"/>
        </w:rPr>
        <w:t>2-</w:t>
      </w:r>
      <w:r>
        <w:rPr>
          <w:rFonts w:cs="Times New Roman"/>
        </w:rPr>
        <w:t xml:space="preserve">6 and </w:t>
      </w:r>
      <w:r w:rsidR="00815F07">
        <w:rPr>
          <w:rFonts w:cs="Times New Roman"/>
        </w:rPr>
        <w:t>2-</w:t>
      </w:r>
      <w:r w:rsidRPr="00732DED">
        <w:rPr>
          <w:rFonts w:cs="Times New Roman"/>
        </w:rPr>
        <w:t xml:space="preserve">7). </w:t>
      </w:r>
      <w:r>
        <w:rPr>
          <w:rFonts w:cs="Times New Roman"/>
        </w:rPr>
        <w:lastRenderedPageBreak/>
        <w:t xml:space="preserve">Because the progressive crystallization of tourmaline should drive the isotopic composition of an aqueous fluid to heavier values, we would expect the external tourmaline to have a heavier isotopic composition than tourmaline form the miarolitic cavity. However, the timing and temperature of the crystallization of the external tourmaline are not necessarily the same as the initial stage of consolidation within the miarolitic cavities. The light isotopic composition of the external tourmaline could be reconciled to the calculated composition of the aqueous solution in the miarolitic cavities if the wall rock </w:t>
      </w:r>
      <w:r w:rsidRPr="00732DED">
        <w:rPr>
          <w:rFonts w:cs="Times New Roman"/>
        </w:rPr>
        <w:t xml:space="preserve">alteration occurred </w:t>
      </w:r>
      <w:r>
        <w:rPr>
          <w:rFonts w:cs="Times New Roman"/>
        </w:rPr>
        <w:t>at</w:t>
      </w:r>
      <w:r w:rsidRPr="00732DED">
        <w:rPr>
          <w:rFonts w:cs="Times New Roman"/>
        </w:rPr>
        <w:t xml:space="preserve"> </w:t>
      </w:r>
      <w:r>
        <w:t>≤</w:t>
      </w:r>
      <w:r w:rsidRPr="00732DED">
        <w:rPr>
          <w:rFonts w:cs="Times New Roman"/>
        </w:rPr>
        <w:t>150°C</w:t>
      </w:r>
      <w:r>
        <w:rPr>
          <w:rFonts w:cs="Times New Roman"/>
        </w:rPr>
        <w:t xml:space="preserve">, using the datasets of </w:t>
      </w:r>
      <w:r>
        <w:rPr>
          <w:rFonts w:cs="Times New Roman"/>
        </w:rPr>
        <w:fldChar w:fldCharType="begin" w:fldLock="1"/>
      </w:r>
      <w:r w:rsidR="00266290">
        <w:rPr>
          <w:rFonts w:cs="Times New Roman"/>
        </w:rPr>
        <w:instrText>ADDIN CSL_CITATION { "citationItems" : [ { "id" : "ITEM-1", "itemData" : { "DOI" : "10.1007/s00410-008-0285-1", "ISBN" : "0010-7999", "ISSN" : "00107999", "abstract" : "The fractionation of boron isotopes between synthetic dravitic tourmaline and fluid was determined by hydrothermal experiments between 400 and 700 degrees C at 200 MPa and at 500 degrees C, 500 MPa. Tourmaline was crystallized from an oxide mix in presence of water that contained boron in excess. In one series of experiments, [B](fluid)/[B](tour) was 9 after the run; in another series it was 0.1. All experiments produced tourmaline as the sole boron-bearing solid, along with traces of quartz and talc. Powder XRD and Rietveld refinements revealed no significant amounts of tetrahedrally coordinated boron in tourmaline. B-11 always preferentially fractionated into the fluid. For experiments where [B](fluid)/[B](tour) was 9, a consistent temperature-dependent boron isotope fractionation curve resulted, approximated by Delta B-11((tour-fluid)) = -4.20 . [1,000/T (K)] + 3.52; R-2 = 0.77, and valid from 400 to 700 degrees C. No pressure dependence was observed. The fractionation (-2.7 +/- 0.5 parts per thousand at 400 degrees C; and -0.8 +/- 0.5 parts per thousand at 700 degrees C) is much lower than that previously presented by Palmer et al. (1992). Experiments where [B](fluid)/[B](tour) was 0.1 showed a significant larger apparent fractionation of up to -4.7 parts per thousand. In one of these runs, the isotopic composition of handpicked tourmaline crystals of different size varied by 1.3%. This is interpreted as resulting from fractional crystallization of boron isotopes during tourmaline growth due to the small boron reservoir of the fluid relative to tourmaline, thus indicating larger fractionation than observed at equilibrium. The effect is eliminated or minimized in experiments with very high boron excess in the fluid. We therefore suggest that values given by the above relation represent the true equilibrium fractionations.", "author" : [ { "dropping-particle" : "", "family" : "Meyer", "given" : "Christian", "non-dropping-particle" : "", "parse-names" : false, "suffix" : "" }, { "dropping-particle" : "", "family" : "Wunder", "given" : "Bernd", "non-dropping-particle" : "", "parse-names" : false, "suffix" : "" }, { "dropping-particle" : "", "family" : "Meixner", "given" : "Anette", "non-dropping-particle" : "", "parse-names" : false, "suffix" : "" }, { "dropping-particle" : "", "family" : "Romer", "given" : "Rolf L.", "non-dropping-particle" : "", "parse-names" : false, "suffix" : "" }, { "dropping-particle" : "", "family" : "Heinrich", "given" : "Wilhelm", "non-dropping-particle" : "", "parse-names" : false, "suffix" : "" } ], "container-title" : "Contributions to Mineralogy and Petrology", "id" : "ITEM-1", "issue" : "2", "issued" : { "date-parts" : [ [ "2008" ] ] }, "page" : "259-267", "title" : "Boron-isotope fractionation between tourmaline and fluid: An experimental re-investigation", "type" : "article-journal", "volume" : "156" }, "uris" : [ "http://www.mendeley.com/documents/?uuid=02c37c62-9b3e-4dfe-99ce-a807defc9a6f" ] }, { "id" : "ITEM-2", "itemData" : { "DOI" : "http://dx.doi.org/10.1016/0009-2541(92)90209-N", "ISBN" : "0168-9622", "ISSN" : "00092541", "abstract" : "The extent of boron isotope fractionation between tourmaline and aqueous vapor has been determined over theP-T range 50-200 MPa and 350-750\u00b0C. The results show that the extent of fractionation is inversely dependent on temperature. An unusual feature of the reaction is that the isotope fractionation is less of extensive at higher pressures for an equivalent temperature. Due to its refractory nature the experiments involved synthesis of tourmaline from constituents rather than equilibration of the preformed mineral with an isotopically distinct aqueous phase. For this reason we cannot, as yet, be certain whether the pressure effect is the result of equilibrium or kinetic processes.", "author" : [ { "dropping-particle" : "", "family" : "Palmer", "given" : "MR", "non-dropping-particle" : "", "parse-names" : false, "suffix" : "" }, { "dropping-particle" : "", "family" : "London", "given" : "D", "non-dropping-particle" : "", "parse-names" : false, "suffix" : "" }, { "dropping-particle" : "", "family" : "Morgan VI", "given" : "GB", "non-dropping-particle" : "", "parse-names" : false, "suffix" : "" }, { "dropping-particle" : "", "family" : "Babb", "given" : "HA", "non-dropping-particle" : "", "parse-names" : false, "suffix" : "" } ], "container-title" : "Chemical Geology", "id" : "ITEM-2", "issued" : { "date-parts" : [ [ "1992" ] ] }, "page" : "123-129", "title" : "Experimental determination of fractionation of 11B/10B between tourmaline and aqueous vapor: A temperature- and pressure-dependent isotopic system", "type" : "article-journal", "volume" : "101" }, "uris" : [ "http://www.mendeley.com/documents/?uuid=551614f3-36a5-485e-9b7a-dec99baa6926" ] } ], "mendeley" : { "formattedCitation" : "(Meyer et al., 2008; Palmer et al., 1992)", "manualFormatting" : "Meyer et al. (2008) and Palmer et al. (1992)", "plainTextFormattedCitation" : "(Meyer et al., 2008; Palmer et al., 1992)", "previouslyFormattedCitation" : "(Palmer et al. 1992; Meyer et al. 2008)" }, "properties" : { "noteIndex" : 0 }, "schema" : "https://github.com/citation-style-language/schema/raw/master/csl-citation.json" }</w:instrText>
      </w:r>
      <w:r>
        <w:rPr>
          <w:rFonts w:cs="Times New Roman"/>
        </w:rPr>
        <w:fldChar w:fldCharType="separate"/>
      </w:r>
      <w:r>
        <w:rPr>
          <w:rFonts w:cs="Times New Roman"/>
          <w:noProof/>
        </w:rPr>
        <w:t>Meyer et al. (</w:t>
      </w:r>
      <w:r w:rsidRPr="007D6764">
        <w:rPr>
          <w:rFonts w:cs="Times New Roman"/>
          <w:noProof/>
        </w:rPr>
        <w:t>2008</w:t>
      </w:r>
      <w:r>
        <w:rPr>
          <w:rFonts w:cs="Times New Roman"/>
          <w:noProof/>
        </w:rPr>
        <w:t>) and</w:t>
      </w:r>
      <w:r w:rsidRPr="007D6764">
        <w:rPr>
          <w:rFonts w:cs="Times New Roman"/>
          <w:noProof/>
        </w:rPr>
        <w:t xml:space="preserve"> Palmer et al.</w:t>
      </w:r>
      <w:r>
        <w:rPr>
          <w:rFonts w:cs="Times New Roman"/>
          <w:noProof/>
        </w:rPr>
        <w:t xml:space="preserve"> (</w:t>
      </w:r>
      <w:r w:rsidRPr="007D6764">
        <w:rPr>
          <w:rFonts w:cs="Times New Roman"/>
          <w:noProof/>
        </w:rPr>
        <w:t>1992)</w:t>
      </w:r>
      <w:r>
        <w:rPr>
          <w:rFonts w:cs="Times New Roman"/>
        </w:rPr>
        <w:fldChar w:fldCharType="end"/>
      </w:r>
      <w:r w:rsidRPr="00732DED">
        <w:rPr>
          <w:rFonts w:cs="Times New Roman"/>
        </w:rPr>
        <w:t>.</w:t>
      </w:r>
      <w:r>
        <w:rPr>
          <w:rFonts w:cs="Times New Roman"/>
        </w:rPr>
        <w:t xml:space="preserve"> </w:t>
      </w:r>
    </w:p>
    <w:p w:rsidR="00665C0F" w:rsidRPr="00F65F32" w:rsidRDefault="00665C0F" w:rsidP="00F65F32">
      <w:pPr>
        <w:pStyle w:val="Heading3"/>
        <w:spacing w:line="480" w:lineRule="auto"/>
        <w:rPr>
          <w:rFonts w:cs="Times New Roman"/>
          <w:bCs/>
        </w:rPr>
      </w:pPr>
      <w:bookmarkStart w:id="38" w:name="_Toc491246005"/>
      <w:r w:rsidRPr="00F65F32">
        <w:rPr>
          <w:rFonts w:cs="Times New Roman"/>
          <w:bCs/>
        </w:rPr>
        <w:t>5.5</w:t>
      </w:r>
      <w:r w:rsidR="00A24071">
        <w:rPr>
          <w:rFonts w:cs="Times New Roman"/>
          <w:bCs/>
        </w:rPr>
        <w:t>.</w:t>
      </w:r>
      <w:r w:rsidRPr="00F65F32">
        <w:rPr>
          <w:rFonts w:cs="Times New Roman"/>
          <w:bCs/>
        </w:rPr>
        <w:t xml:space="preserve"> Disequilibrium Processes attending Pegmatite Crystallization</w:t>
      </w:r>
      <w:bookmarkEnd w:id="38"/>
      <w:r w:rsidRPr="00F65F32">
        <w:rPr>
          <w:rFonts w:cs="Times New Roman"/>
          <w:bCs/>
        </w:rPr>
        <w:t xml:space="preserve"> </w:t>
      </w:r>
    </w:p>
    <w:p w:rsidR="00665C0F" w:rsidRPr="003D1B42" w:rsidRDefault="00665C0F" w:rsidP="00F65F32">
      <w:pPr>
        <w:spacing w:after="240" w:line="480" w:lineRule="auto"/>
        <w:ind w:firstLine="720"/>
        <w:rPr>
          <w:rFonts w:cs="Times New Roman"/>
        </w:rPr>
      </w:pPr>
      <w:r w:rsidRPr="003D1B42">
        <w:rPr>
          <w:rFonts w:cs="Times New Roman"/>
        </w:rPr>
        <w:t>The arguments above rely entirely upon the assumption that equilibrium is maintained during crystallization of boron-bearing minerals and fluids in each pegmatite. All prior studies of boron isotopic fractionation in granite-pegmatite systems implicitly assume that fractionation between and among tourmaline, granitic melt, and aqueous fluid and the resultant δ</w:t>
      </w:r>
      <w:r w:rsidRPr="003D1B42">
        <w:rPr>
          <w:rFonts w:cs="Times New Roman"/>
          <w:vertAlign w:val="superscript"/>
        </w:rPr>
        <w:t>11</w:t>
      </w:r>
      <w:r w:rsidRPr="003D1B42">
        <w:rPr>
          <w:rFonts w:cs="Times New Roman"/>
        </w:rPr>
        <w:t xml:space="preserve">B of tourmaline occurs at an equilibrium state from start to finish. The systematic changes in isotopic composition modeled by the Rayleigh equation utilizes fractionation factors between crystal and </w:t>
      </w:r>
      <w:r w:rsidRPr="007C40FD">
        <w:rPr>
          <w:rFonts w:cs="Times New Roman"/>
        </w:rPr>
        <w:t>bulk</w:t>
      </w:r>
      <w:r w:rsidRPr="003D1B42">
        <w:rPr>
          <w:rFonts w:cs="Times New Roman"/>
        </w:rPr>
        <w:t xml:space="preserve"> melt or aqueous fluid. As shown by </w:t>
      </w:r>
      <w:r>
        <w:rPr>
          <w:rFonts w:cs="Times New Roman"/>
        </w:rPr>
        <w:fldChar w:fldCharType="begin" w:fldLock="1"/>
      </w:r>
      <w:r w:rsidR="00266290">
        <w:rPr>
          <w:rFonts w:cs="Times New Roman"/>
        </w:rPr>
        <w:instrText>ADDIN CSL_CITATION { "citationItems" : [ { "id" : "ITEM-1", "itemData" : { "DOI" : "10.1007/s004100050541", "ISSN" : "00107999", "author" : [ { "dropping-particle" : "", "family" : "Morgan", "given" : "George B.", "non-dropping-particle" : "", "parse-names" : false, "suffix" : "" }, { "dropping-particle" : "", "family" : "London", "given" : "David", "non-dropping-particle" : "", "parse-names" : false, "suffix" : "" } ], "container-title" : "Contributions to Mineralogy and Petrology", "id" : "ITEM-1", "issue" : "4", "issued" : { "date-parts" : [ [ "1999" ] ] }, "page" : "310-330", "title" : "Crystallization of the Little Three layered pegmatite-aplite dike, Ramona District, California", "type" : "article-journal", "volume" : "136" }, "uris" : [ "http://www.mendeley.com/documents/?uuid=5d1566b0-c89b-4e61-94c5-4a9310a32eb3" ] } ], "mendeley" : { "formattedCitation" : "(Morgan and London, 1999)", "manualFormatting" : "Morgan and London (1999)", "plainTextFormattedCitation" : "(Morgan and London, 1999)", "previouslyFormattedCitation" : "(Morgan and London 1999)" }, "properties" : { "noteIndex" : 0 }, "schema" : "https://github.com/citation-style-language/schema/raw/master/csl-citation.json" }</w:instrText>
      </w:r>
      <w:r>
        <w:rPr>
          <w:rFonts w:cs="Times New Roman"/>
        </w:rPr>
        <w:fldChar w:fldCharType="separate"/>
      </w:r>
      <w:r w:rsidRPr="00B47508">
        <w:rPr>
          <w:rFonts w:cs="Times New Roman"/>
          <w:noProof/>
        </w:rPr>
        <w:t>Morgan and London</w:t>
      </w:r>
      <w:r>
        <w:rPr>
          <w:rFonts w:cs="Times New Roman"/>
          <w:noProof/>
        </w:rPr>
        <w:t xml:space="preserve"> (</w:t>
      </w:r>
      <w:r w:rsidRPr="00B47508">
        <w:rPr>
          <w:rFonts w:cs="Times New Roman"/>
          <w:noProof/>
        </w:rPr>
        <w:t>1999)</w:t>
      </w:r>
      <w:r>
        <w:rPr>
          <w:rFonts w:cs="Times New Roman"/>
        </w:rPr>
        <w:fldChar w:fldCharType="end"/>
      </w:r>
      <w:r w:rsidRPr="003D1B42">
        <w:rPr>
          <w:rFonts w:cs="Times New Roman"/>
        </w:rPr>
        <w:t>, the concentrations of incompatible elements in the Main dike of the Little Three mine are consistent with constitutional zone refining</w:t>
      </w:r>
      <w:r>
        <w:rPr>
          <w:rFonts w:cs="Times New Roman"/>
        </w:rPr>
        <w:t>, in which fractionation occurs mostly in the boundary layer of melt adjacent to crystals, not in the bulk melt medium</w:t>
      </w:r>
      <w:r w:rsidRPr="003D1B42">
        <w:rPr>
          <w:rFonts w:cs="Times New Roman"/>
        </w:rPr>
        <w:t xml:space="preserve">. Therefore, the assumption that equilibrium isotopic fractionation factors can be applied to pegmatites may be inherently flawed due to the conditions, or processes, under which pegmatites form. </w:t>
      </w:r>
    </w:p>
    <w:p w:rsidR="00665C0F" w:rsidRPr="003D1B42" w:rsidRDefault="00665C0F" w:rsidP="00F65F32">
      <w:pPr>
        <w:spacing w:after="240" w:line="480" w:lineRule="auto"/>
        <w:ind w:firstLine="720"/>
        <w:rPr>
          <w:rFonts w:cs="Times New Roman"/>
        </w:rPr>
      </w:pPr>
      <w:r>
        <w:rPr>
          <w:rFonts w:cs="Times New Roman"/>
        </w:rPr>
        <w:lastRenderedPageBreak/>
        <w:t>Previous</w:t>
      </w:r>
      <w:r w:rsidRPr="003D1B42">
        <w:rPr>
          <w:rFonts w:cs="Times New Roman"/>
        </w:rPr>
        <w:t xml:space="preserve"> studies </w:t>
      </w:r>
      <w:r>
        <w:rPr>
          <w:rFonts w:cs="Times New Roman"/>
        </w:rPr>
        <w:t xml:space="preserve">of the boron isotopic composition of tourmaline from pegmatites </w:t>
      </w:r>
      <w:r w:rsidRPr="003D1B42">
        <w:rPr>
          <w:rFonts w:cs="Times New Roman"/>
        </w:rPr>
        <w:t xml:space="preserve">did not, however, consider the rapid rates of crystal growth or the low diffusivity of boron through viscous melts at low, pegmatite-forming temperatures </w:t>
      </w:r>
      <w:r>
        <w:rPr>
          <w:rFonts w:cs="Times New Roman"/>
        </w:rPr>
        <w:fldChar w:fldCharType="begin" w:fldLock="1"/>
      </w:r>
      <w:r w:rsidR="00266290">
        <w:rPr>
          <w:rFonts w:cs="Times New Roman"/>
        </w:rPr>
        <w:instrText>ADDIN CSL_CITATION { "citationItems" : [ { "id" : "ITEM-1", "itemData" : { "ISBN" : "978-0-921294-47-4", "author" : [ { "dropping-particle" : "", "family" : "London", "given" : "D.", "non-dropping-particle" : "", "parse-names" : false, "suffix" : "" } ], "container-title" : "Canadian Mineralogist", "id" : "ITEM-1", "issued" : { "date-parts" : [ [ "2008" ] ] }, "number-of-pages" : "347", "title" : "Pegmatites", "type" : "book", "volume" : "10" }, "uris" : [ "http://www.mendeley.com/documents/?uuid=2df88fb7-6317-4eed-a606-ad41cf6dbe95" ] }, { "id" : "ITEM-2", "itemData" : { "DOI" : "10.3749/canmin.47.4.697", "ISSN" : "00084476", "abstract" : "abstract Many granitic pegmatites contain two textural domains. Anisotropic textures of the outer zones, including fine-grained units, graphic intergrowths, and unidirectional solidification textures, are dominated by the effects of liquidus undercooling. The coarse, blocky textures of the interior zones result mostly from the accumulation of fluxes that enhance the diffusion of Al and of Si. Those fluxes are likely to become enriched in a boundary-layer liquid that forms at the growth front of crystals. Experiments that entail the dissolution of acid solutions of H 3 BO 3 , H 3 PO 4 and HF into haplogranite glass at 800\u00b0C and 200 MPa serve as model subsystems for the boundary-layer liquid in granitic pegmatites. When the fluxes are added as acidic components, they promote an increase in the H 2 O content of granitic melts via a melt-speciation reaction, M +", "author" : [ { "dropping-particle" : "", "family" : "London", "given" : "David", "non-dropping-particle" : "", "parse-names" : false, "suffix" : "" } ], "container-title" : "Canadian Mineralogist", "id" : "ITEM-2", "issue" : "4", "issued" : { "date-parts" : [ [ "2009" ] ] }, "page" : "697-724", "title" : "The origin of primary textures in granitic pegmatites", "type" : "article-journal", "volume" : "47" }, "uris" : [ "http://www.mendeley.com/documents/?uuid=e5f39597-1738-43fb-a77c-571e491ee42d" ] } ], "mendeley" : { "formattedCitation" : "(London, 2009, 2008)", "plainTextFormattedCitation" : "(London, 2009, 2008)", "previouslyFormattedCitation" : "(London 2008, 2009)" }, "properties" : { "noteIndex" : 0 }, "schema" : "https://github.com/citation-style-language/schema/raw/master/csl-citation.json" }</w:instrText>
      </w:r>
      <w:r>
        <w:rPr>
          <w:rFonts w:cs="Times New Roman"/>
        </w:rPr>
        <w:fldChar w:fldCharType="separate"/>
      </w:r>
      <w:r w:rsidR="00266290" w:rsidRPr="00266290">
        <w:rPr>
          <w:rFonts w:cs="Times New Roman"/>
          <w:noProof/>
        </w:rPr>
        <w:t>(London, 2009, 2008)</w:t>
      </w:r>
      <w:r>
        <w:rPr>
          <w:rFonts w:cs="Times New Roman"/>
        </w:rPr>
        <w:fldChar w:fldCharType="end"/>
      </w:r>
      <w:r w:rsidRPr="003D1B42">
        <w:rPr>
          <w:rFonts w:cs="Times New Roman"/>
        </w:rPr>
        <w:t>.</w:t>
      </w:r>
      <w:r>
        <w:rPr>
          <w:rFonts w:cs="Times New Roman"/>
        </w:rPr>
        <w:t xml:space="preserve"> </w:t>
      </w:r>
      <w:r w:rsidRPr="003D1B42">
        <w:rPr>
          <w:rFonts w:cs="Times New Roman"/>
        </w:rPr>
        <w:t xml:space="preserve">A thermal cooling model (HEAT3D: </w:t>
      </w:r>
      <w:r>
        <w:rPr>
          <w:rFonts w:cs="Times New Roman"/>
        </w:rPr>
        <w:fldChar w:fldCharType="begin" w:fldLock="1"/>
      </w:r>
      <w:r w:rsidR="00266290">
        <w:rPr>
          <w:rFonts w:cs="Times New Roman"/>
        </w:rPr>
        <w:instrText>ADDIN CSL_CITATION { "citationItems" : [ { "id" : "ITEM-1", "itemData" : { "author" : [ { "dropping-particle" : "", "family" : "Wohletz", "given" : "Ken", "non-dropping-particle" : "", "parse-names" : false, "suffix" : "" } ], "container-title" : "Los Alamos Nat. Lab., Open File Program", "id" : "ITEM-1", "issued" : { "date-parts" : [ [ "2013" ] ] }, "title" : "KWare HEAT3D software", "type" : "article-journal", "volume" : "LA-CC 99-2" }, "uris" : [ "http://www.mendeley.com/documents/?uuid=decf96bb-b307-4218-9223-058413614385" ] } ], "mendeley" : { "formattedCitation" : "(Wohletz, 2013)", "manualFormatting" : "Wohletz, 2013)", "plainTextFormattedCitation" : "(Wohletz, 2013)", "previouslyFormattedCitation" : "(Wohletz 2013)" }, "properties" : { "noteIndex" : 0 }, "schema" : "https://github.com/citation-style-language/schema/raw/master/csl-citation.json" }</w:instrText>
      </w:r>
      <w:r>
        <w:rPr>
          <w:rFonts w:cs="Times New Roman"/>
        </w:rPr>
        <w:fldChar w:fldCharType="separate"/>
      </w:r>
      <w:r w:rsidRPr="00B47508">
        <w:rPr>
          <w:rFonts w:cs="Times New Roman"/>
          <w:noProof/>
        </w:rPr>
        <w:t>Wohletz, 2013)</w:t>
      </w:r>
      <w:r>
        <w:rPr>
          <w:rFonts w:cs="Times New Roman"/>
        </w:rPr>
        <w:fldChar w:fldCharType="end"/>
      </w:r>
      <w:r w:rsidRPr="003D1B42">
        <w:rPr>
          <w:rFonts w:cs="Times New Roman"/>
        </w:rPr>
        <w:t xml:space="preserve"> for the Swamp dike shows that the pegmatite, if originally injected as an entirely silicate liquid with an initial temperature of 700°C into host rocks at ~150°C, would reach a core temperature of ~ 450°C after only 7 days; increasing the host rock temperatures by 25°-50°C produces a negligible increase in cooling time. The temperatures derived from feldspar solvus thermometry</w:t>
      </w:r>
      <w:r>
        <w:rPr>
          <w:rFonts w:cs="Times New Roman"/>
        </w:rPr>
        <w:t xml:space="preserve"> </w:t>
      </w:r>
      <w:r w:rsidRPr="003D1B42">
        <w:rPr>
          <w:rFonts w:cs="Times New Roman"/>
        </w:rPr>
        <w:t>imply that the crystallization</w:t>
      </w:r>
      <w:r>
        <w:rPr>
          <w:rFonts w:cs="Times New Roman"/>
        </w:rPr>
        <w:t xml:space="preserve"> front of the pegmatite advanced</w:t>
      </w:r>
      <w:r w:rsidRPr="003D1B42">
        <w:rPr>
          <w:rFonts w:cs="Times New Roman"/>
        </w:rPr>
        <w:t xml:space="preserve"> from margin to center over this same time frame.</w:t>
      </w:r>
      <w:r>
        <w:rPr>
          <w:rFonts w:cs="Times New Roman"/>
        </w:rPr>
        <w:t xml:space="preserve"> If equilibrium is maintained between tourmaline and melt, then the diffusion of B must be fast enough to keep up with the crystallization rate.</w:t>
      </w:r>
      <w:r w:rsidRPr="003D1B42">
        <w:rPr>
          <w:rFonts w:cs="Times New Roman"/>
        </w:rPr>
        <w:t xml:space="preserve"> </w:t>
      </w:r>
      <w:r>
        <w:rPr>
          <w:rFonts w:cs="Times New Roman"/>
        </w:rPr>
        <w:t>The diffusivity of B through hydrous granitic melt is ~10</w:t>
      </w:r>
      <w:r w:rsidRPr="008E3A8B">
        <w:rPr>
          <w:rFonts w:cs="Times New Roman"/>
          <w:vertAlign w:val="superscript"/>
        </w:rPr>
        <w:t>-</w:t>
      </w:r>
      <w:r>
        <w:rPr>
          <w:rFonts w:cs="Times New Roman"/>
          <w:vertAlign w:val="superscript"/>
        </w:rPr>
        <w:t>12</w:t>
      </w:r>
      <w:r>
        <w:rPr>
          <w:rFonts w:cs="Times New Roman"/>
        </w:rPr>
        <w:t xml:space="preserve"> m</w:t>
      </w:r>
      <w:r>
        <w:rPr>
          <w:rFonts w:cs="Times New Roman"/>
          <w:vertAlign w:val="superscript"/>
        </w:rPr>
        <w:t>2</w:t>
      </w:r>
      <w:r>
        <w:rPr>
          <w:rFonts w:cs="Times New Roman"/>
        </w:rPr>
        <w:t xml:space="preserve">/s at 800°C </w:t>
      </w:r>
      <w:r>
        <w:rPr>
          <w:rFonts w:cs="Times New Roman"/>
        </w:rPr>
        <w:fldChar w:fldCharType="begin" w:fldLock="1"/>
      </w:r>
      <w:r w:rsidR="00266290">
        <w:rPr>
          <w:rFonts w:cs="Times New Roman"/>
        </w:rPr>
        <w:instrText>ADDIN CSL_CITATION { "citationItems" : [ { "id" : "ITEM-1", "itemData" : { "author" : [ { "dropping-particle" : "", "family" : "Mungall", "given" : "James E.", "non-dropping-particle" : "", "parse-names" : false, "suffix" : "" }, { "dropping-particle" : "", "family" : "Dingwell", "given" : "Donald B.", "non-dropping-particle" : "", "parse-names" : false, "suffix" : "" }, { "dropping-particle" : "", "family" : "Chaussidon", "given" : "Marc", "non-dropping-particle" : "", "parse-names" : false, "suffix" : "" } ], "container-title" : "Geochimica et Cosmochimica Acta", "id" : "ITEM-1", "issue" : "17", "issued" : { "date-parts" : [ [ "1999" ] ] }, "page" : "2599-2610", "title" : "Chemical diffusivites of 18 trace elements in granitoid melts", "type" : "article-journal", "volume" : "63" }, "uris" : [ "http://www.mendeley.com/documents/?uuid=86874a2e-b540-4dfb-a11f-fcc86b997204" ] }, { "id" : "ITEM-2", "itemData" : { "DOI" : "10.3749/canmin.47.4.697", "ISSN" : "00084476", "abstract" : "abstract Many granitic pegmatites contain two textural domains. Anisotropic textures of the outer zones, including fine-grained units, graphic intergrowths, and unidirectional solidification textures, are dominated by the effects of liquidus undercooling. The coarse, blocky textures of the interior zones result mostly from the accumulation of fluxes that enhance the diffusion of Al and of Si. Those fluxes are likely to become enriched in a boundary-layer liquid that forms at the growth front of crystals. Experiments that entail the dissolution of acid solutions of H 3 BO 3 , H 3 PO 4 and HF into haplogranite glass at 800\u00b0C and 200 MPa serve as model subsystems for the boundary-layer liquid in granitic pegmatites. When the fluxes are added as acidic components, they promote an increase in the H 2 O content of granitic melts via a melt-speciation reaction, M +", "author" : [ { "dropping-particle" : "", "family" : "London", "given" : "David", "non-dropping-particle" : "", "parse-names" : false, "suffix" : "" } ], "container-title" : "Canadian Mineralogist", "id" : "ITEM-2", "issue" : "4", "issued" : { "date-parts" : [ [ "2009" ] ] }, "page" : "697-724", "title" : "The origin of primary textures in granitic pegmatites", "type" : "article-journal", "volume" : "47" }, "uris" : [ "http://www.mendeley.com/documents/?uuid=e5f39597-1738-43fb-a77c-571e491ee42d" ] } ], "mendeley" : { "formattedCitation" : "(London, 2009; Mungall et al., 1999)", "plainTextFormattedCitation" : "(London, 2009; Mungall et al., 1999)", "previouslyFormattedCitation" : "(Mungall et al. 1999; London 2009)" }, "properties" : { "noteIndex" : 0 }, "schema" : "https://github.com/citation-style-language/schema/raw/master/csl-citation.json" }</w:instrText>
      </w:r>
      <w:r>
        <w:rPr>
          <w:rFonts w:cs="Times New Roman"/>
        </w:rPr>
        <w:fldChar w:fldCharType="separate"/>
      </w:r>
      <w:r w:rsidR="00266290" w:rsidRPr="00266290">
        <w:rPr>
          <w:rFonts w:cs="Times New Roman"/>
          <w:noProof/>
        </w:rPr>
        <w:t>(London, 2009; Mungall et al., 1999)</w:t>
      </w:r>
      <w:r>
        <w:rPr>
          <w:rFonts w:cs="Times New Roman"/>
        </w:rPr>
        <w:fldChar w:fldCharType="end"/>
      </w:r>
      <w:r>
        <w:rPr>
          <w:rFonts w:cs="Times New Roman"/>
        </w:rPr>
        <w:t xml:space="preserve"> and at lower temperature, e.g. 450°C, the diffusivity of B is orders of magnitude slower. </w:t>
      </w:r>
      <w:r w:rsidRPr="003D1B42">
        <w:rPr>
          <w:rFonts w:cs="Times New Roman"/>
        </w:rPr>
        <w:t xml:space="preserve">Considering </w:t>
      </w:r>
      <w:r>
        <w:rPr>
          <w:rFonts w:cs="Times New Roman"/>
        </w:rPr>
        <w:t xml:space="preserve">a </w:t>
      </w:r>
      <w:r w:rsidRPr="003D1B42">
        <w:rPr>
          <w:rFonts w:cs="Times New Roman"/>
        </w:rPr>
        <w:t>period of 7 days for primary crystallization, and a diffusivity of B orders of magnitude slower than 10</w:t>
      </w:r>
      <w:r w:rsidRPr="003D1B42">
        <w:rPr>
          <w:rFonts w:cs="Times New Roman"/>
          <w:vertAlign w:val="superscript"/>
        </w:rPr>
        <w:t>-12</w:t>
      </w:r>
      <w:r w:rsidRPr="003D1B42">
        <w:rPr>
          <w:rFonts w:cs="Times New Roman"/>
          <w:vertAlign w:val="subscript"/>
        </w:rPr>
        <w:t xml:space="preserve"> </w:t>
      </w:r>
      <w:r w:rsidRPr="003D1B42">
        <w:rPr>
          <w:rFonts w:cs="Times New Roman"/>
        </w:rPr>
        <w:t>m</w:t>
      </w:r>
      <w:r w:rsidRPr="003D1B42">
        <w:rPr>
          <w:rFonts w:cs="Times New Roman"/>
          <w:vertAlign w:val="superscript"/>
        </w:rPr>
        <w:t>2</w:t>
      </w:r>
      <w:r w:rsidRPr="003D1B42">
        <w:rPr>
          <w:rFonts w:cs="Times New Roman"/>
        </w:rPr>
        <w:t xml:space="preserve">/s, the growth rate of tourmaline would have </w:t>
      </w:r>
      <w:r>
        <w:rPr>
          <w:rFonts w:cs="Times New Roman"/>
        </w:rPr>
        <w:t>far exceeded</w:t>
      </w:r>
      <w:r w:rsidRPr="003D1B42">
        <w:rPr>
          <w:rFonts w:cs="Times New Roman"/>
        </w:rPr>
        <w:t xml:space="preserve"> the diffusivity of B through hydrous granitic melt. Therefore, variations in δ</w:t>
      </w:r>
      <w:r w:rsidRPr="003D1B42">
        <w:rPr>
          <w:rFonts w:cs="Times New Roman"/>
          <w:vertAlign w:val="superscript"/>
        </w:rPr>
        <w:t>11</w:t>
      </w:r>
      <w:r w:rsidRPr="003D1B42">
        <w:rPr>
          <w:rFonts w:cs="Times New Roman"/>
        </w:rPr>
        <w:t>B</w:t>
      </w:r>
      <w:r w:rsidRPr="003D1B42">
        <w:rPr>
          <w:rFonts w:cs="Times New Roman"/>
          <w:vertAlign w:val="subscript"/>
        </w:rPr>
        <w:t>Tur</w:t>
      </w:r>
      <w:r w:rsidRPr="003D1B42">
        <w:rPr>
          <w:rFonts w:cs="Times New Roman"/>
        </w:rPr>
        <w:t xml:space="preserve"> are not the result of Rayleigh fractionation </w:t>
      </w:r>
      <w:r w:rsidRPr="003D1B42">
        <w:rPr>
          <w:rFonts w:cs="Times New Roman"/>
        </w:rPr>
        <w:fldChar w:fldCharType="begin" w:fldLock="1"/>
      </w:r>
      <w:r w:rsidR="00266290">
        <w:rPr>
          <w:rFonts w:cs="Times New Roman"/>
        </w:rPr>
        <w:instrText>ADDIN CSL_CITATION { "citationItems" : [ { "id" : "ITEM-1", "itemData" : { "DOI" : "10.1016/j.chemgeo.2013.05.021", "ISSN" : "0009-2541", "author" : [ { "dropping-particle" : "", "family" : "Trumbull", "given" : "Robert B", "non-dropping-particle" : "", "parse-names" : false, "suffix" : "" }, { "dropping-particle" : "", "family" : "Beurlen", "given" : "Hartmut", "non-dropping-particle" : "", "parse-names" : false, "suffix" : "" }, { "dropping-particle" : "", "family" : "Wiedenbeck", "given" : "Michael", "non-dropping-particle" : "", "parse-names" : false, "suffix" : "" }, { "dropping-particle" : "", "family" : "Soares", "given" : "Dwight R", "non-dropping-particle" : "", "parse-names" : false, "suffix" : "" } ], "container-title" : "Chemical Geology", "id" : "ITEM-1", "issued" : { "date-parts" : [ [ "2013" ] ] }, "page" : "47-62", "publisher" : "Elsevier B.V.", "title" : "The diversity of B-isotope variations in tourmaline from rare-element pegmatites in the Borborema Province of Brazil", "type" : "article-journal", "volume" : "352" }, "uris" : [ "http://www.mendeley.com/documents/?uuid=42e5d20c-a3f5-4b24-9b2e-8f7ffb58d592" ] }, { "id" : "ITEM-2", "itemData" : { "DOI" : "10.1016/j.chemgeo.2015.11.025", "ISSN" : "00092541", "abstract" : "The internal evolution of the Varutr\u00e4sk rare-element pegmatite (Skellefte District, Northern Sweden) has been investigated using stable isotope (B, H, O) geochemistry of tourmaline and coexisting micas, feldspar and quartz. Varutr\u00e4sk is a classic and typical example of highly fractionated LCT-type pegmatites, with a pronounced concentric zoning pattern composed of well-developed border, wall and intermediate zones and a quartz core. The pegmatite displays considerable rare-element enrichment, culminating in the formation of albite-lepidolite and pollucite units in the innermost zones. Major and trace element variations in tourmaline from the main pegmatite zones correlate well with the internal zoning pattern. Mineral compositions record an abrupt change in fractionation trends between the barren outer and intermediate zones and the inner, late-stage assemblages that carry rare-element mineralization. This change is also shown by the B-isotope variations of tourmaline. Early and mid-stage tourmalines record a systematic increase in \u03b411B from -14.6\u2030 to -6.2\u2030 which can be explained by closed-system melt-mineral isotope fractionation whereby crystallization of large amounts of muscovite preferentially removes 10B from the residual melt. In contrast, tourmaline from late-stage assemblages in the inner zones and cross-cutting veinlets shows a reversal in the B isotope trend, with a decrease in \u03b411B from -8\u2030 to -14.1\u2030. This reversal cannot be explained by mineral-melt isotope fractionation, but requires fluid-melt partitioning and partial fluid loss. Hydrogen isotope variations in mica support this model. The systematic increase in \u03b4D from -75\u2030 in the outer zones (muscovite) to -63\u2030 and -53\u2030 in the inner zones (Li-micas) cannot be explained by closed-system variations in temperature or melt-mica fractionation, but it is consistent with late fluid exsolution. Oxygen isotope compositions of tourmaline (\u03b418O from 9.7\u2030 to 11.6\u2030), quartz (13.3\u2030 to 14\u2030) and mica (10.3\u2030 to 11.3\u2030) show good agreement with equilibrium partitioning and yield temperatures in the range 450\u00b0C to 600\u00b0C. Combining this with the stability fields of Li-aluminosilicates petalite and spodumene indicates crystallization pressures of 2-3kbar. Taken together, the stable isotope and mineral chemistry data demonstrate that rare-element enrichment in the innermost fractionated assemblages in the Varutr\u00e4sk pegmatite was associated with the transition from purely magmatic crystallization to conditions \u2026", "author" : [ { "dropping-particle" : "", "family" : "Siegel", "given" : "Karin", "non-dropping-particle" : "", "parse-names" : false, "suffix" : "" }, { "dropping-particle" : "", "family" : "Wagner", "given" : "Thomas", "non-dropping-particle" : "", "parse-names" : false, "suffix" : "" }, { "dropping-particle" : "", "family" : "Trumbull", "given" : "Robert B.", "non-dropping-particle" : "", "parse-names" : false, "suffix" : "" }, { "dropping-particle" : "", "family" : "Jonsson", "given" : "Erik", "non-dropping-particle" : "", "parse-names" : false, "suffix" : "" }, { "dropping-particle" : "", "family" : "Matalin", "given" : "Gabriella", "non-dropping-particle" : "", "parse-names" : false, "suffix" : "" }, { "dropping-particle" : "", "family" : "W\u00e4lle", "given" : "Markus", "non-dropping-particle" : "", "parse-names" : false, "suffix" : "" }, { "dropping-particle" : "", "family" : "Heinrich", "given" : "Christoph A.", "non-dropping-particle" : "", "parse-names" : false, "suffix" : "" } ], "container-title" : "Chemical Geology", "id" : "ITEM-2", "issued" : { "date-parts" : [ [ "2016" ] ] }, "page" : "1-16", "publisher" : "Elsevier B.V.", "title" : "Stable isotope (B, H, O) and mineral-chemistry constraints on the magmatic to hydrothermal evolution of the Varutr\u00e4sk rare-element pegmatite (Northern Sweden)", "type" : "article-journal", "volume" : "421" }, "uris" : [ "http://www.mendeley.com/documents/?uuid=86c56466-e0c4-4297-83f2-ada62f7f82f2" ] } ], "mendeley" : { "formattedCitation" : "(Siegel et al., 2016; Trumbull et al., 2013)", "manualFormatting" : "(cf. Siegel et al., 2016; Trumbull et al., 2013)", "plainTextFormattedCitation" : "(Siegel et al., 2016; Trumbull et al., 2013)", "previouslyFormattedCitation" : "(Trumbull et al. 2013; Siegel et al. 2016)" }, "properties" : { "noteIndex" : 0 }, "schema" : "https://github.com/citation-style-language/schema/raw/master/csl-citation.json" }</w:instrText>
      </w:r>
      <w:r w:rsidRPr="003D1B42">
        <w:rPr>
          <w:rFonts w:cs="Times New Roman"/>
        </w:rPr>
        <w:fldChar w:fldCharType="separate"/>
      </w:r>
      <w:r w:rsidRPr="003D1B42">
        <w:rPr>
          <w:rFonts w:cs="Times New Roman"/>
          <w:noProof/>
        </w:rPr>
        <w:t>(</w:t>
      </w:r>
      <w:r>
        <w:rPr>
          <w:rFonts w:cs="Times New Roman"/>
          <w:noProof/>
        </w:rPr>
        <w:t xml:space="preserve">cf. </w:t>
      </w:r>
      <w:r w:rsidRPr="003D1B42">
        <w:rPr>
          <w:rFonts w:cs="Times New Roman"/>
          <w:noProof/>
        </w:rPr>
        <w:t>Siegel et al., 2016; Trumbull et al., 2013)</w:t>
      </w:r>
      <w:r w:rsidRPr="003D1B42">
        <w:rPr>
          <w:rFonts w:cs="Times New Roman"/>
        </w:rPr>
        <w:fldChar w:fldCharType="end"/>
      </w:r>
      <w:r w:rsidRPr="003D1B42">
        <w:rPr>
          <w:rFonts w:cs="Times New Roman"/>
        </w:rPr>
        <w:t xml:space="preserve">, in which the bulk melt </w:t>
      </w:r>
      <w:r>
        <w:rPr>
          <w:rFonts w:cs="Times New Roman"/>
        </w:rPr>
        <w:t xml:space="preserve">is continuously in equilibrium with the </w:t>
      </w:r>
      <w:r w:rsidRPr="003D1B42">
        <w:rPr>
          <w:rFonts w:cs="Times New Roman"/>
        </w:rPr>
        <w:t xml:space="preserve">distribution of isotopes </w:t>
      </w:r>
      <w:r>
        <w:rPr>
          <w:rFonts w:cs="Times New Roman"/>
        </w:rPr>
        <w:t>in</w:t>
      </w:r>
      <w:r w:rsidRPr="003D1B42">
        <w:rPr>
          <w:rFonts w:cs="Times New Roman"/>
        </w:rPr>
        <w:t xml:space="preserve"> tourmaline, but rather due to local effects that include the formation of a chemically distinct boundary layer of melt adjacent to growing crystals </w:t>
      </w:r>
      <w:r>
        <w:rPr>
          <w:rFonts w:cs="Times New Roman"/>
        </w:rPr>
        <w:fldChar w:fldCharType="begin" w:fldLock="1"/>
      </w:r>
      <w:r w:rsidR="00266290">
        <w:rPr>
          <w:rFonts w:cs="Times New Roman"/>
        </w:rPr>
        <w:instrText>ADDIN CSL_CITATION { "citationItems" : [ { "id" : "ITEM-1", "itemData" : { "ISSN" : "00084476", "abstract" : "Experiments in the hydrous granite system and related systems (natural and synthetic) have provided useful information on the liquidus phase relations of granitic and pegmatite-forming magmas at equilibrium. Because pegmatite-forming magmas usually intrude cooler host rocks, however, the actual conditions of emplacement and initial solidification do not necessarily correspond to those of the equilibrium liquidus field. Experimental studies aimed at establishing equilibrium phase relations also yield little information on the processes of crystallization that produce the coarse-grained and heterogeneous, anisotropic fabrics that distinguish pegmatites from granites. The results of a relatively few studies of silicate crystal nucleation and growth are applicable to pegmatite systems, which are best described as a product of disequilibrium fractional crystallization through liquidus undercooling. The degree of liquidus undercooling, and the concentrations of quartz-feldspar-incompatible components in the melt (particularly H2O, B, P, and F), govern the textural development of granitic magmas by controlling the rate and number of stable crystal nuclei formed.", "author" : [ { "dropping-particle" : "", "family" : "London", "given" : "D.", "non-dropping-particle" : "", "parse-names" : false, "suffix" : "" } ], "container-title" : "Canadian Mineralogist", "id" : "ITEM-1", "issue" : "3", "issued" : { "date-parts" : [ [ "1992" ] ] }, "page" : "499-540", "title" : "The application of experimental petrology to the genesis and crystallization of granitic pegmatites", "type" : "article-journal", "volume" : "30" }, "uris" : [ "http://www.mendeley.com/documents/?uuid=3b50d46e-b790-44ef-84b0-7074309453f7" ] }, { "id" : "ITEM-2", "itemData" : { "ISBN" : "978-0-921294-47-4", "author" : [ { "dropping-particle" : "", "family" : "London", "given" : "D.", "non-dropping-particle" : "", "parse-names" : false, "suffix" : "" } ], "container-title" : "Canadian Mineralogist", "id" : "ITEM-2", "issued" : { "date-parts" : [ [ "2008" ] ] }, "number-of-pages" : "347", "title" : "Pegmatites", "type" : "book", "volume" : "10" }, "uris" : [ "http://www.mendeley.com/documents/?uuid=2df88fb7-6317-4eed-a606-ad41cf6dbe95" ] } ], "mendeley" : { "formattedCitation" : "(London, 2008, 1992)", "plainTextFormattedCitation" : "(London, 2008, 1992)", "previouslyFormattedCitation" : "(London 1992, 2008)" }, "properties" : { "noteIndex" : 0 }, "schema" : "https://github.com/citation-style-language/schema/raw/master/csl-citation.json" }</w:instrText>
      </w:r>
      <w:r>
        <w:rPr>
          <w:rFonts w:cs="Times New Roman"/>
        </w:rPr>
        <w:fldChar w:fldCharType="separate"/>
      </w:r>
      <w:r w:rsidR="00266290" w:rsidRPr="00266290">
        <w:rPr>
          <w:rFonts w:cs="Times New Roman"/>
          <w:noProof/>
        </w:rPr>
        <w:t>(London, 2008, 1992)</w:t>
      </w:r>
      <w:r>
        <w:rPr>
          <w:rFonts w:cs="Times New Roman"/>
        </w:rPr>
        <w:fldChar w:fldCharType="end"/>
      </w:r>
      <w:r w:rsidRPr="003D1B42">
        <w:rPr>
          <w:rFonts w:cs="Times New Roman"/>
        </w:rPr>
        <w:t xml:space="preserve">. If the growth rate of tourmaline greatly exceeds the diffusivity of boron through melt, as we predict, then the </w:t>
      </w:r>
      <w:r>
        <w:rPr>
          <w:rFonts w:cs="Times New Roman"/>
        </w:rPr>
        <w:lastRenderedPageBreak/>
        <w:t xml:space="preserve">boron </w:t>
      </w:r>
      <w:r w:rsidRPr="003D1B42">
        <w:rPr>
          <w:rFonts w:cs="Times New Roman"/>
        </w:rPr>
        <w:t>isotopic composition of tourmaline would be close to that of the bulk melt, and we would expect negligible change in the isotopic composition of tourmaline</w:t>
      </w:r>
      <w:r>
        <w:rPr>
          <w:rFonts w:cs="Times New Roman"/>
        </w:rPr>
        <w:t xml:space="preserve">. </w:t>
      </w:r>
    </w:p>
    <w:p w:rsidR="00665C0F" w:rsidRDefault="00665C0F" w:rsidP="00F65F32">
      <w:pPr>
        <w:spacing w:after="240" w:line="480" w:lineRule="auto"/>
        <w:ind w:firstLine="720"/>
        <w:rPr>
          <w:rFonts w:cs="Times New Roman"/>
        </w:rPr>
      </w:pPr>
      <w:r>
        <w:rPr>
          <w:rFonts w:cs="Times New Roman"/>
        </w:rPr>
        <w:t>In addition to the arguments mentioned above, boron isotopic compositions of tourmaline in pegmatites that cannot be explained by equilibrium (Rayleigh) crystallization</w:t>
      </w:r>
      <w:r w:rsidDel="00F03CC9">
        <w:rPr>
          <w:rFonts w:cs="Times New Roman"/>
        </w:rPr>
        <w:t xml:space="preserve"> </w:t>
      </w:r>
      <w:r>
        <w:rPr>
          <w:rFonts w:cs="Times New Roman"/>
        </w:rPr>
        <w:t xml:space="preserve">might be the result of a difference in the diffusivity of </w:t>
      </w:r>
      <w:r>
        <w:rPr>
          <w:rFonts w:cs="Times New Roman"/>
          <w:vertAlign w:val="superscript"/>
        </w:rPr>
        <w:t>11</w:t>
      </w:r>
      <w:r>
        <w:rPr>
          <w:rFonts w:cs="Times New Roman"/>
        </w:rPr>
        <w:t xml:space="preserve">B and </w:t>
      </w:r>
      <w:r>
        <w:rPr>
          <w:rFonts w:cs="Times New Roman"/>
          <w:vertAlign w:val="superscript"/>
        </w:rPr>
        <w:t>10</w:t>
      </w:r>
      <w:r>
        <w:rPr>
          <w:rFonts w:cs="Times New Roman"/>
        </w:rPr>
        <w:t>B. P</w:t>
      </w:r>
      <w:r w:rsidRPr="003D1B42">
        <w:rPr>
          <w:rFonts w:cs="Times New Roman"/>
        </w:rPr>
        <w:t xml:space="preserve">reliminary data on the diffusivity of boron’s isotopes comes from experiment </w:t>
      </w:r>
      <w:r w:rsidRPr="00753982">
        <w:rPr>
          <w:rFonts w:cs="Times New Roman"/>
        </w:rPr>
        <w:t xml:space="preserve">CGB2 (Fig. </w:t>
      </w:r>
      <w:r w:rsidR="00815F07">
        <w:rPr>
          <w:rFonts w:cs="Times New Roman"/>
        </w:rPr>
        <w:t>2-</w:t>
      </w:r>
      <w:r w:rsidRPr="00753982">
        <w:rPr>
          <w:rFonts w:cs="Times New Roman"/>
        </w:rPr>
        <w:t>1</w:t>
      </w:r>
      <w:r>
        <w:rPr>
          <w:rFonts w:cs="Times New Roman"/>
        </w:rPr>
        <w:t>0</w:t>
      </w:r>
      <w:r w:rsidRPr="00753982">
        <w:rPr>
          <w:rFonts w:cs="Times New Roman"/>
        </w:rPr>
        <w:t xml:space="preserve">), conducted at 800°C and 200 MPa as described and presented in </w:t>
      </w:r>
      <w:r>
        <w:rPr>
          <w:rFonts w:cs="Times New Roman"/>
        </w:rPr>
        <w:fldChar w:fldCharType="begin" w:fldLock="1"/>
      </w:r>
      <w:r w:rsidR="00266290">
        <w:rPr>
          <w:rFonts w:cs="Times New Roman"/>
        </w:rPr>
        <w:instrText>ADDIN CSL_CITATION { "citationItems" : [ { "id" : "ITEM-1", "itemData" : { "DOI" : "10.3749/canmin.47.4.697", "ISSN" : "00084476", "abstract" : "abstract Many granitic pegmatites contain two textural domains. Anisotropic textures of the outer zones, including fine-grained units, graphic intergrowths, and unidirectional solidification textures, are dominated by the effects of liquidus undercooling. The coarse, blocky textures of the interior zones result mostly from the accumulation of fluxes that enhance the diffusion of Al and of Si. Those fluxes are likely to become enriched in a boundary-layer liquid that forms at the growth front of crystals. Experiments that entail the dissolution of acid solutions of H 3 BO 3 , H 3 PO 4 and HF into haplogranite glass at 800\u00b0C and 200 MPa serve as model subsystems for the boundary-layer liquid in granitic pegmatites. When the fluxes are added as acidic components, they promote an increase in the H 2 O content of granitic melts via a melt-speciation reaction, M +", "author" : [ { "dropping-particle" : "", "family" : "London", "given" : "David", "non-dropping-particle" : "", "parse-names" : false, "suffix" : "" } ], "container-title" : "Canadian Mineralogist", "id" : "ITEM-1", "issue" : "4", "issued" : { "date-parts" : [ [ "2009" ] ] }, "page" : "697-724", "title" : "The origin of primary textures in granitic pegmatites", "type" : "article-journal", "volume" : "47" }, "uris" : [ "http://www.mendeley.com/documents/?uuid=e5f39597-1738-43fb-a77c-571e491ee42d" ] } ], "mendeley" : { "formattedCitation" : "(London, 2009)", "manualFormatting" : "London (2009)", "plainTextFormattedCitation" : "(London, 2009)", "previouslyFormattedCitation" : "(London 2009)" }, "properties" : { "noteIndex" : 0 }, "schema" : "https://github.com/citation-style-language/schema/raw/master/csl-citation.json" }</w:instrText>
      </w:r>
      <w:r>
        <w:rPr>
          <w:rFonts w:cs="Times New Roman"/>
        </w:rPr>
        <w:fldChar w:fldCharType="separate"/>
      </w:r>
      <w:r>
        <w:rPr>
          <w:rFonts w:cs="Times New Roman"/>
          <w:noProof/>
        </w:rPr>
        <w:t>London (</w:t>
      </w:r>
      <w:r w:rsidRPr="00B47508">
        <w:rPr>
          <w:rFonts w:cs="Times New Roman"/>
          <w:noProof/>
        </w:rPr>
        <w:t>2009)</w:t>
      </w:r>
      <w:r>
        <w:rPr>
          <w:rFonts w:cs="Times New Roman"/>
        </w:rPr>
        <w:fldChar w:fldCharType="end"/>
      </w:r>
      <w:r w:rsidRPr="00753982">
        <w:rPr>
          <w:rFonts w:cs="Times New Roman"/>
        </w:rPr>
        <w:t xml:space="preserve">. As expected, </w:t>
      </w:r>
      <w:r w:rsidRPr="00753982">
        <w:rPr>
          <w:rFonts w:cs="Times New Roman"/>
          <w:vertAlign w:val="superscript"/>
        </w:rPr>
        <w:t>10</w:t>
      </w:r>
      <w:r w:rsidRPr="00753982">
        <w:rPr>
          <w:rFonts w:cs="Times New Roman"/>
        </w:rPr>
        <w:t xml:space="preserve">B diffused farther, hence faster, than did </w:t>
      </w:r>
      <w:r w:rsidRPr="00753982">
        <w:rPr>
          <w:rFonts w:cs="Times New Roman"/>
          <w:vertAlign w:val="superscript"/>
        </w:rPr>
        <w:t>11</w:t>
      </w:r>
      <w:r w:rsidRPr="00753982">
        <w:rPr>
          <w:rFonts w:cs="Times New Roman"/>
        </w:rPr>
        <w:t>B, with a 6‰ difference in their apparent diffusivities over a distance of ~ 2 mm.</w:t>
      </w:r>
      <w:r>
        <w:rPr>
          <w:rFonts w:cs="Times New Roman"/>
        </w:rPr>
        <w:t xml:space="preserve"> Similarly, t</w:t>
      </w:r>
      <w:r w:rsidRPr="003D1B42">
        <w:rPr>
          <w:rFonts w:cs="Times New Roman"/>
        </w:rPr>
        <w:t xml:space="preserve">he diffusivities of the light isotopes of Li and Ca </w:t>
      </w:r>
      <w:r>
        <w:rPr>
          <w:rFonts w:cs="Times New Roman"/>
        </w:rPr>
        <w:t xml:space="preserve">have been shown to diffuse </w:t>
      </w:r>
      <w:r w:rsidRPr="003D1B42">
        <w:rPr>
          <w:rFonts w:cs="Times New Roman"/>
        </w:rPr>
        <w:t xml:space="preserve">faster </w:t>
      </w:r>
      <w:r>
        <w:rPr>
          <w:rFonts w:cs="Times New Roman"/>
        </w:rPr>
        <w:t>than</w:t>
      </w:r>
      <w:r w:rsidRPr="003D1B42">
        <w:rPr>
          <w:rFonts w:cs="Times New Roman"/>
        </w:rPr>
        <w:t xml:space="preserve"> their heavier isotopes</w:t>
      </w:r>
      <w:r>
        <w:rPr>
          <w:rFonts w:cs="Times New Roman"/>
        </w:rPr>
        <w:t xml:space="preserve"> </w:t>
      </w:r>
      <w:r>
        <w:rPr>
          <w:rFonts w:cs="Times New Roman"/>
        </w:rPr>
        <w:fldChar w:fldCharType="begin" w:fldLock="1"/>
      </w:r>
      <w:r w:rsidR="00266290">
        <w:rPr>
          <w:rFonts w:cs="Times New Roman"/>
        </w:rPr>
        <w:instrText>ADDIN CSL_CITATION { "citationItems" : [ { "id" : "ITEM-1", "itemData" : { "author" : [ { "dropping-particle" : "", "family" : "Richter", "given" : "F.M.", "non-dropping-particle" : "", "parse-names" : false, "suffix" : "" }, { "dropping-particle" : "", "family" : "Davis", "given" : "A.M.", "non-dropping-particle" : "", "parse-names" : false, "suffix" : "" }, { "dropping-particle" : "", "family" : "DePaolo", "given" : "D.J.", "non-dropping-particle" : "", "parse-names" : false, "suffix" : "" }, { "dropping-particle" : "", "family" : "Watson", "given" : "E.B.", "non-dropping-particle" : "", "parse-names" : false, "suffix" : "" } ], "container-title" : "Geochimica et Cosmochimica Acta", "id" : "ITEM-1", "issued" : { "date-parts" : [ [ "2003" ] ] }, "page" : "3905-3923", "title" : "Isotopic fractionation by chemical diffusion between molten basalt and rhyolite", "type" : "article-journal", "volume" : "20" }, "uris" : [ "http://www.mendeley.com/documents/?uuid=cfcd162c-f63b-4924-9b92-d8efc2f41ad1" ] } ], "mendeley" : { "formattedCitation" : "(Richter et al., 2003)", "plainTextFormattedCitation" : "(Richter et al., 2003)", "previouslyFormattedCitation" : "(Richter et al. 2003)" }, "properties" : { "noteIndex" : 0 }, "schema" : "https://github.com/citation-style-language/schema/raw/master/csl-citation.json" }</w:instrText>
      </w:r>
      <w:r>
        <w:rPr>
          <w:rFonts w:cs="Times New Roman"/>
        </w:rPr>
        <w:fldChar w:fldCharType="separate"/>
      </w:r>
      <w:r w:rsidR="00266290" w:rsidRPr="00266290">
        <w:rPr>
          <w:rFonts w:cs="Times New Roman"/>
          <w:noProof/>
        </w:rPr>
        <w:t>(Richter et al., 2003)</w:t>
      </w:r>
      <w:r>
        <w:rPr>
          <w:rFonts w:cs="Times New Roman"/>
        </w:rPr>
        <w:fldChar w:fldCharType="end"/>
      </w:r>
      <w:r w:rsidRPr="003D1B42">
        <w:rPr>
          <w:rFonts w:cs="Times New Roman"/>
        </w:rPr>
        <w:t xml:space="preserve">. </w:t>
      </w:r>
      <w:r>
        <w:rPr>
          <w:rFonts w:cs="Times New Roman"/>
        </w:rPr>
        <w:t>Therefore, i</w:t>
      </w:r>
      <w:r w:rsidRPr="007640EC">
        <w:rPr>
          <w:rFonts w:cs="Times New Roman"/>
        </w:rPr>
        <w:t>f Δ</w:t>
      </w:r>
      <w:r w:rsidRPr="007640EC">
        <w:rPr>
          <w:rFonts w:cs="Times New Roman"/>
          <w:vertAlign w:val="superscript"/>
        </w:rPr>
        <w:t>11</w:t>
      </w:r>
      <w:r w:rsidRPr="007640EC">
        <w:rPr>
          <w:rFonts w:cs="Times New Roman"/>
        </w:rPr>
        <w:t>B</w:t>
      </w:r>
      <w:r w:rsidRPr="007640EC">
        <w:rPr>
          <w:rFonts w:cs="Times New Roman"/>
          <w:vertAlign w:val="subscript"/>
        </w:rPr>
        <w:t>Tur-melt</w:t>
      </w:r>
      <w:r w:rsidRPr="007640EC">
        <w:rPr>
          <w:rFonts w:cs="Times New Roman"/>
          <w:vertAlign w:val="superscript"/>
        </w:rPr>
        <w:t xml:space="preserve"> </w:t>
      </w:r>
      <w:r w:rsidRPr="007640EC">
        <w:rPr>
          <w:rFonts w:cs="Times New Roman"/>
        </w:rPr>
        <w:t xml:space="preserve">is large and positive and </w:t>
      </w:r>
      <w:r w:rsidRPr="007640EC">
        <w:rPr>
          <w:rFonts w:cs="Times New Roman"/>
          <w:vertAlign w:val="superscript"/>
        </w:rPr>
        <w:t>10</w:t>
      </w:r>
      <w:r w:rsidRPr="007640EC">
        <w:rPr>
          <w:rFonts w:cs="Times New Roman"/>
        </w:rPr>
        <w:t xml:space="preserve">B diffuses faster than </w:t>
      </w:r>
      <w:r w:rsidRPr="007640EC">
        <w:rPr>
          <w:rFonts w:cs="Times New Roman"/>
          <w:vertAlign w:val="superscript"/>
        </w:rPr>
        <w:t>11</w:t>
      </w:r>
      <w:r w:rsidRPr="007640EC">
        <w:rPr>
          <w:rFonts w:cs="Times New Roman"/>
        </w:rPr>
        <w:t>B, the expectation is that values of δ</w:t>
      </w:r>
      <w:r w:rsidRPr="007640EC">
        <w:rPr>
          <w:rFonts w:cs="Times New Roman"/>
          <w:vertAlign w:val="superscript"/>
        </w:rPr>
        <w:t>11</w:t>
      </w:r>
      <w:r w:rsidRPr="007640EC">
        <w:rPr>
          <w:rFonts w:cs="Times New Roman"/>
        </w:rPr>
        <w:t>B</w:t>
      </w:r>
      <w:r w:rsidRPr="007640EC">
        <w:rPr>
          <w:rFonts w:cs="Times New Roman"/>
          <w:vertAlign w:val="subscript"/>
        </w:rPr>
        <w:t>Tur</w:t>
      </w:r>
      <w:r w:rsidRPr="007640EC">
        <w:rPr>
          <w:rFonts w:cs="Times New Roman"/>
        </w:rPr>
        <w:t xml:space="preserve"> across a pegmatite would become increasingly light; much more so than Rayleigh fractionation would predict.</w:t>
      </w:r>
      <w:r>
        <w:rPr>
          <w:rFonts w:cs="Times New Roman"/>
        </w:rPr>
        <w:t xml:space="preserve"> </w:t>
      </w:r>
    </w:p>
    <w:p w:rsidR="00665C0F" w:rsidRPr="0047415D" w:rsidRDefault="00F65F32" w:rsidP="00F65F32">
      <w:pPr>
        <w:pStyle w:val="Heading2"/>
        <w:spacing w:line="480" w:lineRule="auto"/>
        <w:rPr>
          <w:rFonts w:cs="Times New Roman"/>
          <w:bCs/>
          <w:color w:val="000000"/>
          <w:sz w:val="24"/>
          <w:u w:val="single"/>
        </w:rPr>
      </w:pPr>
      <w:bookmarkStart w:id="39" w:name="_Toc491246006"/>
      <w:r w:rsidRPr="0047415D">
        <w:rPr>
          <w:rFonts w:cs="Times New Roman"/>
          <w:bCs/>
          <w:color w:val="000000"/>
          <w:sz w:val="24"/>
        </w:rPr>
        <w:t>6</w:t>
      </w:r>
      <w:r w:rsidR="00A24071" w:rsidRPr="0047415D">
        <w:rPr>
          <w:rFonts w:cs="Times New Roman"/>
          <w:bCs/>
          <w:color w:val="000000"/>
          <w:sz w:val="24"/>
        </w:rPr>
        <w:t>.</w:t>
      </w:r>
      <w:r w:rsidR="00665C0F" w:rsidRPr="0047415D">
        <w:rPr>
          <w:rFonts w:cs="Times New Roman"/>
          <w:bCs/>
          <w:color w:val="000000"/>
          <w:sz w:val="24"/>
        </w:rPr>
        <w:t xml:space="preserve"> Summary and Concluding Remarks</w:t>
      </w:r>
      <w:bookmarkEnd w:id="39"/>
    </w:p>
    <w:p w:rsidR="00665C0F" w:rsidRDefault="00665C0F" w:rsidP="00F65F32">
      <w:pPr>
        <w:spacing w:after="240" w:line="480" w:lineRule="auto"/>
        <w:ind w:firstLine="720"/>
        <w:rPr>
          <w:rFonts w:cs="Times New Roman"/>
          <w:color w:val="000000"/>
        </w:rPr>
      </w:pPr>
      <w:r w:rsidRPr="00753982">
        <w:rPr>
          <w:rFonts w:cs="Times New Roman"/>
          <w:color w:val="000000"/>
        </w:rPr>
        <w:t>The results from this study highlight the fact that</w:t>
      </w:r>
      <w:r>
        <w:rPr>
          <w:rFonts w:cs="Times New Roman"/>
          <w:color w:val="000000"/>
        </w:rPr>
        <w:t xml:space="preserve"> an</w:t>
      </w:r>
      <w:r w:rsidRPr="003D1B42">
        <w:rPr>
          <w:rFonts w:cs="Times New Roman"/>
          <w:color w:val="000000"/>
        </w:rPr>
        <w:t xml:space="preserve"> </w:t>
      </w:r>
      <w:r w:rsidRPr="007C40FD">
        <w:rPr>
          <w:rFonts w:cs="Times New Roman"/>
          <w:color w:val="000000"/>
        </w:rPr>
        <w:t>equilibrium</w:t>
      </w:r>
      <w:r>
        <w:rPr>
          <w:rFonts w:cs="Times New Roman"/>
          <w:color w:val="000000"/>
        </w:rPr>
        <w:t xml:space="preserve"> distribution of boron isotopes is unlikely during</w:t>
      </w:r>
      <w:r w:rsidRPr="003D1B42">
        <w:rPr>
          <w:rFonts w:cs="Times New Roman"/>
          <w:color w:val="000000"/>
        </w:rPr>
        <w:t xml:space="preserve"> </w:t>
      </w:r>
      <w:r>
        <w:rPr>
          <w:rFonts w:cs="Times New Roman"/>
          <w:color w:val="000000"/>
        </w:rPr>
        <w:t>the crystallization of pegmatites</w:t>
      </w:r>
      <w:r w:rsidRPr="003D1B42">
        <w:rPr>
          <w:rFonts w:cs="Times New Roman"/>
          <w:color w:val="000000"/>
        </w:rPr>
        <w:t xml:space="preserve">. If </w:t>
      </w:r>
      <w:r>
        <w:rPr>
          <w:rFonts w:cs="Times New Roman"/>
          <w:color w:val="000000"/>
        </w:rPr>
        <w:t>an equilibrium distribution of boron isotopes between tourmaline and granitic melt is not attained</w:t>
      </w:r>
      <w:r w:rsidRPr="003D1B42">
        <w:rPr>
          <w:rFonts w:cs="Times New Roman"/>
          <w:color w:val="000000"/>
        </w:rPr>
        <w:t xml:space="preserve">, then the boron isotopic composition of magmatic tourmaline should be close to the ratio of isotopes in the bulk melt. In that case, the isotopic composition of tourmaline from pegmatites should reflect the character of the magmatic source of the pegmatite. </w:t>
      </w:r>
      <w:r>
        <w:rPr>
          <w:rFonts w:cs="Times New Roman"/>
          <w:color w:val="000000"/>
        </w:rPr>
        <w:t xml:space="preserve">Differences in the diffusivity of boron isotopes through viscous silicate melt, in relation to the rate of advance of the tourmaline-bearing crystallization front, may also play a </w:t>
      </w:r>
      <w:r>
        <w:rPr>
          <w:rFonts w:cs="Times New Roman"/>
          <w:color w:val="000000"/>
        </w:rPr>
        <w:lastRenderedPageBreak/>
        <w:t xml:space="preserve">role in the few sharp variations and minor oscillations of boron isotope compositions that have been observed in this study. </w:t>
      </w:r>
    </w:p>
    <w:p w:rsidR="00522E3F" w:rsidRDefault="00665C0F" w:rsidP="00F65F32">
      <w:pPr>
        <w:spacing w:line="480" w:lineRule="auto"/>
        <w:ind w:firstLine="720"/>
        <w:rPr>
          <w:rFonts w:cs="Times New Roman"/>
          <w:color w:val="000000"/>
        </w:rPr>
      </w:pPr>
      <w:r>
        <w:rPr>
          <w:rFonts w:cs="Times New Roman"/>
          <w:color w:val="000000"/>
        </w:rPr>
        <w:t>Importantly</w:t>
      </w:r>
      <w:r w:rsidRPr="003D1B42">
        <w:rPr>
          <w:rFonts w:cs="Times New Roman"/>
          <w:color w:val="000000"/>
        </w:rPr>
        <w:t xml:space="preserve">, a system in which there is no fractionation of boron isotopes because of kinetic factors is indistinguishable from a system in which there is no fractionation of isotopes at equilibrium (e.g. </w:t>
      </w:r>
      <w:r>
        <w:rPr>
          <w:rFonts w:cs="Times New Roman"/>
          <w:color w:val="000000"/>
        </w:rPr>
        <w:fldChar w:fldCharType="begin" w:fldLock="1"/>
      </w:r>
      <w:r w:rsidR="00266290">
        <w:rPr>
          <w:rFonts w:cs="Times New Roman"/>
          <w:color w:val="000000"/>
        </w:rPr>
        <w:instrText>ADDIN CSL_CITATION { "citationItems" : [ { "id" : "ITEM-1", "itemData" : { "ISBN" : "0935-1221", "ISSN" : "09351221", "abstract" : "Baron isotopic compositions are found to be nearly uniform within progressive growth sectors of three zoned tourmaline samples, each from a different miarolitic pegmatite on Elba Island. Chemistry (schorl to elbaite) and textures of these samples indicate that they formed from an evolving medium that varied from melt, through melt + vapor, to vapor only assemblages (here designated simply as \"melt/fluid\") with decreasing temperature (ca. 650-300 degrees C). Closed-system crystallization conditions are inferred in two cases whereas, in one case, late fracturing and open-system conditions resulted in development of fibrous schorl overgrowths. The negligible variation in tourmaline isotopic composition (delta(11)B from -9.6 to -8.5 parts per thousand) is tentatively explained in two different ways. In the first case, the isotopic fractionation factor between tourmaline and either fluid-unsaturated melt, fluid-saturated melt, or aqueous fluids is near-constant near Delta(fluid-tour) = 0 (i.e., no isotopic fractionation occurs). In the second case, \"melt/fluid\" composition was increasingly enriched in B-11 due to increasing \"melt/fluid\"-tourmaline isotopic fractionation as temperature dropped. The latter scenario is more consistent with the few presently available experimental data on tourmaline-fluid isotopic fractionation at high temperatures, and implies that evolving magmatic fluids will be relatively enriched in B-11 compared to associated crystalline assemblages.", "author" : [ { "dropping-particle" : "", "family" : "Tonarini", "given" : "Sonia", "non-dropping-particle" : "", "parse-names" : false, "suffix" : "" }, { "dropping-particle" : "", "family" : "Dini", "given" : "A", "non-dropping-particle" : "", "parse-names" : false, "suffix" : "" }, { "dropping-particle" : "", "family" : "Pezzotta", "given" : "Federico", "non-dropping-particle" : "", "parse-names" : false, "suffix" : "" }, { "dropping-particle" : "", "family" : "Leeman", "given" : "William P", "non-dropping-particle" : "", "parse-names" : false, "suffix" : "" } ], "container-title" : "European Journal Of Mineralogy", "id" : "ITEM-1", "issue" : "5", "issued" : { "date-parts" : [ [ "1998" ] ] }, "page" : "941-951", "title" : "Boron isotopic composition of zoned (schorl-elbaite) tourmalines, Mt. Capanne Li-Cs pegmatites, Elba (Italy)", "type" : "article-journal", "volume" : "10" }, "uris" : [ "http://www.mendeley.com/documents/?uuid=fa8ed009-9b16-4d69-9a79-2e39519f39a0" ] } ], "mendeley" : { "formattedCitation" : "(Tonarini et al., 1998)", "manualFormatting" : "Tonarini et al., 1998)", "plainTextFormattedCitation" : "(Tonarini et al., 1998)", "previouslyFormattedCitation" : "(Tonarini et al. 1998)" }, "properties" : { "noteIndex" : 0 }, "schema" : "https://github.com/citation-style-language/schema/raw/master/csl-citation.json" }</w:instrText>
      </w:r>
      <w:r>
        <w:rPr>
          <w:rFonts w:cs="Times New Roman"/>
          <w:color w:val="000000"/>
        </w:rPr>
        <w:fldChar w:fldCharType="separate"/>
      </w:r>
      <w:r w:rsidRPr="00B47508">
        <w:rPr>
          <w:rFonts w:cs="Times New Roman"/>
          <w:noProof/>
          <w:color w:val="000000"/>
        </w:rPr>
        <w:t>Tonarini et al., 1998)</w:t>
      </w:r>
      <w:r>
        <w:rPr>
          <w:rFonts w:cs="Times New Roman"/>
          <w:color w:val="000000"/>
        </w:rPr>
        <w:fldChar w:fldCharType="end"/>
      </w:r>
      <w:r w:rsidRPr="003D1B42">
        <w:rPr>
          <w:rFonts w:cs="Times New Roman"/>
          <w:color w:val="000000"/>
        </w:rPr>
        <w:t>. Until the systematics of Δ</w:t>
      </w:r>
      <w:r w:rsidRPr="003D1B42">
        <w:rPr>
          <w:rFonts w:cs="Times New Roman"/>
          <w:color w:val="000000"/>
          <w:vertAlign w:val="superscript"/>
        </w:rPr>
        <w:t>11</w:t>
      </w:r>
      <w:r w:rsidRPr="003D1B42">
        <w:rPr>
          <w:rFonts w:cs="Times New Roman"/>
          <w:color w:val="000000"/>
        </w:rPr>
        <w:t>B</w:t>
      </w:r>
      <w:r w:rsidRPr="003D1B42">
        <w:rPr>
          <w:rFonts w:cs="Times New Roman"/>
          <w:color w:val="000000"/>
          <w:vertAlign w:val="subscript"/>
        </w:rPr>
        <w:t xml:space="preserve">melt-fluid </w:t>
      </w:r>
      <w:r w:rsidRPr="003D1B42">
        <w:rPr>
          <w:rFonts w:cs="Times New Roman"/>
          <w:color w:val="000000"/>
        </w:rPr>
        <w:t>and Δ</w:t>
      </w:r>
      <w:r w:rsidRPr="003D1B42">
        <w:rPr>
          <w:rFonts w:cs="Times New Roman"/>
          <w:color w:val="000000"/>
          <w:vertAlign w:val="superscript"/>
        </w:rPr>
        <w:t>11</w:t>
      </w:r>
      <w:r w:rsidRPr="003D1B42">
        <w:rPr>
          <w:rFonts w:cs="Times New Roman"/>
          <w:color w:val="000000"/>
        </w:rPr>
        <w:t>B</w:t>
      </w:r>
      <w:r w:rsidRPr="003D1B42">
        <w:rPr>
          <w:rFonts w:cs="Times New Roman"/>
          <w:color w:val="000000"/>
          <w:vertAlign w:val="subscript"/>
        </w:rPr>
        <w:t>Tur-melt</w:t>
      </w:r>
      <w:r w:rsidRPr="003D1B42">
        <w:rPr>
          <w:rFonts w:cs="Times New Roman"/>
          <w:color w:val="000000"/>
        </w:rPr>
        <w:t xml:space="preserve"> are better calibrated via carefully executed experiments, the boron isotopic composition of tourmaline from pegmatites will remain a poorly understood indicator of internal processes of pegmatite formation.</w:t>
      </w:r>
    </w:p>
    <w:p w:rsidR="00522E3F" w:rsidRDefault="00522E3F">
      <w:pPr>
        <w:rPr>
          <w:rFonts w:cs="Times New Roman"/>
          <w:color w:val="000000"/>
        </w:rPr>
      </w:pPr>
      <w:r>
        <w:rPr>
          <w:rFonts w:cs="Times New Roman"/>
          <w:color w:val="000000"/>
        </w:rPr>
        <w:br w:type="page"/>
      </w:r>
    </w:p>
    <w:p w:rsidR="001E78C3" w:rsidRDefault="00F35019" w:rsidP="00F65F32">
      <w:pPr>
        <w:spacing w:line="480" w:lineRule="auto"/>
        <w:ind w:firstLine="720"/>
        <w:rPr>
          <w:rFonts w:cs="Times New Roman"/>
          <w:color w:val="000000"/>
        </w:rPr>
      </w:pPr>
      <w:r>
        <w:rPr>
          <w:noProof/>
        </w:rPr>
        <w:lastRenderedPageBreak/>
        <mc:AlternateContent>
          <mc:Choice Requires="wps">
            <w:drawing>
              <wp:anchor distT="0" distB="0" distL="114300" distR="114300" simplePos="0" relativeHeight="251670528" behindDoc="0" locked="0" layoutInCell="1" allowOverlap="1" wp14:anchorId="2A7F3891" wp14:editId="6DA9CB65">
                <wp:simplePos x="0" y="0"/>
                <wp:positionH relativeFrom="column">
                  <wp:posOffset>744855</wp:posOffset>
                </wp:positionH>
                <wp:positionV relativeFrom="paragraph">
                  <wp:posOffset>5113655</wp:posOffset>
                </wp:positionV>
                <wp:extent cx="3903980" cy="635"/>
                <wp:effectExtent l="0" t="0" r="0" b="0"/>
                <wp:wrapTopAndBottom/>
                <wp:docPr id="1" name="Text Box 1"/>
                <wp:cNvGraphicFramePr/>
                <a:graphic xmlns:a="http://schemas.openxmlformats.org/drawingml/2006/main">
                  <a:graphicData uri="http://schemas.microsoft.com/office/word/2010/wordprocessingShape">
                    <wps:wsp>
                      <wps:cNvSpPr txBox="1"/>
                      <wps:spPr>
                        <a:xfrm>
                          <a:off x="0" y="0"/>
                          <a:ext cx="3903980" cy="635"/>
                        </a:xfrm>
                        <a:prstGeom prst="rect">
                          <a:avLst/>
                        </a:prstGeom>
                        <a:solidFill>
                          <a:prstClr val="white"/>
                        </a:solidFill>
                        <a:ln>
                          <a:noFill/>
                        </a:ln>
                      </wps:spPr>
                      <wps:txbx>
                        <w:txbxContent>
                          <w:p w:rsidR="006D3B9B" w:rsidRPr="00F35019" w:rsidRDefault="006D3B9B" w:rsidP="00F35019">
                            <w:pPr>
                              <w:pStyle w:val="Caption"/>
                              <w:rPr>
                                <w:rFonts w:cs="Times New Roman"/>
                                <w:i w:val="0"/>
                                <w:noProof/>
                                <w:color w:val="000000"/>
                                <w:sz w:val="24"/>
                                <w:szCs w:val="24"/>
                              </w:rPr>
                            </w:pPr>
                            <w:bookmarkStart w:id="40" w:name="_Toc488151023"/>
                            <w:bookmarkStart w:id="41" w:name="_Toc490130633"/>
                            <w:r w:rsidRPr="00F35019">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2</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1</w:t>
                            </w:r>
                            <w:r>
                              <w:rPr>
                                <w:b/>
                                <w:sz w:val="24"/>
                                <w:szCs w:val="24"/>
                              </w:rPr>
                              <w:fldChar w:fldCharType="end"/>
                            </w:r>
                            <w:r w:rsidRPr="00F35019">
                              <w:rPr>
                                <w:rFonts w:cs="Times New Roman"/>
                                <w:i w:val="0"/>
                                <w:sz w:val="24"/>
                                <w:szCs w:val="24"/>
                              </w:rPr>
                              <w:t xml:space="preserve"> Photograph of Main dike outcrop. Pegmatite zones labeled in figure. A detailed discussion of the mineralogic zonation is presented in section 2.2</w:t>
                            </w:r>
                            <w:bookmarkEnd w:id="40"/>
                            <w:bookmarkEnd w:id="4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A7F3891" id="Text Box 1" o:spid="_x0000_s1027" type="#_x0000_t202" style="position:absolute;left:0;text-align:left;margin-left:58.65pt;margin-top:402.65pt;width:307.4pt;height:.0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" stroked="f">
                <v:textbox style="mso-fit-shape-to-text:t" inset="0,0,0,0">
                  <w:txbxContent>
                    <w:p w:rsidR="006D3B9B" w:rsidRPr="00F35019" w:rsidRDefault="006D3B9B" w:rsidP="00F35019">
                      <w:pPr>
                        <w:pStyle w:val="Caption"/>
                        <w:rPr>
                          <w:rFonts w:cs="Times New Roman"/>
                          <w:i w:val="0"/>
                          <w:noProof/>
                          <w:color w:val="000000"/>
                          <w:sz w:val="24"/>
                          <w:szCs w:val="24"/>
                        </w:rPr>
                      </w:pPr>
                      <w:bookmarkStart w:id="42" w:name="_Toc488151023"/>
                      <w:bookmarkStart w:id="43" w:name="_Toc490130633"/>
                      <w:r w:rsidRPr="00F35019">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2</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1</w:t>
                      </w:r>
                      <w:r>
                        <w:rPr>
                          <w:b/>
                          <w:sz w:val="24"/>
                          <w:szCs w:val="24"/>
                        </w:rPr>
                        <w:fldChar w:fldCharType="end"/>
                      </w:r>
                      <w:r w:rsidRPr="00F35019">
                        <w:rPr>
                          <w:rFonts w:cs="Times New Roman"/>
                          <w:i w:val="0"/>
                          <w:sz w:val="24"/>
                          <w:szCs w:val="24"/>
                        </w:rPr>
                        <w:t xml:space="preserve"> Photograph of Main dike outcrop. Pegmatite zones labeled in figure. A detailed discussion of the mineralogic zonation is presented in section 2.2</w:t>
                      </w:r>
                      <w:bookmarkEnd w:id="42"/>
                      <w:bookmarkEnd w:id="43"/>
                    </w:p>
                  </w:txbxContent>
                </v:textbox>
                <w10:wrap type="topAndBottom"/>
              </v:shape>
            </w:pict>
          </mc:Fallback>
        </mc:AlternateContent>
      </w:r>
      <w:r w:rsidR="001E78C3">
        <w:rPr>
          <w:rFonts w:cs="Times New Roman"/>
          <w:noProof/>
          <w:color w:val="000000"/>
        </w:rPr>
        <w:drawing>
          <wp:anchor distT="0" distB="0" distL="114300" distR="114300" simplePos="0" relativeHeight="251658240" behindDoc="0" locked="0" layoutInCell="1" allowOverlap="1">
            <wp:simplePos x="1924050" y="914400"/>
            <wp:positionH relativeFrom="margin">
              <wp:align>center</wp:align>
            </wp:positionH>
            <wp:positionV relativeFrom="margin">
              <wp:align>top</wp:align>
            </wp:positionV>
            <wp:extent cx="3904488" cy="5056632"/>
            <wp:effectExtent l="0" t="0" r="127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 1.tif"/>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904488" cy="5056632"/>
                    </a:xfrm>
                    <a:prstGeom prst="rect">
                      <a:avLst/>
                    </a:prstGeom>
                  </pic:spPr>
                </pic:pic>
              </a:graphicData>
            </a:graphic>
          </wp:anchor>
        </w:drawing>
      </w:r>
    </w:p>
    <w:p w:rsidR="001E78C3" w:rsidRDefault="001E78C3">
      <w:pPr>
        <w:rPr>
          <w:rFonts w:cs="Times New Roman"/>
          <w:color w:val="000000"/>
        </w:rPr>
      </w:pPr>
      <w:r>
        <w:rPr>
          <w:rFonts w:cs="Times New Roman"/>
          <w:color w:val="000000"/>
        </w:rPr>
        <w:br w:type="page"/>
      </w:r>
    </w:p>
    <w:p w:rsidR="001E78C3" w:rsidRDefault="00F35019" w:rsidP="00F65F32">
      <w:pPr>
        <w:spacing w:line="480" w:lineRule="auto"/>
        <w:ind w:firstLine="720"/>
        <w:rPr>
          <w:rFonts w:cs="Times New Roman"/>
          <w:color w:val="000000"/>
        </w:rPr>
      </w:pPr>
      <w:r>
        <w:rPr>
          <w:noProof/>
        </w:rPr>
        <w:lastRenderedPageBreak/>
        <mc:AlternateContent>
          <mc:Choice Requires="wps">
            <w:drawing>
              <wp:anchor distT="0" distB="0" distL="114300" distR="114300" simplePos="0" relativeHeight="251672576" behindDoc="0" locked="0" layoutInCell="1" allowOverlap="1" wp14:anchorId="0BBECDC1" wp14:editId="31E824F4">
                <wp:simplePos x="0" y="0"/>
                <wp:positionH relativeFrom="column">
                  <wp:posOffset>744855</wp:posOffset>
                </wp:positionH>
                <wp:positionV relativeFrom="paragraph">
                  <wp:posOffset>5113655</wp:posOffset>
                </wp:positionV>
                <wp:extent cx="3903980" cy="635"/>
                <wp:effectExtent l="0" t="0" r="0" b="0"/>
                <wp:wrapTopAndBottom/>
                <wp:docPr id="13" name="Text Box 13"/>
                <wp:cNvGraphicFramePr/>
                <a:graphic xmlns:a="http://schemas.openxmlformats.org/drawingml/2006/main">
                  <a:graphicData uri="http://schemas.microsoft.com/office/word/2010/wordprocessingShape">
                    <wps:wsp>
                      <wps:cNvSpPr txBox="1"/>
                      <wps:spPr>
                        <a:xfrm>
                          <a:off x="0" y="0"/>
                          <a:ext cx="3903980" cy="635"/>
                        </a:xfrm>
                        <a:prstGeom prst="rect">
                          <a:avLst/>
                        </a:prstGeom>
                        <a:solidFill>
                          <a:prstClr val="white"/>
                        </a:solidFill>
                        <a:ln>
                          <a:noFill/>
                        </a:ln>
                      </wps:spPr>
                      <wps:txbx>
                        <w:txbxContent>
                          <w:p w:rsidR="006D3B9B" w:rsidRPr="00F35019" w:rsidRDefault="006D3B9B" w:rsidP="00F35019">
                            <w:pPr>
                              <w:pStyle w:val="Caption"/>
                              <w:rPr>
                                <w:rFonts w:cs="Times New Roman"/>
                                <w:i w:val="0"/>
                                <w:noProof/>
                                <w:color w:val="000000"/>
                                <w:sz w:val="24"/>
                                <w:szCs w:val="24"/>
                              </w:rPr>
                            </w:pPr>
                            <w:bookmarkStart w:id="44" w:name="_Toc488151024"/>
                            <w:bookmarkStart w:id="45" w:name="_Toc490130634"/>
                            <w:r w:rsidRPr="00F35019">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2</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2</w:t>
                            </w:r>
                            <w:r>
                              <w:rPr>
                                <w:b/>
                                <w:sz w:val="24"/>
                                <w:szCs w:val="24"/>
                              </w:rPr>
                              <w:fldChar w:fldCharType="end"/>
                            </w:r>
                            <w:r w:rsidRPr="00F35019">
                              <w:rPr>
                                <w:rFonts w:cs="Times New Roman"/>
                                <w:i w:val="0"/>
                                <w:sz w:val="24"/>
                                <w:szCs w:val="24"/>
                              </w:rPr>
                              <w:t xml:space="preserve"> Photograph of a polished cross-section of the Swamp dike showing textural zonation and pegmatitic-zones. Italicized text, both in and out of parentheses, is from London et al. (2012). Non-italicized text outside parentheses is the nomenclature for zones used in the present study.</w:t>
                            </w:r>
                            <w:bookmarkEnd w:id="44"/>
                            <w:bookmarkEnd w:id="4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BBECDC1" id="Text Box 13" o:spid="_x0000_s1028" type="#_x0000_t202" style="position:absolute;left:0;text-align:left;margin-left:58.65pt;margin-top:402.65pt;width:307.4pt;height:.0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" stroked="f">
                <v:textbox style="mso-fit-shape-to-text:t" inset="0,0,0,0">
                  <w:txbxContent>
                    <w:p w:rsidR="006D3B9B" w:rsidRPr="00F35019" w:rsidRDefault="006D3B9B" w:rsidP="00F35019">
                      <w:pPr>
                        <w:pStyle w:val="Caption"/>
                        <w:rPr>
                          <w:rFonts w:cs="Times New Roman"/>
                          <w:i w:val="0"/>
                          <w:noProof/>
                          <w:color w:val="000000"/>
                          <w:sz w:val="24"/>
                          <w:szCs w:val="24"/>
                        </w:rPr>
                      </w:pPr>
                      <w:bookmarkStart w:id="46" w:name="_Toc488151024"/>
                      <w:bookmarkStart w:id="47" w:name="_Toc490130634"/>
                      <w:r w:rsidRPr="00F35019">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2</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2</w:t>
                      </w:r>
                      <w:r>
                        <w:rPr>
                          <w:b/>
                          <w:sz w:val="24"/>
                          <w:szCs w:val="24"/>
                        </w:rPr>
                        <w:fldChar w:fldCharType="end"/>
                      </w:r>
                      <w:r w:rsidRPr="00F35019">
                        <w:rPr>
                          <w:rFonts w:cs="Times New Roman"/>
                          <w:i w:val="0"/>
                          <w:sz w:val="24"/>
                          <w:szCs w:val="24"/>
                        </w:rPr>
                        <w:t xml:space="preserve"> Photograph of a polished cross-section of the Swamp dike showing textural zonation and pegmatitic-zones. Italicized text, both in and out of parentheses, is from London et al. (2012). Non-italicized text outside parentheses is the nomenclature for zones used in the present study.</w:t>
                      </w:r>
                      <w:bookmarkEnd w:id="46"/>
                      <w:bookmarkEnd w:id="47"/>
                    </w:p>
                  </w:txbxContent>
                </v:textbox>
                <w10:wrap type="topAndBottom"/>
              </v:shape>
            </w:pict>
          </mc:Fallback>
        </mc:AlternateContent>
      </w:r>
      <w:r w:rsidR="001E78C3">
        <w:rPr>
          <w:rFonts w:cs="Times New Roman"/>
          <w:noProof/>
          <w:color w:val="000000"/>
        </w:rPr>
        <w:drawing>
          <wp:anchor distT="0" distB="0" distL="114300" distR="114300" simplePos="0" relativeHeight="251660288" behindDoc="0" locked="0" layoutInCell="1" allowOverlap="1" wp14:anchorId="1C481E43" wp14:editId="15BDA65E">
            <wp:simplePos x="0" y="0"/>
            <wp:positionH relativeFrom="margin">
              <wp:align>center</wp:align>
            </wp:positionH>
            <wp:positionV relativeFrom="margin">
              <wp:align>top</wp:align>
            </wp:positionV>
            <wp:extent cx="3904488" cy="5056632"/>
            <wp:effectExtent l="0" t="0" r="127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 2.tif"/>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904488" cy="5056632"/>
                    </a:xfrm>
                    <a:prstGeom prst="rect">
                      <a:avLst/>
                    </a:prstGeom>
                  </pic:spPr>
                </pic:pic>
              </a:graphicData>
            </a:graphic>
          </wp:anchor>
        </w:drawing>
      </w:r>
    </w:p>
    <w:p w:rsidR="001E78C3" w:rsidRDefault="001E78C3">
      <w:pPr>
        <w:rPr>
          <w:rFonts w:cs="Times New Roman"/>
          <w:color w:val="000000"/>
        </w:rPr>
      </w:pPr>
      <w:r>
        <w:rPr>
          <w:rFonts w:cs="Times New Roman"/>
          <w:color w:val="000000"/>
        </w:rPr>
        <w:br w:type="page"/>
      </w:r>
    </w:p>
    <w:p w:rsidR="001E78C3" w:rsidRDefault="00F35019" w:rsidP="00F65F32">
      <w:pPr>
        <w:spacing w:line="480" w:lineRule="auto"/>
        <w:ind w:firstLine="720"/>
        <w:rPr>
          <w:rFonts w:cs="Times New Roman"/>
          <w:color w:val="000000"/>
        </w:rPr>
      </w:pPr>
      <w:r>
        <w:rPr>
          <w:noProof/>
        </w:rPr>
        <w:lastRenderedPageBreak/>
        <mc:AlternateContent>
          <mc:Choice Requires="wps">
            <w:drawing>
              <wp:anchor distT="0" distB="0" distL="114300" distR="114300" simplePos="0" relativeHeight="251674624" behindDoc="0" locked="0" layoutInCell="1" allowOverlap="1" wp14:anchorId="4BC70968" wp14:editId="2DC0B106">
                <wp:simplePos x="0" y="0"/>
                <wp:positionH relativeFrom="column">
                  <wp:posOffset>744855</wp:posOffset>
                </wp:positionH>
                <wp:positionV relativeFrom="paragraph">
                  <wp:posOffset>5113655</wp:posOffset>
                </wp:positionV>
                <wp:extent cx="3903980" cy="635"/>
                <wp:effectExtent l="0" t="0" r="0" b="0"/>
                <wp:wrapTopAndBottom/>
                <wp:docPr id="14" name="Text Box 14"/>
                <wp:cNvGraphicFramePr/>
                <a:graphic xmlns:a="http://schemas.openxmlformats.org/drawingml/2006/main">
                  <a:graphicData uri="http://schemas.microsoft.com/office/word/2010/wordprocessingShape">
                    <wps:wsp>
                      <wps:cNvSpPr txBox="1"/>
                      <wps:spPr>
                        <a:xfrm>
                          <a:off x="0" y="0"/>
                          <a:ext cx="3903980" cy="635"/>
                        </a:xfrm>
                        <a:prstGeom prst="rect">
                          <a:avLst/>
                        </a:prstGeom>
                        <a:solidFill>
                          <a:prstClr val="white"/>
                        </a:solidFill>
                        <a:ln>
                          <a:noFill/>
                        </a:ln>
                      </wps:spPr>
                      <wps:txbx>
                        <w:txbxContent>
                          <w:p w:rsidR="006D3B9B" w:rsidRPr="00F35019" w:rsidRDefault="006D3B9B" w:rsidP="00F35019">
                            <w:pPr>
                              <w:pStyle w:val="Caption"/>
                              <w:rPr>
                                <w:rFonts w:cs="Times New Roman"/>
                                <w:i w:val="0"/>
                                <w:noProof/>
                                <w:color w:val="000000"/>
                                <w:sz w:val="24"/>
                                <w:szCs w:val="24"/>
                              </w:rPr>
                            </w:pPr>
                            <w:bookmarkStart w:id="48" w:name="_Toc488151025"/>
                            <w:bookmarkStart w:id="49" w:name="_Toc490130635"/>
                            <w:r w:rsidRPr="00F35019">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2</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3</w:t>
                            </w:r>
                            <w:r>
                              <w:rPr>
                                <w:b/>
                                <w:sz w:val="24"/>
                                <w:szCs w:val="24"/>
                              </w:rPr>
                              <w:fldChar w:fldCharType="end"/>
                            </w:r>
                            <w:r>
                              <w:rPr>
                                <w:b/>
                                <w:sz w:val="24"/>
                                <w:szCs w:val="24"/>
                              </w:rPr>
                              <w:t xml:space="preserve"> </w:t>
                            </w:r>
                            <w:r w:rsidRPr="00F35019">
                              <w:rPr>
                                <w:rFonts w:cs="Times New Roman"/>
                                <w:i w:val="0"/>
                                <w:color w:val="000000"/>
                                <w:kern w:val="28"/>
                                <w:sz w:val="24"/>
                                <w:szCs w:val="24"/>
                              </w:rPr>
                              <w:t>Photographs of pocket mineralogy from the Main dike (A-F), Spessartine dike (G-J), and Swamp dike (K). (A) Hambergite. (B) Lepidolite. (C) Green elbaite. (D) Boromuscovite (bright white coating) on muscovite. (E) Fine-grained polychromatic elbaite. (F) Single tourmaline crystal extending from intermediate zone into pocket. (G) Fine-grained external tourmaline (tourmalinite). (H) Tourmaline intergrown with axinite. (I) Tourmaline-, muscovite-, garnet-bearing massive pegmatite from intermediate zone. (J) Muscovite on albite and quartz. (K) Danburite (yellow/orange crystal in center of image) on quartz.</w:t>
                            </w:r>
                            <w:bookmarkEnd w:id="48"/>
                            <w:bookmarkEnd w:id="4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BC70968" id="Text Box 14" o:spid="_x0000_s1029" type="#_x0000_t202" style="position:absolute;left:0;text-align:left;margin-left:58.65pt;margin-top:402.65pt;width:307.4pt;height:.0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" stroked="f">
                <v:textbox style="mso-fit-shape-to-text:t" inset="0,0,0,0">
                  <w:txbxContent>
                    <w:p w:rsidR="006D3B9B" w:rsidRPr="00F35019" w:rsidRDefault="006D3B9B" w:rsidP="00F35019">
                      <w:pPr>
                        <w:pStyle w:val="Caption"/>
                        <w:rPr>
                          <w:rFonts w:cs="Times New Roman"/>
                          <w:i w:val="0"/>
                          <w:noProof/>
                          <w:color w:val="000000"/>
                          <w:sz w:val="24"/>
                          <w:szCs w:val="24"/>
                        </w:rPr>
                      </w:pPr>
                      <w:bookmarkStart w:id="50" w:name="_Toc488151025"/>
                      <w:bookmarkStart w:id="51" w:name="_Toc490130635"/>
                      <w:r w:rsidRPr="00F35019">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2</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3</w:t>
                      </w:r>
                      <w:r>
                        <w:rPr>
                          <w:b/>
                          <w:sz w:val="24"/>
                          <w:szCs w:val="24"/>
                        </w:rPr>
                        <w:fldChar w:fldCharType="end"/>
                      </w:r>
                      <w:r>
                        <w:rPr>
                          <w:b/>
                          <w:sz w:val="24"/>
                          <w:szCs w:val="24"/>
                        </w:rPr>
                        <w:t xml:space="preserve"> </w:t>
                      </w:r>
                      <w:r w:rsidRPr="00F35019">
                        <w:rPr>
                          <w:rFonts w:cs="Times New Roman"/>
                          <w:i w:val="0"/>
                          <w:color w:val="000000"/>
                          <w:kern w:val="28"/>
                          <w:sz w:val="24"/>
                          <w:szCs w:val="24"/>
                        </w:rPr>
                        <w:t>Photographs of pocket mineralogy from the Main dike (A-F), Spessartine dike (G-J), and Swamp dike (K). (A) Hambergite. (B) Lepidolite. (C) Green elbaite. (D) Boromuscovite (bright white coating) on muscovite. (E) Fine-grained polychromatic elbaite. (F) Single tourmaline crystal extending from intermediate zone into pocket. (G) Fine-grained external tourmaline (tourmalinite). (H) Tourmaline intergrown with axinite. (I) Tourmaline-, muscovite-, garnet-bearing massive pegmatite from intermediate zone. (J) Muscovite on albite and quartz. (K) Danburite (yellow/orange crystal in center of image) on quartz.</w:t>
                      </w:r>
                      <w:bookmarkEnd w:id="50"/>
                      <w:bookmarkEnd w:id="51"/>
                    </w:p>
                  </w:txbxContent>
                </v:textbox>
                <w10:wrap type="topAndBottom"/>
              </v:shape>
            </w:pict>
          </mc:Fallback>
        </mc:AlternateContent>
      </w:r>
      <w:r w:rsidR="001E78C3">
        <w:rPr>
          <w:rFonts w:cs="Times New Roman"/>
          <w:noProof/>
          <w:color w:val="000000"/>
        </w:rPr>
        <w:drawing>
          <wp:anchor distT="0" distB="0" distL="114300" distR="114300" simplePos="0" relativeHeight="251661312" behindDoc="0" locked="0" layoutInCell="1" allowOverlap="1">
            <wp:simplePos x="1924050" y="914400"/>
            <wp:positionH relativeFrom="margin">
              <wp:align>center</wp:align>
            </wp:positionH>
            <wp:positionV relativeFrom="margin">
              <wp:align>top</wp:align>
            </wp:positionV>
            <wp:extent cx="3904488" cy="5056632"/>
            <wp:effectExtent l="0" t="0" r="127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 3.tif"/>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904488" cy="5056632"/>
                    </a:xfrm>
                    <a:prstGeom prst="rect">
                      <a:avLst/>
                    </a:prstGeom>
                  </pic:spPr>
                </pic:pic>
              </a:graphicData>
            </a:graphic>
          </wp:anchor>
        </w:drawing>
      </w:r>
    </w:p>
    <w:p w:rsidR="001E78C3" w:rsidRDefault="001E78C3">
      <w:pPr>
        <w:rPr>
          <w:rFonts w:cs="Times New Roman"/>
          <w:color w:val="000000"/>
        </w:rPr>
      </w:pPr>
      <w:r>
        <w:rPr>
          <w:rFonts w:cs="Times New Roman"/>
          <w:color w:val="000000"/>
        </w:rPr>
        <w:br w:type="page"/>
      </w:r>
    </w:p>
    <w:p w:rsidR="001E78C3" w:rsidRDefault="00F35019" w:rsidP="001E78C3">
      <w:pPr>
        <w:spacing w:line="480" w:lineRule="auto"/>
        <w:ind w:firstLine="720"/>
        <w:rPr>
          <w:rFonts w:cs="Times New Roman"/>
          <w:color w:val="000000"/>
        </w:rPr>
      </w:pPr>
      <w:r>
        <w:rPr>
          <w:noProof/>
        </w:rPr>
        <w:lastRenderedPageBreak/>
        <mc:AlternateContent>
          <mc:Choice Requires="wps">
            <w:drawing>
              <wp:anchor distT="0" distB="0" distL="114300" distR="114300" simplePos="0" relativeHeight="251676672" behindDoc="0" locked="0" layoutInCell="1" allowOverlap="1" wp14:anchorId="130F2AC0" wp14:editId="47E7CA36">
                <wp:simplePos x="0" y="0"/>
                <wp:positionH relativeFrom="column">
                  <wp:posOffset>0</wp:posOffset>
                </wp:positionH>
                <wp:positionV relativeFrom="paragraph">
                  <wp:posOffset>4225925</wp:posOffset>
                </wp:positionV>
                <wp:extent cx="5394960" cy="635"/>
                <wp:effectExtent l="0" t="0" r="0" b="0"/>
                <wp:wrapTopAndBottom/>
                <wp:docPr id="15" name="Text Box 15"/>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rsidR="006D3B9B" w:rsidRPr="00F35019" w:rsidRDefault="006D3B9B" w:rsidP="00F35019">
                            <w:pPr>
                              <w:pStyle w:val="Caption"/>
                              <w:rPr>
                                <w:rFonts w:cs="Times New Roman"/>
                                <w:i w:val="0"/>
                                <w:noProof/>
                                <w:color w:val="000000"/>
                                <w:sz w:val="24"/>
                                <w:szCs w:val="24"/>
                              </w:rPr>
                            </w:pPr>
                            <w:bookmarkStart w:id="52" w:name="_Toc488151026"/>
                            <w:bookmarkStart w:id="53" w:name="_Toc490130636"/>
                            <w:r w:rsidRPr="00F35019">
                              <w:rPr>
                                <w:b/>
                                <w:i w:val="0"/>
                                <w:sz w:val="24"/>
                                <w:szCs w:val="24"/>
                              </w:rPr>
                              <w:t xml:space="preserve">Figure </w:t>
                            </w:r>
                            <w:r>
                              <w:rPr>
                                <w:b/>
                                <w:i w:val="0"/>
                                <w:sz w:val="24"/>
                                <w:szCs w:val="24"/>
                              </w:rPr>
                              <w:fldChar w:fldCharType="begin"/>
                            </w:r>
                            <w:r>
                              <w:rPr>
                                <w:b/>
                                <w:i w:val="0"/>
                                <w:sz w:val="24"/>
                                <w:szCs w:val="24"/>
                              </w:rPr>
                              <w:instrText xml:space="preserve"> STYLEREF 1 \s </w:instrText>
                            </w:r>
                            <w:r>
                              <w:rPr>
                                <w:b/>
                                <w:i w:val="0"/>
                                <w:sz w:val="24"/>
                                <w:szCs w:val="24"/>
                              </w:rPr>
                              <w:fldChar w:fldCharType="separate"/>
                            </w:r>
                            <w:r w:rsidR="000C5FC3">
                              <w:rPr>
                                <w:b/>
                                <w:i w:val="0"/>
                                <w:noProof/>
                                <w:sz w:val="24"/>
                                <w:szCs w:val="24"/>
                              </w:rPr>
                              <w:t>2</w:t>
                            </w:r>
                            <w:r>
                              <w:rPr>
                                <w:b/>
                                <w:i w:val="0"/>
                                <w:sz w:val="24"/>
                                <w:szCs w:val="24"/>
                              </w:rPr>
                              <w:fldChar w:fldCharType="end"/>
                            </w:r>
                            <w:r>
                              <w:rPr>
                                <w:b/>
                                <w:i w:val="0"/>
                                <w:sz w:val="24"/>
                                <w:szCs w:val="24"/>
                              </w:rPr>
                              <w:noBreakHyphen/>
                            </w:r>
                            <w:r>
                              <w:rPr>
                                <w:b/>
                                <w:i w:val="0"/>
                                <w:sz w:val="24"/>
                                <w:szCs w:val="24"/>
                              </w:rPr>
                              <w:fldChar w:fldCharType="begin"/>
                            </w:r>
                            <w:r>
                              <w:rPr>
                                <w:b/>
                                <w:i w:val="0"/>
                                <w:sz w:val="24"/>
                                <w:szCs w:val="24"/>
                              </w:rPr>
                              <w:instrText xml:space="preserve"> SEQ Figure \* ARABIC \s 1 </w:instrText>
                            </w:r>
                            <w:r>
                              <w:rPr>
                                <w:b/>
                                <w:i w:val="0"/>
                                <w:sz w:val="24"/>
                                <w:szCs w:val="24"/>
                              </w:rPr>
                              <w:fldChar w:fldCharType="separate"/>
                            </w:r>
                            <w:r w:rsidR="000C5FC3">
                              <w:rPr>
                                <w:b/>
                                <w:i w:val="0"/>
                                <w:noProof/>
                                <w:sz w:val="24"/>
                                <w:szCs w:val="24"/>
                              </w:rPr>
                              <w:t>4</w:t>
                            </w:r>
                            <w:r>
                              <w:rPr>
                                <w:b/>
                                <w:i w:val="0"/>
                                <w:sz w:val="24"/>
                                <w:szCs w:val="24"/>
                              </w:rPr>
                              <w:fldChar w:fldCharType="end"/>
                            </w:r>
                            <w:r w:rsidRPr="00F35019">
                              <w:rPr>
                                <w:rFonts w:cs="Times New Roman"/>
                                <w:i w:val="0"/>
                                <w:sz w:val="24"/>
                                <w:szCs w:val="24"/>
                              </w:rPr>
                              <w:t xml:space="preserve"> Histogram of δ</w:t>
                            </w:r>
                            <w:r w:rsidRPr="00F35019">
                              <w:rPr>
                                <w:rFonts w:cs="Times New Roman"/>
                                <w:i w:val="0"/>
                                <w:sz w:val="24"/>
                                <w:szCs w:val="24"/>
                                <w:vertAlign w:val="superscript"/>
                              </w:rPr>
                              <w:t>11</w:t>
                            </w:r>
                            <w:r w:rsidRPr="00F35019">
                              <w:rPr>
                                <w:rFonts w:cs="Times New Roman"/>
                                <w:i w:val="0"/>
                                <w:sz w:val="24"/>
                                <w:szCs w:val="24"/>
                              </w:rPr>
                              <w:t>B</w:t>
                            </w:r>
                            <w:r w:rsidRPr="00F35019">
                              <w:rPr>
                                <w:rFonts w:cs="Times New Roman"/>
                                <w:i w:val="0"/>
                                <w:sz w:val="24"/>
                                <w:szCs w:val="24"/>
                                <w:vertAlign w:val="subscript"/>
                              </w:rPr>
                              <w:t>Tur</w:t>
                            </w:r>
                            <w:r w:rsidRPr="00F35019">
                              <w:rPr>
                                <w:rFonts w:cs="Times New Roman"/>
                                <w:i w:val="0"/>
                                <w:sz w:val="24"/>
                                <w:szCs w:val="24"/>
                              </w:rPr>
                              <w:t xml:space="preserve"> values for tourmaline from the footwall and hanging wall sections of the Main dike.</w:t>
                            </w:r>
                            <w:bookmarkEnd w:id="52"/>
                            <w:bookmarkEnd w:id="5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30F2AC0" id="Text Box 15" o:spid="_x0000_s1030" type="#_x0000_t202" style="position:absolute;left:0;text-align:left;margin-left:0;margin-top:332.75pt;width:424.8pt;height:.0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" stroked="f">
                <v:textbox style="mso-fit-shape-to-text:t" inset="0,0,0,0">
                  <w:txbxContent>
                    <w:p w:rsidR="006D3B9B" w:rsidRPr="00F35019" w:rsidRDefault="006D3B9B" w:rsidP="00F35019">
                      <w:pPr>
                        <w:pStyle w:val="Caption"/>
                        <w:rPr>
                          <w:rFonts w:cs="Times New Roman"/>
                          <w:i w:val="0"/>
                          <w:noProof/>
                          <w:color w:val="000000"/>
                          <w:sz w:val="24"/>
                          <w:szCs w:val="24"/>
                        </w:rPr>
                      </w:pPr>
                      <w:bookmarkStart w:id="54" w:name="_Toc488151026"/>
                      <w:bookmarkStart w:id="55" w:name="_Toc490130636"/>
                      <w:r w:rsidRPr="00F35019">
                        <w:rPr>
                          <w:b/>
                          <w:i w:val="0"/>
                          <w:sz w:val="24"/>
                          <w:szCs w:val="24"/>
                        </w:rPr>
                        <w:t xml:space="preserve">Figure </w:t>
                      </w:r>
                      <w:r>
                        <w:rPr>
                          <w:b/>
                          <w:i w:val="0"/>
                          <w:sz w:val="24"/>
                          <w:szCs w:val="24"/>
                        </w:rPr>
                        <w:fldChar w:fldCharType="begin"/>
                      </w:r>
                      <w:r>
                        <w:rPr>
                          <w:b/>
                          <w:i w:val="0"/>
                          <w:sz w:val="24"/>
                          <w:szCs w:val="24"/>
                        </w:rPr>
                        <w:instrText xml:space="preserve"> STYLEREF 1 \s </w:instrText>
                      </w:r>
                      <w:r>
                        <w:rPr>
                          <w:b/>
                          <w:i w:val="0"/>
                          <w:sz w:val="24"/>
                          <w:szCs w:val="24"/>
                        </w:rPr>
                        <w:fldChar w:fldCharType="separate"/>
                      </w:r>
                      <w:r w:rsidR="000C5FC3">
                        <w:rPr>
                          <w:b/>
                          <w:i w:val="0"/>
                          <w:noProof/>
                          <w:sz w:val="24"/>
                          <w:szCs w:val="24"/>
                        </w:rPr>
                        <w:t>2</w:t>
                      </w:r>
                      <w:r>
                        <w:rPr>
                          <w:b/>
                          <w:i w:val="0"/>
                          <w:sz w:val="24"/>
                          <w:szCs w:val="24"/>
                        </w:rPr>
                        <w:fldChar w:fldCharType="end"/>
                      </w:r>
                      <w:r>
                        <w:rPr>
                          <w:b/>
                          <w:i w:val="0"/>
                          <w:sz w:val="24"/>
                          <w:szCs w:val="24"/>
                        </w:rPr>
                        <w:noBreakHyphen/>
                      </w:r>
                      <w:r>
                        <w:rPr>
                          <w:b/>
                          <w:i w:val="0"/>
                          <w:sz w:val="24"/>
                          <w:szCs w:val="24"/>
                        </w:rPr>
                        <w:fldChar w:fldCharType="begin"/>
                      </w:r>
                      <w:r>
                        <w:rPr>
                          <w:b/>
                          <w:i w:val="0"/>
                          <w:sz w:val="24"/>
                          <w:szCs w:val="24"/>
                        </w:rPr>
                        <w:instrText xml:space="preserve"> SEQ Figure \* ARABIC \s 1 </w:instrText>
                      </w:r>
                      <w:r>
                        <w:rPr>
                          <w:b/>
                          <w:i w:val="0"/>
                          <w:sz w:val="24"/>
                          <w:szCs w:val="24"/>
                        </w:rPr>
                        <w:fldChar w:fldCharType="separate"/>
                      </w:r>
                      <w:r w:rsidR="000C5FC3">
                        <w:rPr>
                          <w:b/>
                          <w:i w:val="0"/>
                          <w:noProof/>
                          <w:sz w:val="24"/>
                          <w:szCs w:val="24"/>
                        </w:rPr>
                        <w:t>4</w:t>
                      </w:r>
                      <w:r>
                        <w:rPr>
                          <w:b/>
                          <w:i w:val="0"/>
                          <w:sz w:val="24"/>
                          <w:szCs w:val="24"/>
                        </w:rPr>
                        <w:fldChar w:fldCharType="end"/>
                      </w:r>
                      <w:r w:rsidRPr="00F35019">
                        <w:rPr>
                          <w:rFonts w:cs="Times New Roman"/>
                          <w:i w:val="0"/>
                          <w:sz w:val="24"/>
                          <w:szCs w:val="24"/>
                        </w:rPr>
                        <w:t xml:space="preserve"> Histogram of δ</w:t>
                      </w:r>
                      <w:r w:rsidRPr="00F35019">
                        <w:rPr>
                          <w:rFonts w:cs="Times New Roman"/>
                          <w:i w:val="0"/>
                          <w:sz w:val="24"/>
                          <w:szCs w:val="24"/>
                          <w:vertAlign w:val="superscript"/>
                        </w:rPr>
                        <w:t>11</w:t>
                      </w:r>
                      <w:r w:rsidRPr="00F35019">
                        <w:rPr>
                          <w:rFonts w:cs="Times New Roman"/>
                          <w:i w:val="0"/>
                          <w:sz w:val="24"/>
                          <w:szCs w:val="24"/>
                        </w:rPr>
                        <w:t>B</w:t>
                      </w:r>
                      <w:r w:rsidRPr="00F35019">
                        <w:rPr>
                          <w:rFonts w:cs="Times New Roman"/>
                          <w:i w:val="0"/>
                          <w:sz w:val="24"/>
                          <w:szCs w:val="24"/>
                          <w:vertAlign w:val="subscript"/>
                        </w:rPr>
                        <w:t>Tur</w:t>
                      </w:r>
                      <w:r w:rsidRPr="00F35019">
                        <w:rPr>
                          <w:rFonts w:cs="Times New Roman"/>
                          <w:i w:val="0"/>
                          <w:sz w:val="24"/>
                          <w:szCs w:val="24"/>
                        </w:rPr>
                        <w:t xml:space="preserve"> values for tourmaline from the footwall and hanging wall sections of the Main dike.</w:t>
                      </w:r>
                      <w:bookmarkEnd w:id="54"/>
                      <w:bookmarkEnd w:id="55"/>
                    </w:p>
                  </w:txbxContent>
                </v:textbox>
                <w10:wrap type="topAndBottom"/>
              </v:shape>
            </w:pict>
          </mc:Fallback>
        </mc:AlternateContent>
      </w:r>
      <w:r w:rsidR="003A423C">
        <w:rPr>
          <w:rFonts w:cs="Times New Roman"/>
          <w:noProof/>
          <w:color w:val="000000"/>
        </w:rPr>
        <w:drawing>
          <wp:anchor distT="0" distB="0" distL="114300" distR="114300" simplePos="0" relativeHeight="251662336" behindDoc="0" locked="0" layoutInCell="1" allowOverlap="1">
            <wp:simplePos x="1924050" y="914400"/>
            <wp:positionH relativeFrom="margin">
              <wp:align>center</wp:align>
            </wp:positionH>
            <wp:positionV relativeFrom="margin">
              <wp:align>top</wp:align>
            </wp:positionV>
            <wp:extent cx="5394960" cy="4168775"/>
            <wp:effectExtent l="0" t="0" r="0" b="3175"/>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 4.tif"/>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394960" cy="4168775"/>
                    </a:xfrm>
                    <a:prstGeom prst="rect">
                      <a:avLst/>
                    </a:prstGeom>
                  </pic:spPr>
                </pic:pic>
              </a:graphicData>
            </a:graphic>
          </wp:anchor>
        </w:drawing>
      </w:r>
    </w:p>
    <w:p w:rsidR="001E78C3" w:rsidRDefault="001E78C3">
      <w:pPr>
        <w:rPr>
          <w:rFonts w:cs="Times New Roman"/>
          <w:color w:val="000000"/>
        </w:rPr>
      </w:pPr>
      <w:r>
        <w:rPr>
          <w:rFonts w:cs="Times New Roman"/>
          <w:color w:val="000000"/>
        </w:rPr>
        <w:br w:type="page"/>
      </w:r>
    </w:p>
    <w:p w:rsidR="001E78C3" w:rsidRDefault="00A76046" w:rsidP="00F65F32">
      <w:pPr>
        <w:spacing w:line="480" w:lineRule="auto"/>
        <w:ind w:firstLine="720"/>
        <w:rPr>
          <w:rFonts w:cs="Times New Roman"/>
          <w:color w:val="000000"/>
        </w:rPr>
      </w:pPr>
      <w:r>
        <w:rPr>
          <w:noProof/>
        </w:rPr>
        <w:lastRenderedPageBreak/>
        <mc:AlternateContent>
          <mc:Choice Requires="wps">
            <w:drawing>
              <wp:anchor distT="0" distB="0" distL="114300" distR="114300" simplePos="0" relativeHeight="251678720" behindDoc="0" locked="0" layoutInCell="1" allowOverlap="1" wp14:anchorId="0F879C4F" wp14:editId="60843E31">
                <wp:simplePos x="0" y="0"/>
                <wp:positionH relativeFrom="column">
                  <wp:posOffset>0</wp:posOffset>
                </wp:positionH>
                <wp:positionV relativeFrom="paragraph">
                  <wp:posOffset>4225925</wp:posOffset>
                </wp:positionV>
                <wp:extent cx="5394960" cy="635"/>
                <wp:effectExtent l="0" t="0" r="0" b="0"/>
                <wp:wrapTopAndBottom/>
                <wp:docPr id="16" name="Text Box 16"/>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rsidR="006D3B9B" w:rsidRPr="00A76046" w:rsidRDefault="006D3B9B" w:rsidP="00A76046">
                            <w:pPr>
                              <w:pStyle w:val="Caption"/>
                              <w:rPr>
                                <w:rFonts w:cs="Times New Roman"/>
                                <w:i w:val="0"/>
                                <w:noProof/>
                                <w:color w:val="000000"/>
                                <w:sz w:val="24"/>
                                <w:szCs w:val="24"/>
                              </w:rPr>
                            </w:pPr>
                            <w:bookmarkStart w:id="56" w:name="_Toc490130637"/>
                            <w:r w:rsidRPr="00A76046">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2</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5</w:t>
                            </w:r>
                            <w:r>
                              <w:rPr>
                                <w:b/>
                                <w:sz w:val="24"/>
                                <w:szCs w:val="24"/>
                              </w:rPr>
                              <w:fldChar w:fldCharType="end"/>
                            </w:r>
                            <w:r w:rsidRPr="00A76046">
                              <w:rPr>
                                <w:rFonts w:cs="Times New Roman"/>
                                <w:i w:val="0"/>
                                <w:sz w:val="24"/>
                                <w:szCs w:val="24"/>
                              </w:rPr>
                              <w:t xml:space="preserve"> Histogram of δ</w:t>
                            </w:r>
                            <w:r w:rsidRPr="00A76046">
                              <w:rPr>
                                <w:rFonts w:cs="Times New Roman"/>
                                <w:i w:val="0"/>
                                <w:sz w:val="24"/>
                                <w:szCs w:val="24"/>
                                <w:vertAlign w:val="superscript"/>
                              </w:rPr>
                              <w:t>11</w:t>
                            </w:r>
                            <w:r w:rsidRPr="00A76046">
                              <w:rPr>
                                <w:rFonts w:cs="Times New Roman"/>
                                <w:i w:val="0"/>
                                <w:sz w:val="24"/>
                                <w:szCs w:val="24"/>
                              </w:rPr>
                              <w:t>B</w:t>
                            </w:r>
                            <w:r w:rsidRPr="00A76046">
                              <w:rPr>
                                <w:rFonts w:cs="Times New Roman"/>
                                <w:i w:val="0"/>
                                <w:sz w:val="24"/>
                                <w:szCs w:val="24"/>
                                <w:vertAlign w:val="subscript"/>
                              </w:rPr>
                              <w:t>Tur</w:t>
                            </w:r>
                            <w:r w:rsidRPr="00A76046">
                              <w:rPr>
                                <w:rFonts w:cs="Times New Roman"/>
                                <w:i w:val="0"/>
                                <w:sz w:val="24"/>
                                <w:szCs w:val="24"/>
                              </w:rPr>
                              <w:t xml:space="preserve"> values for tourmaline from the footwall and hanging wall sections of the Swamp dike.</w:t>
                            </w:r>
                            <w:bookmarkEnd w:id="5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F879C4F" id="Text Box 16" o:spid="_x0000_s1031" type="#_x0000_t202" style="position:absolute;left:0;text-align:left;margin-left:0;margin-top:332.75pt;width:424.8pt;height:.0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" stroked="f">
                <v:textbox style="mso-fit-shape-to-text:t" inset="0,0,0,0">
                  <w:txbxContent>
                    <w:p w:rsidR="006D3B9B" w:rsidRPr="00A76046" w:rsidRDefault="006D3B9B" w:rsidP="00A76046">
                      <w:pPr>
                        <w:pStyle w:val="Caption"/>
                        <w:rPr>
                          <w:rFonts w:cs="Times New Roman"/>
                          <w:i w:val="0"/>
                          <w:noProof/>
                          <w:color w:val="000000"/>
                          <w:sz w:val="24"/>
                          <w:szCs w:val="24"/>
                        </w:rPr>
                      </w:pPr>
                      <w:bookmarkStart w:id="57" w:name="_Toc490130637"/>
                      <w:r w:rsidRPr="00A76046">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2</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5</w:t>
                      </w:r>
                      <w:r>
                        <w:rPr>
                          <w:b/>
                          <w:sz w:val="24"/>
                          <w:szCs w:val="24"/>
                        </w:rPr>
                        <w:fldChar w:fldCharType="end"/>
                      </w:r>
                      <w:r w:rsidRPr="00A76046">
                        <w:rPr>
                          <w:rFonts w:cs="Times New Roman"/>
                          <w:i w:val="0"/>
                          <w:sz w:val="24"/>
                          <w:szCs w:val="24"/>
                        </w:rPr>
                        <w:t xml:space="preserve"> Histogram of δ</w:t>
                      </w:r>
                      <w:r w:rsidRPr="00A76046">
                        <w:rPr>
                          <w:rFonts w:cs="Times New Roman"/>
                          <w:i w:val="0"/>
                          <w:sz w:val="24"/>
                          <w:szCs w:val="24"/>
                          <w:vertAlign w:val="superscript"/>
                        </w:rPr>
                        <w:t>11</w:t>
                      </w:r>
                      <w:r w:rsidRPr="00A76046">
                        <w:rPr>
                          <w:rFonts w:cs="Times New Roman"/>
                          <w:i w:val="0"/>
                          <w:sz w:val="24"/>
                          <w:szCs w:val="24"/>
                        </w:rPr>
                        <w:t>B</w:t>
                      </w:r>
                      <w:r w:rsidRPr="00A76046">
                        <w:rPr>
                          <w:rFonts w:cs="Times New Roman"/>
                          <w:i w:val="0"/>
                          <w:sz w:val="24"/>
                          <w:szCs w:val="24"/>
                          <w:vertAlign w:val="subscript"/>
                        </w:rPr>
                        <w:t>Tur</w:t>
                      </w:r>
                      <w:r w:rsidRPr="00A76046">
                        <w:rPr>
                          <w:rFonts w:cs="Times New Roman"/>
                          <w:i w:val="0"/>
                          <w:sz w:val="24"/>
                          <w:szCs w:val="24"/>
                        </w:rPr>
                        <w:t xml:space="preserve"> values for tourmaline from the footwall and hanging wall sections of the Swamp dike.</w:t>
                      </w:r>
                      <w:bookmarkEnd w:id="57"/>
                    </w:p>
                  </w:txbxContent>
                </v:textbox>
                <w10:wrap type="topAndBottom"/>
              </v:shape>
            </w:pict>
          </mc:Fallback>
        </mc:AlternateContent>
      </w:r>
      <w:r w:rsidR="003A423C">
        <w:rPr>
          <w:rFonts w:cs="Times New Roman"/>
          <w:noProof/>
          <w:color w:val="000000"/>
        </w:rPr>
        <w:drawing>
          <wp:anchor distT="0" distB="0" distL="114300" distR="114300" simplePos="0" relativeHeight="251663360" behindDoc="0" locked="0" layoutInCell="1" allowOverlap="1">
            <wp:simplePos x="1924050" y="914400"/>
            <wp:positionH relativeFrom="margin">
              <wp:align>center</wp:align>
            </wp:positionH>
            <wp:positionV relativeFrom="margin">
              <wp:align>top</wp:align>
            </wp:positionV>
            <wp:extent cx="5394960" cy="4168775"/>
            <wp:effectExtent l="0" t="0" r="0" b="3175"/>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 5.tif"/>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394960" cy="4168775"/>
                    </a:xfrm>
                    <a:prstGeom prst="rect">
                      <a:avLst/>
                    </a:prstGeom>
                  </pic:spPr>
                </pic:pic>
              </a:graphicData>
            </a:graphic>
          </wp:anchor>
        </w:drawing>
      </w:r>
    </w:p>
    <w:p w:rsidR="001E78C3" w:rsidRDefault="001E78C3">
      <w:pPr>
        <w:rPr>
          <w:rFonts w:cs="Times New Roman"/>
          <w:color w:val="000000"/>
        </w:rPr>
      </w:pPr>
      <w:r>
        <w:rPr>
          <w:rFonts w:cs="Times New Roman"/>
          <w:color w:val="000000"/>
        </w:rPr>
        <w:br w:type="page"/>
      </w:r>
    </w:p>
    <w:p w:rsidR="001E78C3" w:rsidRDefault="00A76046" w:rsidP="00F65F32">
      <w:pPr>
        <w:spacing w:line="480" w:lineRule="auto"/>
        <w:ind w:firstLine="720"/>
        <w:rPr>
          <w:rFonts w:cs="Times New Roman"/>
          <w:color w:val="000000"/>
        </w:rPr>
      </w:pPr>
      <w:r>
        <w:rPr>
          <w:noProof/>
        </w:rPr>
        <w:lastRenderedPageBreak/>
        <mc:AlternateContent>
          <mc:Choice Requires="wps">
            <w:drawing>
              <wp:anchor distT="0" distB="0" distL="114300" distR="114300" simplePos="0" relativeHeight="251680768" behindDoc="0" locked="0" layoutInCell="1" allowOverlap="1" wp14:anchorId="4F80958E" wp14:editId="12F63A56">
                <wp:simplePos x="0" y="0"/>
                <wp:positionH relativeFrom="column">
                  <wp:posOffset>0</wp:posOffset>
                </wp:positionH>
                <wp:positionV relativeFrom="paragraph">
                  <wp:posOffset>4225925</wp:posOffset>
                </wp:positionV>
                <wp:extent cx="5394960" cy="635"/>
                <wp:effectExtent l="0" t="0" r="0" b="0"/>
                <wp:wrapSquare wrapText="bothSides"/>
                <wp:docPr id="17" name="Text Box 17"/>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rsidR="006D3B9B" w:rsidRPr="00A76046" w:rsidRDefault="006D3B9B" w:rsidP="00A76046">
                            <w:pPr>
                              <w:pStyle w:val="Caption"/>
                              <w:rPr>
                                <w:rFonts w:cs="Times New Roman"/>
                                <w:i w:val="0"/>
                                <w:noProof/>
                                <w:color w:val="000000"/>
                                <w:sz w:val="24"/>
                                <w:szCs w:val="24"/>
                              </w:rPr>
                            </w:pPr>
                            <w:bookmarkStart w:id="58" w:name="_Toc490130638"/>
                            <w:r w:rsidRPr="00A76046">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2</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6</w:t>
                            </w:r>
                            <w:r>
                              <w:rPr>
                                <w:b/>
                                <w:sz w:val="24"/>
                                <w:szCs w:val="24"/>
                              </w:rPr>
                              <w:fldChar w:fldCharType="end"/>
                            </w:r>
                            <w:r w:rsidRPr="00A76046">
                              <w:rPr>
                                <w:rFonts w:cs="Times New Roman"/>
                                <w:b/>
                                <w:sz w:val="24"/>
                                <w:szCs w:val="24"/>
                              </w:rPr>
                              <w:t xml:space="preserve"> </w:t>
                            </w:r>
                            <w:r w:rsidRPr="00A76046">
                              <w:rPr>
                                <w:rFonts w:cs="Times New Roman"/>
                                <w:i w:val="0"/>
                                <w:sz w:val="24"/>
                                <w:szCs w:val="24"/>
                              </w:rPr>
                              <w:t>Boron isotopic compositions of tourmaline, muscovite, and axinite from the Spessartine dike. Individual symbols represent individual analyses. Error bars are smaller than the size of the symbol. Units along the x-axis are arbitrary.</w:t>
                            </w:r>
                            <w:bookmarkEnd w:id="5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F80958E" id="Text Box 17" o:spid="_x0000_s1032" type="#_x0000_t202" style="position:absolute;left:0;text-align:left;margin-left:0;margin-top:332.75pt;width:424.8pt;height:.0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" stroked="f">
                <v:textbox style="mso-fit-shape-to-text:t" inset="0,0,0,0">
                  <w:txbxContent>
                    <w:p w:rsidR="006D3B9B" w:rsidRPr="00A76046" w:rsidRDefault="006D3B9B" w:rsidP="00A76046">
                      <w:pPr>
                        <w:pStyle w:val="Caption"/>
                        <w:rPr>
                          <w:rFonts w:cs="Times New Roman"/>
                          <w:i w:val="0"/>
                          <w:noProof/>
                          <w:color w:val="000000"/>
                          <w:sz w:val="24"/>
                          <w:szCs w:val="24"/>
                        </w:rPr>
                      </w:pPr>
                      <w:bookmarkStart w:id="59" w:name="_Toc490130638"/>
                      <w:r w:rsidRPr="00A76046">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2</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6</w:t>
                      </w:r>
                      <w:r>
                        <w:rPr>
                          <w:b/>
                          <w:sz w:val="24"/>
                          <w:szCs w:val="24"/>
                        </w:rPr>
                        <w:fldChar w:fldCharType="end"/>
                      </w:r>
                      <w:r w:rsidRPr="00A76046">
                        <w:rPr>
                          <w:rFonts w:cs="Times New Roman"/>
                          <w:b/>
                          <w:sz w:val="24"/>
                          <w:szCs w:val="24"/>
                        </w:rPr>
                        <w:t xml:space="preserve"> </w:t>
                      </w:r>
                      <w:r w:rsidRPr="00A76046">
                        <w:rPr>
                          <w:rFonts w:cs="Times New Roman"/>
                          <w:i w:val="0"/>
                          <w:sz w:val="24"/>
                          <w:szCs w:val="24"/>
                        </w:rPr>
                        <w:t>Boron isotopic compositions of tourmaline, muscovite, and axinite from the Spessartine dike. Individual symbols represent individual analyses. Error bars are smaller than the size of the symbol. Units along the x-axis are arbitrary.</w:t>
                      </w:r>
                      <w:bookmarkEnd w:id="59"/>
                    </w:p>
                  </w:txbxContent>
                </v:textbox>
                <w10:wrap type="square"/>
              </v:shape>
            </w:pict>
          </mc:Fallback>
        </mc:AlternateContent>
      </w:r>
      <w:r w:rsidR="003A423C">
        <w:rPr>
          <w:rFonts w:cs="Times New Roman"/>
          <w:noProof/>
          <w:color w:val="000000"/>
        </w:rPr>
        <w:drawing>
          <wp:anchor distT="0" distB="0" distL="114300" distR="114300" simplePos="0" relativeHeight="251664384" behindDoc="0" locked="0" layoutInCell="1" allowOverlap="1">
            <wp:simplePos x="1924050" y="914400"/>
            <wp:positionH relativeFrom="margin">
              <wp:align>center</wp:align>
            </wp:positionH>
            <wp:positionV relativeFrom="margin">
              <wp:align>top</wp:align>
            </wp:positionV>
            <wp:extent cx="5394960" cy="4168775"/>
            <wp:effectExtent l="0" t="0" r="0" b="317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 6.tif"/>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394960" cy="4168775"/>
                    </a:xfrm>
                    <a:prstGeom prst="rect">
                      <a:avLst/>
                    </a:prstGeom>
                  </pic:spPr>
                </pic:pic>
              </a:graphicData>
            </a:graphic>
          </wp:anchor>
        </w:drawing>
      </w:r>
    </w:p>
    <w:p w:rsidR="001E78C3" w:rsidRDefault="001E78C3">
      <w:pPr>
        <w:rPr>
          <w:rFonts w:cs="Times New Roman"/>
          <w:color w:val="000000"/>
        </w:rPr>
      </w:pPr>
      <w:r>
        <w:rPr>
          <w:rFonts w:cs="Times New Roman"/>
          <w:color w:val="000000"/>
        </w:rPr>
        <w:br w:type="page"/>
      </w:r>
    </w:p>
    <w:p w:rsidR="001E78C3" w:rsidRDefault="00A76046" w:rsidP="00F65F32">
      <w:pPr>
        <w:spacing w:line="480" w:lineRule="auto"/>
        <w:ind w:firstLine="720"/>
        <w:rPr>
          <w:rFonts w:cs="Times New Roman"/>
          <w:color w:val="000000"/>
        </w:rPr>
      </w:pPr>
      <w:r>
        <w:rPr>
          <w:noProof/>
        </w:rPr>
        <w:lastRenderedPageBreak/>
        <mc:AlternateContent>
          <mc:Choice Requires="wps">
            <w:drawing>
              <wp:anchor distT="0" distB="0" distL="114300" distR="114300" simplePos="0" relativeHeight="251682816" behindDoc="0" locked="0" layoutInCell="1" allowOverlap="1" wp14:anchorId="438B9B64" wp14:editId="5DD5186E">
                <wp:simplePos x="0" y="0"/>
                <wp:positionH relativeFrom="column">
                  <wp:posOffset>0</wp:posOffset>
                </wp:positionH>
                <wp:positionV relativeFrom="paragraph">
                  <wp:posOffset>4225925</wp:posOffset>
                </wp:positionV>
                <wp:extent cx="5394960" cy="635"/>
                <wp:effectExtent l="0" t="0" r="0" b="0"/>
                <wp:wrapSquare wrapText="bothSides"/>
                <wp:docPr id="18" name="Text Box 18"/>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rsidR="006D3B9B" w:rsidRPr="00A76046" w:rsidRDefault="006D3B9B" w:rsidP="00A76046">
                            <w:pPr>
                              <w:pStyle w:val="Caption"/>
                              <w:rPr>
                                <w:rFonts w:cs="Times New Roman"/>
                                <w:i w:val="0"/>
                                <w:noProof/>
                                <w:color w:val="000000"/>
                                <w:sz w:val="24"/>
                                <w:szCs w:val="24"/>
                              </w:rPr>
                            </w:pPr>
                            <w:bookmarkStart w:id="60" w:name="_Toc490130639"/>
                            <w:r w:rsidRPr="00A76046">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2</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7</w:t>
                            </w:r>
                            <w:r>
                              <w:rPr>
                                <w:b/>
                                <w:sz w:val="24"/>
                                <w:szCs w:val="24"/>
                              </w:rPr>
                              <w:fldChar w:fldCharType="end"/>
                            </w:r>
                            <w:r w:rsidRPr="00A76046">
                              <w:rPr>
                                <w:rFonts w:cs="Times New Roman"/>
                                <w:i w:val="0"/>
                                <w:sz w:val="24"/>
                                <w:szCs w:val="24"/>
                              </w:rPr>
                              <w:t xml:space="preserve"> Boron isotopic compositions of various geological materials (data from</w:t>
                            </w:r>
                            <w:r w:rsidRPr="00A76046">
                              <w:rPr>
                                <w:rFonts w:cs="Times New Roman"/>
                                <w:i w:val="0"/>
                                <w:sz w:val="24"/>
                                <w:szCs w:val="24"/>
                              </w:rPr>
                              <w:fldChar w:fldCharType="begin" w:fldLock="1"/>
                            </w:r>
                            <w:r w:rsidRPr="00A76046">
                              <w:rPr>
                                <w:rFonts w:cs="Times New Roman"/>
                                <w:i w:val="0"/>
                                <w:sz w:val="24"/>
                                <w:szCs w:val="24"/>
                              </w:rPr>
                              <w:instrText>ADDIN CSL_CITATION { "citationItems" : [ { "id" : "ITEM-1", "itemData" : { "author" : [ { "dropping-particle" : "", "family" : "Palmer", "given" : "Martin R.", "non-dropping-particle" : "", "parse-names" : false, "suffix" : "" }, { "dropping-particle" : "", "family" : "Swihart", "given" : "George H.", "non-dropping-particle" : "", "parse-names" : false, "suffix" : "" } ], "container-title" : "Reviews in Mineralogy and Geochemistry", "id" : "ITEM-1", "issued" : { "date-parts" : [ [ "1996" ] ] }, "page" : "709-744", "title" : "Boron isotope geochemistry: An overview", "type" : "article-journal", "volume" : "33" }, "uris" : [ "http://www.mendeley.com/documents/?uuid=ae2ad9bb-18c7-414a-9833-d182e3cb0e6f" ] }, { "id" : "ITEM-2", "itemData" : { "DOI" : "10.1080/08120099.2013.813585", "ISBN" : "0812-0099", "ISSN" : "0812-0099", "abstract" : "The high geochemical reactivity of boron and the large relative mass difference between 10 B and 11 B lead to significant boron isotope fractionation in nature. So far the measured range of boron isotope composition (d 11 B) varies between \u201370 and \u00fe75%. The negative d 11 B values are found in non-marine evaporite borate minerals and tourmalines, whereas positive d 11 B values are common in salt lake brines and evaporated seawater. Since the 1980s, with improved measurement methods, applications of boron isotope analysis have increased rapidly. At present, boron isotopes are successfully applied to reconstruct ancient marine environments, to determine depositional environments and ore genesis, to trace groundwater pollution and seawater intrusion, and to study continental erosion. This paper summarises the methods for boron isotope analysis, the mechanisms of boron isotope fractionation and the distribution of boron isotopes in nature, reviews the achievements and the problems of boron isotopes in geochemical applications, and proposes research directions of boron isotopes in geochemical fields.", "author" : [ { "dropping-particle" : "", "family" : "Xiao", "given" : "J", "non-dropping-particle" : "", "parse-names" : false, "suffix" : "" }, { "dropping-particle" : "", "family" : "Xiao", "given" : "Y", "non-dropping-particle" : "", "parse-names" : false, "suffix" : "" }, { "dropping-particle" : "", "family" : "Jin", "given" : "Z", "non-dropping-particle" : "", "parse-names" : false, "suffix" : "" }, { "dropping-particle" : "", "family" : "He", "given" : "M", "non-dropping-particle" : "", "parse-names" : false, "suffix" : "" }, { "dropping-particle" : "", "family" : "Liu", "given" : "C", "non-dropping-particle" : "", "parse-names" : false, "suffix" : "" }, { "dropping-particle" : "", "family" : "Xiao", "given" : "Y-k", "non-dropping-particle" : "", "parse-names" : false, "suffix" : "" }, { "dropping-particle" : "", "family" : "Jin", "given" : "Z-d", "non-dropping-particle" : "", "parse-names" : false, "suffix" : "" }, { "dropping-particle" : "", "family" : "Liu", "given" : "C-q", "non-dropping-particle" : "", "parse-names" : false, "suffix" : "" } ], "container-title" : "Australian Journal of Earth Sciences: An International Geoscience Journal of the Geological Society of Australia", "id" : "ITEM-2", "issue" : "May 2014", "issued" : { "date-parts" : [ [ "2013" ] ] }, "title" : "Boron isotope variations and its geochemical application in nature", "type" : "article-journal", "volume" : "604" }, "uris" : [ "http://www.mendeley.com/documents/?uuid=bd455701-0344-3e34-bdcf-21e30e44323b" ] } ], "mendeley" : { "formattedCitation" : "(Palmer and Swihart, 1996; Xiao et al., 2013)", "manualFormatting" : " Palmer and Swihart, 1996; Xiao et al., 2013)", "plainTextFormattedCitation" : "(Palmer and Swihart, 1996; Xiao et al., 2013)", "previouslyFormattedCitation" : "(Palmer and Swihart, 1996; Xiao et al., 2013)" }, "properties" : { "noteIndex" : 0 }, "schema" : "https://github.com/citation-style-language/schema/raw/master/csl-citation.json" }</w:instrText>
                            </w:r>
                            <w:r w:rsidRPr="00A76046">
                              <w:rPr>
                                <w:rFonts w:cs="Times New Roman"/>
                                <w:i w:val="0"/>
                                <w:sz w:val="24"/>
                                <w:szCs w:val="24"/>
                              </w:rPr>
                              <w:fldChar w:fldCharType="separate"/>
                            </w:r>
                            <w:r w:rsidRPr="00A76046">
                              <w:rPr>
                                <w:rFonts w:cs="Times New Roman"/>
                                <w:i w:val="0"/>
                                <w:noProof/>
                                <w:sz w:val="24"/>
                                <w:szCs w:val="24"/>
                              </w:rPr>
                              <w:t xml:space="preserve"> Palmer and Swihart, 1996; Xiao et al., 2013)</w:t>
                            </w:r>
                            <w:r w:rsidRPr="00A76046">
                              <w:rPr>
                                <w:rFonts w:cs="Times New Roman"/>
                                <w:i w:val="0"/>
                                <w:sz w:val="24"/>
                                <w:szCs w:val="24"/>
                              </w:rPr>
                              <w:fldChar w:fldCharType="end"/>
                            </w:r>
                            <w:r w:rsidRPr="00A76046">
                              <w:rPr>
                                <w:rFonts w:cs="Times New Roman"/>
                                <w:i w:val="0"/>
                                <w:sz w:val="24"/>
                                <w:szCs w:val="24"/>
                              </w:rPr>
                              <w:t>.</w:t>
                            </w:r>
                            <w:bookmarkEnd w:id="6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38B9B64" id="Text Box 18" o:spid="_x0000_s1033" type="#_x0000_t202" style="position:absolute;left:0;text-align:left;margin-left:0;margin-top:332.75pt;width:424.8pt;height:.0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" stroked="f">
                <v:textbox style="mso-fit-shape-to-text:t" inset="0,0,0,0">
                  <w:txbxContent>
                    <w:p w:rsidR="006D3B9B" w:rsidRPr="00A76046" w:rsidRDefault="006D3B9B" w:rsidP="00A76046">
                      <w:pPr>
                        <w:pStyle w:val="Caption"/>
                        <w:rPr>
                          <w:rFonts w:cs="Times New Roman"/>
                          <w:i w:val="0"/>
                          <w:noProof/>
                          <w:color w:val="000000"/>
                          <w:sz w:val="24"/>
                          <w:szCs w:val="24"/>
                        </w:rPr>
                      </w:pPr>
                      <w:bookmarkStart w:id="61" w:name="_Toc490130639"/>
                      <w:r w:rsidRPr="00A76046">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2</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7</w:t>
                      </w:r>
                      <w:r>
                        <w:rPr>
                          <w:b/>
                          <w:sz w:val="24"/>
                          <w:szCs w:val="24"/>
                        </w:rPr>
                        <w:fldChar w:fldCharType="end"/>
                      </w:r>
                      <w:r w:rsidRPr="00A76046">
                        <w:rPr>
                          <w:rFonts w:cs="Times New Roman"/>
                          <w:i w:val="0"/>
                          <w:sz w:val="24"/>
                          <w:szCs w:val="24"/>
                        </w:rPr>
                        <w:t xml:space="preserve"> Boron isotopic compositions of various geological materials (data from</w:t>
                      </w:r>
                      <w:r w:rsidRPr="00A76046">
                        <w:rPr>
                          <w:rFonts w:cs="Times New Roman"/>
                          <w:i w:val="0"/>
                          <w:sz w:val="24"/>
                          <w:szCs w:val="24"/>
                        </w:rPr>
                        <w:fldChar w:fldCharType="begin" w:fldLock="1"/>
                      </w:r>
                      <w:r w:rsidRPr="00A76046">
                        <w:rPr>
                          <w:rFonts w:cs="Times New Roman"/>
                          <w:i w:val="0"/>
                          <w:sz w:val="24"/>
                          <w:szCs w:val="24"/>
                        </w:rPr>
                        <w:instrText>ADDIN CSL_CITATION { "citationItems" : [ { "id" : "ITEM-1", "itemData" : { "author" : [ { "dropping-particle" : "", "family" : "Palmer", "given" : "Martin R.", "non-dropping-particle" : "", "parse-names" : false, "suffix" : "" }, { "dropping-particle" : "", "family" : "Swihart", "given" : "George H.", "non-dropping-particle" : "", "parse-names" : false, "suffix" : "" } ], "container-title" : "Reviews in Mineralogy and Geochemistry", "id" : "ITEM-1", "issued" : { "date-parts" : [ [ "1996" ] ] }, "page" : "709-744", "title" : "Boron isotope geochemistry: An overview", "type" : "article-journal", "volume" : "33" }, "uris" : [ "http://www.mendeley.com/documents/?uuid=ae2ad9bb-18c7-414a-9833-d182e3cb0e6f" ] }, { "id" : "ITEM-2", "itemData" : { "DOI" : "10.1080/08120099.2013.813585", "ISBN" : "0812-0099", "ISSN" : "0812-0099", "abstract" : "The high geochemical reactivity of boron and the large relative mass difference between 10 B and 11 B lead to significant boron isotope fractionation in nature. So far the measured range of boron isotope composition (d 11 B) varies between \u201370 and \u00fe75%. The negative d 11 B values are found in non-marine evaporite borate minerals and tourmalines, whereas positive d 11 B values are common in salt lake brines and evaporated seawater. Since the 1980s, with improved measurement methods, applications of boron isotope analysis have increased rapidly. At present, boron isotopes are successfully applied to reconstruct ancient marine environments, to determine depositional environments and ore genesis, to trace groundwater pollution and seawater intrusion, and to study continental erosion. This paper summarises the methods for boron isotope analysis, the mechanisms of boron isotope fractionation and the distribution of boron isotopes in nature, reviews the achievements and the problems of boron isotopes in geochemical applications, and proposes research directions of boron isotopes in geochemical fields.", "author" : [ { "dropping-particle" : "", "family" : "Xiao", "given" : "J", "non-dropping-particle" : "", "parse-names" : false, "suffix" : "" }, { "dropping-particle" : "", "family" : "Xiao", "given" : "Y", "non-dropping-particle" : "", "parse-names" : false, "suffix" : "" }, { "dropping-particle" : "", "family" : "Jin", "given" : "Z", "non-dropping-particle" : "", "parse-names" : false, "suffix" : "" }, { "dropping-particle" : "", "family" : "He", "given" : "M", "non-dropping-particle" : "", "parse-names" : false, "suffix" : "" }, { "dropping-particle" : "", "family" : "Liu", "given" : "C", "non-dropping-particle" : "", "parse-names" : false, "suffix" : "" }, { "dropping-particle" : "", "family" : "Xiao", "given" : "Y-k", "non-dropping-particle" : "", "parse-names" : false, "suffix" : "" }, { "dropping-particle" : "", "family" : "Jin", "given" : "Z-d", "non-dropping-particle" : "", "parse-names" : false, "suffix" : "" }, { "dropping-particle" : "", "family" : "Liu", "given" : "C-q", "non-dropping-particle" : "", "parse-names" : false, "suffix" : "" } ], "container-title" : "Australian Journal of Earth Sciences: An International Geoscience Journal of the Geological Society of Australia", "id" : "ITEM-2", "issue" : "May 2014", "issued" : { "date-parts" : [ [ "2013" ] ] }, "title" : "Boron isotope variations and its geochemical application in nature", "type" : "article-journal", "volume" : "604" }, "uris" : [ "http://www.mendeley.com/documents/?uuid=bd455701-0344-3e34-bdcf-21e30e44323b" ] } ], "mendeley" : { "formattedCitation" : "(Palmer and Swihart, 1996; Xiao et al., 2013)", "manualFormatting" : " Palmer and Swihart, 1996; Xiao et al., 2013)", "plainTextFormattedCitation" : "(Palmer and Swihart, 1996; Xiao et al., 2013)", "previouslyFormattedCitation" : "(Palmer and Swihart, 1996; Xiao et al., 2013)" }, "properties" : { "noteIndex" : 0 }, "schema" : "https://github.com/citation-style-language/schema/raw/master/csl-citation.json" }</w:instrText>
                      </w:r>
                      <w:r w:rsidRPr="00A76046">
                        <w:rPr>
                          <w:rFonts w:cs="Times New Roman"/>
                          <w:i w:val="0"/>
                          <w:sz w:val="24"/>
                          <w:szCs w:val="24"/>
                        </w:rPr>
                        <w:fldChar w:fldCharType="separate"/>
                      </w:r>
                      <w:r w:rsidRPr="00A76046">
                        <w:rPr>
                          <w:rFonts w:cs="Times New Roman"/>
                          <w:i w:val="0"/>
                          <w:noProof/>
                          <w:sz w:val="24"/>
                          <w:szCs w:val="24"/>
                        </w:rPr>
                        <w:t xml:space="preserve"> Palmer and Swihart, 1996; Xiao et al., 2013)</w:t>
                      </w:r>
                      <w:r w:rsidRPr="00A76046">
                        <w:rPr>
                          <w:rFonts w:cs="Times New Roman"/>
                          <w:i w:val="0"/>
                          <w:sz w:val="24"/>
                          <w:szCs w:val="24"/>
                        </w:rPr>
                        <w:fldChar w:fldCharType="end"/>
                      </w:r>
                      <w:r w:rsidRPr="00A76046">
                        <w:rPr>
                          <w:rFonts w:cs="Times New Roman"/>
                          <w:i w:val="0"/>
                          <w:sz w:val="24"/>
                          <w:szCs w:val="24"/>
                        </w:rPr>
                        <w:t>.</w:t>
                      </w:r>
                      <w:bookmarkEnd w:id="61"/>
                    </w:p>
                  </w:txbxContent>
                </v:textbox>
                <w10:wrap type="square"/>
              </v:shape>
            </w:pict>
          </mc:Fallback>
        </mc:AlternateContent>
      </w:r>
      <w:r w:rsidR="003A423C">
        <w:rPr>
          <w:rFonts w:cs="Times New Roman"/>
          <w:noProof/>
          <w:color w:val="000000"/>
        </w:rPr>
        <w:drawing>
          <wp:anchor distT="0" distB="0" distL="114300" distR="114300" simplePos="0" relativeHeight="251665408" behindDoc="0" locked="0" layoutInCell="1" allowOverlap="1">
            <wp:simplePos x="1924050" y="914400"/>
            <wp:positionH relativeFrom="margin">
              <wp:align>center</wp:align>
            </wp:positionH>
            <wp:positionV relativeFrom="margin">
              <wp:align>top</wp:align>
            </wp:positionV>
            <wp:extent cx="5394960" cy="4168775"/>
            <wp:effectExtent l="0" t="0" r="0" b="317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 7.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394960" cy="4168775"/>
                    </a:xfrm>
                    <a:prstGeom prst="rect">
                      <a:avLst/>
                    </a:prstGeom>
                  </pic:spPr>
                </pic:pic>
              </a:graphicData>
            </a:graphic>
          </wp:anchor>
        </w:drawing>
      </w:r>
    </w:p>
    <w:p w:rsidR="001E78C3" w:rsidRDefault="001E78C3">
      <w:pPr>
        <w:rPr>
          <w:rFonts w:cs="Times New Roman"/>
          <w:color w:val="000000"/>
        </w:rPr>
      </w:pPr>
      <w:r>
        <w:rPr>
          <w:rFonts w:cs="Times New Roman"/>
          <w:color w:val="000000"/>
        </w:rPr>
        <w:br w:type="page"/>
      </w:r>
    </w:p>
    <w:p w:rsidR="001E78C3" w:rsidRDefault="00A76046" w:rsidP="00F65F32">
      <w:pPr>
        <w:spacing w:line="480" w:lineRule="auto"/>
        <w:ind w:firstLine="720"/>
        <w:rPr>
          <w:rFonts w:cs="Times New Roman"/>
          <w:color w:val="000000"/>
        </w:rPr>
      </w:pPr>
      <w:r>
        <w:rPr>
          <w:noProof/>
        </w:rPr>
        <w:lastRenderedPageBreak/>
        <mc:AlternateContent>
          <mc:Choice Requires="wps">
            <w:drawing>
              <wp:anchor distT="0" distB="0" distL="114300" distR="114300" simplePos="0" relativeHeight="251684864" behindDoc="0" locked="0" layoutInCell="1" allowOverlap="1" wp14:anchorId="1A76A18D" wp14:editId="54205C90">
                <wp:simplePos x="0" y="0"/>
                <wp:positionH relativeFrom="column">
                  <wp:posOffset>0</wp:posOffset>
                </wp:positionH>
                <wp:positionV relativeFrom="paragraph">
                  <wp:posOffset>4225925</wp:posOffset>
                </wp:positionV>
                <wp:extent cx="5394960" cy="635"/>
                <wp:effectExtent l="0" t="0" r="0" b="0"/>
                <wp:wrapSquare wrapText="bothSides"/>
                <wp:docPr id="19" name="Text Box 19"/>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rsidR="006D3B9B" w:rsidRPr="00A76046" w:rsidRDefault="006D3B9B" w:rsidP="00A76046">
                            <w:pPr>
                              <w:pStyle w:val="Caption"/>
                              <w:rPr>
                                <w:rFonts w:cs="Times New Roman"/>
                                <w:i w:val="0"/>
                                <w:noProof/>
                                <w:color w:val="000000"/>
                                <w:sz w:val="24"/>
                                <w:szCs w:val="24"/>
                              </w:rPr>
                            </w:pPr>
                            <w:bookmarkStart w:id="62" w:name="_Toc490130640"/>
                            <w:r w:rsidRPr="00A76046">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2</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8</w:t>
                            </w:r>
                            <w:r>
                              <w:rPr>
                                <w:b/>
                                <w:sz w:val="24"/>
                                <w:szCs w:val="24"/>
                              </w:rPr>
                              <w:fldChar w:fldCharType="end"/>
                            </w:r>
                            <w:r w:rsidRPr="00A76046">
                              <w:rPr>
                                <w:rFonts w:cs="Times New Roman"/>
                                <w:i w:val="0"/>
                                <w:sz w:val="24"/>
                                <w:szCs w:val="24"/>
                              </w:rPr>
                              <w:t xml:space="preserve"> Boron isotopic compositions of tourmaline, hambergite, and lepidolite from the Main dike as a function of their location relative to the base of the pegmatite. ‘IZ’ refers to the intermediate zone. ‘FW” refers to footwall and ‘HW’ refers to hanging wall. Elbaite 1 has a dark green core and light green rim. Elbaite 2 has a dark green base, light green rim, and a light pink cap. Dotted, black line represents a Rayleigh fractionation model for δ</w:t>
                            </w:r>
                            <w:r w:rsidRPr="00A76046">
                              <w:rPr>
                                <w:rFonts w:cs="Times New Roman"/>
                                <w:i w:val="0"/>
                                <w:sz w:val="24"/>
                                <w:szCs w:val="24"/>
                                <w:vertAlign w:val="superscript"/>
                              </w:rPr>
                              <w:t>11</w:t>
                            </w:r>
                            <w:r w:rsidRPr="00A76046">
                              <w:rPr>
                                <w:rFonts w:cs="Times New Roman"/>
                                <w:i w:val="0"/>
                                <w:sz w:val="24"/>
                                <w:szCs w:val="24"/>
                              </w:rPr>
                              <w:t>B</w:t>
                            </w:r>
                            <w:r w:rsidRPr="00A76046">
                              <w:rPr>
                                <w:rFonts w:cs="Times New Roman"/>
                                <w:i w:val="0"/>
                                <w:sz w:val="24"/>
                                <w:szCs w:val="24"/>
                                <w:vertAlign w:val="subscript"/>
                              </w:rPr>
                              <w:t>Tur</w:t>
                            </w:r>
                            <w:r w:rsidRPr="00A76046">
                              <w:rPr>
                                <w:rFonts w:cs="Times New Roman"/>
                                <w:i w:val="0"/>
                                <w:sz w:val="24"/>
                                <w:szCs w:val="24"/>
                              </w:rPr>
                              <w:t xml:space="preserve"> based on a Δ</w:t>
                            </w:r>
                            <w:r w:rsidRPr="00A76046">
                              <w:rPr>
                                <w:rFonts w:cs="Times New Roman"/>
                                <w:i w:val="0"/>
                                <w:sz w:val="24"/>
                                <w:szCs w:val="24"/>
                                <w:vertAlign w:val="superscript"/>
                              </w:rPr>
                              <w:t>11</w:t>
                            </w:r>
                            <w:r w:rsidRPr="00A76046">
                              <w:rPr>
                                <w:rFonts w:cs="Times New Roman"/>
                                <w:i w:val="0"/>
                                <w:sz w:val="24"/>
                                <w:szCs w:val="24"/>
                              </w:rPr>
                              <w:t>B</w:t>
                            </w:r>
                            <w:r w:rsidRPr="00A76046">
                              <w:rPr>
                                <w:rFonts w:cs="Times New Roman"/>
                                <w:i w:val="0"/>
                                <w:sz w:val="24"/>
                                <w:szCs w:val="24"/>
                                <w:vertAlign w:val="subscript"/>
                              </w:rPr>
                              <w:t>Tur-melt</w:t>
                            </w:r>
                            <w:r w:rsidRPr="00A76046">
                              <w:rPr>
                                <w:rFonts w:cs="Times New Roman"/>
                                <w:i w:val="0"/>
                                <w:sz w:val="24"/>
                                <w:szCs w:val="24"/>
                              </w:rPr>
                              <w:t xml:space="preserve"> of +6.5‰. Dashed, black line represents a Rayleigh model for δ</w:t>
                            </w:r>
                            <w:r w:rsidRPr="00A76046">
                              <w:rPr>
                                <w:rFonts w:cs="Times New Roman"/>
                                <w:i w:val="0"/>
                                <w:sz w:val="24"/>
                                <w:szCs w:val="24"/>
                                <w:vertAlign w:val="superscript"/>
                              </w:rPr>
                              <w:t>11</w:t>
                            </w:r>
                            <w:r w:rsidRPr="00A76046">
                              <w:rPr>
                                <w:rFonts w:cs="Times New Roman"/>
                                <w:i w:val="0"/>
                                <w:sz w:val="24"/>
                                <w:szCs w:val="24"/>
                              </w:rPr>
                              <w:t>B</w:t>
                            </w:r>
                            <w:r w:rsidRPr="00A76046">
                              <w:rPr>
                                <w:rFonts w:cs="Times New Roman"/>
                                <w:i w:val="0"/>
                                <w:sz w:val="24"/>
                                <w:szCs w:val="24"/>
                                <w:vertAlign w:val="subscript"/>
                              </w:rPr>
                              <w:t>Tur</w:t>
                            </w:r>
                            <w:r w:rsidRPr="00A76046">
                              <w:rPr>
                                <w:rFonts w:cs="Times New Roman"/>
                                <w:i w:val="0"/>
                                <w:sz w:val="24"/>
                                <w:szCs w:val="24"/>
                              </w:rPr>
                              <w:t xml:space="preserve"> based on a Δ</w:t>
                            </w:r>
                            <w:r w:rsidRPr="00A76046">
                              <w:rPr>
                                <w:rFonts w:cs="Times New Roman"/>
                                <w:i w:val="0"/>
                                <w:sz w:val="24"/>
                                <w:szCs w:val="24"/>
                                <w:vertAlign w:val="superscript"/>
                              </w:rPr>
                              <w:t>11</w:t>
                            </w:r>
                            <w:r w:rsidRPr="00A76046">
                              <w:rPr>
                                <w:rFonts w:cs="Times New Roman"/>
                                <w:i w:val="0"/>
                                <w:sz w:val="24"/>
                                <w:szCs w:val="24"/>
                              </w:rPr>
                              <w:t>B</w:t>
                            </w:r>
                            <w:r w:rsidRPr="00A76046">
                              <w:rPr>
                                <w:rFonts w:cs="Times New Roman"/>
                                <w:i w:val="0"/>
                                <w:sz w:val="24"/>
                                <w:szCs w:val="24"/>
                                <w:vertAlign w:val="subscript"/>
                              </w:rPr>
                              <w:t>Tur-melt</w:t>
                            </w:r>
                            <w:r w:rsidRPr="00A76046">
                              <w:rPr>
                                <w:rFonts w:cs="Times New Roman"/>
                                <w:i w:val="0"/>
                                <w:sz w:val="24"/>
                                <w:szCs w:val="24"/>
                              </w:rPr>
                              <w:t xml:space="preserve"> of +1.0‰. Solid, black line represent the average δ</w:t>
                            </w:r>
                            <w:r w:rsidRPr="00A76046">
                              <w:rPr>
                                <w:rFonts w:cs="Times New Roman"/>
                                <w:i w:val="0"/>
                                <w:sz w:val="24"/>
                                <w:szCs w:val="24"/>
                                <w:vertAlign w:val="superscript"/>
                              </w:rPr>
                              <w:t>11</w:t>
                            </w:r>
                            <w:r w:rsidRPr="00A76046">
                              <w:rPr>
                                <w:rFonts w:cs="Times New Roman"/>
                                <w:i w:val="0"/>
                                <w:sz w:val="24"/>
                                <w:szCs w:val="24"/>
                              </w:rPr>
                              <w:t>B value for tourmaline across the footwall and hanging wall sections of the pegmatite. Each symbol represents an individual analysis. Errors are smaller than the symbol size.</w:t>
                            </w:r>
                            <w:bookmarkEnd w:id="6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A76A18D" id="Text Box 19" o:spid="_x0000_s1034" type="#_x0000_t202" style="position:absolute;left:0;text-align:left;margin-left:0;margin-top:332.75pt;width:424.8pt;height:.0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" stroked="f">
                <v:textbox style="mso-fit-shape-to-text:t" inset="0,0,0,0">
                  <w:txbxContent>
                    <w:p w:rsidR="006D3B9B" w:rsidRPr="00A76046" w:rsidRDefault="006D3B9B" w:rsidP="00A76046">
                      <w:pPr>
                        <w:pStyle w:val="Caption"/>
                        <w:rPr>
                          <w:rFonts w:cs="Times New Roman"/>
                          <w:i w:val="0"/>
                          <w:noProof/>
                          <w:color w:val="000000"/>
                          <w:sz w:val="24"/>
                          <w:szCs w:val="24"/>
                        </w:rPr>
                      </w:pPr>
                      <w:bookmarkStart w:id="63" w:name="_Toc490130640"/>
                      <w:r w:rsidRPr="00A76046">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2</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8</w:t>
                      </w:r>
                      <w:r>
                        <w:rPr>
                          <w:b/>
                          <w:sz w:val="24"/>
                          <w:szCs w:val="24"/>
                        </w:rPr>
                        <w:fldChar w:fldCharType="end"/>
                      </w:r>
                      <w:r w:rsidRPr="00A76046">
                        <w:rPr>
                          <w:rFonts w:cs="Times New Roman"/>
                          <w:i w:val="0"/>
                          <w:sz w:val="24"/>
                          <w:szCs w:val="24"/>
                        </w:rPr>
                        <w:t xml:space="preserve"> Boron isotopic compositions of tourmaline, hambergite, and lepidolite from the Main dike as a function of their location relative to the base of the pegmatite. ‘IZ’ refers to the intermediate zone. ‘FW” refers to footwall and ‘HW’ refers to hanging wall. Elbaite 1 has a dark green core and light green rim. Elbaite 2 has a dark green base, light green rim, and a light pink cap. Dotted, black line represents a Rayleigh fractionation model for δ</w:t>
                      </w:r>
                      <w:r w:rsidRPr="00A76046">
                        <w:rPr>
                          <w:rFonts w:cs="Times New Roman"/>
                          <w:i w:val="0"/>
                          <w:sz w:val="24"/>
                          <w:szCs w:val="24"/>
                          <w:vertAlign w:val="superscript"/>
                        </w:rPr>
                        <w:t>11</w:t>
                      </w:r>
                      <w:r w:rsidRPr="00A76046">
                        <w:rPr>
                          <w:rFonts w:cs="Times New Roman"/>
                          <w:i w:val="0"/>
                          <w:sz w:val="24"/>
                          <w:szCs w:val="24"/>
                        </w:rPr>
                        <w:t>B</w:t>
                      </w:r>
                      <w:r w:rsidRPr="00A76046">
                        <w:rPr>
                          <w:rFonts w:cs="Times New Roman"/>
                          <w:i w:val="0"/>
                          <w:sz w:val="24"/>
                          <w:szCs w:val="24"/>
                          <w:vertAlign w:val="subscript"/>
                        </w:rPr>
                        <w:t>Tur</w:t>
                      </w:r>
                      <w:r w:rsidRPr="00A76046">
                        <w:rPr>
                          <w:rFonts w:cs="Times New Roman"/>
                          <w:i w:val="0"/>
                          <w:sz w:val="24"/>
                          <w:szCs w:val="24"/>
                        </w:rPr>
                        <w:t xml:space="preserve"> based on a Δ</w:t>
                      </w:r>
                      <w:r w:rsidRPr="00A76046">
                        <w:rPr>
                          <w:rFonts w:cs="Times New Roman"/>
                          <w:i w:val="0"/>
                          <w:sz w:val="24"/>
                          <w:szCs w:val="24"/>
                          <w:vertAlign w:val="superscript"/>
                        </w:rPr>
                        <w:t>11</w:t>
                      </w:r>
                      <w:r w:rsidRPr="00A76046">
                        <w:rPr>
                          <w:rFonts w:cs="Times New Roman"/>
                          <w:i w:val="0"/>
                          <w:sz w:val="24"/>
                          <w:szCs w:val="24"/>
                        </w:rPr>
                        <w:t>B</w:t>
                      </w:r>
                      <w:r w:rsidRPr="00A76046">
                        <w:rPr>
                          <w:rFonts w:cs="Times New Roman"/>
                          <w:i w:val="0"/>
                          <w:sz w:val="24"/>
                          <w:szCs w:val="24"/>
                          <w:vertAlign w:val="subscript"/>
                        </w:rPr>
                        <w:t>Tur-melt</w:t>
                      </w:r>
                      <w:r w:rsidRPr="00A76046">
                        <w:rPr>
                          <w:rFonts w:cs="Times New Roman"/>
                          <w:i w:val="0"/>
                          <w:sz w:val="24"/>
                          <w:szCs w:val="24"/>
                        </w:rPr>
                        <w:t xml:space="preserve"> of +6.5‰. Dashed, black line represents a Rayleigh model for δ</w:t>
                      </w:r>
                      <w:r w:rsidRPr="00A76046">
                        <w:rPr>
                          <w:rFonts w:cs="Times New Roman"/>
                          <w:i w:val="0"/>
                          <w:sz w:val="24"/>
                          <w:szCs w:val="24"/>
                          <w:vertAlign w:val="superscript"/>
                        </w:rPr>
                        <w:t>11</w:t>
                      </w:r>
                      <w:r w:rsidRPr="00A76046">
                        <w:rPr>
                          <w:rFonts w:cs="Times New Roman"/>
                          <w:i w:val="0"/>
                          <w:sz w:val="24"/>
                          <w:szCs w:val="24"/>
                        </w:rPr>
                        <w:t>B</w:t>
                      </w:r>
                      <w:r w:rsidRPr="00A76046">
                        <w:rPr>
                          <w:rFonts w:cs="Times New Roman"/>
                          <w:i w:val="0"/>
                          <w:sz w:val="24"/>
                          <w:szCs w:val="24"/>
                          <w:vertAlign w:val="subscript"/>
                        </w:rPr>
                        <w:t>Tur</w:t>
                      </w:r>
                      <w:r w:rsidRPr="00A76046">
                        <w:rPr>
                          <w:rFonts w:cs="Times New Roman"/>
                          <w:i w:val="0"/>
                          <w:sz w:val="24"/>
                          <w:szCs w:val="24"/>
                        </w:rPr>
                        <w:t xml:space="preserve"> based on a Δ</w:t>
                      </w:r>
                      <w:r w:rsidRPr="00A76046">
                        <w:rPr>
                          <w:rFonts w:cs="Times New Roman"/>
                          <w:i w:val="0"/>
                          <w:sz w:val="24"/>
                          <w:szCs w:val="24"/>
                          <w:vertAlign w:val="superscript"/>
                        </w:rPr>
                        <w:t>11</w:t>
                      </w:r>
                      <w:r w:rsidRPr="00A76046">
                        <w:rPr>
                          <w:rFonts w:cs="Times New Roman"/>
                          <w:i w:val="0"/>
                          <w:sz w:val="24"/>
                          <w:szCs w:val="24"/>
                        </w:rPr>
                        <w:t>B</w:t>
                      </w:r>
                      <w:r w:rsidRPr="00A76046">
                        <w:rPr>
                          <w:rFonts w:cs="Times New Roman"/>
                          <w:i w:val="0"/>
                          <w:sz w:val="24"/>
                          <w:szCs w:val="24"/>
                          <w:vertAlign w:val="subscript"/>
                        </w:rPr>
                        <w:t>Tur-melt</w:t>
                      </w:r>
                      <w:r w:rsidRPr="00A76046">
                        <w:rPr>
                          <w:rFonts w:cs="Times New Roman"/>
                          <w:i w:val="0"/>
                          <w:sz w:val="24"/>
                          <w:szCs w:val="24"/>
                        </w:rPr>
                        <w:t xml:space="preserve"> of +1.0‰. Solid, black line represent the average δ</w:t>
                      </w:r>
                      <w:r w:rsidRPr="00A76046">
                        <w:rPr>
                          <w:rFonts w:cs="Times New Roman"/>
                          <w:i w:val="0"/>
                          <w:sz w:val="24"/>
                          <w:szCs w:val="24"/>
                          <w:vertAlign w:val="superscript"/>
                        </w:rPr>
                        <w:t>11</w:t>
                      </w:r>
                      <w:r w:rsidRPr="00A76046">
                        <w:rPr>
                          <w:rFonts w:cs="Times New Roman"/>
                          <w:i w:val="0"/>
                          <w:sz w:val="24"/>
                          <w:szCs w:val="24"/>
                        </w:rPr>
                        <w:t>B value for tourmaline across the footwall and hanging wall sections of the pegmatite. Each symbol represents an individual analysis. Errors are smaller than the symbol size.</w:t>
                      </w:r>
                      <w:bookmarkEnd w:id="63"/>
                    </w:p>
                  </w:txbxContent>
                </v:textbox>
                <w10:wrap type="square"/>
              </v:shape>
            </w:pict>
          </mc:Fallback>
        </mc:AlternateContent>
      </w:r>
      <w:r w:rsidR="003A423C">
        <w:rPr>
          <w:rFonts w:cs="Times New Roman"/>
          <w:noProof/>
          <w:color w:val="000000"/>
        </w:rPr>
        <w:drawing>
          <wp:anchor distT="0" distB="0" distL="114300" distR="114300" simplePos="0" relativeHeight="251666432" behindDoc="0" locked="0" layoutInCell="1" allowOverlap="1">
            <wp:simplePos x="1924050" y="914400"/>
            <wp:positionH relativeFrom="margin">
              <wp:align>center</wp:align>
            </wp:positionH>
            <wp:positionV relativeFrom="margin">
              <wp:align>top</wp:align>
            </wp:positionV>
            <wp:extent cx="5394960" cy="4168775"/>
            <wp:effectExtent l="0" t="0" r="0" b="317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 8.tif"/>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394960" cy="4168775"/>
                    </a:xfrm>
                    <a:prstGeom prst="rect">
                      <a:avLst/>
                    </a:prstGeom>
                  </pic:spPr>
                </pic:pic>
              </a:graphicData>
            </a:graphic>
          </wp:anchor>
        </w:drawing>
      </w:r>
    </w:p>
    <w:p w:rsidR="001E78C3" w:rsidRDefault="001E78C3">
      <w:pPr>
        <w:rPr>
          <w:rFonts w:cs="Times New Roman"/>
          <w:color w:val="000000"/>
        </w:rPr>
      </w:pPr>
      <w:r>
        <w:rPr>
          <w:rFonts w:cs="Times New Roman"/>
          <w:color w:val="000000"/>
        </w:rPr>
        <w:br w:type="page"/>
      </w:r>
    </w:p>
    <w:p w:rsidR="001E78C3" w:rsidRDefault="00A76046" w:rsidP="00F65F32">
      <w:pPr>
        <w:spacing w:line="480" w:lineRule="auto"/>
        <w:ind w:firstLine="720"/>
        <w:rPr>
          <w:rFonts w:cs="Times New Roman"/>
          <w:color w:val="000000"/>
        </w:rPr>
      </w:pPr>
      <w:r>
        <w:rPr>
          <w:noProof/>
        </w:rPr>
        <w:lastRenderedPageBreak/>
        <mc:AlternateContent>
          <mc:Choice Requires="wps">
            <w:drawing>
              <wp:anchor distT="0" distB="0" distL="114300" distR="114300" simplePos="0" relativeHeight="251686912" behindDoc="0" locked="0" layoutInCell="1" allowOverlap="1" wp14:anchorId="5A90C7C1" wp14:editId="7F4C1C30">
                <wp:simplePos x="0" y="0"/>
                <wp:positionH relativeFrom="column">
                  <wp:posOffset>0</wp:posOffset>
                </wp:positionH>
                <wp:positionV relativeFrom="paragraph">
                  <wp:posOffset>4225925</wp:posOffset>
                </wp:positionV>
                <wp:extent cx="5394960" cy="635"/>
                <wp:effectExtent l="0" t="0" r="0" b="0"/>
                <wp:wrapSquare wrapText="bothSides"/>
                <wp:docPr id="20" name="Text Box 20"/>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rsidR="006D3B9B" w:rsidRPr="00A76046" w:rsidRDefault="006D3B9B" w:rsidP="00A76046">
                            <w:pPr>
                              <w:pStyle w:val="Caption"/>
                              <w:rPr>
                                <w:rFonts w:cs="Times New Roman"/>
                                <w:i w:val="0"/>
                                <w:noProof/>
                                <w:color w:val="000000"/>
                                <w:sz w:val="24"/>
                                <w:szCs w:val="24"/>
                              </w:rPr>
                            </w:pPr>
                            <w:bookmarkStart w:id="64" w:name="_Toc490130641"/>
                            <w:r w:rsidRPr="00A76046">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2</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9</w:t>
                            </w:r>
                            <w:r>
                              <w:rPr>
                                <w:b/>
                                <w:sz w:val="24"/>
                                <w:szCs w:val="24"/>
                              </w:rPr>
                              <w:fldChar w:fldCharType="end"/>
                            </w:r>
                            <w:r w:rsidRPr="00A76046">
                              <w:rPr>
                                <w:rFonts w:cs="Times New Roman"/>
                                <w:i w:val="0"/>
                                <w:sz w:val="24"/>
                                <w:szCs w:val="24"/>
                              </w:rPr>
                              <w:t xml:space="preserve"> Boron isotopic compositions of tourmaline, danburite, and muscovite from the Swamp dike as a function of their location relative to the base of the pegmatite. ‘IZ’ refers to the intermediate zone. Dotted, black line represents a Rayleigh fractionation model for δ</w:t>
                            </w:r>
                            <w:r w:rsidRPr="00A76046">
                              <w:rPr>
                                <w:rFonts w:cs="Times New Roman"/>
                                <w:i w:val="0"/>
                                <w:sz w:val="24"/>
                                <w:szCs w:val="24"/>
                                <w:vertAlign w:val="superscript"/>
                              </w:rPr>
                              <w:t>11</w:t>
                            </w:r>
                            <w:r w:rsidRPr="00A76046">
                              <w:rPr>
                                <w:rFonts w:cs="Times New Roman"/>
                                <w:i w:val="0"/>
                                <w:sz w:val="24"/>
                                <w:szCs w:val="24"/>
                              </w:rPr>
                              <w:t>B</w:t>
                            </w:r>
                            <w:r w:rsidRPr="00A76046">
                              <w:rPr>
                                <w:rFonts w:cs="Times New Roman"/>
                                <w:i w:val="0"/>
                                <w:sz w:val="24"/>
                                <w:szCs w:val="24"/>
                                <w:vertAlign w:val="subscript"/>
                              </w:rPr>
                              <w:t>Tur</w:t>
                            </w:r>
                            <w:r w:rsidRPr="00A76046">
                              <w:rPr>
                                <w:rFonts w:cs="Times New Roman"/>
                                <w:i w:val="0"/>
                                <w:sz w:val="24"/>
                                <w:szCs w:val="24"/>
                              </w:rPr>
                              <w:t xml:space="preserve"> based on a Δ</w:t>
                            </w:r>
                            <w:r w:rsidRPr="00A76046">
                              <w:rPr>
                                <w:rFonts w:cs="Times New Roman"/>
                                <w:i w:val="0"/>
                                <w:sz w:val="24"/>
                                <w:szCs w:val="24"/>
                                <w:vertAlign w:val="superscript"/>
                              </w:rPr>
                              <w:t>11</w:t>
                            </w:r>
                            <w:r w:rsidRPr="00A76046">
                              <w:rPr>
                                <w:rFonts w:cs="Times New Roman"/>
                                <w:i w:val="0"/>
                                <w:sz w:val="24"/>
                                <w:szCs w:val="24"/>
                              </w:rPr>
                              <w:t>B</w:t>
                            </w:r>
                            <w:r w:rsidRPr="00A76046">
                              <w:rPr>
                                <w:rFonts w:cs="Times New Roman"/>
                                <w:i w:val="0"/>
                                <w:sz w:val="24"/>
                                <w:szCs w:val="24"/>
                                <w:vertAlign w:val="subscript"/>
                              </w:rPr>
                              <w:t>Tur-melt</w:t>
                            </w:r>
                            <w:r w:rsidRPr="00A76046">
                              <w:rPr>
                                <w:rFonts w:cs="Times New Roman"/>
                                <w:i w:val="0"/>
                                <w:sz w:val="24"/>
                                <w:szCs w:val="24"/>
                              </w:rPr>
                              <w:t xml:space="preserve"> of +6.5‰. Dashed, black line represents a Rayleigh fractionation model for δ</w:t>
                            </w:r>
                            <w:r w:rsidRPr="00A76046">
                              <w:rPr>
                                <w:rFonts w:cs="Times New Roman"/>
                                <w:i w:val="0"/>
                                <w:sz w:val="24"/>
                                <w:szCs w:val="24"/>
                                <w:vertAlign w:val="superscript"/>
                              </w:rPr>
                              <w:t>11</w:t>
                            </w:r>
                            <w:r w:rsidRPr="00A76046">
                              <w:rPr>
                                <w:rFonts w:cs="Times New Roman"/>
                                <w:i w:val="0"/>
                                <w:sz w:val="24"/>
                                <w:szCs w:val="24"/>
                              </w:rPr>
                              <w:t>B</w:t>
                            </w:r>
                            <w:r w:rsidRPr="00A76046">
                              <w:rPr>
                                <w:rFonts w:cs="Times New Roman"/>
                                <w:i w:val="0"/>
                                <w:sz w:val="24"/>
                                <w:szCs w:val="24"/>
                                <w:vertAlign w:val="subscript"/>
                              </w:rPr>
                              <w:t>Tur</w:t>
                            </w:r>
                            <w:r w:rsidRPr="00A76046">
                              <w:rPr>
                                <w:rFonts w:cs="Times New Roman"/>
                                <w:i w:val="0"/>
                                <w:sz w:val="24"/>
                                <w:szCs w:val="24"/>
                              </w:rPr>
                              <w:t xml:space="preserve"> based on a Δ</w:t>
                            </w:r>
                            <w:r w:rsidRPr="00A76046">
                              <w:rPr>
                                <w:rFonts w:cs="Times New Roman"/>
                                <w:i w:val="0"/>
                                <w:sz w:val="24"/>
                                <w:szCs w:val="24"/>
                                <w:vertAlign w:val="superscript"/>
                              </w:rPr>
                              <w:t>11</w:t>
                            </w:r>
                            <w:r w:rsidRPr="00A76046">
                              <w:rPr>
                                <w:rFonts w:cs="Times New Roman"/>
                                <w:i w:val="0"/>
                                <w:sz w:val="24"/>
                                <w:szCs w:val="24"/>
                              </w:rPr>
                              <w:t>B</w:t>
                            </w:r>
                            <w:r w:rsidRPr="00A76046">
                              <w:rPr>
                                <w:rFonts w:cs="Times New Roman"/>
                                <w:i w:val="0"/>
                                <w:sz w:val="24"/>
                                <w:szCs w:val="24"/>
                                <w:vertAlign w:val="subscript"/>
                              </w:rPr>
                              <w:t>Tur-melt</w:t>
                            </w:r>
                            <w:r w:rsidRPr="00A76046">
                              <w:rPr>
                                <w:rFonts w:cs="Times New Roman"/>
                                <w:i w:val="0"/>
                                <w:sz w:val="24"/>
                                <w:szCs w:val="24"/>
                              </w:rPr>
                              <w:t xml:space="preserve"> of +1.0‰. Solid, black line represent the average δ</w:t>
                            </w:r>
                            <w:r w:rsidRPr="00A76046">
                              <w:rPr>
                                <w:rFonts w:cs="Times New Roman"/>
                                <w:i w:val="0"/>
                                <w:sz w:val="24"/>
                                <w:szCs w:val="24"/>
                                <w:vertAlign w:val="superscript"/>
                              </w:rPr>
                              <w:t>11</w:t>
                            </w:r>
                            <w:r w:rsidRPr="00A76046">
                              <w:rPr>
                                <w:rFonts w:cs="Times New Roman"/>
                                <w:i w:val="0"/>
                                <w:sz w:val="24"/>
                                <w:szCs w:val="24"/>
                              </w:rPr>
                              <w:t>B value for tourmaline across the footwall and hanging wall sections of the pegmatite. Each symbol represents an individual analysis. Internal errors are smaller than the symbol size.</w:t>
                            </w:r>
                            <w:bookmarkEnd w:id="6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A90C7C1" id="Text Box 20" o:spid="_x0000_s1035" type="#_x0000_t202" style="position:absolute;left:0;text-align:left;margin-left:0;margin-top:332.75pt;width:424.8pt;height:.0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" stroked="f">
                <v:textbox style="mso-fit-shape-to-text:t" inset="0,0,0,0">
                  <w:txbxContent>
                    <w:p w:rsidR="006D3B9B" w:rsidRPr="00A76046" w:rsidRDefault="006D3B9B" w:rsidP="00A76046">
                      <w:pPr>
                        <w:pStyle w:val="Caption"/>
                        <w:rPr>
                          <w:rFonts w:cs="Times New Roman"/>
                          <w:i w:val="0"/>
                          <w:noProof/>
                          <w:color w:val="000000"/>
                          <w:sz w:val="24"/>
                          <w:szCs w:val="24"/>
                        </w:rPr>
                      </w:pPr>
                      <w:bookmarkStart w:id="65" w:name="_Toc490130641"/>
                      <w:r w:rsidRPr="00A76046">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2</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9</w:t>
                      </w:r>
                      <w:r>
                        <w:rPr>
                          <w:b/>
                          <w:sz w:val="24"/>
                          <w:szCs w:val="24"/>
                        </w:rPr>
                        <w:fldChar w:fldCharType="end"/>
                      </w:r>
                      <w:r w:rsidRPr="00A76046">
                        <w:rPr>
                          <w:rFonts w:cs="Times New Roman"/>
                          <w:i w:val="0"/>
                          <w:sz w:val="24"/>
                          <w:szCs w:val="24"/>
                        </w:rPr>
                        <w:t xml:space="preserve"> Boron isotopic compositions of tourmaline, danburite, and muscovite from the Swamp dike as a function of their location relative to the base of the pegmatite. ‘IZ’ refers to the intermediate zone. Dotted, black line represents a Rayleigh fractionation model for δ</w:t>
                      </w:r>
                      <w:r w:rsidRPr="00A76046">
                        <w:rPr>
                          <w:rFonts w:cs="Times New Roman"/>
                          <w:i w:val="0"/>
                          <w:sz w:val="24"/>
                          <w:szCs w:val="24"/>
                          <w:vertAlign w:val="superscript"/>
                        </w:rPr>
                        <w:t>11</w:t>
                      </w:r>
                      <w:r w:rsidRPr="00A76046">
                        <w:rPr>
                          <w:rFonts w:cs="Times New Roman"/>
                          <w:i w:val="0"/>
                          <w:sz w:val="24"/>
                          <w:szCs w:val="24"/>
                        </w:rPr>
                        <w:t>B</w:t>
                      </w:r>
                      <w:r w:rsidRPr="00A76046">
                        <w:rPr>
                          <w:rFonts w:cs="Times New Roman"/>
                          <w:i w:val="0"/>
                          <w:sz w:val="24"/>
                          <w:szCs w:val="24"/>
                          <w:vertAlign w:val="subscript"/>
                        </w:rPr>
                        <w:t>Tur</w:t>
                      </w:r>
                      <w:r w:rsidRPr="00A76046">
                        <w:rPr>
                          <w:rFonts w:cs="Times New Roman"/>
                          <w:i w:val="0"/>
                          <w:sz w:val="24"/>
                          <w:szCs w:val="24"/>
                        </w:rPr>
                        <w:t xml:space="preserve"> based on a Δ</w:t>
                      </w:r>
                      <w:r w:rsidRPr="00A76046">
                        <w:rPr>
                          <w:rFonts w:cs="Times New Roman"/>
                          <w:i w:val="0"/>
                          <w:sz w:val="24"/>
                          <w:szCs w:val="24"/>
                          <w:vertAlign w:val="superscript"/>
                        </w:rPr>
                        <w:t>11</w:t>
                      </w:r>
                      <w:r w:rsidRPr="00A76046">
                        <w:rPr>
                          <w:rFonts w:cs="Times New Roman"/>
                          <w:i w:val="0"/>
                          <w:sz w:val="24"/>
                          <w:szCs w:val="24"/>
                        </w:rPr>
                        <w:t>B</w:t>
                      </w:r>
                      <w:r w:rsidRPr="00A76046">
                        <w:rPr>
                          <w:rFonts w:cs="Times New Roman"/>
                          <w:i w:val="0"/>
                          <w:sz w:val="24"/>
                          <w:szCs w:val="24"/>
                          <w:vertAlign w:val="subscript"/>
                        </w:rPr>
                        <w:t>Tur-melt</w:t>
                      </w:r>
                      <w:r w:rsidRPr="00A76046">
                        <w:rPr>
                          <w:rFonts w:cs="Times New Roman"/>
                          <w:i w:val="0"/>
                          <w:sz w:val="24"/>
                          <w:szCs w:val="24"/>
                        </w:rPr>
                        <w:t xml:space="preserve"> of +6.5‰. Dashed, black line represents a Rayleigh fractionation model for δ</w:t>
                      </w:r>
                      <w:r w:rsidRPr="00A76046">
                        <w:rPr>
                          <w:rFonts w:cs="Times New Roman"/>
                          <w:i w:val="0"/>
                          <w:sz w:val="24"/>
                          <w:szCs w:val="24"/>
                          <w:vertAlign w:val="superscript"/>
                        </w:rPr>
                        <w:t>11</w:t>
                      </w:r>
                      <w:r w:rsidRPr="00A76046">
                        <w:rPr>
                          <w:rFonts w:cs="Times New Roman"/>
                          <w:i w:val="0"/>
                          <w:sz w:val="24"/>
                          <w:szCs w:val="24"/>
                        </w:rPr>
                        <w:t>B</w:t>
                      </w:r>
                      <w:r w:rsidRPr="00A76046">
                        <w:rPr>
                          <w:rFonts w:cs="Times New Roman"/>
                          <w:i w:val="0"/>
                          <w:sz w:val="24"/>
                          <w:szCs w:val="24"/>
                          <w:vertAlign w:val="subscript"/>
                        </w:rPr>
                        <w:t>Tur</w:t>
                      </w:r>
                      <w:r w:rsidRPr="00A76046">
                        <w:rPr>
                          <w:rFonts w:cs="Times New Roman"/>
                          <w:i w:val="0"/>
                          <w:sz w:val="24"/>
                          <w:szCs w:val="24"/>
                        </w:rPr>
                        <w:t xml:space="preserve"> based on a Δ</w:t>
                      </w:r>
                      <w:r w:rsidRPr="00A76046">
                        <w:rPr>
                          <w:rFonts w:cs="Times New Roman"/>
                          <w:i w:val="0"/>
                          <w:sz w:val="24"/>
                          <w:szCs w:val="24"/>
                          <w:vertAlign w:val="superscript"/>
                        </w:rPr>
                        <w:t>11</w:t>
                      </w:r>
                      <w:r w:rsidRPr="00A76046">
                        <w:rPr>
                          <w:rFonts w:cs="Times New Roman"/>
                          <w:i w:val="0"/>
                          <w:sz w:val="24"/>
                          <w:szCs w:val="24"/>
                        </w:rPr>
                        <w:t>B</w:t>
                      </w:r>
                      <w:r w:rsidRPr="00A76046">
                        <w:rPr>
                          <w:rFonts w:cs="Times New Roman"/>
                          <w:i w:val="0"/>
                          <w:sz w:val="24"/>
                          <w:szCs w:val="24"/>
                          <w:vertAlign w:val="subscript"/>
                        </w:rPr>
                        <w:t>Tur-melt</w:t>
                      </w:r>
                      <w:r w:rsidRPr="00A76046">
                        <w:rPr>
                          <w:rFonts w:cs="Times New Roman"/>
                          <w:i w:val="0"/>
                          <w:sz w:val="24"/>
                          <w:szCs w:val="24"/>
                        </w:rPr>
                        <w:t xml:space="preserve"> of +1.0‰. Solid, black line represent the average δ</w:t>
                      </w:r>
                      <w:r w:rsidRPr="00A76046">
                        <w:rPr>
                          <w:rFonts w:cs="Times New Roman"/>
                          <w:i w:val="0"/>
                          <w:sz w:val="24"/>
                          <w:szCs w:val="24"/>
                          <w:vertAlign w:val="superscript"/>
                        </w:rPr>
                        <w:t>11</w:t>
                      </w:r>
                      <w:r w:rsidRPr="00A76046">
                        <w:rPr>
                          <w:rFonts w:cs="Times New Roman"/>
                          <w:i w:val="0"/>
                          <w:sz w:val="24"/>
                          <w:szCs w:val="24"/>
                        </w:rPr>
                        <w:t>B value for tourmaline across the footwall and hanging wall sections of the pegmatite. Each symbol represents an individual analysis. Internal errors are smaller than the symbol size.</w:t>
                      </w:r>
                      <w:bookmarkEnd w:id="65"/>
                    </w:p>
                  </w:txbxContent>
                </v:textbox>
                <w10:wrap type="square"/>
              </v:shape>
            </w:pict>
          </mc:Fallback>
        </mc:AlternateContent>
      </w:r>
      <w:r w:rsidR="003A423C">
        <w:rPr>
          <w:rFonts w:cs="Times New Roman"/>
          <w:noProof/>
          <w:color w:val="000000"/>
        </w:rPr>
        <w:drawing>
          <wp:anchor distT="0" distB="0" distL="114300" distR="114300" simplePos="0" relativeHeight="251667456" behindDoc="0" locked="0" layoutInCell="1" allowOverlap="1">
            <wp:simplePos x="1924050" y="914400"/>
            <wp:positionH relativeFrom="margin">
              <wp:align>center</wp:align>
            </wp:positionH>
            <wp:positionV relativeFrom="margin">
              <wp:align>top</wp:align>
            </wp:positionV>
            <wp:extent cx="5394960" cy="4168775"/>
            <wp:effectExtent l="0" t="0" r="0" b="317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 9.tif"/>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394960" cy="4168775"/>
                    </a:xfrm>
                    <a:prstGeom prst="rect">
                      <a:avLst/>
                    </a:prstGeom>
                  </pic:spPr>
                </pic:pic>
              </a:graphicData>
            </a:graphic>
          </wp:anchor>
        </w:drawing>
      </w:r>
    </w:p>
    <w:p w:rsidR="001E78C3" w:rsidRDefault="001E78C3">
      <w:pPr>
        <w:rPr>
          <w:rFonts w:cs="Times New Roman"/>
          <w:color w:val="000000"/>
        </w:rPr>
      </w:pPr>
      <w:r>
        <w:rPr>
          <w:rFonts w:cs="Times New Roman"/>
          <w:color w:val="000000"/>
        </w:rPr>
        <w:br w:type="page"/>
      </w:r>
    </w:p>
    <w:p w:rsidR="001E78C3" w:rsidRDefault="00A76046" w:rsidP="00F65F32">
      <w:pPr>
        <w:spacing w:line="480" w:lineRule="auto"/>
        <w:ind w:firstLine="720"/>
        <w:rPr>
          <w:rFonts w:cs="Times New Roman"/>
          <w:color w:val="000000"/>
        </w:rPr>
      </w:pPr>
      <w:r>
        <w:rPr>
          <w:noProof/>
        </w:rPr>
        <w:lastRenderedPageBreak/>
        <mc:AlternateContent>
          <mc:Choice Requires="wps">
            <w:drawing>
              <wp:anchor distT="0" distB="0" distL="114300" distR="114300" simplePos="0" relativeHeight="251688960" behindDoc="0" locked="0" layoutInCell="1" allowOverlap="1" wp14:anchorId="02296000" wp14:editId="08548F82">
                <wp:simplePos x="0" y="0"/>
                <wp:positionH relativeFrom="column">
                  <wp:posOffset>0</wp:posOffset>
                </wp:positionH>
                <wp:positionV relativeFrom="paragraph">
                  <wp:posOffset>4225925</wp:posOffset>
                </wp:positionV>
                <wp:extent cx="5394960" cy="635"/>
                <wp:effectExtent l="0" t="0" r="0" b="0"/>
                <wp:wrapSquare wrapText="bothSides"/>
                <wp:docPr id="21" name="Text Box 21"/>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rsidR="006D3B9B" w:rsidRPr="00A76046" w:rsidRDefault="006D3B9B" w:rsidP="00A76046">
                            <w:pPr>
                              <w:pStyle w:val="Caption"/>
                              <w:rPr>
                                <w:rFonts w:cs="Times New Roman"/>
                                <w:i w:val="0"/>
                                <w:noProof/>
                                <w:color w:val="000000"/>
                                <w:sz w:val="24"/>
                                <w:szCs w:val="24"/>
                              </w:rPr>
                            </w:pPr>
                            <w:bookmarkStart w:id="66" w:name="_Toc490130642"/>
                            <w:r w:rsidRPr="00A76046">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2</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10</w:t>
                            </w:r>
                            <w:r>
                              <w:rPr>
                                <w:b/>
                                <w:sz w:val="24"/>
                                <w:szCs w:val="24"/>
                              </w:rPr>
                              <w:fldChar w:fldCharType="end"/>
                            </w:r>
                            <w:r w:rsidRPr="00A76046">
                              <w:rPr>
                                <w:rFonts w:cs="Times New Roman"/>
                                <w:i w:val="0"/>
                                <w:sz w:val="24"/>
                                <w:szCs w:val="24"/>
                              </w:rPr>
                              <w:t xml:space="preserve"> SIMS δ</w:t>
                            </w:r>
                            <w:r w:rsidRPr="00A76046">
                              <w:rPr>
                                <w:rFonts w:cs="Times New Roman"/>
                                <w:i w:val="0"/>
                                <w:sz w:val="24"/>
                                <w:szCs w:val="24"/>
                                <w:vertAlign w:val="superscript"/>
                              </w:rPr>
                              <w:t>11</w:t>
                            </w:r>
                            <w:r w:rsidRPr="00A76046">
                              <w:rPr>
                                <w:rFonts w:cs="Times New Roman"/>
                                <w:i w:val="0"/>
                                <w:sz w:val="24"/>
                                <w:szCs w:val="24"/>
                              </w:rPr>
                              <w:t>B profile across B-diffusion profile in hydrous, metaluminous haplogranite glass (experiment CGB2). Internal errors per individual point analyzed (represented as vertical error bars in the diagram) are 2σ standard error of the mean.</w:t>
                            </w:r>
                            <w:bookmarkEnd w:id="6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2296000" id="Text Box 21" o:spid="_x0000_s1036" type="#_x0000_t202" style="position:absolute;left:0;text-align:left;margin-left:0;margin-top:332.75pt;width:424.8pt;height:.0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" stroked="f">
                <v:textbox style="mso-fit-shape-to-text:t" inset="0,0,0,0">
                  <w:txbxContent>
                    <w:p w:rsidR="006D3B9B" w:rsidRPr="00A76046" w:rsidRDefault="006D3B9B" w:rsidP="00A76046">
                      <w:pPr>
                        <w:pStyle w:val="Caption"/>
                        <w:rPr>
                          <w:rFonts w:cs="Times New Roman"/>
                          <w:i w:val="0"/>
                          <w:noProof/>
                          <w:color w:val="000000"/>
                          <w:sz w:val="24"/>
                          <w:szCs w:val="24"/>
                        </w:rPr>
                      </w:pPr>
                      <w:bookmarkStart w:id="67" w:name="_Toc490130642"/>
                      <w:r w:rsidRPr="00A76046">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2</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10</w:t>
                      </w:r>
                      <w:r>
                        <w:rPr>
                          <w:b/>
                          <w:sz w:val="24"/>
                          <w:szCs w:val="24"/>
                        </w:rPr>
                        <w:fldChar w:fldCharType="end"/>
                      </w:r>
                      <w:r w:rsidRPr="00A76046">
                        <w:rPr>
                          <w:rFonts w:cs="Times New Roman"/>
                          <w:i w:val="0"/>
                          <w:sz w:val="24"/>
                          <w:szCs w:val="24"/>
                        </w:rPr>
                        <w:t xml:space="preserve"> SIMS δ</w:t>
                      </w:r>
                      <w:r w:rsidRPr="00A76046">
                        <w:rPr>
                          <w:rFonts w:cs="Times New Roman"/>
                          <w:i w:val="0"/>
                          <w:sz w:val="24"/>
                          <w:szCs w:val="24"/>
                          <w:vertAlign w:val="superscript"/>
                        </w:rPr>
                        <w:t>11</w:t>
                      </w:r>
                      <w:r w:rsidRPr="00A76046">
                        <w:rPr>
                          <w:rFonts w:cs="Times New Roman"/>
                          <w:i w:val="0"/>
                          <w:sz w:val="24"/>
                          <w:szCs w:val="24"/>
                        </w:rPr>
                        <w:t>B profile across B-diffusion profile in hydrous, metaluminous haplogranite glass (experiment CGB2). Internal errors per individual point analyzed (represented as vertical error bars in the diagram) are 2σ standard error of the mean.</w:t>
                      </w:r>
                      <w:bookmarkEnd w:id="67"/>
                    </w:p>
                  </w:txbxContent>
                </v:textbox>
                <w10:wrap type="square"/>
              </v:shape>
            </w:pict>
          </mc:Fallback>
        </mc:AlternateContent>
      </w:r>
      <w:r w:rsidR="003A423C">
        <w:rPr>
          <w:rFonts w:cs="Times New Roman"/>
          <w:noProof/>
          <w:color w:val="000000"/>
        </w:rPr>
        <w:drawing>
          <wp:anchor distT="0" distB="0" distL="114300" distR="114300" simplePos="0" relativeHeight="251668480" behindDoc="0" locked="0" layoutInCell="1" allowOverlap="1">
            <wp:simplePos x="1924050" y="914400"/>
            <wp:positionH relativeFrom="margin">
              <wp:align>center</wp:align>
            </wp:positionH>
            <wp:positionV relativeFrom="margin">
              <wp:align>top</wp:align>
            </wp:positionV>
            <wp:extent cx="5394960" cy="4168775"/>
            <wp:effectExtent l="0" t="0" r="0" b="317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 10.tif"/>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394960" cy="4168775"/>
                    </a:xfrm>
                    <a:prstGeom prst="rect">
                      <a:avLst/>
                    </a:prstGeom>
                  </pic:spPr>
                </pic:pic>
              </a:graphicData>
            </a:graphic>
          </wp:anchor>
        </w:drawing>
      </w:r>
    </w:p>
    <w:p w:rsidR="001E78C3" w:rsidRDefault="001E78C3">
      <w:pPr>
        <w:rPr>
          <w:rFonts w:cs="Times New Roman"/>
          <w:color w:val="000000"/>
        </w:rPr>
      </w:pPr>
      <w:r>
        <w:rPr>
          <w:rFonts w:cs="Times New Roman"/>
          <w:color w:val="000000"/>
        </w:rPr>
        <w:br w:type="page"/>
      </w:r>
    </w:p>
    <w:p w:rsidR="003F756D" w:rsidRPr="003F756D" w:rsidRDefault="003F756D" w:rsidP="002534F5">
      <w:pPr>
        <w:pStyle w:val="Caption"/>
        <w:keepNext/>
        <w:jc w:val="center"/>
        <w:rPr>
          <w:sz w:val="24"/>
          <w:szCs w:val="24"/>
        </w:rPr>
      </w:pPr>
      <w:bookmarkStart w:id="68" w:name="_Toc490131680"/>
      <w:r w:rsidRPr="003F756D">
        <w:rPr>
          <w:b/>
          <w:sz w:val="24"/>
          <w:szCs w:val="24"/>
        </w:rPr>
        <w:lastRenderedPageBreak/>
        <w:t xml:space="preserve">Table </w:t>
      </w:r>
      <w:r w:rsidR="00B23FDA">
        <w:rPr>
          <w:b/>
          <w:sz w:val="24"/>
          <w:szCs w:val="24"/>
        </w:rPr>
        <w:fldChar w:fldCharType="begin"/>
      </w:r>
      <w:r w:rsidR="00B23FDA">
        <w:rPr>
          <w:b/>
          <w:sz w:val="24"/>
          <w:szCs w:val="24"/>
        </w:rPr>
        <w:instrText xml:space="preserve"> STYLEREF 1 \s </w:instrText>
      </w:r>
      <w:r w:rsidR="00B23FDA">
        <w:rPr>
          <w:b/>
          <w:sz w:val="24"/>
          <w:szCs w:val="24"/>
        </w:rPr>
        <w:fldChar w:fldCharType="separate"/>
      </w:r>
      <w:r w:rsidR="000C5FC3">
        <w:rPr>
          <w:b/>
          <w:noProof/>
          <w:sz w:val="24"/>
          <w:szCs w:val="24"/>
        </w:rPr>
        <w:t>2</w:t>
      </w:r>
      <w:r w:rsidR="00B23FDA">
        <w:rPr>
          <w:b/>
          <w:sz w:val="24"/>
          <w:szCs w:val="24"/>
        </w:rPr>
        <w:fldChar w:fldCharType="end"/>
      </w:r>
      <w:r w:rsidR="00B23FDA">
        <w:rPr>
          <w:b/>
          <w:sz w:val="24"/>
          <w:szCs w:val="24"/>
        </w:rPr>
        <w:noBreakHyphen/>
      </w:r>
      <w:r w:rsidR="00B23FDA">
        <w:rPr>
          <w:b/>
          <w:sz w:val="24"/>
          <w:szCs w:val="24"/>
        </w:rPr>
        <w:fldChar w:fldCharType="begin"/>
      </w:r>
      <w:r w:rsidR="00B23FDA">
        <w:rPr>
          <w:b/>
          <w:sz w:val="24"/>
          <w:szCs w:val="24"/>
        </w:rPr>
        <w:instrText xml:space="preserve"> SEQ Table \* ARABIC \s 1 </w:instrText>
      </w:r>
      <w:r w:rsidR="00B23FDA">
        <w:rPr>
          <w:b/>
          <w:sz w:val="24"/>
          <w:szCs w:val="24"/>
        </w:rPr>
        <w:fldChar w:fldCharType="separate"/>
      </w:r>
      <w:r w:rsidR="000C5FC3">
        <w:rPr>
          <w:b/>
          <w:noProof/>
          <w:sz w:val="24"/>
          <w:szCs w:val="24"/>
        </w:rPr>
        <w:t>1</w:t>
      </w:r>
      <w:r w:rsidR="00B23FDA">
        <w:rPr>
          <w:b/>
          <w:sz w:val="24"/>
          <w:szCs w:val="24"/>
        </w:rPr>
        <w:fldChar w:fldCharType="end"/>
      </w:r>
      <w:r w:rsidRPr="003F756D">
        <w:rPr>
          <w:rFonts w:eastAsia="Times New Roman" w:cs="Times New Roman"/>
          <w:color w:val="000000"/>
          <w:sz w:val="24"/>
          <w:szCs w:val="24"/>
        </w:rPr>
        <w:t xml:space="preserve"> </w:t>
      </w:r>
      <w:r w:rsidRPr="003F756D">
        <w:rPr>
          <w:rFonts w:eastAsia="Times New Roman" w:cs="Times New Roman"/>
          <w:i w:val="0"/>
          <w:color w:val="000000"/>
          <w:sz w:val="24"/>
          <w:szCs w:val="24"/>
        </w:rPr>
        <w:t>Tourmaline species and chemical formulae</w:t>
      </w:r>
      <w:bookmarkEnd w:id="68"/>
    </w:p>
    <w:tbl>
      <w:tblPr>
        <w:tblW w:w="7882" w:type="dxa"/>
        <w:jc w:val="center"/>
        <w:tblLook w:val="04A0" w:firstRow="1" w:lastRow="0" w:firstColumn="1" w:lastColumn="0" w:noHBand="0" w:noVBand="1"/>
      </w:tblPr>
      <w:tblGrid>
        <w:gridCol w:w="1890"/>
        <w:gridCol w:w="1483"/>
        <w:gridCol w:w="4271"/>
        <w:gridCol w:w="238"/>
      </w:tblGrid>
      <w:tr w:rsidR="003F756D" w:rsidRPr="003F756D" w:rsidTr="002534F5">
        <w:trPr>
          <w:trHeight w:val="310"/>
          <w:jc w:val="center"/>
        </w:trPr>
        <w:tc>
          <w:tcPr>
            <w:tcW w:w="1890" w:type="dxa"/>
            <w:tcBorders>
              <w:top w:val="nil"/>
              <w:left w:val="nil"/>
              <w:bottom w:val="single" w:sz="4" w:space="0" w:color="auto"/>
              <w:right w:val="nil"/>
            </w:tcBorders>
            <w:shd w:val="clear" w:color="auto" w:fill="auto"/>
            <w:noWrap/>
            <w:vAlign w:val="bottom"/>
            <w:hideMark/>
          </w:tcPr>
          <w:p w:rsidR="003F756D" w:rsidRPr="003F756D" w:rsidRDefault="003F756D" w:rsidP="003F756D">
            <w:pPr>
              <w:spacing w:after="0"/>
              <w:rPr>
                <w:rFonts w:eastAsia="Times New Roman" w:cs="Times New Roman"/>
                <w:color w:val="000000"/>
              </w:rPr>
            </w:pPr>
            <w:r w:rsidRPr="003F756D">
              <w:rPr>
                <w:rFonts w:eastAsia="Times New Roman" w:cs="Times New Roman"/>
                <w:color w:val="000000"/>
              </w:rPr>
              <w:t>Mineral</w:t>
            </w:r>
          </w:p>
        </w:tc>
        <w:tc>
          <w:tcPr>
            <w:tcW w:w="1483" w:type="dxa"/>
            <w:tcBorders>
              <w:top w:val="nil"/>
              <w:left w:val="nil"/>
              <w:bottom w:val="single" w:sz="4" w:space="0" w:color="auto"/>
              <w:right w:val="nil"/>
            </w:tcBorders>
            <w:shd w:val="clear" w:color="auto" w:fill="auto"/>
            <w:noWrap/>
            <w:vAlign w:val="bottom"/>
            <w:hideMark/>
          </w:tcPr>
          <w:p w:rsidR="003F756D" w:rsidRPr="003F756D" w:rsidRDefault="003F756D" w:rsidP="003F756D">
            <w:pPr>
              <w:spacing w:after="0"/>
              <w:jc w:val="center"/>
              <w:rPr>
                <w:rFonts w:eastAsia="Times New Roman" w:cs="Times New Roman"/>
                <w:color w:val="000000"/>
              </w:rPr>
            </w:pPr>
            <w:r w:rsidRPr="003F756D">
              <w:rPr>
                <w:rFonts w:eastAsia="Times New Roman" w:cs="Times New Roman"/>
                <w:color w:val="000000"/>
              </w:rPr>
              <w:t>Abbreviation</w:t>
            </w:r>
          </w:p>
        </w:tc>
        <w:tc>
          <w:tcPr>
            <w:tcW w:w="4509" w:type="dxa"/>
            <w:gridSpan w:val="2"/>
            <w:tcBorders>
              <w:top w:val="nil"/>
              <w:left w:val="nil"/>
              <w:bottom w:val="single" w:sz="4" w:space="0" w:color="auto"/>
              <w:right w:val="nil"/>
            </w:tcBorders>
            <w:shd w:val="clear" w:color="auto" w:fill="auto"/>
            <w:noWrap/>
            <w:vAlign w:val="bottom"/>
            <w:hideMark/>
          </w:tcPr>
          <w:p w:rsidR="003F756D" w:rsidRPr="003F756D" w:rsidRDefault="003F756D" w:rsidP="003F756D">
            <w:pPr>
              <w:spacing w:after="0"/>
              <w:rPr>
                <w:rFonts w:eastAsia="Times New Roman" w:cs="Times New Roman"/>
                <w:color w:val="000000"/>
              </w:rPr>
            </w:pPr>
            <w:r w:rsidRPr="003F756D">
              <w:rPr>
                <w:rFonts w:eastAsia="Times New Roman" w:cs="Times New Roman"/>
                <w:color w:val="000000"/>
              </w:rPr>
              <w:t>Formula</w:t>
            </w:r>
          </w:p>
        </w:tc>
      </w:tr>
      <w:tr w:rsidR="003F756D" w:rsidRPr="003F756D" w:rsidTr="002534F5">
        <w:trPr>
          <w:trHeight w:val="310"/>
          <w:jc w:val="center"/>
        </w:trPr>
        <w:tc>
          <w:tcPr>
            <w:tcW w:w="1890" w:type="dxa"/>
            <w:tcBorders>
              <w:top w:val="nil"/>
              <w:left w:val="nil"/>
              <w:bottom w:val="nil"/>
              <w:right w:val="nil"/>
            </w:tcBorders>
            <w:shd w:val="clear" w:color="auto" w:fill="auto"/>
            <w:noWrap/>
            <w:vAlign w:val="bottom"/>
            <w:hideMark/>
          </w:tcPr>
          <w:p w:rsidR="003F756D" w:rsidRPr="003F756D" w:rsidRDefault="003F756D" w:rsidP="003F756D">
            <w:pPr>
              <w:spacing w:after="0"/>
              <w:rPr>
                <w:rFonts w:eastAsia="Times New Roman" w:cs="Times New Roman"/>
                <w:color w:val="000000"/>
              </w:rPr>
            </w:pPr>
            <w:r w:rsidRPr="003F756D">
              <w:rPr>
                <w:rFonts w:eastAsia="Times New Roman" w:cs="Times New Roman"/>
                <w:color w:val="000000"/>
              </w:rPr>
              <w:t>Schorl</w:t>
            </w:r>
          </w:p>
        </w:tc>
        <w:tc>
          <w:tcPr>
            <w:tcW w:w="1483" w:type="dxa"/>
            <w:tcBorders>
              <w:top w:val="nil"/>
              <w:left w:val="nil"/>
              <w:bottom w:val="nil"/>
              <w:right w:val="nil"/>
            </w:tcBorders>
            <w:shd w:val="clear" w:color="auto" w:fill="auto"/>
            <w:noWrap/>
            <w:vAlign w:val="bottom"/>
            <w:hideMark/>
          </w:tcPr>
          <w:p w:rsidR="003F756D" w:rsidRPr="003F756D" w:rsidRDefault="003F756D" w:rsidP="003F756D">
            <w:pPr>
              <w:spacing w:after="0"/>
              <w:jc w:val="center"/>
              <w:rPr>
                <w:rFonts w:eastAsia="Times New Roman" w:cs="Times New Roman"/>
                <w:color w:val="000000"/>
              </w:rPr>
            </w:pPr>
            <w:r w:rsidRPr="003F756D">
              <w:rPr>
                <w:rFonts w:eastAsia="Times New Roman" w:cs="Times New Roman"/>
                <w:color w:val="000000"/>
              </w:rPr>
              <w:t>Srl</w:t>
            </w:r>
          </w:p>
        </w:tc>
        <w:tc>
          <w:tcPr>
            <w:tcW w:w="4509" w:type="dxa"/>
            <w:gridSpan w:val="2"/>
            <w:tcBorders>
              <w:top w:val="nil"/>
              <w:left w:val="nil"/>
              <w:bottom w:val="nil"/>
              <w:right w:val="nil"/>
            </w:tcBorders>
            <w:shd w:val="clear" w:color="auto" w:fill="auto"/>
            <w:noWrap/>
            <w:vAlign w:val="bottom"/>
            <w:hideMark/>
          </w:tcPr>
          <w:p w:rsidR="003F756D" w:rsidRPr="003F756D" w:rsidRDefault="003F756D" w:rsidP="003F756D">
            <w:pPr>
              <w:spacing w:after="0"/>
              <w:rPr>
                <w:rFonts w:eastAsia="Times New Roman" w:cs="Times New Roman"/>
                <w:color w:val="000000"/>
              </w:rPr>
            </w:pPr>
            <w:r w:rsidRPr="003F756D">
              <w:rPr>
                <w:rFonts w:eastAsia="Times New Roman" w:cs="Times New Roman"/>
                <w:color w:val="000000"/>
              </w:rPr>
              <w:t>NaFe</w:t>
            </w:r>
            <w:r w:rsidRPr="003F756D">
              <w:rPr>
                <w:rFonts w:eastAsia="Times New Roman" w:cs="Times New Roman"/>
                <w:color w:val="000000"/>
                <w:vertAlign w:val="subscript"/>
              </w:rPr>
              <w:t>3</w:t>
            </w:r>
            <w:r w:rsidRPr="003F756D">
              <w:rPr>
                <w:rFonts w:eastAsia="Times New Roman" w:cs="Times New Roman"/>
                <w:color w:val="000000"/>
              </w:rPr>
              <w:t>Al</w:t>
            </w:r>
            <w:r w:rsidRPr="003F756D">
              <w:rPr>
                <w:rFonts w:eastAsia="Times New Roman" w:cs="Times New Roman"/>
                <w:color w:val="000000"/>
                <w:vertAlign w:val="subscript"/>
              </w:rPr>
              <w:t>6</w:t>
            </w:r>
            <w:r w:rsidRPr="003F756D">
              <w:rPr>
                <w:rFonts w:eastAsia="Times New Roman" w:cs="Times New Roman"/>
                <w:color w:val="000000"/>
              </w:rPr>
              <w:t>(BO</w:t>
            </w:r>
            <w:r w:rsidRPr="003F756D">
              <w:rPr>
                <w:rFonts w:eastAsia="Times New Roman" w:cs="Times New Roman"/>
                <w:color w:val="000000"/>
                <w:vertAlign w:val="subscript"/>
              </w:rPr>
              <w:t>3</w:t>
            </w:r>
            <w:r w:rsidRPr="003F756D">
              <w:rPr>
                <w:rFonts w:eastAsia="Times New Roman" w:cs="Times New Roman"/>
                <w:color w:val="000000"/>
              </w:rPr>
              <w:t>)</w:t>
            </w:r>
            <w:r w:rsidRPr="003F756D">
              <w:rPr>
                <w:rFonts w:eastAsia="Times New Roman" w:cs="Times New Roman"/>
                <w:color w:val="000000"/>
                <w:vertAlign w:val="subscript"/>
              </w:rPr>
              <w:t>3</w:t>
            </w:r>
            <w:r w:rsidRPr="003F756D">
              <w:rPr>
                <w:rFonts w:eastAsia="Times New Roman" w:cs="Times New Roman"/>
                <w:color w:val="000000"/>
              </w:rPr>
              <w:t>Si</w:t>
            </w:r>
            <w:r w:rsidRPr="003F756D">
              <w:rPr>
                <w:rFonts w:eastAsia="Times New Roman" w:cs="Times New Roman"/>
                <w:color w:val="000000"/>
                <w:vertAlign w:val="subscript"/>
              </w:rPr>
              <w:t>6</w:t>
            </w:r>
            <w:r w:rsidRPr="003F756D">
              <w:rPr>
                <w:rFonts w:eastAsia="Times New Roman" w:cs="Times New Roman"/>
                <w:color w:val="000000"/>
              </w:rPr>
              <w:t>O</w:t>
            </w:r>
            <w:r w:rsidRPr="003F756D">
              <w:rPr>
                <w:rFonts w:eastAsia="Times New Roman" w:cs="Times New Roman"/>
                <w:color w:val="000000"/>
                <w:vertAlign w:val="subscript"/>
              </w:rPr>
              <w:t>18</w:t>
            </w:r>
            <w:r w:rsidRPr="003F756D">
              <w:rPr>
                <w:rFonts w:eastAsia="Times New Roman" w:cs="Times New Roman"/>
                <w:color w:val="000000"/>
              </w:rPr>
              <w:t>(OH)</w:t>
            </w:r>
            <w:r w:rsidRPr="003F756D">
              <w:rPr>
                <w:rFonts w:eastAsia="Times New Roman" w:cs="Times New Roman"/>
                <w:color w:val="000000"/>
                <w:vertAlign w:val="subscript"/>
              </w:rPr>
              <w:t>3</w:t>
            </w:r>
            <w:r w:rsidRPr="003F756D">
              <w:rPr>
                <w:rFonts w:eastAsia="Times New Roman" w:cs="Times New Roman"/>
                <w:color w:val="000000"/>
              </w:rPr>
              <w:t>OH</w:t>
            </w:r>
          </w:p>
        </w:tc>
      </w:tr>
      <w:tr w:rsidR="003F756D" w:rsidRPr="003F756D" w:rsidTr="002534F5">
        <w:trPr>
          <w:trHeight w:val="310"/>
          <w:jc w:val="center"/>
        </w:trPr>
        <w:tc>
          <w:tcPr>
            <w:tcW w:w="1890" w:type="dxa"/>
            <w:tcBorders>
              <w:top w:val="nil"/>
              <w:left w:val="nil"/>
              <w:bottom w:val="nil"/>
              <w:right w:val="nil"/>
            </w:tcBorders>
            <w:shd w:val="clear" w:color="auto" w:fill="auto"/>
            <w:noWrap/>
            <w:vAlign w:val="bottom"/>
            <w:hideMark/>
          </w:tcPr>
          <w:p w:rsidR="003F756D" w:rsidRPr="003F756D" w:rsidRDefault="003F756D" w:rsidP="003F756D">
            <w:pPr>
              <w:spacing w:after="0"/>
              <w:rPr>
                <w:rFonts w:eastAsia="Times New Roman" w:cs="Times New Roman"/>
                <w:color w:val="000000"/>
              </w:rPr>
            </w:pPr>
            <w:r w:rsidRPr="003F756D">
              <w:rPr>
                <w:rFonts w:eastAsia="Times New Roman" w:cs="Times New Roman"/>
                <w:color w:val="000000"/>
              </w:rPr>
              <w:t>Dravite</w:t>
            </w:r>
          </w:p>
        </w:tc>
        <w:tc>
          <w:tcPr>
            <w:tcW w:w="1483" w:type="dxa"/>
            <w:tcBorders>
              <w:top w:val="nil"/>
              <w:left w:val="nil"/>
              <w:bottom w:val="nil"/>
              <w:right w:val="nil"/>
            </w:tcBorders>
            <w:shd w:val="clear" w:color="auto" w:fill="auto"/>
            <w:noWrap/>
            <w:vAlign w:val="bottom"/>
            <w:hideMark/>
          </w:tcPr>
          <w:p w:rsidR="003F756D" w:rsidRPr="003F756D" w:rsidRDefault="003F756D" w:rsidP="003F756D">
            <w:pPr>
              <w:spacing w:after="0"/>
              <w:jc w:val="center"/>
              <w:rPr>
                <w:rFonts w:eastAsia="Times New Roman" w:cs="Times New Roman"/>
                <w:color w:val="000000"/>
              </w:rPr>
            </w:pPr>
            <w:r w:rsidRPr="003F756D">
              <w:rPr>
                <w:rFonts w:eastAsia="Times New Roman" w:cs="Times New Roman"/>
                <w:color w:val="000000"/>
              </w:rPr>
              <w:t>Drv</w:t>
            </w:r>
          </w:p>
        </w:tc>
        <w:tc>
          <w:tcPr>
            <w:tcW w:w="4509" w:type="dxa"/>
            <w:gridSpan w:val="2"/>
            <w:tcBorders>
              <w:top w:val="nil"/>
              <w:left w:val="nil"/>
              <w:bottom w:val="nil"/>
              <w:right w:val="nil"/>
            </w:tcBorders>
            <w:shd w:val="clear" w:color="auto" w:fill="auto"/>
            <w:noWrap/>
            <w:vAlign w:val="bottom"/>
            <w:hideMark/>
          </w:tcPr>
          <w:p w:rsidR="003F756D" w:rsidRPr="003F756D" w:rsidRDefault="003F756D" w:rsidP="003F756D">
            <w:pPr>
              <w:spacing w:after="0"/>
              <w:rPr>
                <w:rFonts w:eastAsia="Times New Roman" w:cs="Times New Roman"/>
                <w:color w:val="000000"/>
              </w:rPr>
            </w:pPr>
            <w:r w:rsidRPr="003F756D">
              <w:rPr>
                <w:rFonts w:eastAsia="Times New Roman" w:cs="Times New Roman"/>
                <w:color w:val="000000"/>
              </w:rPr>
              <w:t>NaMg</w:t>
            </w:r>
            <w:r w:rsidRPr="003F756D">
              <w:rPr>
                <w:rFonts w:eastAsia="Times New Roman" w:cs="Times New Roman"/>
                <w:color w:val="000000"/>
                <w:vertAlign w:val="subscript"/>
              </w:rPr>
              <w:t>3</w:t>
            </w:r>
            <w:r w:rsidRPr="003F756D">
              <w:rPr>
                <w:rFonts w:eastAsia="Times New Roman" w:cs="Times New Roman"/>
                <w:color w:val="000000"/>
              </w:rPr>
              <w:t>Al</w:t>
            </w:r>
            <w:r w:rsidRPr="003F756D">
              <w:rPr>
                <w:rFonts w:eastAsia="Times New Roman" w:cs="Times New Roman"/>
                <w:color w:val="000000"/>
                <w:vertAlign w:val="subscript"/>
              </w:rPr>
              <w:t>6</w:t>
            </w:r>
            <w:r w:rsidRPr="003F756D">
              <w:rPr>
                <w:rFonts w:eastAsia="Times New Roman" w:cs="Times New Roman"/>
                <w:color w:val="000000"/>
              </w:rPr>
              <w:t>(BO</w:t>
            </w:r>
            <w:r w:rsidRPr="003F756D">
              <w:rPr>
                <w:rFonts w:eastAsia="Times New Roman" w:cs="Times New Roman"/>
                <w:color w:val="000000"/>
                <w:vertAlign w:val="subscript"/>
              </w:rPr>
              <w:t>3</w:t>
            </w:r>
            <w:r w:rsidRPr="003F756D">
              <w:rPr>
                <w:rFonts w:eastAsia="Times New Roman" w:cs="Times New Roman"/>
                <w:color w:val="000000"/>
              </w:rPr>
              <w:t>)</w:t>
            </w:r>
            <w:r w:rsidRPr="003F756D">
              <w:rPr>
                <w:rFonts w:eastAsia="Times New Roman" w:cs="Times New Roman"/>
                <w:color w:val="000000"/>
                <w:vertAlign w:val="subscript"/>
              </w:rPr>
              <w:t>3</w:t>
            </w:r>
            <w:r w:rsidRPr="003F756D">
              <w:rPr>
                <w:rFonts w:eastAsia="Times New Roman" w:cs="Times New Roman"/>
                <w:color w:val="000000"/>
              </w:rPr>
              <w:t>Si</w:t>
            </w:r>
            <w:r w:rsidRPr="003F756D">
              <w:rPr>
                <w:rFonts w:eastAsia="Times New Roman" w:cs="Times New Roman"/>
                <w:color w:val="000000"/>
                <w:vertAlign w:val="subscript"/>
              </w:rPr>
              <w:t>6</w:t>
            </w:r>
            <w:r w:rsidRPr="003F756D">
              <w:rPr>
                <w:rFonts w:eastAsia="Times New Roman" w:cs="Times New Roman"/>
                <w:color w:val="000000"/>
              </w:rPr>
              <w:t>O</w:t>
            </w:r>
            <w:r w:rsidRPr="003F756D">
              <w:rPr>
                <w:rFonts w:eastAsia="Times New Roman" w:cs="Times New Roman"/>
                <w:color w:val="000000"/>
                <w:vertAlign w:val="subscript"/>
              </w:rPr>
              <w:t>18</w:t>
            </w:r>
            <w:r w:rsidRPr="003F756D">
              <w:rPr>
                <w:rFonts w:eastAsia="Times New Roman" w:cs="Times New Roman"/>
                <w:color w:val="000000"/>
              </w:rPr>
              <w:t>(OH)</w:t>
            </w:r>
            <w:r w:rsidRPr="003F756D">
              <w:rPr>
                <w:rFonts w:eastAsia="Times New Roman" w:cs="Times New Roman"/>
                <w:color w:val="000000"/>
                <w:vertAlign w:val="subscript"/>
              </w:rPr>
              <w:t>3</w:t>
            </w:r>
            <w:r w:rsidRPr="003F756D">
              <w:rPr>
                <w:rFonts w:eastAsia="Times New Roman" w:cs="Times New Roman"/>
                <w:color w:val="000000"/>
              </w:rPr>
              <w:t>OH</w:t>
            </w:r>
          </w:p>
        </w:tc>
      </w:tr>
      <w:tr w:rsidR="003F756D" w:rsidRPr="003F756D" w:rsidTr="002534F5">
        <w:trPr>
          <w:trHeight w:val="310"/>
          <w:jc w:val="center"/>
        </w:trPr>
        <w:tc>
          <w:tcPr>
            <w:tcW w:w="1890" w:type="dxa"/>
            <w:tcBorders>
              <w:top w:val="nil"/>
              <w:left w:val="nil"/>
              <w:bottom w:val="nil"/>
              <w:right w:val="nil"/>
            </w:tcBorders>
            <w:shd w:val="clear" w:color="auto" w:fill="auto"/>
            <w:noWrap/>
            <w:vAlign w:val="bottom"/>
            <w:hideMark/>
          </w:tcPr>
          <w:p w:rsidR="003F756D" w:rsidRPr="003F756D" w:rsidRDefault="003F756D" w:rsidP="003F756D">
            <w:pPr>
              <w:spacing w:after="0"/>
              <w:rPr>
                <w:rFonts w:eastAsia="Times New Roman" w:cs="Times New Roman"/>
                <w:color w:val="000000"/>
              </w:rPr>
            </w:pPr>
            <w:r w:rsidRPr="003F756D">
              <w:rPr>
                <w:rFonts w:eastAsia="Times New Roman" w:cs="Times New Roman"/>
                <w:color w:val="000000"/>
              </w:rPr>
              <w:t>Tsilaisite</w:t>
            </w:r>
          </w:p>
        </w:tc>
        <w:tc>
          <w:tcPr>
            <w:tcW w:w="1483" w:type="dxa"/>
            <w:tcBorders>
              <w:top w:val="nil"/>
              <w:left w:val="nil"/>
              <w:bottom w:val="nil"/>
              <w:right w:val="nil"/>
            </w:tcBorders>
            <w:shd w:val="clear" w:color="auto" w:fill="auto"/>
            <w:noWrap/>
            <w:vAlign w:val="bottom"/>
            <w:hideMark/>
          </w:tcPr>
          <w:p w:rsidR="003F756D" w:rsidRPr="003F756D" w:rsidRDefault="003F756D" w:rsidP="003F756D">
            <w:pPr>
              <w:spacing w:after="0"/>
              <w:jc w:val="center"/>
              <w:rPr>
                <w:rFonts w:eastAsia="Times New Roman" w:cs="Times New Roman"/>
                <w:color w:val="000000"/>
              </w:rPr>
            </w:pPr>
            <w:r w:rsidRPr="003F756D">
              <w:rPr>
                <w:rFonts w:eastAsia="Times New Roman" w:cs="Times New Roman"/>
                <w:color w:val="000000"/>
              </w:rPr>
              <w:t>Tsl</w:t>
            </w:r>
          </w:p>
        </w:tc>
        <w:tc>
          <w:tcPr>
            <w:tcW w:w="4509" w:type="dxa"/>
            <w:gridSpan w:val="2"/>
            <w:tcBorders>
              <w:top w:val="nil"/>
              <w:left w:val="nil"/>
              <w:bottom w:val="nil"/>
              <w:right w:val="nil"/>
            </w:tcBorders>
            <w:shd w:val="clear" w:color="auto" w:fill="auto"/>
            <w:noWrap/>
            <w:vAlign w:val="bottom"/>
            <w:hideMark/>
          </w:tcPr>
          <w:p w:rsidR="003F756D" w:rsidRPr="003F756D" w:rsidRDefault="003F756D" w:rsidP="003F756D">
            <w:pPr>
              <w:spacing w:after="0"/>
              <w:rPr>
                <w:rFonts w:eastAsia="Times New Roman" w:cs="Times New Roman"/>
                <w:color w:val="000000"/>
              </w:rPr>
            </w:pPr>
            <w:r w:rsidRPr="003F756D">
              <w:rPr>
                <w:rFonts w:eastAsia="Times New Roman" w:cs="Times New Roman"/>
                <w:color w:val="000000"/>
              </w:rPr>
              <w:t>NaMn</w:t>
            </w:r>
            <w:r w:rsidRPr="003F756D">
              <w:rPr>
                <w:rFonts w:eastAsia="Times New Roman" w:cs="Times New Roman"/>
                <w:color w:val="000000"/>
                <w:vertAlign w:val="subscript"/>
              </w:rPr>
              <w:t>3</w:t>
            </w:r>
            <w:r w:rsidRPr="003F756D">
              <w:rPr>
                <w:rFonts w:eastAsia="Times New Roman" w:cs="Times New Roman"/>
                <w:color w:val="000000"/>
              </w:rPr>
              <w:t>Al</w:t>
            </w:r>
            <w:r w:rsidRPr="003F756D">
              <w:rPr>
                <w:rFonts w:eastAsia="Times New Roman" w:cs="Times New Roman"/>
                <w:color w:val="000000"/>
                <w:vertAlign w:val="subscript"/>
              </w:rPr>
              <w:t>6</w:t>
            </w:r>
            <w:r w:rsidRPr="003F756D">
              <w:rPr>
                <w:rFonts w:eastAsia="Times New Roman" w:cs="Times New Roman"/>
                <w:color w:val="000000"/>
              </w:rPr>
              <w:t>(BO</w:t>
            </w:r>
            <w:r w:rsidRPr="003F756D">
              <w:rPr>
                <w:rFonts w:eastAsia="Times New Roman" w:cs="Times New Roman"/>
                <w:color w:val="000000"/>
                <w:vertAlign w:val="subscript"/>
              </w:rPr>
              <w:t>3</w:t>
            </w:r>
            <w:r w:rsidRPr="003F756D">
              <w:rPr>
                <w:rFonts w:eastAsia="Times New Roman" w:cs="Times New Roman"/>
                <w:color w:val="000000"/>
              </w:rPr>
              <w:t>)</w:t>
            </w:r>
            <w:r w:rsidRPr="003F756D">
              <w:rPr>
                <w:rFonts w:eastAsia="Times New Roman" w:cs="Times New Roman"/>
                <w:color w:val="000000"/>
                <w:vertAlign w:val="subscript"/>
              </w:rPr>
              <w:t>3</w:t>
            </w:r>
            <w:r w:rsidRPr="003F756D">
              <w:rPr>
                <w:rFonts w:eastAsia="Times New Roman" w:cs="Times New Roman"/>
                <w:color w:val="000000"/>
              </w:rPr>
              <w:t>Si</w:t>
            </w:r>
            <w:r w:rsidRPr="003F756D">
              <w:rPr>
                <w:rFonts w:eastAsia="Times New Roman" w:cs="Times New Roman"/>
                <w:color w:val="000000"/>
                <w:vertAlign w:val="subscript"/>
              </w:rPr>
              <w:t>6</w:t>
            </w:r>
            <w:r w:rsidRPr="003F756D">
              <w:rPr>
                <w:rFonts w:eastAsia="Times New Roman" w:cs="Times New Roman"/>
                <w:color w:val="000000"/>
              </w:rPr>
              <w:t>O</w:t>
            </w:r>
            <w:r w:rsidRPr="003F756D">
              <w:rPr>
                <w:rFonts w:eastAsia="Times New Roman" w:cs="Times New Roman"/>
                <w:color w:val="000000"/>
                <w:vertAlign w:val="subscript"/>
              </w:rPr>
              <w:t>18</w:t>
            </w:r>
            <w:r w:rsidRPr="003F756D">
              <w:rPr>
                <w:rFonts w:eastAsia="Times New Roman" w:cs="Times New Roman"/>
                <w:color w:val="000000"/>
              </w:rPr>
              <w:t>(OH)</w:t>
            </w:r>
            <w:r w:rsidRPr="003F756D">
              <w:rPr>
                <w:rFonts w:eastAsia="Times New Roman" w:cs="Times New Roman"/>
                <w:color w:val="000000"/>
                <w:vertAlign w:val="subscript"/>
              </w:rPr>
              <w:t>3</w:t>
            </w:r>
            <w:r w:rsidRPr="003F756D">
              <w:rPr>
                <w:rFonts w:eastAsia="Times New Roman" w:cs="Times New Roman"/>
                <w:color w:val="000000"/>
              </w:rPr>
              <w:t>OH</w:t>
            </w:r>
          </w:p>
        </w:tc>
      </w:tr>
      <w:tr w:rsidR="003F756D" w:rsidRPr="003F756D" w:rsidTr="002534F5">
        <w:trPr>
          <w:trHeight w:val="310"/>
          <w:jc w:val="center"/>
        </w:trPr>
        <w:tc>
          <w:tcPr>
            <w:tcW w:w="1890" w:type="dxa"/>
            <w:tcBorders>
              <w:top w:val="nil"/>
              <w:left w:val="nil"/>
              <w:bottom w:val="nil"/>
              <w:right w:val="nil"/>
            </w:tcBorders>
            <w:shd w:val="clear" w:color="auto" w:fill="auto"/>
            <w:noWrap/>
            <w:vAlign w:val="bottom"/>
            <w:hideMark/>
          </w:tcPr>
          <w:p w:rsidR="003F756D" w:rsidRPr="003F756D" w:rsidRDefault="003F756D" w:rsidP="003F756D">
            <w:pPr>
              <w:spacing w:after="0"/>
              <w:rPr>
                <w:rFonts w:eastAsia="Times New Roman" w:cs="Times New Roman"/>
                <w:color w:val="000000"/>
              </w:rPr>
            </w:pPr>
            <w:r w:rsidRPr="003F756D">
              <w:rPr>
                <w:rFonts w:eastAsia="Times New Roman" w:cs="Times New Roman"/>
                <w:color w:val="000000"/>
              </w:rPr>
              <w:t>Feruvite</w:t>
            </w:r>
          </w:p>
        </w:tc>
        <w:tc>
          <w:tcPr>
            <w:tcW w:w="1483" w:type="dxa"/>
            <w:tcBorders>
              <w:top w:val="nil"/>
              <w:left w:val="nil"/>
              <w:bottom w:val="nil"/>
              <w:right w:val="nil"/>
            </w:tcBorders>
            <w:shd w:val="clear" w:color="auto" w:fill="auto"/>
            <w:noWrap/>
            <w:vAlign w:val="bottom"/>
            <w:hideMark/>
          </w:tcPr>
          <w:p w:rsidR="003F756D" w:rsidRPr="003F756D" w:rsidRDefault="003F756D" w:rsidP="003F756D">
            <w:pPr>
              <w:spacing w:after="0"/>
              <w:jc w:val="center"/>
              <w:rPr>
                <w:rFonts w:eastAsia="Times New Roman" w:cs="Times New Roman"/>
                <w:color w:val="000000"/>
              </w:rPr>
            </w:pPr>
            <w:r w:rsidRPr="003F756D">
              <w:rPr>
                <w:rFonts w:eastAsia="Times New Roman" w:cs="Times New Roman"/>
                <w:color w:val="000000"/>
              </w:rPr>
              <w:t>Fuv</w:t>
            </w:r>
          </w:p>
        </w:tc>
        <w:tc>
          <w:tcPr>
            <w:tcW w:w="4509" w:type="dxa"/>
            <w:gridSpan w:val="2"/>
            <w:tcBorders>
              <w:top w:val="nil"/>
              <w:left w:val="nil"/>
              <w:bottom w:val="nil"/>
              <w:right w:val="nil"/>
            </w:tcBorders>
            <w:shd w:val="clear" w:color="auto" w:fill="auto"/>
            <w:noWrap/>
            <w:vAlign w:val="bottom"/>
            <w:hideMark/>
          </w:tcPr>
          <w:p w:rsidR="003F756D" w:rsidRPr="003F756D" w:rsidRDefault="003F756D" w:rsidP="003F756D">
            <w:pPr>
              <w:spacing w:after="0"/>
              <w:rPr>
                <w:rFonts w:eastAsia="Times New Roman" w:cs="Times New Roman"/>
                <w:color w:val="000000"/>
              </w:rPr>
            </w:pPr>
            <w:r w:rsidRPr="003F756D">
              <w:rPr>
                <w:rFonts w:eastAsia="Times New Roman" w:cs="Times New Roman"/>
                <w:color w:val="000000"/>
              </w:rPr>
              <w:t>CaFe</w:t>
            </w:r>
            <w:r w:rsidRPr="003F756D">
              <w:rPr>
                <w:rFonts w:eastAsia="Times New Roman" w:cs="Times New Roman"/>
                <w:color w:val="000000"/>
                <w:vertAlign w:val="subscript"/>
              </w:rPr>
              <w:t>3</w:t>
            </w:r>
            <w:r w:rsidRPr="003F756D">
              <w:rPr>
                <w:rFonts w:eastAsia="Times New Roman" w:cs="Times New Roman"/>
                <w:color w:val="000000"/>
              </w:rPr>
              <w:t>(Al</w:t>
            </w:r>
            <w:r w:rsidRPr="003F756D">
              <w:rPr>
                <w:rFonts w:eastAsia="Times New Roman" w:cs="Times New Roman"/>
                <w:color w:val="000000"/>
                <w:vertAlign w:val="subscript"/>
              </w:rPr>
              <w:t>5</w:t>
            </w:r>
            <w:r w:rsidRPr="003F756D">
              <w:rPr>
                <w:rFonts w:eastAsia="Times New Roman" w:cs="Times New Roman"/>
                <w:color w:val="000000"/>
              </w:rPr>
              <w:t>Mg)(BO</w:t>
            </w:r>
            <w:r w:rsidRPr="003F756D">
              <w:rPr>
                <w:rFonts w:eastAsia="Times New Roman" w:cs="Times New Roman"/>
                <w:color w:val="000000"/>
                <w:vertAlign w:val="subscript"/>
              </w:rPr>
              <w:t>3</w:t>
            </w:r>
            <w:r w:rsidRPr="003F756D">
              <w:rPr>
                <w:rFonts w:eastAsia="Times New Roman" w:cs="Times New Roman"/>
                <w:color w:val="000000"/>
              </w:rPr>
              <w:t>)</w:t>
            </w:r>
            <w:r w:rsidRPr="003F756D">
              <w:rPr>
                <w:rFonts w:eastAsia="Times New Roman" w:cs="Times New Roman"/>
                <w:color w:val="000000"/>
                <w:vertAlign w:val="subscript"/>
              </w:rPr>
              <w:t>3</w:t>
            </w:r>
            <w:r w:rsidRPr="003F756D">
              <w:rPr>
                <w:rFonts w:eastAsia="Times New Roman" w:cs="Times New Roman"/>
                <w:color w:val="000000"/>
              </w:rPr>
              <w:t>Si</w:t>
            </w:r>
            <w:r w:rsidRPr="003F756D">
              <w:rPr>
                <w:rFonts w:eastAsia="Times New Roman" w:cs="Times New Roman"/>
                <w:color w:val="000000"/>
                <w:vertAlign w:val="subscript"/>
              </w:rPr>
              <w:t>6</w:t>
            </w:r>
            <w:r w:rsidRPr="003F756D">
              <w:rPr>
                <w:rFonts w:eastAsia="Times New Roman" w:cs="Times New Roman"/>
                <w:color w:val="000000"/>
              </w:rPr>
              <w:t>O</w:t>
            </w:r>
            <w:r w:rsidRPr="003F756D">
              <w:rPr>
                <w:rFonts w:eastAsia="Times New Roman" w:cs="Times New Roman"/>
                <w:color w:val="000000"/>
                <w:vertAlign w:val="subscript"/>
              </w:rPr>
              <w:t>18</w:t>
            </w:r>
            <w:r w:rsidRPr="003F756D">
              <w:rPr>
                <w:rFonts w:eastAsia="Times New Roman" w:cs="Times New Roman"/>
                <w:color w:val="000000"/>
              </w:rPr>
              <w:t>(OH)</w:t>
            </w:r>
            <w:r w:rsidRPr="003F756D">
              <w:rPr>
                <w:rFonts w:eastAsia="Times New Roman" w:cs="Times New Roman"/>
                <w:color w:val="000000"/>
                <w:vertAlign w:val="subscript"/>
              </w:rPr>
              <w:t>3</w:t>
            </w:r>
            <w:r w:rsidRPr="003F756D">
              <w:rPr>
                <w:rFonts w:eastAsia="Times New Roman" w:cs="Times New Roman"/>
                <w:color w:val="000000"/>
              </w:rPr>
              <w:t>OH</w:t>
            </w:r>
          </w:p>
        </w:tc>
      </w:tr>
      <w:tr w:rsidR="003F756D" w:rsidRPr="003F756D" w:rsidTr="002534F5">
        <w:trPr>
          <w:trHeight w:val="310"/>
          <w:jc w:val="center"/>
        </w:trPr>
        <w:tc>
          <w:tcPr>
            <w:tcW w:w="1890" w:type="dxa"/>
            <w:tcBorders>
              <w:top w:val="nil"/>
              <w:left w:val="nil"/>
              <w:bottom w:val="nil"/>
              <w:right w:val="nil"/>
            </w:tcBorders>
            <w:shd w:val="clear" w:color="auto" w:fill="auto"/>
            <w:noWrap/>
            <w:vAlign w:val="bottom"/>
            <w:hideMark/>
          </w:tcPr>
          <w:p w:rsidR="003F756D" w:rsidRPr="003F756D" w:rsidRDefault="003F756D" w:rsidP="003F756D">
            <w:pPr>
              <w:spacing w:after="0"/>
              <w:rPr>
                <w:rFonts w:eastAsia="Times New Roman" w:cs="Times New Roman"/>
                <w:color w:val="000000"/>
              </w:rPr>
            </w:pPr>
            <w:r w:rsidRPr="003F756D">
              <w:rPr>
                <w:rFonts w:eastAsia="Times New Roman" w:cs="Times New Roman"/>
                <w:color w:val="000000"/>
              </w:rPr>
              <w:t>Uvite</w:t>
            </w:r>
          </w:p>
        </w:tc>
        <w:tc>
          <w:tcPr>
            <w:tcW w:w="1483" w:type="dxa"/>
            <w:tcBorders>
              <w:top w:val="nil"/>
              <w:left w:val="nil"/>
              <w:bottom w:val="nil"/>
              <w:right w:val="nil"/>
            </w:tcBorders>
            <w:shd w:val="clear" w:color="auto" w:fill="auto"/>
            <w:noWrap/>
            <w:vAlign w:val="bottom"/>
            <w:hideMark/>
          </w:tcPr>
          <w:p w:rsidR="003F756D" w:rsidRPr="003F756D" w:rsidRDefault="003F756D" w:rsidP="003F756D">
            <w:pPr>
              <w:spacing w:after="0"/>
              <w:jc w:val="center"/>
              <w:rPr>
                <w:rFonts w:eastAsia="Times New Roman" w:cs="Times New Roman"/>
                <w:color w:val="000000"/>
              </w:rPr>
            </w:pPr>
            <w:r w:rsidRPr="003F756D">
              <w:rPr>
                <w:rFonts w:eastAsia="Times New Roman" w:cs="Times New Roman"/>
                <w:color w:val="000000"/>
              </w:rPr>
              <w:t>Uvt</w:t>
            </w:r>
          </w:p>
        </w:tc>
        <w:tc>
          <w:tcPr>
            <w:tcW w:w="4509" w:type="dxa"/>
            <w:gridSpan w:val="2"/>
            <w:tcBorders>
              <w:top w:val="nil"/>
              <w:left w:val="nil"/>
              <w:bottom w:val="nil"/>
              <w:right w:val="nil"/>
            </w:tcBorders>
            <w:shd w:val="clear" w:color="auto" w:fill="auto"/>
            <w:noWrap/>
            <w:vAlign w:val="bottom"/>
            <w:hideMark/>
          </w:tcPr>
          <w:p w:rsidR="003F756D" w:rsidRPr="003F756D" w:rsidRDefault="003F756D" w:rsidP="003F756D">
            <w:pPr>
              <w:spacing w:after="0"/>
              <w:rPr>
                <w:rFonts w:eastAsia="Times New Roman" w:cs="Times New Roman"/>
                <w:color w:val="000000"/>
              </w:rPr>
            </w:pPr>
            <w:r w:rsidRPr="003F756D">
              <w:rPr>
                <w:rFonts w:eastAsia="Times New Roman" w:cs="Times New Roman"/>
                <w:color w:val="000000"/>
              </w:rPr>
              <w:t>CaMg</w:t>
            </w:r>
            <w:r w:rsidRPr="003F756D">
              <w:rPr>
                <w:rFonts w:eastAsia="Times New Roman" w:cs="Times New Roman"/>
                <w:color w:val="000000"/>
                <w:vertAlign w:val="subscript"/>
              </w:rPr>
              <w:t>3</w:t>
            </w:r>
            <w:r w:rsidRPr="003F756D">
              <w:rPr>
                <w:rFonts w:eastAsia="Times New Roman" w:cs="Times New Roman"/>
                <w:color w:val="000000"/>
              </w:rPr>
              <w:t>(Al</w:t>
            </w:r>
            <w:r w:rsidRPr="003F756D">
              <w:rPr>
                <w:rFonts w:eastAsia="Times New Roman" w:cs="Times New Roman"/>
                <w:color w:val="000000"/>
                <w:vertAlign w:val="subscript"/>
              </w:rPr>
              <w:t>5</w:t>
            </w:r>
            <w:r w:rsidRPr="003F756D">
              <w:rPr>
                <w:rFonts w:eastAsia="Times New Roman" w:cs="Times New Roman"/>
                <w:color w:val="000000"/>
              </w:rPr>
              <w:t>Mg)(BO</w:t>
            </w:r>
            <w:r w:rsidRPr="003F756D">
              <w:rPr>
                <w:rFonts w:eastAsia="Times New Roman" w:cs="Times New Roman"/>
                <w:color w:val="000000"/>
                <w:vertAlign w:val="subscript"/>
              </w:rPr>
              <w:t>3</w:t>
            </w:r>
            <w:r w:rsidRPr="003F756D">
              <w:rPr>
                <w:rFonts w:eastAsia="Times New Roman" w:cs="Times New Roman"/>
                <w:color w:val="000000"/>
              </w:rPr>
              <w:t>)</w:t>
            </w:r>
            <w:r w:rsidRPr="003F756D">
              <w:rPr>
                <w:rFonts w:eastAsia="Times New Roman" w:cs="Times New Roman"/>
                <w:color w:val="000000"/>
                <w:vertAlign w:val="subscript"/>
              </w:rPr>
              <w:t>3</w:t>
            </w:r>
            <w:r w:rsidRPr="003F756D">
              <w:rPr>
                <w:rFonts w:eastAsia="Times New Roman" w:cs="Times New Roman"/>
                <w:color w:val="000000"/>
              </w:rPr>
              <w:t>Si</w:t>
            </w:r>
            <w:r w:rsidRPr="003F756D">
              <w:rPr>
                <w:rFonts w:eastAsia="Times New Roman" w:cs="Times New Roman"/>
                <w:color w:val="000000"/>
                <w:vertAlign w:val="subscript"/>
              </w:rPr>
              <w:t>6</w:t>
            </w:r>
            <w:r w:rsidRPr="003F756D">
              <w:rPr>
                <w:rFonts w:eastAsia="Times New Roman" w:cs="Times New Roman"/>
                <w:color w:val="000000"/>
              </w:rPr>
              <w:t>O</w:t>
            </w:r>
            <w:r w:rsidRPr="003F756D">
              <w:rPr>
                <w:rFonts w:eastAsia="Times New Roman" w:cs="Times New Roman"/>
                <w:color w:val="000000"/>
                <w:vertAlign w:val="subscript"/>
              </w:rPr>
              <w:t>18</w:t>
            </w:r>
            <w:r w:rsidRPr="003F756D">
              <w:rPr>
                <w:rFonts w:eastAsia="Times New Roman" w:cs="Times New Roman"/>
                <w:color w:val="000000"/>
              </w:rPr>
              <w:t>(OH)</w:t>
            </w:r>
            <w:r w:rsidRPr="003F756D">
              <w:rPr>
                <w:rFonts w:eastAsia="Times New Roman" w:cs="Times New Roman"/>
                <w:color w:val="000000"/>
                <w:vertAlign w:val="subscript"/>
              </w:rPr>
              <w:t>3</w:t>
            </w:r>
            <w:r w:rsidRPr="003F756D">
              <w:rPr>
                <w:rFonts w:eastAsia="Times New Roman" w:cs="Times New Roman"/>
                <w:color w:val="000000"/>
              </w:rPr>
              <w:t>OH</w:t>
            </w:r>
          </w:p>
        </w:tc>
      </w:tr>
      <w:tr w:rsidR="003F756D" w:rsidRPr="003F756D" w:rsidTr="002534F5">
        <w:trPr>
          <w:trHeight w:val="310"/>
          <w:jc w:val="center"/>
        </w:trPr>
        <w:tc>
          <w:tcPr>
            <w:tcW w:w="1890" w:type="dxa"/>
            <w:tcBorders>
              <w:top w:val="nil"/>
              <w:left w:val="nil"/>
              <w:bottom w:val="nil"/>
              <w:right w:val="nil"/>
            </w:tcBorders>
            <w:shd w:val="clear" w:color="auto" w:fill="auto"/>
            <w:noWrap/>
            <w:vAlign w:val="bottom"/>
            <w:hideMark/>
          </w:tcPr>
          <w:p w:rsidR="003F756D" w:rsidRPr="003F756D" w:rsidRDefault="003F756D" w:rsidP="003F756D">
            <w:pPr>
              <w:spacing w:after="0"/>
              <w:rPr>
                <w:rFonts w:eastAsia="Times New Roman" w:cs="Times New Roman"/>
                <w:color w:val="000000"/>
              </w:rPr>
            </w:pPr>
            <w:r w:rsidRPr="003F756D">
              <w:rPr>
                <w:rFonts w:eastAsia="Times New Roman" w:cs="Times New Roman"/>
                <w:color w:val="000000"/>
              </w:rPr>
              <w:t>Olenite</w:t>
            </w:r>
          </w:p>
        </w:tc>
        <w:tc>
          <w:tcPr>
            <w:tcW w:w="1483" w:type="dxa"/>
            <w:tcBorders>
              <w:top w:val="nil"/>
              <w:left w:val="nil"/>
              <w:bottom w:val="nil"/>
              <w:right w:val="nil"/>
            </w:tcBorders>
            <w:shd w:val="clear" w:color="auto" w:fill="auto"/>
            <w:noWrap/>
            <w:vAlign w:val="bottom"/>
            <w:hideMark/>
          </w:tcPr>
          <w:p w:rsidR="003F756D" w:rsidRPr="003F756D" w:rsidRDefault="003F756D" w:rsidP="003F756D">
            <w:pPr>
              <w:spacing w:after="0"/>
              <w:jc w:val="center"/>
              <w:rPr>
                <w:rFonts w:eastAsia="Times New Roman" w:cs="Times New Roman"/>
                <w:color w:val="000000"/>
              </w:rPr>
            </w:pPr>
            <w:r w:rsidRPr="003F756D">
              <w:rPr>
                <w:rFonts w:eastAsia="Times New Roman" w:cs="Times New Roman"/>
                <w:color w:val="000000"/>
              </w:rPr>
              <w:t>Oln</w:t>
            </w:r>
          </w:p>
        </w:tc>
        <w:tc>
          <w:tcPr>
            <w:tcW w:w="4509" w:type="dxa"/>
            <w:gridSpan w:val="2"/>
            <w:tcBorders>
              <w:top w:val="nil"/>
              <w:left w:val="nil"/>
              <w:bottom w:val="nil"/>
              <w:right w:val="nil"/>
            </w:tcBorders>
            <w:shd w:val="clear" w:color="auto" w:fill="auto"/>
            <w:noWrap/>
            <w:vAlign w:val="bottom"/>
            <w:hideMark/>
          </w:tcPr>
          <w:p w:rsidR="003F756D" w:rsidRPr="003F756D" w:rsidRDefault="003F756D" w:rsidP="003F756D">
            <w:pPr>
              <w:spacing w:after="0"/>
              <w:rPr>
                <w:rFonts w:eastAsia="Times New Roman" w:cs="Times New Roman"/>
                <w:color w:val="000000"/>
              </w:rPr>
            </w:pPr>
            <w:r w:rsidRPr="003F756D">
              <w:rPr>
                <w:rFonts w:eastAsia="Times New Roman" w:cs="Times New Roman"/>
                <w:color w:val="000000"/>
              </w:rPr>
              <w:t>NaAl</w:t>
            </w:r>
            <w:r w:rsidRPr="003F756D">
              <w:rPr>
                <w:rFonts w:eastAsia="Times New Roman" w:cs="Times New Roman"/>
                <w:color w:val="000000"/>
                <w:vertAlign w:val="subscript"/>
              </w:rPr>
              <w:t>3</w:t>
            </w:r>
            <w:r w:rsidRPr="003F756D">
              <w:rPr>
                <w:rFonts w:eastAsia="Times New Roman" w:cs="Times New Roman"/>
                <w:color w:val="000000"/>
              </w:rPr>
              <w:t>Al</w:t>
            </w:r>
            <w:r w:rsidRPr="003F756D">
              <w:rPr>
                <w:rFonts w:eastAsia="Times New Roman" w:cs="Times New Roman"/>
                <w:color w:val="000000"/>
                <w:vertAlign w:val="subscript"/>
              </w:rPr>
              <w:t>6</w:t>
            </w:r>
            <w:r w:rsidRPr="003F756D">
              <w:rPr>
                <w:rFonts w:eastAsia="Times New Roman" w:cs="Times New Roman"/>
                <w:color w:val="000000"/>
              </w:rPr>
              <w:t>(BO</w:t>
            </w:r>
            <w:r w:rsidRPr="003F756D">
              <w:rPr>
                <w:rFonts w:eastAsia="Times New Roman" w:cs="Times New Roman"/>
                <w:color w:val="000000"/>
                <w:vertAlign w:val="subscript"/>
              </w:rPr>
              <w:t>3</w:t>
            </w:r>
            <w:r w:rsidRPr="003F756D">
              <w:rPr>
                <w:rFonts w:eastAsia="Times New Roman" w:cs="Times New Roman"/>
                <w:color w:val="000000"/>
              </w:rPr>
              <w:t>)</w:t>
            </w:r>
            <w:r w:rsidRPr="003F756D">
              <w:rPr>
                <w:rFonts w:eastAsia="Times New Roman" w:cs="Times New Roman"/>
                <w:color w:val="000000"/>
                <w:vertAlign w:val="subscript"/>
              </w:rPr>
              <w:t>3</w:t>
            </w:r>
            <w:r w:rsidRPr="003F756D">
              <w:rPr>
                <w:rFonts w:eastAsia="Times New Roman" w:cs="Times New Roman"/>
                <w:color w:val="000000"/>
              </w:rPr>
              <w:t>Si</w:t>
            </w:r>
            <w:r w:rsidRPr="003F756D">
              <w:rPr>
                <w:rFonts w:eastAsia="Times New Roman" w:cs="Times New Roman"/>
                <w:color w:val="000000"/>
                <w:vertAlign w:val="subscript"/>
              </w:rPr>
              <w:t>6</w:t>
            </w:r>
            <w:r w:rsidRPr="003F756D">
              <w:rPr>
                <w:rFonts w:eastAsia="Times New Roman" w:cs="Times New Roman"/>
                <w:color w:val="000000"/>
              </w:rPr>
              <w:t>O</w:t>
            </w:r>
            <w:r w:rsidRPr="003F756D">
              <w:rPr>
                <w:rFonts w:eastAsia="Times New Roman" w:cs="Times New Roman"/>
                <w:color w:val="000000"/>
                <w:vertAlign w:val="subscript"/>
              </w:rPr>
              <w:t>18</w:t>
            </w:r>
            <w:r w:rsidRPr="003F756D">
              <w:rPr>
                <w:rFonts w:eastAsia="Times New Roman" w:cs="Times New Roman"/>
                <w:color w:val="000000"/>
              </w:rPr>
              <w:t>((OH)O</w:t>
            </w:r>
            <w:r w:rsidRPr="003F756D">
              <w:rPr>
                <w:rFonts w:eastAsia="Times New Roman" w:cs="Times New Roman"/>
                <w:color w:val="000000"/>
                <w:vertAlign w:val="subscript"/>
              </w:rPr>
              <w:t>2</w:t>
            </w:r>
            <w:r w:rsidRPr="003F756D">
              <w:rPr>
                <w:rFonts w:eastAsia="Times New Roman" w:cs="Times New Roman"/>
                <w:color w:val="000000"/>
              </w:rPr>
              <w:t>)O</w:t>
            </w:r>
          </w:p>
        </w:tc>
      </w:tr>
      <w:tr w:rsidR="003F756D" w:rsidRPr="003F756D" w:rsidTr="002534F5">
        <w:trPr>
          <w:trHeight w:val="310"/>
          <w:jc w:val="center"/>
        </w:trPr>
        <w:tc>
          <w:tcPr>
            <w:tcW w:w="1890" w:type="dxa"/>
            <w:tcBorders>
              <w:top w:val="nil"/>
              <w:left w:val="nil"/>
              <w:bottom w:val="nil"/>
              <w:right w:val="nil"/>
            </w:tcBorders>
            <w:shd w:val="clear" w:color="auto" w:fill="auto"/>
            <w:noWrap/>
            <w:vAlign w:val="bottom"/>
            <w:hideMark/>
          </w:tcPr>
          <w:p w:rsidR="003F756D" w:rsidRPr="003F756D" w:rsidRDefault="003F756D" w:rsidP="003F756D">
            <w:pPr>
              <w:spacing w:after="0"/>
              <w:rPr>
                <w:rFonts w:eastAsia="Times New Roman" w:cs="Times New Roman"/>
                <w:color w:val="000000"/>
              </w:rPr>
            </w:pPr>
            <w:r w:rsidRPr="003F756D">
              <w:rPr>
                <w:rFonts w:eastAsia="Times New Roman" w:cs="Times New Roman"/>
                <w:color w:val="000000"/>
              </w:rPr>
              <w:t>Foitite</w:t>
            </w:r>
          </w:p>
        </w:tc>
        <w:tc>
          <w:tcPr>
            <w:tcW w:w="1483" w:type="dxa"/>
            <w:tcBorders>
              <w:top w:val="nil"/>
              <w:left w:val="nil"/>
              <w:bottom w:val="nil"/>
              <w:right w:val="nil"/>
            </w:tcBorders>
            <w:shd w:val="clear" w:color="auto" w:fill="auto"/>
            <w:noWrap/>
            <w:vAlign w:val="bottom"/>
            <w:hideMark/>
          </w:tcPr>
          <w:p w:rsidR="003F756D" w:rsidRPr="003F756D" w:rsidRDefault="003F756D" w:rsidP="003F756D">
            <w:pPr>
              <w:spacing w:after="0"/>
              <w:jc w:val="center"/>
              <w:rPr>
                <w:rFonts w:eastAsia="Times New Roman" w:cs="Times New Roman"/>
                <w:color w:val="000000"/>
              </w:rPr>
            </w:pPr>
            <w:r w:rsidRPr="003F756D">
              <w:rPr>
                <w:rFonts w:eastAsia="Times New Roman" w:cs="Times New Roman"/>
                <w:color w:val="000000"/>
              </w:rPr>
              <w:t>Ftt</w:t>
            </w:r>
          </w:p>
        </w:tc>
        <w:tc>
          <w:tcPr>
            <w:tcW w:w="4509" w:type="dxa"/>
            <w:gridSpan w:val="2"/>
            <w:tcBorders>
              <w:top w:val="nil"/>
              <w:left w:val="nil"/>
              <w:bottom w:val="nil"/>
              <w:right w:val="nil"/>
            </w:tcBorders>
            <w:shd w:val="clear" w:color="auto" w:fill="auto"/>
            <w:noWrap/>
            <w:vAlign w:val="bottom"/>
            <w:hideMark/>
          </w:tcPr>
          <w:p w:rsidR="003F756D" w:rsidRPr="003F756D" w:rsidRDefault="003F756D" w:rsidP="003F756D">
            <w:pPr>
              <w:spacing w:after="0"/>
              <w:rPr>
                <w:rFonts w:eastAsia="Times New Roman" w:cs="Times New Roman"/>
                <w:color w:val="000000"/>
              </w:rPr>
            </w:pPr>
            <w:r w:rsidRPr="003F756D">
              <w:rPr>
                <w:rFonts w:ascii="Calibri" w:eastAsia="Times New Roman" w:hAnsi="Calibri" w:cs="Calibri"/>
                <w:color w:val="000000"/>
              </w:rPr>
              <w:t>□</w:t>
            </w:r>
            <w:r w:rsidRPr="003F756D">
              <w:rPr>
                <w:rFonts w:eastAsia="Times New Roman" w:cs="Times New Roman"/>
                <w:color w:val="000000"/>
              </w:rPr>
              <w:t>(Fe</w:t>
            </w:r>
            <w:r w:rsidRPr="003F756D">
              <w:rPr>
                <w:rFonts w:eastAsia="Times New Roman" w:cs="Times New Roman"/>
                <w:color w:val="000000"/>
                <w:vertAlign w:val="subscript"/>
              </w:rPr>
              <w:t>2</w:t>
            </w:r>
            <w:r w:rsidRPr="003F756D">
              <w:rPr>
                <w:rFonts w:eastAsia="Times New Roman" w:cs="Times New Roman"/>
                <w:color w:val="000000"/>
              </w:rPr>
              <w:t>Al)Al</w:t>
            </w:r>
            <w:r w:rsidRPr="003F756D">
              <w:rPr>
                <w:rFonts w:eastAsia="Times New Roman" w:cs="Times New Roman"/>
                <w:color w:val="000000"/>
                <w:vertAlign w:val="subscript"/>
              </w:rPr>
              <w:t>6</w:t>
            </w:r>
            <w:r w:rsidRPr="003F756D">
              <w:rPr>
                <w:rFonts w:eastAsia="Times New Roman" w:cs="Times New Roman"/>
                <w:color w:val="000000"/>
              </w:rPr>
              <w:t>(BO</w:t>
            </w:r>
            <w:r w:rsidRPr="003F756D">
              <w:rPr>
                <w:rFonts w:eastAsia="Times New Roman" w:cs="Times New Roman"/>
                <w:color w:val="000000"/>
                <w:vertAlign w:val="subscript"/>
              </w:rPr>
              <w:t>3</w:t>
            </w:r>
            <w:r w:rsidRPr="003F756D">
              <w:rPr>
                <w:rFonts w:eastAsia="Times New Roman" w:cs="Times New Roman"/>
                <w:color w:val="000000"/>
              </w:rPr>
              <w:t>)</w:t>
            </w:r>
            <w:r w:rsidRPr="003F756D">
              <w:rPr>
                <w:rFonts w:eastAsia="Times New Roman" w:cs="Times New Roman"/>
                <w:color w:val="000000"/>
                <w:vertAlign w:val="subscript"/>
              </w:rPr>
              <w:t>3</w:t>
            </w:r>
            <w:r w:rsidRPr="003F756D">
              <w:rPr>
                <w:rFonts w:eastAsia="Times New Roman" w:cs="Times New Roman"/>
                <w:color w:val="000000"/>
              </w:rPr>
              <w:t>Si</w:t>
            </w:r>
            <w:r w:rsidRPr="003F756D">
              <w:rPr>
                <w:rFonts w:eastAsia="Times New Roman" w:cs="Times New Roman"/>
                <w:color w:val="000000"/>
                <w:vertAlign w:val="subscript"/>
              </w:rPr>
              <w:t>6</w:t>
            </w:r>
            <w:r w:rsidRPr="003F756D">
              <w:rPr>
                <w:rFonts w:eastAsia="Times New Roman" w:cs="Times New Roman"/>
                <w:color w:val="000000"/>
              </w:rPr>
              <w:t>O</w:t>
            </w:r>
            <w:r w:rsidRPr="003F756D">
              <w:rPr>
                <w:rFonts w:eastAsia="Times New Roman" w:cs="Times New Roman"/>
                <w:color w:val="000000"/>
                <w:vertAlign w:val="subscript"/>
              </w:rPr>
              <w:t>18</w:t>
            </w:r>
            <w:r w:rsidRPr="003F756D">
              <w:rPr>
                <w:rFonts w:eastAsia="Times New Roman" w:cs="Times New Roman"/>
                <w:color w:val="000000"/>
              </w:rPr>
              <w:t>(OH)</w:t>
            </w:r>
            <w:r w:rsidRPr="003F756D">
              <w:rPr>
                <w:rFonts w:eastAsia="Times New Roman" w:cs="Times New Roman"/>
                <w:color w:val="000000"/>
                <w:vertAlign w:val="subscript"/>
              </w:rPr>
              <w:t>3</w:t>
            </w:r>
            <w:r w:rsidRPr="003F756D">
              <w:rPr>
                <w:rFonts w:eastAsia="Times New Roman" w:cs="Times New Roman"/>
                <w:color w:val="000000"/>
              </w:rPr>
              <w:t>OH</w:t>
            </w:r>
          </w:p>
        </w:tc>
      </w:tr>
      <w:tr w:rsidR="003F756D" w:rsidRPr="003F756D" w:rsidTr="002534F5">
        <w:trPr>
          <w:trHeight w:val="310"/>
          <w:jc w:val="center"/>
        </w:trPr>
        <w:tc>
          <w:tcPr>
            <w:tcW w:w="1890" w:type="dxa"/>
            <w:tcBorders>
              <w:top w:val="nil"/>
              <w:left w:val="nil"/>
              <w:bottom w:val="nil"/>
              <w:right w:val="nil"/>
            </w:tcBorders>
            <w:shd w:val="clear" w:color="auto" w:fill="auto"/>
            <w:noWrap/>
            <w:vAlign w:val="bottom"/>
            <w:hideMark/>
          </w:tcPr>
          <w:p w:rsidR="003F756D" w:rsidRPr="003F756D" w:rsidRDefault="003F756D" w:rsidP="003F756D">
            <w:pPr>
              <w:spacing w:after="0"/>
              <w:rPr>
                <w:rFonts w:eastAsia="Times New Roman" w:cs="Times New Roman"/>
                <w:color w:val="000000"/>
              </w:rPr>
            </w:pPr>
            <w:r w:rsidRPr="003F756D">
              <w:rPr>
                <w:rFonts w:eastAsia="Times New Roman" w:cs="Times New Roman"/>
                <w:color w:val="000000"/>
              </w:rPr>
              <w:t>Magnesio-foitite</w:t>
            </w:r>
          </w:p>
        </w:tc>
        <w:tc>
          <w:tcPr>
            <w:tcW w:w="1483" w:type="dxa"/>
            <w:tcBorders>
              <w:top w:val="nil"/>
              <w:left w:val="nil"/>
              <w:bottom w:val="nil"/>
              <w:right w:val="nil"/>
            </w:tcBorders>
            <w:shd w:val="clear" w:color="auto" w:fill="auto"/>
            <w:noWrap/>
            <w:vAlign w:val="bottom"/>
            <w:hideMark/>
          </w:tcPr>
          <w:p w:rsidR="003F756D" w:rsidRPr="003F756D" w:rsidRDefault="003F756D" w:rsidP="003F756D">
            <w:pPr>
              <w:spacing w:after="0"/>
              <w:jc w:val="center"/>
              <w:rPr>
                <w:rFonts w:eastAsia="Times New Roman" w:cs="Times New Roman"/>
                <w:color w:val="000000"/>
              </w:rPr>
            </w:pPr>
            <w:r w:rsidRPr="003F756D">
              <w:rPr>
                <w:rFonts w:eastAsia="Times New Roman" w:cs="Times New Roman"/>
                <w:color w:val="000000"/>
              </w:rPr>
              <w:t>Mft</w:t>
            </w:r>
          </w:p>
        </w:tc>
        <w:tc>
          <w:tcPr>
            <w:tcW w:w="4509" w:type="dxa"/>
            <w:gridSpan w:val="2"/>
            <w:tcBorders>
              <w:top w:val="nil"/>
              <w:left w:val="nil"/>
              <w:bottom w:val="nil"/>
              <w:right w:val="nil"/>
            </w:tcBorders>
            <w:shd w:val="clear" w:color="auto" w:fill="auto"/>
            <w:noWrap/>
            <w:vAlign w:val="bottom"/>
            <w:hideMark/>
          </w:tcPr>
          <w:p w:rsidR="003F756D" w:rsidRPr="003F756D" w:rsidRDefault="003F756D" w:rsidP="003F756D">
            <w:pPr>
              <w:spacing w:after="0"/>
              <w:rPr>
                <w:rFonts w:eastAsia="Times New Roman" w:cs="Times New Roman"/>
                <w:color w:val="000000"/>
              </w:rPr>
            </w:pPr>
            <w:r w:rsidRPr="003F756D">
              <w:rPr>
                <w:rFonts w:eastAsia="Times New Roman" w:cs="Times New Roman"/>
                <w:color w:val="000000"/>
              </w:rPr>
              <w:t>□(Mg</w:t>
            </w:r>
            <w:r w:rsidRPr="003F756D">
              <w:rPr>
                <w:rFonts w:eastAsia="Times New Roman" w:cs="Times New Roman"/>
                <w:color w:val="000000"/>
                <w:vertAlign w:val="subscript"/>
              </w:rPr>
              <w:t>2</w:t>
            </w:r>
            <w:r w:rsidRPr="003F756D">
              <w:rPr>
                <w:rFonts w:eastAsia="Times New Roman" w:cs="Times New Roman"/>
                <w:color w:val="000000"/>
              </w:rPr>
              <w:t>Al)</w:t>
            </w:r>
            <w:r w:rsidRPr="003F756D">
              <w:rPr>
                <w:rFonts w:eastAsia="Times New Roman" w:cs="Times New Roman"/>
                <w:color w:val="000000"/>
                <w:vertAlign w:val="subscript"/>
              </w:rPr>
              <w:t>3</w:t>
            </w:r>
            <w:r w:rsidRPr="003F756D">
              <w:rPr>
                <w:rFonts w:eastAsia="Times New Roman" w:cs="Times New Roman"/>
                <w:color w:val="000000"/>
              </w:rPr>
              <w:t>Al</w:t>
            </w:r>
            <w:r w:rsidRPr="003F756D">
              <w:rPr>
                <w:rFonts w:eastAsia="Times New Roman" w:cs="Times New Roman"/>
                <w:color w:val="000000"/>
                <w:vertAlign w:val="subscript"/>
              </w:rPr>
              <w:t>6</w:t>
            </w:r>
            <w:r w:rsidRPr="003F756D">
              <w:rPr>
                <w:rFonts w:eastAsia="Times New Roman" w:cs="Times New Roman"/>
                <w:color w:val="000000"/>
              </w:rPr>
              <w:t>(BO</w:t>
            </w:r>
            <w:r w:rsidRPr="003F756D">
              <w:rPr>
                <w:rFonts w:eastAsia="Times New Roman" w:cs="Times New Roman"/>
                <w:color w:val="000000"/>
                <w:vertAlign w:val="subscript"/>
              </w:rPr>
              <w:t>3</w:t>
            </w:r>
            <w:r w:rsidRPr="003F756D">
              <w:rPr>
                <w:rFonts w:eastAsia="Times New Roman" w:cs="Times New Roman"/>
                <w:color w:val="000000"/>
              </w:rPr>
              <w:t>)</w:t>
            </w:r>
            <w:r w:rsidRPr="003F756D">
              <w:rPr>
                <w:rFonts w:eastAsia="Times New Roman" w:cs="Times New Roman"/>
                <w:color w:val="000000"/>
                <w:vertAlign w:val="subscript"/>
              </w:rPr>
              <w:t>3</w:t>
            </w:r>
            <w:r w:rsidRPr="003F756D">
              <w:rPr>
                <w:rFonts w:eastAsia="Times New Roman" w:cs="Times New Roman"/>
                <w:color w:val="000000"/>
              </w:rPr>
              <w:t>Si</w:t>
            </w:r>
            <w:r w:rsidRPr="003F756D">
              <w:rPr>
                <w:rFonts w:eastAsia="Times New Roman" w:cs="Times New Roman"/>
                <w:color w:val="000000"/>
                <w:vertAlign w:val="subscript"/>
              </w:rPr>
              <w:t>6</w:t>
            </w:r>
            <w:r w:rsidRPr="003F756D">
              <w:rPr>
                <w:rFonts w:eastAsia="Times New Roman" w:cs="Times New Roman"/>
                <w:color w:val="000000"/>
              </w:rPr>
              <w:t>O</w:t>
            </w:r>
            <w:r w:rsidRPr="003F756D">
              <w:rPr>
                <w:rFonts w:eastAsia="Times New Roman" w:cs="Times New Roman"/>
                <w:color w:val="000000"/>
                <w:vertAlign w:val="subscript"/>
              </w:rPr>
              <w:t>18</w:t>
            </w:r>
            <w:r w:rsidRPr="003F756D">
              <w:rPr>
                <w:rFonts w:eastAsia="Times New Roman" w:cs="Times New Roman"/>
                <w:color w:val="000000"/>
              </w:rPr>
              <w:t>(OH)</w:t>
            </w:r>
            <w:r w:rsidRPr="003F756D">
              <w:rPr>
                <w:rFonts w:eastAsia="Times New Roman" w:cs="Times New Roman"/>
                <w:color w:val="000000"/>
                <w:vertAlign w:val="subscript"/>
              </w:rPr>
              <w:t>3</w:t>
            </w:r>
            <w:r w:rsidRPr="003F756D">
              <w:rPr>
                <w:rFonts w:eastAsia="Times New Roman" w:cs="Times New Roman"/>
                <w:color w:val="000000"/>
              </w:rPr>
              <w:t>OH</w:t>
            </w:r>
          </w:p>
        </w:tc>
      </w:tr>
      <w:tr w:rsidR="003F756D" w:rsidRPr="003F756D" w:rsidTr="002534F5">
        <w:trPr>
          <w:trHeight w:val="310"/>
          <w:jc w:val="center"/>
        </w:trPr>
        <w:tc>
          <w:tcPr>
            <w:tcW w:w="1890" w:type="dxa"/>
            <w:tcBorders>
              <w:top w:val="nil"/>
              <w:left w:val="nil"/>
              <w:bottom w:val="nil"/>
              <w:right w:val="nil"/>
            </w:tcBorders>
            <w:shd w:val="clear" w:color="auto" w:fill="auto"/>
            <w:noWrap/>
            <w:vAlign w:val="bottom"/>
            <w:hideMark/>
          </w:tcPr>
          <w:p w:rsidR="003F756D" w:rsidRPr="003F756D" w:rsidRDefault="003F756D" w:rsidP="003F756D">
            <w:pPr>
              <w:spacing w:after="0"/>
              <w:rPr>
                <w:rFonts w:eastAsia="Times New Roman" w:cs="Times New Roman"/>
                <w:color w:val="000000"/>
              </w:rPr>
            </w:pPr>
            <w:r w:rsidRPr="003F756D">
              <w:rPr>
                <w:rFonts w:eastAsia="Times New Roman" w:cs="Times New Roman"/>
                <w:color w:val="000000"/>
              </w:rPr>
              <w:t>Elbaite</w:t>
            </w:r>
          </w:p>
        </w:tc>
        <w:tc>
          <w:tcPr>
            <w:tcW w:w="1483" w:type="dxa"/>
            <w:tcBorders>
              <w:top w:val="nil"/>
              <w:left w:val="nil"/>
              <w:bottom w:val="nil"/>
              <w:right w:val="nil"/>
            </w:tcBorders>
            <w:shd w:val="clear" w:color="auto" w:fill="auto"/>
            <w:noWrap/>
            <w:vAlign w:val="bottom"/>
            <w:hideMark/>
          </w:tcPr>
          <w:p w:rsidR="003F756D" w:rsidRPr="003F756D" w:rsidRDefault="003F756D" w:rsidP="003F756D">
            <w:pPr>
              <w:spacing w:after="0"/>
              <w:jc w:val="center"/>
              <w:rPr>
                <w:rFonts w:eastAsia="Times New Roman" w:cs="Times New Roman"/>
                <w:color w:val="000000"/>
              </w:rPr>
            </w:pPr>
            <w:r w:rsidRPr="003F756D">
              <w:rPr>
                <w:rFonts w:eastAsia="Times New Roman" w:cs="Times New Roman"/>
                <w:color w:val="000000"/>
              </w:rPr>
              <w:t>Elb</w:t>
            </w:r>
          </w:p>
        </w:tc>
        <w:tc>
          <w:tcPr>
            <w:tcW w:w="4509" w:type="dxa"/>
            <w:gridSpan w:val="2"/>
            <w:tcBorders>
              <w:top w:val="nil"/>
              <w:left w:val="nil"/>
              <w:bottom w:val="nil"/>
              <w:right w:val="nil"/>
            </w:tcBorders>
            <w:shd w:val="clear" w:color="auto" w:fill="auto"/>
            <w:noWrap/>
            <w:vAlign w:val="bottom"/>
            <w:hideMark/>
          </w:tcPr>
          <w:p w:rsidR="003F756D" w:rsidRPr="003F756D" w:rsidRDefault="003F756D" w:rsidP="003F756D">
            <w:pPr>
              <w:spacing w:after="0"/>
              <w:rPr>
                <w:rFonts w:eastAsia="Times New Roman" w:cs="Times New Roman"/>
                <w:color w:val="000000"/>
              </w:rPr>
            </w:pPr>
            <w:r w:rsidRPr="003F756D">
              <w:rPr>
                <w:rFonts w:eastAsia="Times New Roman" w:cs="Times New Roman"/>
                <w:color w:val="000000"/>
              </w:rPr>
              <w:t>Na(Li</w:t>
            </w:r>
            <w:r w:rsidRPr="003F756D">
              <w:rPr>
                <w:rFonts w:eastAsia="Times New Roman" w:cs="Times New Roman"/>
                <w:color w:val="000000"/>
                <w:vertAlign w:val="subscript"/>
              </w:rPr>
              <w:t>1.5</w:t>
            </w:r>
            <w:r w:rsidRPr="003F756D">
              <w:rPr>
                <w:rFonts w:eastAsia="Times New Roman" w:cs="Times New Roman"/>
                <w:color w:val="000000"/>
              </w:rPr>
              <w:t>Al</w:t>
            </w:r>
            <w:r w:rsidRPr="003F756D">
              <w:rPr>
                <w:rFonts w:eastAsia="Times New Roman" w:cs="Times New Roman"/>
                <w:color w:val="000000"/>
                <w:vertAlign w:val="subscript"/>
              </w:rPr>
              <w:t>1.5</w:t>
            </w:r>
            <w:r w:rsidRPr="003F756D">
              <w:rPr>
                <w:rFonts w:eastAsia="Times New Roman" w:cs="Times New Roman"/>
                <w:color w:val="000000"/>
              </w:rPr>
              <w:t>)Al</w:t>
            </w:r>
            <w:r w:rsidRPr="003F756D">
              <w:rPr>
                <w:rFonts w:eastAsia="Times New Roman" w:cs="Times New Roman"/>
                <w:color w:val="000000"/>
                <w:vertAlign w:val="subscript"/>
              </w:rPr>
              <w:t>6</w:t>
            </w:r>
            <w:r w:rsidRPr="003F756D">
              <w:rPr>
                <w:rFonts w:eastAsia="Times New Roman" w:cs="Times New Roman"/>
                <w:color w:val="000000"/>
              </w:rPr>
              <w:t>(BO</w:t>
            </w:r>
            <w:r w:rsidRPr="003F756D">
              <w:rPr>
                <w:rFonts w:eastAsia="Times New Roman" w:cs="Times New Roman"/>
                <w:color w:val="000000"/>
                <w:vertAlign w:val="subscript"/>
              </w:rPr>
              <w:t>3</w:t>
            </w:r>
            <w:r w:rsidRPr="003F756D">
              <w:rPr>
                <w:rFonts w:eastAsia="Times New Roman" w:cs="Times New Roman"/>
                <w:color w:val="000000"/>
              </w:rPr>
              <w:t>)</w:t>
            </w:r>
            <w:r w:rsidRPr="003F756D">
              <w:rPr>
                <w:rFonts w:eastAsia="Times New Roman" w:cs="Times New Roman"/>
                <w:color w:val="000000"/>
                <w:vertAlign w:val="subscript"/>
              </w:rPr>
              <w:t>3</w:t>
            </w:r>
            <w:r w:rsidRPr="003F756D">
              <w:rPr>
                <w:rFonts w:eastAsia="Times New Roman" w:cs="Times New Roman"/>
                <w:color w:val="000000"/>
              </w:rPr>
              <w:t>Si</w:t>
            </w:r>
            <w:r w:rsidRPr="003F756D">
              <w:rPr>
                <w:rFonts w:eastAsia="Times New Roman" w:cs="Times New Roman"/>
                <w:color w:val="000000"/>
                <w:vertAlign w:val="subscript"/>
              </w:rPr>
              <w:t>6</w:t>
            </w:r>
            <w:r w:rsidRPr="003F756D">
              <w:rPr>
                <w:rFonts w:eastAsia="Times New Roman" w:cs="Times New Roman"/>
                <w:color w:val="000000"/>
              </w:rPr>
              <w:t>O</w:t>
            </w:r>
            <w:r w:rsidRPr="003F756D">
              <w:rPr>
                <w:rFonts w:eastAsia="Times New Roman" w:cs="Times New Roman"/>
                <w:color w:val="000000"/>
                <w:vertAlign w:val="subscript"/>
              </w:rPr>
              <w:t>18</w:t>
            </w:r>
            <w:r w:rsidRPr="003F756D">
              <w:rPr>
                <w:rFonts w:eastAsia="Times New Roman" w:cs="Times New Roman"/>
                <w:color w:val="000000"/>
              </w:rPr>
              <w:t>(OH)</w:t>
            </w:r>
            <w:r w:rsidRPr="003F756D">
              <w:rPr>
                <w:rFonts w:eastAsia="Times New Roman" w:cs="Times New Roman"/>
                <w:color w:val="000000"/>
                <w:vertAlign w:val="subscript"/>
              </w:rPr>
              <w:t>3</w:t>
            </w:r>
            <w:r w:rsidRPr="003F756D">
              <w:rPr>
                <w:rFonts w:eastAsia="Times New Roman" w:cs="Times New Roman"/>
                <w:color w:val="000000"/>
              </w:rPr>
              <w:t>OH</w:t>
            </w:r>
          </w:p>
        </w:tc>
      </w:tr>
      <w:tr w:rsidR="003F756D" w:rsidRPr="003F756D" w:rsidTr="002534F5">
        <w:trPr>
          <w:trHeight w:val="310"/>
          <w:jc w:val="center"/>
        </w:trPr>
        <w:tc>
          <w:tcPr>
            <w:tcW w:w="1890" w:type="dxa"/>
            <w:tcBorders>
              <w:top w:val="nil"/>
              <w:left w:val="nil"/>
              <w:bottom w:val="nil"/>
              <w:right w:val="nil"/>
            </w:tcBorders>
            <w:shd w:val="clear" w:color="auto" w:fill="auto"/>
            <w:noWrap/>
            <w:vAlign w:val="bottom"/>
            <w:hideMark/>
          </w:tcPr>
          <w:p w:rsidR="003F756D" w:rsidRPr="003F756D" w:rsidRDefault="003F756D" w:rsidP="003F756D">
            <w:pPr>
              <w:spacing w:after="0"/>
              <w:rPr>
                <w:rFonts w:eastAsia="Times New Roman" w:cs="Times New Roman"/>
                <w:color w:val="000000"/>
              </w:rPr>
            </w:pPr>
            <w:r w:rsidRPr="003F756D">
              <w:rPr>
                <w:rFonts w:eastAsia="Times New Roman" w:cs="Times New Roman"/>
                <w:color w:val="000000"/>
              </w:rPr>
              <w:t>Rossmanite</w:t>
            </w:r>
          </w:p>
        </w:tc>
        <w:tc>
          <w:tcPr>
            <w:tcW w:w="1483" w:type="dxa"/>
            <w:tcBorders>
              <w:top w:val="nil"/>
              <w:left w:val="nil"/>
              <w:bottom w:val="nil"/>
              <w:right w:val="nil"/>
            </w:tcBorders>
            <w:shd w:val="clear" w:color="auto" w:fill="auto"/>
            <w:noWrap/>
            <w:vAlign w:val="bottom"/>
            <w:hideMark/>
          </w:tcPr>
          <w:p w:rsidR="003F756D" w:rsidRPr="003F756D" w:rsidRDefault="003F756D" w:rsidP="003F756D">
            <w:pPr>
              <w:spacing w:after="0"/>
              <w:jc w:val="center"/>
              <w:rPr>
                <w:rFonts w:eastAsia="Times New Roman" w:cs="Times New Roman"/>
                <w:color w:val="000000"/>
              </w:rPr>
            </w:pPr>
            <w:r w:rsidRPr="003F756D">
              <w:rPr>
                <w:rFonts w:eastAsia="Times New Roman" w:cs="Times New Roman"/>
                <w:color w:val="000000"/>
              </w:rPr>
              <w:t>Rss</w:t>
            </w:r>
          </w:p>
        </w:tc>
        <w:tc>
          <w:tcPr>
            <w:tcW w:w="4509" w:type="dxa"/>
            <w:gridSpan w:val="2"/>
            <w:tcBorders>
              <w:top w:val="nil"/>
              <w:left w:val="nil"/>
              <w:bottom w:val="nil"/>
              <w:right w:val="nil"/>
            </w:tcBorders>
            <w:shd w:val="clear" w:color="auto" w:fill="auto"/>
            <w:noWrap/>
            <w:vAlign w:val="bottom"/>
            <w:hideMark/>
          </w:tcPr>
          <w:p w:rsidR="003F756D" w:rsidRPr="003F756D" w:rsidRDefault="003F756D" w:rsidP="003F756D">
            <w:pPr>
              <w:spacing w:after="0"/>
              <w:rPr>
                <w:rFonts w:eastAsia="Times New Roman" w:cs="Times New Roman"/>
                <w:color w:val="000000"/>
              </w:rPr>
            </w:pPr>
            <w:r w:rsidRPr="003F756D">
              <w:rPr>
                <w:rFonts w:eastAsia="Times New Roman" w:cs="Times New Roman"/>
                <w:color w:val="000000"/>
              </w:rPr>
              <w:t>□(LiAl</w:t>
            </w:r>
            <w:r w:rsidRPr="003F756D">
              <w:rPr>
                <w:rFonts w:eastAsia="Times New Roman" w:cs="Times New Roman"/>
                <w:color w:val="000000"/>
                <w:vertAlign w:val="subscript"/>
              </w:rPr>
              <w:t>2</w:t>
            </w:r>
            <w:r w:rsidRPr="003F756D">
              <w:rPr>
                <w:rFonts w:eastAsia="Times New Roman" w:cs="Times New Roman"/>
                <w:color w:val="000000"/>
              </w:rPr>
              <w:t>)Al</w:t>
            </w:r>
            <w:r w:rsidRPr="003F756D">
              <w:rPr>
                <w:rFonts w:eastAsia="Times New Roman" w:cs="Times New Roman"/>
                <w:color w:val="000000"/>
                <w:vertAlign w:val="subscript"/>
              </w:rPr>
              <w:t>6</w:t>
            </w:r>
            <w:r w:rsidRPr="003F756D">
              <w:rPr>
                <w:rFonts w:eastAsia="Times New Roman" w:cs="Times New Roman"/>
                <w:color w:val="000000"/>
              </w:rPr>
              <w:t>(BO</w:t>
            </w:r>
            <w:r w:rsidRPr="003F756D">
              <w:rPr>
                <w:rFonts w:eastAsia="Times New Roman" w:cs="Times New Roman"/>
                <w:color w:val="000000"/>
                <w:vertAlign w:val="subscript"/>
              </w:rPr>
              <w:t>3</w:t>
            </w:r>
            <w:r w:rsidRPr="003F756D">
              <w:rPr>
                <w:rFonts w:eastAsia="Times New Roman" w:cs="Times New Roman"/>
                <w:color w:val="000000"/>
              </w:rPr>
              <w:t>)</w:t>
            </w:r>
            <w:r w:rsidRPr="003F756D">
              <w:rPr>
                <w:rFonts w:eastAsia="Times New Roman" w:cs="Times New Roman"/>
                <w:color w:val="000000"/>
                <w:vertAlign w:val="subscript"/>
              </w:rPr>
              <w:t>3</w:t>
            </w:r>
            <w:r w:rsidRPr="003F756D">
              <w:rPr>
                <w:rFonts w:eastAsia="Times New Roman" w:cs="Times New Roman"/>
                <w:color w:val="000000"/>
              </w:rPr>
              <w:t>Si</w:t>
            </w:r>
            <w:r w:rsidRPr="003F756D">
              <w:rPr>
                <w:rFonts w:eastAsia="Times New Roman" w:cs="Times New Roman"/>
                <w:color w:val="000000"/>
                <w:vertAlign w:val="subscript"/>
              </w:rPr>
              <w:t>6</w:t>
            </w:r>
            <w:r w:rsidRPr="003F756D">
              <w:rPr>
                <w:rFonts w:eastAsia="Times New Roman" w:cs="Times New Roman"/>
                <w:color w:val="000000"/>
              </w:rPr>
              <w:t>O</w:t>
            </w:r>
            <w:r w:rsidRPr="003F756D">
              <w:rPr>
                <w:rFonts w:eastAsia="Times New Roman" w:cs="Times New Roman"/>
                <w:color w:val="000000"/>
                <w:vertAlign w:val="subscript"/>
              </w:rPr>
              <w:t>18</w:t>
            </w:r>
            <w:r w:rsidRPr="003F756D">
              <w:rPr>
                <w:rFonts w:eastAsia="Times New Roman" w:cs="Times New Roman"/>
                <w:color w:val="000000"/>
              </w:rPr>
              <w:t>(OH)</w:t>
            </w:r>
            <w:r w:rsidRPr="003F756D">
              <w:rPr>
                <w:rFonts w:eastAsia="Times New Roman" w:cs="Times New Roman"/>
                <w:color w:val="000000"/>
                <w:vertAlign w:val="subscript"/>
              </w:rPr>
              <w:t>3</w:t>
            </w:r>
            <w:r w:rsidRPr="003F756D">
              <w:rPr>
                <w:rFonts w:eastAsia="Times New Roman" w:cs="Times New Roman"/>
                <w:color w:val="000000"/>
              </w:rPr>
              <w:t>OH</w:t>
            </w:r>
          </w:p>
        </w:tc>
      </w:tr>
      <w:tr w:rsidR="003F756D" w:rsidRPr="003F756D" w:rsidTr="002534F5">
        <w:trPr>
          <w:trHeight w:val="310"/>
          <w:jc w:val="center"/>
        </w:trPr>
        <w:tc>
          <w:tcPr>
            <w:tcW w:w="1890" w:type="dxa"/>
            <w:tcBorders>
              <w:top w:val="nil"/>
              <w:left w:val="nil"/>
              <w:bottom w:val="single" w:sz="4" w:space="0" w:color="auto"/>
              <w:right w:val="nil"/>
            </w:tcBorders>
            <w:shd w:val="clear" w:color="auto" w:fill="auto"/>
            <w:noWrap/>
            <w:vAlign w:val="bottom"/>
            <w:hideMark/>
          </w:tcPr>
          <w:p w:rsidR="003F756D" w:rsidRPr="003F756D" w:rsidRDefault="003F756D" w:rsidP="003F756D">
            <w:pPr>
              <w:spacing w:after="0"/>
              <w:rPr>
                <w:rFonts w:eastAsia="Times New Roman" w:cs="Times New Roman"/>
                <w:color w:val="000000"/>
              </w:rPr>
            </w:pPr>
            <w:r w:rsidRPr="003F756D">
              <w:rPr>
                <w:rFonts w:eastAsia="Times New Roman" w:cs="Times New Roman"/>
                <w:color w:val="000000"/>
              </w:rPr>
              <w:t>Liddicoatite-OH</w:t>
            </w:r>
          </w:p>
        </w:tc>
        <w:tc>
          <w:tcPr>
            <w:tcW w:w="1483" w:type="dxa"/>
            <w:tcBorders>
              <w:top w:val="nil"/>
              <w:left w:val="nil"/>
              <w:bottom w:val="single" w:sz="4" w:space="0" w:color="auto"/>
              <w:right w:val="nil"/>
            </w:tcBorders>
            <w:shd w:val="clear" w:color="auto" w:fill="auto"/>
            <w:noWrap/>
            <w:vAlign w:val="bottom"/>
            <w:hideMark/>
          </w:tcPr>
          <w:p w:rsidR="003F756D" w:rsidRPr="003F756D" w:rsidRDefault="003F756D" w:rsidP="003F756D">
            <w:pPr>
              <w:spacing w:after="0"/>
              <w:jc w:val="center"/>
              <w:rPr>
                <w:rFonts w:eastAsia="Times New Roman" w:cs="Times New Roman"/>
                <w:color w:val="000000"/>
              </w:rPr>
            </w:pPr>
            <w:r w:rsidRPr="003F756D">
              <w:rPr>
                <w:rFonts w:eastAsia="Times New Roman" w:cs="Times New Roman"/>
                <w:color w:val="000000"/>
              </w:rPr>
              <w:t>Ldd</w:t>
            </w:r>
          </w:p>
        </w:tc>
        <w:tc>
          <w:tcPr>
            <w:tcW w:w="4509" w:type="dxa"/>
            <w:gridSpan w:val="2"/>
            <w:tcBorders>
              <w:top w:val="nil"/>
              <w:left w:val="nil"/>
              <w:bottom w:val="single" w:sz="4" w:space="0" w:color="auto"/>
              <w:right w:val="nil"/>
            </w:tcBorders>
            <w:shd w:val="clear" w:color="auto" w:fill="auto"/>
            <w:noWrap/>
            <w:vAlign w:val="bottom"/>
            <w:hideMark/>
          </w:tcPr>
          <w:p w:rsidR="003F756D" w:rsidRPr="003F756D" w:rsidRDefault="003F756D" w:rsidP="003F756D">
            <w:pPr>
              <w:spacing w:after="0"/>
              <w:rPr>
                <w:rFonts w:eastAsia="Times New Roman" w:cs="Times New Roman"/>
                <w:color w:val="000000"/>
              </w:rPr>
            </w:pPr>
            <w:r w:rsidRPr="003F756D">
              <w:rPr>
                <w:rFonts w:eastAsia="Times New Roman" w:cs="Times New Roman"/>
                <w:color w:val="000000"/>
              </w:rPr>
              <w:t>Ca(Li</w:t>
            </w:r>
            <w:r w:rsidRPr="003F756D">
              <w:rPr>
                <w:rFonts w:eastAsia="Times New Roman" w:cs="Times New Roman"/>
                <w:color w:val="000000"/>
                <w:vertAlign w:val="subscript"/>
              </w:rPr>
              <w:t>2</w:t>
            </w:r>
            <w:r w:rsidRPr="003F756D">
              <w:rPr>
                <w:rFonts w:eastAsia="Times New Roman" w:cs="Times New Roman"/>
                <w:color w:val="000000"/>
              </w:rPr>
              <w:t>Al)Al</w:t>
            </w:r>
            <w:r w:rsidRPr="003F756D">
              <w:rPr>
                <w:rFonts w:eastAsia="Times New Roman" w:cs="Times New Roman"/>
                <w:color w:val="000000"/>
                <w:vertAlign w:val="subscript"/>
              </w:rPr>
              <w:t>6</w:t>
            </w:r>
            <w:r w:rsidRPr="003F756D">
              <w:rPr>
                <w:rFonts w:eastAsia="Times New Roman" w:cs="Times New Roman"/>
                <w:color w:val="000000"/>
              </w:rPr>
              <w:t>(BO</w:t>
            </w:r>
            <w:r w:rsidRPr="003F756D">
              <w:rPr>
                <w:rFonts w:eastAsia="Times New Roman" w:cs="Times New Roman"/>
                <w:color w:val="000000"/>
                <w:vertAlign w:val="subscript"/>
              </w:rPr>
              <w:t>3</w:t>
            </w:r>
            <w:r w:rsidRPr="003F756D">
              <w:rPr>
                <w:rFonts w:eastAsia="Times New Roman" w:cs="Times New Roman"/>
                <w:color w:val="000000"/>
              </w:rPr>
              <w:t>)</w:t>
            </w:r>
            <w:r w:rsidRPr="003F756D">
              <w:rPr>
                <w:rFonts w:eastAsia="Times New Roman" w:cs="Times New Roman"/>
                <w:color w:val="000000"/>
                <w:vertAlign w:val="subscript"/>
              </w:rPr>
              <w:t>3</w:t>
            </w:r>
            <w:r w:rsidRPr="003F756D">
              <w:rPr>
                <w:rFonts w:eastAsia="Times New Roman" w:cs="Times New Roman"/>
                <w:color w:val="000000"/>
              </w:rPr>
              <w:t>Si</w:t>
            </w:r>
            <w:r w:rsidRPr="003F756D">
              <w:rPr>
                <w:rFonts w:eastAsia="Times New Roman" w:cs="Times New Roman"/>
                <w:color w:val="000000"/>
                <w:vertAlign w:val="subscript"/>
              </w:rPr>
              <w:t>6</w:t>
            </w:r>
            <w:r w:rsidRPr="003F756D">
              <w:rPr>
                <w:rFonts w:eastAsia="Times New Roman" w:cs="Times New Roman"/>
                <w:color w:val="000000"/>
              </w:rPr>
              <w:t>O</w:t>
            </w:r>
            <w:r w:rsidRPr="003F756D">
              <w:rPr>
                <w:rFonts w:eastAsia="Times New Roman" w:cs="Times New Roman"/>
                <w:color w:val="000000"/>
                <w:vertAlign w:val="subscript"/>
              </w:rPr>
              <w:t>18</w:t>
            </w:r>
            <w:r w:rsidRPr="003F756D">
              <w:rPr>
                <w:rFonts w:eastAsia="Times New Roman" w:cs="Times New Roman"/>
                <w:color w:val="000000"/>
              </w:rPr>
              <w:t>(OH)</w:t>
            </w:r>
            <w:r w:rsidRPr="003F756D">
              <w:rPr>
                <w:rFonts w:eastAsia="Times New Roman" w:cs="Times New Roman"/>
                <w:color w:val="000000"/>
                <w:vertAlign w:val="subscript"/>
              </w:rPr>
              <w:t>3</w:t>
            </w:r>
            <w:r w:rsidRPr="003F756D">
              <w:rPr>
                <w:rFonts w:eastAsia="Times New Roman" w:cs="Times New Roman"/>
                <w:color w:val="000000"/>
              </w:rPr>
              <w:t>OH</w:t>
            </w:r>
          </w:p>
        </w:tc>
      </w:tr>
      <w:tr w:rsidR="003F756D" w:rsidRPr="003F756D" w:rsidTr="002534F5">
        <w:trPr>
          <w:trHeight w:val="310"/>
          <w:jc w:val="center"/>
        </w:trPr>
        <w:tc>
          <w:tcPr>
            <w:tcW w:w="7644" w:type="dxa"/>
            <w:gridSpan w:val="3"/>
            <w:tcBorders>
              <w:top w:val="nil"/>
              <w:left w:val="nil"/>
              <w:bottom w:val="nil"/>
              <w:right w:val="nil"/>
            </w:tcBorders>
            <w:shd w:val="clear" w:color="auto" w:fill="auto"/>
            <w:noWrap/>
            <w:vAlign w:val="bottom"/>
            <w:hideMark/>
          </w:tcPr>
          <w:p w:rsidR="003F756D" w:rsidRPr="003F756D" w:rsidRDefault="003F756D" w:rsidP="003F756D">
            <w:pPr>
              <w:spacing w:after="0"/>
              <w:rPr>
                <w:rFonts w:eastAsia="Times New Roman" w:cs="Times New Roman"/>
                <w:color w:val="000000"/>
              </w:rPr>
            </w:pPr>
            <w:r w:rsidRPr="003F756D">
              <w:rPr>
                <w:rFonts w:eastAsia="Times New Roman" w:cs="Times New Roman"/>
                <w:color w:val="000000"/>
              </w:rPr>
              <w:t>□ represents site vacancy, abbreviations for schorl, dravite, and elbaite from Whitney and Evans (2010), all others from Morgan (2016)</w:t>
            </w:r>
          </w:p>
        </w:tc>
        <w:tc>
          <w:tcPr>
            <w:tcW w:w="238" w:type="dxa"/>
            <w:tcBorders>
              <w:top w:val="nil"/>
              <w:left w:val="nil"/>
              <w:bottom w:val="nil"/>
              <w:right w:val="nil"/>
            </w:tcBorders>
            <w:shd w:val="clear" w:color="auto" w:fill="auto"/>
            <w:noWrap/>
            <w:vAlign w:val="bottom"/>
            <w:hideMark/>
          </w:tcPr>
          <w:p w:rsidR="003F756D" w:rsidRPr="003F756D" w:rsidRDefault="003F756D" w:rsidP="003F756D">
            <w:pPr>
              <w:spacing w:after="0"/>
              <w:rPr>
                <w:rFonts w:eastAsia="Times New Roman" w:cs="Times New Roman"/>
                <w:color w:val="000000"/>
              </w:rPr>
            </w:pPr>
          </w:p>
        </w:tc>
      </w:tr>
    </w:tbl>
    <w:p w:rsidR="00713274" w:rsidRPr="00713274" w:rsidRDefault="00713274" w:rsidP="00713274">
      <w:pPr>
        <w:spacing w:line="480" w:lineRule="auto"/>
        <w:rPr>
          <w:rFonts w:asciiTheme="majorHAnsi" w:hAnsiTheme="majorHAnsi" w:cstheme="majorHAnsi"/>
          <w:color w:val="000000"/>
        </w:rPr>
      </w:pPr>
    </w:p>
    <w:p w:rsidR="00A76046" w:rsidRDefault="00A76046" w:rsidP="00713274">
      <w:pPr>
        <w:spacing w:line="480" w:lineRule="auto"/>
        <w:rPr>
          <w:rFonts w:cs="Times New Roman"/>
          <w:color w:val="000000"/>
        </w:rPr>
      </w:pPr>
    </w:p>
    <w:p w:rsidR="00A76046" w:rsidRDefault="00A76046">
      <w:pPr>
        <w:rPr>
          <w:rFonts w:cs="Times New Roman"/>
          <w:color w:val="000000"/>
        </w:rPr>
      </w:pPr>
      <w:r>
        <w:rPr>
          <w:rFonts w:cs="Times New Roman"/>
          <w:color w:val="000000"/>
        </w:rPr>
        <w:br w:type="page"/>
      </w:r>
    </w:p>
    <w:p w:rsidR="002534F5" w:rsidRPr="002534F5" w:rsidRDefault="002534F5" w:rsidP="002534F5">
      <w:pPr>
        <w:pStyle w:val="Caption"/>
        <w:keepNext/>
        <w:jc w:val="center"/>
        <w:rPr>
          <w:i w:val="0"/>
          <w:sz w:val="24"/>
          <w:szCs w:val="24"/>
        </w:rPr>
      </w:pPr>
      <w:bookmarkStart w:id="69" w:name="_Toc490131681"/>
      <w:r w:rsidRPr="002534F5">
        <w:rPr>
          <w:b/>
          <w:sz w:val="24"/>
          <w:szCs w:val="24"/>
        </w:rPr>
        <w:lastRenderedPageBreak/>
        <w:t xml:space="preserve">Table </w:t>
      </w:r>
      <w:r w:rsidR="00B23FDA">
        <w:rPr>
          <w:b/>
          <w:sz w:val="24"/>
          <w:szCs w:val="24"/>
        </w:rPr>
        <w:fldChar w:fldCharType="begin"/>
      </w:r>
      <w:r w:rsidR="00B23FDA">
        <w:rPr>
          <w:b/>
          <w:sz w:val="24"/>
          <w:szCs w:val="24"/>
        </w:rPr>
        <w:instrText xml:space="preserve"> STYLEREF 1 \s </w:instrText>
      </w:r>
      <w:r w:rsidR="00B23FDA">
        <w:rPr>
          <w:b/>
          <w:sz w:val="24"/>
          <w:szCs w:val="24"/>
        </w:rPr>
        <w:fldChar w:fldCharType="separate"/>
      </w:r>
      <w:r w:rsidR="000C5FC3">
        <w:rPr>
          <w:b/>
          <w:noProof/>
          <w:sz w:val="24"/>
          <w:szCs w:val="24"/>
        </w:rPr>
        <w:t>2</w:t>
      </w:r>
      <w:r w:rsidR="00B23FDA">
        <w:rPr>
          <w:b/>
          <w:sz w:val="24"/>
          <w:szCs w:val="24"/>
        </w:rPr>
        <w:fldChar w:fldCharType="end"/>
      </w:r>
      <w:r w:rsidR="00B23FDA">
        <w:rPr>
          <w:b/>
          <w:sz w:val="24"/>
          <w:szCs w:val="24"/>
        </w:rPr>
        <w:noBreakHyphen/>
      </w:r>
      <w:r w:rsidR="00B23FDA">
        <w:rPr>
          <w:b/>
          <w:sz w:val="24"/>
          <w:szCs w:val="24"/>
        </w:rPr>
        <w:fldChar w:fldCharType="begin"/>
      </w:r>
      <w:r w:rsidR="00B23FDA">
        <w:rPr>
          <w:b/>
          <w:sz w:val="24"/>
          <w:szCs w:val="24"/>
        </w:rPr>
        <w:instrText xml:space="preserve"> SEQ Table \* ARABIC \s 1 </w:instrText>
      </w:r>
      <w:r w:rsidR="00B23FDA">
        <w:rPr>
          <w:b/>
          <w:sz w:val="24"/>
          <w:szCs w:val="24"/>
        </w:rPr>
        <w:fldChar w:fldCharType="separate"/>
      </w:r>
      <w:r w:rsidR="000C5FC3">
        <w:rPr>
          <w:b/>
          <w:noProof/>
          <w:sz w:val="24"/>
          <w:szCs w:val="24"/>
        </w:rPr>
        <w:t>2</w:t>
      </w:r>
      <w:r w:rsidR="00B23FDA">
        <w:rPr>
          <w:b/>
          <w:sz w:val="24"/>
          <w:szCs w:val="24"/>
        </w:rPr>
        <w:fldChar w:fldCharType="end"/>
      </w:r>
      <w:r w:rsidRPr="002534F5">
        <w:rPr>
          <w:rFonts w:eastAsia="Times New Roman" w:cs="Times New Roman"/>
          <w:i w:val="0"/>
          <w:color w:val="000000"/>
          <w:sz w:val="24"/>
          <w:szCs w:val="24"/>
        </w:rPr>
        <w:t xml:space="preserve"> Standard Data and IMF for SIMS</w:t>
      </w:r>
      <w:bookmarkEnd w:id="69"/>
    </w:p>
    <w:tbl>
      <w:tblPr>
        <w:tblW w:w="4900" w:type="dxa"/>
        <w:jc w:val="center"/>
        <w:tblLook w:val="04A0" w:firstRow="1" w:lastRow="0" w:firstColumn="1" w:lastColumn="0" w:noHBand="0" w:noVBand="1"/>
      </w:tblPr>
      <w:tblGrid>
        <w:gridCol w:w="1172"/>
        <w:gridCol w:w="1199"/>
        <w:gridCol w:w="766"/>
        <w:gridCol w:w="843"/>
        <w:gridCol w:w="920"/>
      </w:tblGrid>
      <w:tr w:rsidR="00682AAC" w:rsidRPr="007F70BC" w:rsidTr="002534F5">
        <w:trPr>
          <w:trHeight w:val="310"/>
          <w:jc w:val="center"/>
        </w:trPr>
        <w:tc>
          <w:tcPr>
            <w:tcW w:w="3137" w:type="dxa"/>
            <w:gridSpan w:val="3"/>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Dravite standard (</w:t>
            </w:r>
            <w:r w:rsidRPr="007F70BC">
              <w:rPr>
                <w:rFonts w:eastAsia="Times New Roman" w:cs="Times New Roman"/>
                <w:color w:val="000000"/>
                <w:sz w:val="20"/>
                <w:szCs w:val="20"/>
                <w:vertAlign w:val="superscript"/>
              </w:rPr>
              <w:t>11</w:t>
            </w:r>
            <w:r w:rsidRPr="007F70BC">
              <w:rPr>
                <w:rFonts w:eastAsia="Times New Roman" w:cs="Times New Roman"/>
                <w:color w:val="000000"/>
                <w:sz w:val="20"/>
                <w:szCs w:val="20"/>
              </w:rPr>
              <w:t>B/</w:t>
            </w:r>
            <w:r w:rsidRPr="007F70BC">
              <w:rPr>
                <w:rFonts w:eastAsia="Times New Roman" w:cs="Times New Roman"/>
                <w:color w:val="000000"/>
                <w:sz w:val="20"/>
                <w:szCs w:val="20"/>
                <w:vertAlign w:val="superscript"/>
              </w:rPr>
              <w:t>10</w:t>
            </w:r>
            <w:r w:rsidRPr="007F70BC">
              <w:rPr>
                <w:rFonts w:eastAsia="Times New Roman" w:cs="Times New Roman"/>
                <w:color w:val="000000"/>
                <w:sz w:val="20"/>
                <w:szCs w:val="20"/>
              </w:rPr>
              <w:t>B = 4.0169)</w:t>
            </w:r>
          </w:p>
        </w:tc>
        <w:tc>
          <w:tcPr>
            <w:tcW w:w="843" w:type="dxa"/>
            <w:tcBorders>
              <w:top w:val="nil"/>
              <w:left w:val="nil"/>
              <w:bottom w:val="nil"/>
              <w:right w:val="nil"/>
            </w:tcBorders>
            <w:shd w:val="clear" w:color="auto" w:fill="auto"/>
            <w:noWrap/>
            <w:vAlign w:val="bottom"/>
            <w:hideMark/>
          </w:tcPr>
          <w:p w:rsidR="00682AAC" w:rsidRPr="007F70BC" w:rsidRDefault="00682AAC" w:rsidP="00682AAC">
            <w:pPr>
              <w:spacing w:after="0"/>
              <w:rPr>
                <w:rFonts w:eastAsia="Times New Roman" w:cs="Times New Roman"/>
                <w:color w:val="000000"/>
                <w:sz w:val="20"/>
                <w:szCs w:val="20"/>
              </w:rPr>
            </w:pPr>
          </w:p>
        </w:tc>
        <w:tc>
          <w:tcPr>
            <w:tcW w:w="920" w:type="dxa"/>
            <w:tcBorders>
              <w:top w:val="nil"/>
              <w:left w:val="nil"/>
              <w:bottom w:val="nil"/>
              <w:right w:val="nil"/>
            </w:tcBorders>
            <w:shd w:val="clear" w:color="auto" w:fill="auto"/>
            <w:noWrap/>
            <w:vAlign w:val="bottom"/>
            <w:hideMark/>
          </w:tcPr>
          <w:p w:rsidR="00682AAC" w:rsidRPr="007F70BC" w:rsidRDefault="00682AAC" w:rsidP="00682AAC">
            <w:pPr>
              <w:spacing w:after="0"/>
              <w:rPr>
                <w:rFonts w:eastAsia="Times New Roman" w:cs="Times New Roman"/>
                <w:sz w:val="20"/>
                <w:szCs w:val="20"/>
              </w:rPr>
            </w:pPr>
          </w:p>
        </w:tc>
      </w:tr>
      <w:tr w:rsidR="00682AAC" w:rsidRPr="007F70BC" w:rsidTr="002534F5">
        <w:trPr>
          <w:trHeight w:val="270"/>
          <w:jc w:val="center"/>
        </w:trPr>
        <w:tc>
          <w:tcPr>
            <w:tcW w:w="1172"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rPr>
                <w:rFonts w:eastAsia="Times New Roman" w:cs="Times New Roman"/>
                <w:i/>
                <w:iCs/>
                <w:color w:val="000000"/>
                <w:sz w:val="20"/>
                <w:szCs w:val="20"/>
              </w:rPr>
            </w:pPr>
            <w:r w:rsidRPr="007F70BC">
              <w:rPr>
                <w:rFonts w:eastAsia="Times New Roman" w:cs="Times New Roman"/>
                <w:i/>
                <w:iCs/>
                <w:color w:val="000000"/>
                <w:sz w:val="20"/>
                <w:szCs w:val="20"/>
              </w:rPr>
              <w:t>Tourmaline</w:t>
            </w:r>
          </w:p>
        </w:tc>
        <w:tc>
          <w:tcPr>
            <w:tcW w:w="1199"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rPr>
                <w:rFonts w:eastAsia="Times New Roman" w:cs="Times New Roman"/>
                <w:i/>
                <w:iCs/>
                <w:color w:val="000000"/>
                <w:sz w:val="20"/>
                <w:szCs w:val="20"/>
              </w:rPr>
            </w:pPr>
            <w:r w:rsidRPr="007F70BC">
              <w:rPr>
                <w:rFonts w:eastAsia="Times New Roman" w:cs="Times New Roman"/>
                <w:i/>
                <w:iCs/>
                <w:color w:val="000000"/>
                <w:sz w:val="20"/>
                <w:szCs w:val="20"/>
              </w:rPr>
              <w:t> </w:t>
            </w:r>
          </w:p>
        </w:tc>
        <w:tc>
          <w:tcPr>
            <w:tcW w:w="766"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 </w:t>
            </w:r>
          </w:p>
        </w:tc>
        <w:tc>
          <w:tcPr>
            <w:tcW w:w="843"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 </w:t>
            </w:r>
          </w:p>
        </w:tc>
        <w:tc>
          <w:tcPr>
            <w:tcW w:w="920"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 </w:t>
            </w:r>
          </w:p>
        </w:tc>
      </w:tr>
      <w:tr w:rsidR="00682AAC" w:rsidRPr="007F70BC" w:rsidTr="002534F5">
        <w:trPr>
          <w:trHeight w:val="320"/>
          <w:jc w:val="center"/>
        </w:trPr>
        <w:tc>
          <w:tcPr>
            <w:tcW w:w="1172"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Date</w:t>
            </w:r>
          </w:p>
        </w:tc>
        <w:tc>
          <w:tcPr>
            <w:tcW w:w="1199"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vertAlign w:val="superscript"/>
              </w:rPr>
              <w:t>11</w:t>
            </w:r>
            <w:r w:rsidRPr="007F70BC">
              <w:rPr>
                <w:rFonts w:eastAsia="Times New Roman" w:cs="Times New Roman"/>
                <w:color w:val="000000"/>
                <w:sz w:val="20"/>
                <w:szCs w:val="20"/>
              </w:rPr>
              <w:t>B/</w:t>
            </w:r>
            <w:r w:rsidRPr="007F70BC">
              <w:rPr>
                <w:rFonts w:eastAsia="Times New Roman" w:cs="Times New Roman"/>
                <w:color w:val="000000"/>
                <w:sz w:val="20"/>
                <w:szCs w:val="20"/>
                <w:vertAlign w:val="superscript"/>
              </w:rPr>
              <w:t>10</w:t>
            </w:r>
            <w:r w:rsidRPr="007F70BC">
              <w:rPr>
                <w:rFonts w:eastAsia="Times New Roman" w:cs="Times New Roman"/>
                <w:color w:val="000000"/>
                <w:sz w:val="20"/>
                <w:szCs w:val="20"/>
              </w:rPr>
              <w:t xml:space="preserve">B </w:t>
            </w:r>
            <w:r w:rsidRPr="007F70BC">
              <w:rPr>
                <w:rFonts w:eastAsia="Times New Roman" w:cs="Times New Roman"/>
                <w:color w:val="000000"/>
                <w:sz w:val="20"/>
                <w:szCs w:val="20"/>
                <w:vertAlign w:val="subscript"/>
              </w:rPr>
              <w:t>(raw)</w:t>
            </w:r>
          </w:p>
        </w:tc>
        <w:tc>
          <w:tcPr>
            <w:tcW w:w="766"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α IMF</w:t>
            </w:r>
          </w:p>
        </w:tc>
        <w:tc>
          <w:tcPr>
            <w:tcW w:w="843"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δ</w:t>
            </w:r>
            <w:r w:rsidRPr="007F70BC">
              <w:rPr>
                <w:rFonts w:eastAsia="Times New Roman" w:cs="Times New Roman"/>
                <w:color w:val="000000"/>
                <w:sz w:val="20"/>
                <w:szCs w:val="20"/>
                <w:vertAlign w:val="superscript"/>
              </w:rPr>
              <w:t>11</w:t>
            </w:r>
            <w:r w:rsidRPr="007F70BC">
              <w:rPr>
                <w:rFonts w:eastAsia="Times New Roman" w:cs="Times New Roman"/>
                <w:color w:val="000000"/>
                <w:sz w:val="20"/>
                <w:szCs w:val="20"/>
              </w:rPr>
              <w:t>B (‰)</w:t>
            </w:r>
          </w:p>
        </w:tc>
        <w:tc>
          <w:tcPr>
            <w:tcW w:w="920"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Error (‰)</w:t>
            </w:r>
          </w:p>
        </w:tc>
      </w:tr>
      <w:tr w:rsidR="00682AAC" w:rsidRPr="007F70BC" w:rsidTr="002534F5">
        <w:trPr>
          <w:trHeight w:val="260"/>
          <w:jc w:val="center"/>
        </w:trPr>
        <w:tc>
          <w:tcPr>
            <w:tcW w:w="1172"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11/19/2014</w:t>
            </w:r>
          </w:p>
        </w:tc>
        <w:tc>
          <w:tcPr>
            <w:tcW w:w="11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3.9108</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0.9736</w:t>
            </w:r>
          </w:p>
        </w:tc>
        <w:tc>
          <w:tcPr>
            <w:tcW w:w="843"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-6.4</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0.5</w:t>
            </w:r>
          </w:p>
        </w:tc>
      </w:tr>
      <w:tr w:rsidR="00682AAC" w:rsidRPr="007F70BC" w:rsidTr="002534F5">
        <w:trPr>
          <w:trHeight w:val="260"/>
          <w:jc w:val="center"/>
        </w:trPr>
        <w:tc>
          <w:tcPr>
            <w:tcW w:w="1172"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11/19/2014</w:t>
            </w:r>
          </w:p>
        </w:tc>
        <w:tc>
          <w:tcPr>
            <w:tcW w:w="11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3.9091</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0.9732</w:t>
            </w:r>
          </w:p>
        </w:tc>
        <w:tc>
          <w:tcPr>
            <w:tcW w:w="843"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-6.8</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0.4</w:t>
            </w:r>
          </w:p>
        </w:tc>
      </w:tr>
      <w:tr w:rsidR="00682AAC" w:rsidRPr="007F70BC" w:rsidTr="002534F5">
        <w:trPr>
          <w:trHeight w:val="260"/>
          <w:jc w:val="center"/>
        </w:trPr>
        <w:tc>
          <w:tcPr>
            <w:tcW w:w="1172"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11/19/2014</w:t>
            </w:r>
          </w:p>
        </w:tc>
        <w:tc>
          <w:tcPr>
            <w:tcW w:w="11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3.9081</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0.9729</w:t>
            </w:r>
          </w:p>
        </w:tc>
        <w:tc>
          <w:tcPr>
            <w:tcW w:w="843"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-7.1</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0.5</w:t>
            </w:r>
          </w:p>
        </w:tc>
      </w:tr>
      <w:tr w:rsidR="00682AAC" w:rsidRPr="007F70BC" w:rsidTr="002534F5">
        <w:trPr>
          <w:trHeight w:val="260"/>
          <w:jc w:val="center"/>
        </w:trPr>
        <w:tc>
          <w:tcPr>
            <w:tcW w:w="1172"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11/19/2014</w:t>
            </w:r>
          </w:p>
        </w:tc>
        <w:tc>
          <w:tcPr>
            <w:tcW w:w="11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3.9120</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0.9739</w:t>
            </w:r>
          </w:p>
        </w:tc>
        <w:tc>
          <w:tcPr>
            <w:tcW w:w="843"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-6.1</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0.4</w:t>
            </w:r>
          </w:p>
        </w:tc>
      </w:tr>
      <w:tr w:rsidR="00682AAC" w:rsidRPr="007F70BC" w:rsidTr="002534F5">
        <w:trPr>
          <w:trHeight w:val="260"/>
          <w:jc w:val="center"/>
        </w:trPr>
        <w:tc>
          <w:tcPr>
            <w:tcW w:w="1172"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11/19/2014</w:t>
            </w:r>
          </w:p>
        </w:tc>
        <w:tc>
          <w:tcPr>
            <w:tcW w:w="11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3.9263</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0.9775</w:t>
            </w:r>
          </w:p>
        </w:tc>
        <w:tc>
          <w:tcPr>
            <w:tcW w:w="843"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-7.1</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0.4</w:t>
            </w:r>
          </w:p>
        </w:tc>
      </w:tr>
      <w:tr w:rsidR="00682AAC" w:rsidRPr="007F70BC" w:rsidTr="002534F5">
        <w:trPr>
          <w:trHeight w:val="260"/>
          <w:jc w:val="center"/>
        </w:trPr>
        <w:tc>
          <w:tcPr>
            <w:tcW w:w="1172"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11/19/2014</w:t>
            </w:r>
          </w:p>
        </w:tc>
        <w:tc>
          <w:tcPr>
            <w:tcW w:w="11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3.9310</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0.9786</w:t>
            </w:r>
          </w:p>
        </w:tc>
        <w:tc>
          <w:tcPr>
            <w:tcW w:w="843"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-5.9</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0.4</w:t>
            </w:r>
          </w:p>
        </w:tc>
      </w:tr>
      <w:tr w:rsidR="00682AAC" w:rsidRPr="007F70BC" w:rsidTr="002534F5">
        <w:trPr>
          <w:trHeight w:val="260"/>
          <w:jc w:val="center"/>
        </w:trPr>
        <w:tc>
          <w:tcPr>
            <w:tcW w:w="1172"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11/19/2014</w:t>
            </w:r>
          </w:p>
        </w:tc>
        <w:tc>
          <w:tcPr>
            <w:tcW w:w="11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3.9214</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0.9762</w:t>
            </w:r>
          </w:p>
        </w:tc>
        <w:tc>
          <w:tcPr>
            <w:tcW w:w="843"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-8.3</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0.4</w:t>
            </w:r>
          </w:p>
        </w:tc>
      </w:tr>
      <w:tr w:rsidR="00682AAC" w:rsidRPr="007F70BC" w:rsidTr="002534F5">
        <w:trPr>
          <w:trHeight w:val="260"/>
          <w:jc w:val="center"/>
        </w:trPr>
        <w:tc>
          <w:tcPr>
            <w:tcW w:w="1172"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11/20/2014</w:t>
            </w:r>
          </w:p>
        </w:tc>
        <w:tc>
          <w:tcPr>
            <w:tcW w:w="11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3.9194</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0.9757</w:t>
            </w:r>
          </w:p>
        </w:tc>
        <w:tc>
          <w:tcPr>
            <w:tcW w:w="843"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-5.8</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0.3</w:t>
            </w:r>
          </w:p>
        </w:tc>
      </w:tr>
      <w:tr w:rsidR="00682AAC" w:rsidRPr="007F70BC" w:rsidTr="002534F5">
        <w:trPr>
          <w:trHeight w:val="260"/>
          <w:jc w:val="center"/>
        </w:trPr>
        <w:tc>
          <w:tcPr>
            <w:tcW w:w="1172"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11/20/2014</w:t>
            </w:r>
          </w:p>
        </w:tc>
        <w:tc>
          <w:tcPr>
            <w:tcW w:w="11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3.9185</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0.9755</w:t>
            </w:r>
          </w:p>
        </w:tc>
        <w:tc>
          <w:tcPr>
            <w:tcW w:w="843"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-6.0</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0.4</w:t>
            </w:r>
          </w:p>
        </w:tc>
      </w:tr>
      <w:tr w:rsidR="00682AAC" w:rsidRPr="007F70BC" w:rsidTr="002534F5">
        <w:trPr>
          <w:trHeight w:val="260"/>
          <w:jc w:val="center"/>
        </w:trPr>
        <w:tc>
          <w:tcPr>
            <w:tcW w:w="1172"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11/20/2014</w:t>
            </w:r>
          </w:p>
        </w:tc>
        <w:tc>
          <w:tcPr>
            <w:tcW w:w="11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3.9231</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0.9767</w:t>
            </w:r>
          </w:p>
        </w:tc>
        <w:tc>
          <w:tcPr>
            <w:tcW w:w="843"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-4.8</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0.3</w:t>
            </w:r>
          </w:p>
        </w:tc>
      </w:tr>
      <w:tr w:rsidR="00682AAC" w:rsidRPr="007F70BC" w:rsidTr="002534F5">
        <w:trPr>
          <w:trHeight w:val="320"/>
          <w:jc w:val="center"/>
        </w:trPr>
        <w:tc>
          <w:tcPr>
            <w:tcW w:w="1172"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11/20/2014</w:t>
            </w:r>
          </w:p>
        </w:tc>
        <w:tc>
          <w:tcPr>
            <w:tcW w:w="11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3.9085</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0.9730</w:t>
            </w:r>
          </w:p>
        </w:tc>
        <w:tc>
          <w:tcPr>
            <w:tcW w:w="843"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-8.5</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0.4</w:t>
            </w:r>
          </w:p>
        </w:tc>
      </w:tr>
      <w:tr w:rsidR="00682AAC" w:rsidRPr="007F70BC" w:rsidTr="002534F5">
        <w:trPr>
          <w:trHeight w:val="260"/>
          <w:jc w:val="center"/>
        </w:trPr>
        <w:tc>
          <w:tcPr>
            <w:tcW w:w="1172" w:type="dxa"/>
            <w:tcBorders>
              <w:top w:val="single" w:sz="8" w:space="0" w:color="auto"/>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Average</w:t>
            </w:r>
          </w:p>
        </w:tc>
        <w:tc>
          <w:tcPr>
            <w:tcW w:w="1199" w:type="dxa"/>
            <w:tcBorders>
              <w:top w:val="single" w:sz="8" w:space="0" w:color="auto"/>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3.9171</w:t>
            </w:r>
          </w:p>
        </w:tc>
        <w:tc>
          <w:tcPr>
            <w:tcW w:w="766" w:type="dxa"/>
            <w:tcBorders>
              <w:top w:val="single" w:sz="8" w:space="0" w:color="auto"/>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0.9752</w:t>
            </w:r>
          </w:p>
        </w:tc>
        <w:tc>
          <w:tcPr>
            <w:tcW w:w="843" w:type="dxa"/>
            <w:tcBorders>
              <w:top w:val="single" w:sz="8" w:space="0" w:color="auto"/>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-6.6</w:t>
            </w:r>
          </w:p>
        </w:tc>
        <w:tc>
          <w:tcPr>
            <w:tcW w:w="920" w:type="dxa"/>
            <w:tcBorders>
              <w:top w:val="single" w:sz="8" w:space="0" w:color="auto"/>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 </w:t>
            </w:r>
          </w:p>
        </w:tc>
      </w:tr>
      <w:tr w:rsidR="00682AAC" w:rsidRPr="007F70BC" w:rsidTr="002534F5">
        <w:trPr>
          <w:trHeight w:val="260"/>
          <w:jc w:val="center"/>
        </w:trPr>
        <w:tc>
          <w:tcPr>
            <w:tcW w:w="1172"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1σ StDev</w:t>
            </w:r>
          </w:p>
        </w:tc>
        <w:tc>
          <w:tcPr>
            <w:tcW w:w="11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0.0079</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0.0020</w:t>
            </w:r>
          </w:p>
        </w:tc>
        <w:tc>
          <w:tcPr>
            <w:tcW w:w="843"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1.1</w:t>
            </w:r>
          </w:p>
        </w:tc>
        <w:tc>
          <w:tcPr>
            <w:tcW w:w="920" w:type="dxa"/>
            <w:tcBorders>
              <w:top w:val="nil"/>
              <w:left w:val="nil"/>
              <w:bottom w:val="nil"/>
              <w:right w:val="nil"/>
            </w:tcBorders>
            <w:shd w:val="clear" w:color="auto" w:fill="auto"/>
            <w:noWrap/>
            <w:vAlign w:val="bottom"/>
            <w:hideMark/>
          </w:tcPr>
          <w:p w:rsidR="00682AAC" w:rsidRPr="007F70BC" w:rsidRDefault="00682AAC" w:rsidP="00682AAC">
            <w:pPr>
              <w:spacing w:after="0"/>
              <w:jc w:val="center"/>
              <w:rPr>
                <w:rFonts w:eastAsia="Times New Roman" w:cs="Times New Roman"/>
                <w:color w:val="000000"/>
                <w:sz w:val="20"/>
                <w:szCs w:val="20"/>
              </w:rPr>
            </w:pPr>
          </w:p>
        </w:tc>
      </w:tr>
      <w:tr w:rsidR="00682AAC" w:rsidRPr="007F70BC" w:rsidTr="002534F5">
        <w:trPr>
          <w:trHeight w:val="260"/>
          <w:jc w:val="center"/>
        </w:trPr>
        <w:tc>
          <w:tcPr>
            <w:tcW w:w="1172"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Ext Rep (‰)</w:t>
            </w:r>
          </w:p>
        </w:tc>
        <w:tc>
          <w:tcPr>
            <w:tcW w:w="1199" w:type="dxa"/>
            <w:tcBorders>
              <w:top w:val="nil"/>
              <w:left w:val="nil"/>
              <w:bottom w:val="nil"/>
              <w:right w:val="nil"/>
            </w:tcBorders>
            <w:shd w:val="clear" w:color="auto" w:fill="auto"/>
            <w:noWrap/>
            <w:vAlign w:val="bottom"/>
            <w:hideMark/>
          </w:tcPr>
          <w:p w:rsidR="00682AAC" w:rsidRPr="007F70BC" w:rsidRDefault="00682AAC" w:rsidP="00682AAC">
            <w:pPr>
              <w:spacing w:after="0"/>
              <w:rPr>
                <w:rFonts w:eastAsia="Times New Roman" w:cs="Times New Roman"/>
                <w:color w:val="000000"/>
                <w:sz w:val="20"/>
                <w:szCs w:val="20"/>
              </w:rPr>
            </w:pPr>
          </w:p>
        </w:tc>
        <w:tc>
          <w:tcPr>
            <w:tcW w:w="766" w:type="dxa"/>
            <w:tcBorders>
              <w:top w:val="nil"/>
              <w:left w:val="nil"/>
              <w:bottom w:val="nil"/>
              <w:right w:val="nil"/>
            </w:tcBorders>
            <w:shd w:val="clear" w:color="auto" w:fill="auto"/>
            <w:noWrap/>
            <w:vAlign w:val="bottom"/>
            <w:hideMark/>
          </w:tcPr>
          <w:p w:rsidR="00682AAC" w:rsidRPr="007F70BC" w:rsidRDefault="00682AAC" w:rsidP="00682AAC">
            <w:pPr>
              <w:spacing w:after="0"/>
              <w:rPr>
                <w:rFonts w:eastAsia="Times New Roman" w:cs="Times New Roman"/>
                <w:sz w:val="20"/>
                <w:szCs w:val="20"/>
              </w:rPr>
            </w:pPr>
          </w:p>
        </w:tc>
        <w:tc>
          <w:tcPr>
            <w:tcW w:w="843"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2.0</w:t>
            </w:r>
          </w:p>
        </w:tc>
        <w:tc>
          <w:tcPr>
            <w:tcW w:w="920" w:type="dxa"/>
            <w:tcBorders>
              <w:top w:val="nil"/>
              <w:left w:val="nil"/>
              <w:bottom w:val="nil"/>
              <w:right w:val="nil"/>
            </w:tcBorders>
            <w:shd w:val="clear" w:color="auto" w:fill="auto"/>
            <w:noWrap/>
            <w:vAlign w:val="bottom"/>
            <w:hideMark/>
          </w:tcPr>
          <w:p w:rsidR="00682AAC" w:rsidRPr="007F70BC" w:rsidRDefault="00682AAC" w:rsidP="00682AAC">
            <w:pPr>
              <w:spacing w:after="0"/>
              <w:jc w:val="center"/>
              <w:rPr>
                <w:rFonts w:eastAsia="Times New Roman" w:cs="Times New Roman"/>
                <w:color w:val="000000"/>
                <w:sz w:val="20"/>
                <w:szCs w:val="20"/>
              </w:rPr>
            </w:pPr>
          </w:p>
        </w:tc>
      </w:tr>
      <w:tr w:rsidR="00682AAC" w:rsidRPr="007F70BC" w:rsidTr="002534F5">
        <w:trPr>
          <w:trHeight w:val="260"/>
          <w:jc w:val="center"/>
        </w:trPr>
        <w:tc>
          <w:tcPr>
            <w:tcW w:w="1172" w:type="dxa"/>
            <w:tcBorders>
              <w:top w:val="nil"/>
              <w:left w:val="nil"/>
              <w:bottom w:val="nil"/>
              <w:right w:val="nil"/>
            </w:tcBorders>
            <w:shd w:val="clear" w:color="auto" w:fill="auto"/>
            <w:noWrap/>
            <w:vAlign w:val="bottom"/>
            <w:hideMark/>
          </w:tcPr>
          <w:p w:rsidR="00682AAC" w:rsidRPr="007F70BC" w:rsidRDefault="00682AAC" w:rsidP="00682AAC">
            <w:pPr>
              <w:spacing w:after="0"/>
              <w:rPr>
                <w:rFonts w:eastAsia="Times New Roman" w:cs="Times New Roman"/>
                <w:sz w:val="20"/>
                <w:szCs w:val="20"/>
              </w:rPr>
            </w:pPr>
          </w:p>
        </w:tc>
        <w:tc>
          <w:tcPr>
            <w:tcW w:w="1199" w:type="dxa"/>
            <w:tcBorders>
              <w:top w:val="nil"/>
              <w:left w:val="nil"/>
              <w:bottom w:val="nil"/>
              <w:right w:val="nil"/>
            </w:tcBorders>
            <w:shd w:val="clear" w:color="auto" w:fill="auto"/>
            <w:noWrap/>
            <w:vAlign w:val="bottom"/>
            <w:hideMark/>
          </w:tcPr>
          <w:p w:rsidR="00682AAC" w:rsidRPr="007F70BC" w:rsidRDefault="00682AAC" w:rsidP="00682AAC">
            <w:pPr>
              <w:spacing w:after="0"/>
              <w:rPr>
                <w:rFonts w:eastAsia="Times New Roman" w:cs="Times New Roman"/>
                <w:sz w:val="20"/>
                <w:szCs w:val="20"/>
              </w:rPr>
            </w:pPr>
          </w:p>
        </w:tc>
        <w:tc>
          <w:tcPr>
            <w:tcW w:w="766" w:type="dxa"/>
            <w:tcBorders>
              <w:top w:val="nil"/>
              <w:left w:val="nil"/>
              <w:bottom w:val="nil"/>
              <w:right w:val="nil"/>
            </w:tcBorders>
            <w:shd w:val="clear" w:color="auto" w:fill="auto"/>
            <w:noWrap/>
            <w:vAlign w:val="bottom"/>
            <w:hideMark/>
          </w:tcPr>
          <w:p w:rsidR="00682AAC" w:rsidRPr="007F70BC" w:rsidRDefault="00682AAC" w:rsidP="00682AAC">
            <w:pPr>
              <w:spacing w:after="0"/>
              <w:rPr>
                <w:rFonts w:eastAsia="Times New Roman" w:cs="Times New Roman"/>
                <w:sz w:val="20"/>
                <w:szCs w:val="20"/>
              </w:rPr>
            </w:pPr>
          </w:p>
        </w:tc>
        <w:tc>
          <w:tcPr>
            <w:tcW w:w="843" w:type="dxa"/>
            <w:tcBorders>
              <w:top w:val="nil"/>
              <w:left w:val="nil"/>
              <w:bottom w:val="nil"/>
              <w:right w:val="nil"/>
            </w:tcBorders>
            <w:shd w:val="clear" w:color="auto" w:fill="auto"/>
            <w:noWrap/>
            <w:vAlign w:val="bottom"/>
            <w:hideMark/>
          </w:tcPr>
          <w:p w:rsidR="00682AAC" w:rsidRPr="007F70BC" w:rsidRDefault="00682AAC" w:rsidP="00682AAC">
            <w:pPr>
              <w:spacing w:after="0"/>
              <w:rPr>
                <w:rFonts w:eastAsia="Times New Roman" w:cs="Times New Roman"/>
                <w:sz w:val="20"/>
                <w:szCs w:val="20"/>
              </w:rPr>
            </w:pPr>
          </w:p>
        </w:tc>
        <w:tc>
          <w:tcPr>
            <w:tcW w:w="920" w:type="dxa"/>
            <w:tcBorders>
              <w:top w:val="nil"/>
              <w:left w:val="nil"/>
              <w:bottom w:val="nil"/>
              <w:right w:val="nil"/>
            </w:tcBorders>
            <w:shd w:val="clear" w:color="auto" w:fill="auto"/>
            <w:noWrap/>
            <w:vAlign w:val="bottom"/>
            <w:hideMark/>
          </w:tcPr>
          <w:p w:rsidR="00682AAC" w:rsidRPr="007F70BC" w:rsidRDefault="00682AAC" w:rsidP="00682AAC">
            <w:pPr>
              <w:spacing w:after="0"/>
              <w:rPr>
                <w:rFonts w:eastAsia="Times New Roman" w:cs="Times New Roman"/>
                <w:sz w:val="20"/>
                <w:szCs w:val="20"/>
              </w:rPr>
            </w:pPr>
          </w:p>
        </w:tc>
      </w:tr>
      <w:tr w:rsidR="00682AAC" w:rsidRPr="007F70BC" w:rsidTr="002534F5">
        <w:trPr>
          <w:trHeight w:val="270"/>
          <w:jc w:val="center"/>
        </w:trPr>
        <w:tc>
          <w:tcPr>
            <w:tcW w:w="2371" w:type="dxa"/>
            <w:gridSpan w:val="2"/>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rPr>
                <w:rFonts w:eastAsia="Times New Roman" w:cs="Times New Roman"/>
                <w:i/>
                <w:iCs/>
                <w:color w:val="000000"/>
                <w:sz w:val="20"/>
                <w:szCs w:val="20"/>
              </w:rPr>
            </w:pPr>
            <w:r w:rsidRPr="007F70BC">
              <w:rPr>
                <w:rFonts w:eastAsia="Times New Roman" w:cs="Times New Roman"/>
                <w:i/>
                <w:iCs/>
                <w:color w:val="000000"/>
                <w:sz w:val="20"/>
                <w:szCs w:val="20"/>
              </w:rPr>
              <w:t>Danburite/Tourmaline</w:t>
            </w:r>
          </w:p>
        </w:tc>
        <w:tc>
          <w:tcPr>
            <w:tcW w:w="766"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 </w:t>
            </w:r>
          </w:p>
        </w:tc>
        <w:tc>
          <w:tcPr>
            <w:tcW w:w="843"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 </w:t>
            </w:r>
          </w:p>
        </w:tc>
        <w:tc>
          <w:tcPr>
            <w:tcW w:w="920"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 </w:t>
            </w:r>
          </w:p>
        </w:tc>
      </w:tr>
      <w:tr w:rsidR="00682AAC" w:rsidRPr="007F70BC" w:rsidTr="002534F5">
        <w:trPr>
          <w:trHeight w:val="320"/>
          <w:jc w:val="center"/>
        </w:trPr>
        <w:tc>
          <w:tcPr>
            <w:tcW w:w="1172"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Date</w:t>
            </w:r>
          </w:p>
        </w:tc>
        <w:tc>
          <w:tcPr>
            <w:tcW w:w="1199"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vertAlign w:val="superscript"/>
              </w:rPr>
              <w:t>11</w:t>
            </w:r>
            <w:r w:rsidRPr="007F70BC">
              <w:rPr>
                <w:rFonts w:eastAsia="Times New Roman" w:cs="Times New Roman"/>
                <w:color w:val="000000"/>
                <w:sz w:val="20"/>
                <w:szCs w:val="20"/>
              </w:rPr>
              <w:t>B/</w:t>
            </w:r>
            <w:r w:rsidRPr="007F70BC">
              <w:rPr>
                <w:rFonts w:eastAsia="Times New Roman" w:cs="Times New Roman"/>
                <w:color w:val="000000"/>
                <w:sz w:val="20"/>
                <w:szCs w:val="20"/>
                <w:vertAlign w:val="superscript"/>
              </w:rPr>
              <w:t>10</w:t>
            </w:r>
            <w:r w:rsidRPr="007F70BC">
              <w:rPr>
                <w:rFonts w:eastAsia="Times New Roman" w:cs="Times New Roman"/>
                <w:color w:val="000000"/>
                <w:sz w:val="20"/>
                <w:szCs w:val="20"/>
              </w:rPr>
              <w:t>B (raw)</w:t>
            </w:r>
          </w:p>
        </w:tc>
        <w:tc>
          <w:tcPr>
            <w:tcW w:w="766"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α IMF</w:t>
            </w:r>
          </w:p>
        </w:tc>
        <w:tc>
          <w:tcPr>
            <w:tcW w:w="843"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δ</w:t>
            </w:r>
            <w:r w:rsidRPr="007F70BC">
              <w:rPr>
                <w:rFonts w:eastAsia="Times New Roman" w:cs="Times New Roman"/>
                <w:color w:val="000000"/>
                <w:sz w:val="20"/>
                <w:szCs w:val="20"/>
                <w:vertAlign w:val="superscript"/>
              </w:rPr>
              <w:t>11</w:t>
            </w:r>
            <w:r w:rsidRPr="007F70BC">
              <w:rPr>
                <w:rFonts w:eastAsia="Times New Roman" w:cs="Times New Roman"/>
                <w:color w:val="000000"/>
                <w:sz w:val="20"/>
                <w:szCs w:val="20"/>
              </w:rPr>
              <w:t>B (‰)</w:t>
            </w:r>
          </w:p>
        </w:tc>
        <w:tc>
          <w:tcPr>
            <w:tcW w:w="920"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Error (‰)</w:t>
            </w:r>
          </w:p>
        </w:tc>
      </w:tr>
      <w:tr w:rsidR="00682AAC" w:rsidRPr="007F70BC" w:rsidTr="002534F5">
        <w:trPr>
          <w:trHeight w:val="260"/>
          <w:jc w:val="center"/>
        </w:trPr>
        <w:tc>
          <w:tcPr>
            <w:tcW w:w="1172"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11/21/2014</w:t>
            </w:r>
          </w:p>
        </w:tc>
        <w:tc>
          <w:tcPr>
            <w:tcW w:w="11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3.9377</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0.9803</w:t>
            </w:r>
          </w:p>
        </w:tc>
        <w:tc>
          <w:tcPr>
            <w:tcW w:w="843"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-6.1</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0.5</w:t>
            </w:r>
          </w:p>
        </w:tc>
      </w:tr>
      <w:tr w:rsidR="00682AAC" w:rsidRPr="007F70BC" w:rsidTr="002534F5">
        <w:trPr>
          <w:trHeight w:val="260"/>
          <w:jc w:val="center"/>
        </w:trPr>
        <w:tc>
          <w:tcPr>
            <w:tcW w:w="1172"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11/21/2014</w:t>
            </w:r>
          </w:p>
        </w:tc>
        <w:tc>
          <w:tcPr>
            <w:tcW w:w="11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3.9313</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0.9787</w:t>
            </w:r>
          </w:p>
        </w:tc>
        <w:tc>
          <w:tcPr>
            <w:tcW w:w="843"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-7.8</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0.5</w:t>
            </w:r>
          </w:p>
        </w:tc>
      </w:tr>
      <w:tr w:rsidR="00682AAC" w:rsidRPr="007F70BC" w:rsidTr="002534F5">
        <w:trPr>
          <w:trHeight w:val="260"/>
          <w:jc w:val="center"/>
        </w:trPr>
        <w:tc>
          <w:tcPr>
            <w:tcW w:w="1172"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11/21/2014</w:t>
            </w:r>
          </w:p>
        </w:tc>
        <w:tc>
          <w:tcPr>
            <w:tcW w:w="11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3.9251</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0.9772</w:t>
            </w:r>
          </w:p>
        </w:tc>
        <w:tc>
          <w:tcPr>
            <w:tcW w:w="843"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-9.3</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0.5</w:t>
            </w:r>
          </w:p>
        </w:tc>
      </w:tr>
      <w:tr w:rsidR="00682AAC" w:rsidRPr="007F70BC" w:rsidTr="002534F5">
        <w:trPr>
          <w:trHeight w:val="260"/>
          <w:jc w:val="center"/>
        </w:trPr>
        <w:tc>
          <w:tcPr>
            <w:tcW w:w="1172"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11/21/2014</w:t>
            </w:r>
          </w:p>
        </w:tc>
        <w:tc>
          <w:tcPr>
            <w:tcW w:w="11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3.9208</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0.9761</w:t>
            </w:r>
          </w:p>
        </w:tc>
        <w:tc>
          <w:tcPr>
            <w:tcW w:w="843"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-10.4</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0.6</w:t>
            </w:r>
          </w:p>
        </w:tc>
      </w:tr>
      <w:tr w:rsidR="00682AAC" w:rsidRPr="007F70BC" w:rsidTr="002534F5">
        <w:trPr>
          <w:trHeight w:val="260"/>
          <w:jc w:val="center"/>
        </w:trPr>
        <w:tc>
          <w:tcPr>
            <w:tcW w:w="1172"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11/21/2014</w:t>
            </w:r>
          </w:p>
        </w:tc>
        <w:tc>
          <w:tcPr>
            <w:tcW w:w="11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3.9333</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0.9792</w:t>
            </w:r>
          </w:p>
        </w:tc>
        <w:tc>
          <w:tcPr>
            <w:tcW w:w="843"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-7.2</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0.5</w:t>
            </w:r>
          </w:p>
        </w:tc>
      </w:tr>
      <w:tr w:rsidR="00682AAC" w:rsidRPr="007F70BC" w:rsidTr="002534F5">
        <w:trPr>
          <w:trHeight w:val="270"/>
          <w:jc w:val="center"/>
        </w:trPr>
        <w:tc>
          <w:tcPr>
            <w:tcW w:w="1172"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11/21/2014</w:t>
            </w:r>
          </w:p>
        </w:tc>
        <w:tc>
          <w:tcPr>
            <w:tcW w:w="11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3.9221</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0.9764</w:t>
            </w:r>
          </w:p>
        </w:tc>
        <w:tc>
          <w:tcPr>
            <w:tcW w:w="843"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-10.1</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0.6</w:t>
            </w:r>
          </w:p>
        </w:tc>
      </w:tr>
      <w:tr w:rsidR="00682AAC" w:rsidRPr="007F70BC" w:rsidTr="002534F5">
        <w:trPr>
          <w:trHeight w:val="260"/>
          <w:jc w:val="center"/>
        </w:trPr>
        <w:tc>
          <w:tcPr>
            <w:tcW w:w="1172" w:type="dxa"/>
            <w:tcBorders>
              <w:top w:val="single" w:sz="8" w:space="0" w:color="auto"/>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Average</w:t>
            </w:r>
          </w:p>
        </w:tc>
        <w:tc>
          <w:tcPr>
            <w:tcW w:w="1199" w:type="dxa"/>
            <w:tcBorders>
              <w:top w:val="single" w:sz="8" w:space="0" w:color="auto"/>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3.9284</w:t>
            </w:r>
          </w:p>
        </w:tc>
        <w:tc>
          <w:tcPr>
            <w:tcW w:w="766" w:type="dxa"/>
            <w:tcBorders>
              <w:top w:val="single" w:sz="8" w:space="0" w:color="auto"/>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0.9780</w:t>
            </w:r>
          </w:p>
        </w:tc>
        <w:tc>
          <w:tcPr>
            <w:tcW w:w="843" w:type="dxa"/>
            <w:tcBorders>
              <w:top w:val="single" w:sz="8" w:space="0" w:color="auto"/>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-8.5</w:t>
            </w:r>
          </w:p>
        </w:tc>
        <w:tc>
          <w:tcPr>
            <w:tcW w:w="920" w:type="dxa"/>
            <w:tcBorders>
              <w:top w:val="single" w:sz="8" w:space="0" w:color="auto"/>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 </w:t>
            </w:r>
          </w:p>
        </w:tc>
      </w:tr>
      <w:tr w:rsidR="00682AAC" w:rsidRPr="007F70BC" w:rsidTr="002534F5">
        <w:trPr>
          <w:trHeight w:val="260"/>
          <w:jc w:val="center"/>
        </w:trPr>
        <w:tc>
          <w:tcPr>
            <w:tcW w:w="1172"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1σ StDev</w:t>
            </w:r>
          </w:p>
        </w:tc>
        <w:tc>
          <w:tcPr>
            <w:tcW w:w="11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0.0068</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0.0017</w:t>
            </w:r>
          </w:p>
        </w:tc>
        <w:tc>
          <w:tcPr>
            <w:tcW w:w="843"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1.7</w:t>
            </w:r>
          </w:p>
        </w:tc>
        <w:tc>
          <w:tcPr>
            <w:tcW w:w="920" w:type="dxa"/>
            <w:tcBorders>
              <w:top w:val="nil"/>
              <w:left w:val="nil"/>
              <w:bottom w:val="nil"/>
              <w:right w:val="nil"/>
            </w:tcBorders>
            <w:shd w:val="clear" w:color="auto" w:fill="auto"/>
            <w:noWrap/>
            <w:vAlign w:val="bottom"/>
            <w:hideMark/>
          </w:tcPr>
          <w:p w:rsidR="00682AAC" w:rsidRPr="007F70BC" w:rsidRDefault="00682AAC" w:rsidP="00682AAC">
            <w:pPr>
              <w:spacing w:after="0"/>
              <w:jc w:val="center"/>
              <w:rPr>
                <w:rFonts w:eastAsia="Times New Roman" w:cs="Times New Roman"/>
                <w:color w:val="000000"/>
                <w:sz w:val="20"/>
                <w:szCs w:val="20"/>
              </w:rPr>
            </w:pPr>
          </w:p>
        </w:tc>
      </w:tr>
      <w:tr w:rsidR="00682AAC" w:rsidRPr="007F70BC" w:rsidTr="002534F5">
        <w:trPr>
          <w:trHeight w:val="260"/>
          <w:jc w:val="center"/>
        </w:trPr>
        <w:tc>
          <w:tcPr>
            <w:tcW w:w="1172"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Ext Rep (‰)</w:t>
            </w:r>
          </w:p>
        </w:tc>
        <w:tc>
          <w:tcPr>
            <w:tcW w:w="1199" w:type="dxa"/>
            <w:tcBorders>
              <w:top w:val="nil"/>
              <w:left w:val="nil"/>
              <w:bottom w:val="nil"/>
              <w:right w:val="nil"/>
            </w:tcBorders>
            <w:shd w:val="clear" w:color="auto" w:fill="auto"/>
            <w:noWrap/>
            <w:vAlign w:val="bottom"/>
            <w:hideMark/>
          </w:tcPr>
          <w:p w:rsidR="00682AAC" w:rsidRPr="007F70BC" w:rsidRDefault="00682AAC" w:rsidP="00682AAC">
            <w:pPr>
              <w:spacing w:after="0"/>
              <w:rPr>
                <w:rFonts w:eastAsia="Times New Roman" w:cs="Times New Roman"/>
                <w:color w:val="000000"/>
                <w:sz w:val="20"/>
                <w:szCs w:val="20"/>
              </w:rPr>
            </w:pPr>
          </w:p>
        </w:tc>
        <w:tc>
          <w:tcPr>
            <w:tcW w:w="766" w:type="dxa"/>
            <w:tcBorders>
              <w:top w:val="nil"/>
              <w:left w:val="nil"/>
              <w:bottom w:val="nil"/>
              <w:right w:val="nil"/>
            </w:tcBorders>
            <w:shd w:val="clear" w:color="auto" w:fill="auto"/>
            <w:noWrap/>
            <w:vAlign w:val="bottom"/>
            <w:hideMark/>
          </w:tcPr>
          <w:p w:rsidR="00682AAC" w:rsidRPr="007F70BC" w:rsidRDefault="00682AAC" w:rsidP="00682AAC">
            <w:pPr>
              <w:spacing w:after="0"/>
              <w:rPr>
                <w:rFonts w:eastAsia="Times New Roman" w:cs="Times New Roman"/>
                <w:sz w:val="20"/>
                <w:szCs w:val="20"/>
              </w:rPr>
            </w:pPr>
          </w:p>
        </w:tc>
        <w:tc>
          <w:tcPr>
            <w:tcW w:w="843"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1.7</w:t>
            </w:r>
          </w:p>
        </w:tc>
        <w:tc>
          <w:tcPr>
            <w:tcW w:w="920" w:type="dxa"/>
            <w:tcBorders>
              <w:top w:val="nil"/>
              <w:left w:val="nil"/>
              <w:bottom w:val="nil"/>
              <w:right w:val="nil"/>
            </w:tcBorders>
            <w:shd w:val="clear" w:color="auto" w:fill="auto"/>
            <w:noWrap/>
            <w:vAlign w:val="bottom"/>
            <w:hideMark/>
          </w:tcPr>
          <w:p w:rsidR="00682AAC" w:rsidRPr="007F70BC" w:rsidRDefault="00682AAC" w:rsidP="00682AAC">
            <w:pPr>
              <w:spacing w:after="0"/>
              <w:jc w:val="center"/>
              <w:rPr>
                <w:rFonts w:eastAsia="Times New Roman" w:cs="Times New Roman"/>
                <w:color w:val="000000"/>
                <w:sz w:val="20"/>
                <w:szCs w:val="20"/>
              </w:rPr>
            </w:pPr>
          </w:p>
        </w:tc>
      </w:tr>
      <w:tr w:rsidR="00682AAC" w:rsidRPr="007F70BC" w:rsidTr="002534F5">
        <w:trPr>
          <w:trHeight w:val="260"/>
          <w:jc w:val="center"/>
        </w:trPr>
        <w:tc>
          <w:tcPr>
            <w:tcW w:w="1172" w:type="dxa"/>
            <w:tcBorders>
              <w:top w:val="nil"/>
              <w:left w:val="nil"/>
              <w:bottom w:val="nil"/>
              <w:right w:val="nil"/>
            </w:tcBorders>
            <w:shd w:val="clear" w:color="auto" w:fill="auto"/>
            <w:noWrap/>
            <w:vAlign w:val="bottom"/>
            <w:hideMark/>
          </w:tcPr>
          <w:p w:rsidR="00682AAC" w:rsidRPr="007F70BC" w:rsidRDefault="00682AAC" w:rsidP="00682AAC">
            <w:pPr>
              <w:spacing w:after="0"/>
              <w:rPr>
                <w:rFonts w:eastAsia="Times New Roman" w:cs="Times New Roman"/>
                <w:sz w:val="20"/>
                <w:szCs w:val="20"/>
              </w:rPr>
            </w:pPr>
          </w:p>
        </w:tc>
        <w:tc>
          <w:tcPr>
            <w:tcW w:w="1199" w:type="dxa"/>
            <w:tcBorders>
              <w:top w:val="nil"/>
              <w:left w:val="nil"/>
              <w:bottom w:val="nil"/>
              <w:right w:val="nil"/>
            </w:tcBorders>
            <w:shd w:val="clear" w:color="auto" w:fill="auto"/>
            <w:noWrap/>
            <w:vAlign w:val="bottom"/>
            <w:hideMark/>
          </w:tcPr>
          <w:p w:rsidR="00682AAC" w:rsidRPr="007F70BC" w:rsidRDefault="00682AAC" w:rsidP="00682AAC">
            <w:pPr>
              <w:spacing w:after="0"/>
              <w:rPr>
                <w:rFonts w:eastAsia="Times New Roman" w:cs="Times New Roman"/>
                <w:sz w:val="20"/>
                <w:szCs w:val="20"/>
              </w:rPr>
            </w:pPr>
          </w:p>
        </w:tc>
        <w:tc>
          <w:tcPr>
            <w:tcW w:w="766" w:type="dxa"/>
            <w:tcBorders>
              <w:top w:val="nil"/>
              <w:left w:val="nil"/>
              <w:bottom w:val="nil"/>
              <w:right w:val="nil"/>
            </w:tcBorders>
            <w:shd w:val="clear" w:color="auto" w:fill="auto"/>
            <w:noWrap/>
            <w:vAlign w:val="bottom"/>
            <w:hideMark/>
          </w:tcPr>
          <w:p w:rsidR="00682AAC" w:rsidRPr="007F70BC" w:rsidRDefault="00682AAC" w:rsidP="00682AAC">
            <w:pPr>
              <w:spacing w:after="0"/>
              <w:rPr>
                <w:rFonts w:eastAsia="Times New Roman" w:cs="Times New Roman"/>
                <w:sz w:val="20"/>
                <w:szCs w:val="20"/>
              </w:rPr>
            </w:pPr>
          </w:p>
        </w:tc>
        <w:tc>
          <w:tcPr>
            <w:tcW w:w="843" w:type="dxa"/>
            <w:tcBorders>
              <w:top w:val="nil"/>
              <w:left w:val="nil"/>
              <w:bottom w:val="nil"/>
              <w:right w:val="nil"/>
            </w:tcBorders>
            <w:shd w:val="clear" w:color="auto" w:fill="auto"/>
            <w:noWrap/>
            <w:vAlign w:val="bottom"/>
            <w:hideMark/>
          </w:tcPr>
          <w:p w:rsidR="00682AAC" w:rsidRPr="007F70BC" w:rsidRDefault="00682AAC" w:rsidP="00682AAC">
            <w:pPr>
              <w:spacing w:after="0"/>
              <w:rPr>
                <w:rFonts w:eastAsia="Times New Roman" w:cs="Times New Roman"/>
                <w:sz w:val="20"/>
                <w:szCs w:val="20"/>
              </w:rPr>
            </w:pPr>
          </w:p>
        </w:tc>
        <w:tc>
          <w:tcPr>
            <w:tcW w:w="920" w:type="dxa"/>
            <w:tcBorders>
              <w:top w:val="nil"/>
              <w:left w:val="nil"/>
              <w:bottom w:val="nil"/>
              <w:right w:val="nil"/>
            </w:tcBorders>
            <w:shd w:val="clear" w:color="auto" w:fill="auto"/>
            <w:noWrap/>
            <w:vAlign w:val="bottom"/>
            <w:hideMark/>
          </w:tcPr>
          <w:p w:rsidR="00682AAC" w:rsidRPr="007F70BC" w:rsidRDefault="00682AAC" w:rsidP="00682AAC">
            <w:pPr>
              <w:spacing w:after="0"/>
              <w:rPr>
                <w:rFonts w:eastAsia="Times New Roman" w:cs="Times New Roman"/>
                <w:sz w:val="20"/>
                <w:szCs w:val="20"/>
              </w:rPr>
            </w:pPr>
          </w:p>
        </w:tc>
      </w:tr>
      <w:tr w:rsidR="00682AAC" w:rsidRPr="007F70BC" w:rsidTr="002534F5">
        <w:trPr>
          <w:trHeight w:val="270"/>
          <w:jc w:val="center"/>
        </w:trPr>
        <w:tc>
          <w:tcPr>
            <w:tcW w:w="1172"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rPr>
                <w:rFonts w:eastAsia="Times New Roman" w:cs="Times New Roman"/>
                <w:i/>
                <w:iCs/>
                <w:color w:val="000000"/>
                <w:sz w:val="20"/>
                <w:szCs w:val="20"/>
              </w:rPr>
            </w:pPr>
            <w:r w:rsidRPr="007F70BC">
              <w:rPr>
                <w:rFonts w:eastAsia="Times New Roman" w:cs="Times New Roman"/>
                <w:i/>
                <w:iCs/>
                <w:color w:val="000000"/>
                <w:sz w:val="20"/>
                <w:szCs w:val="20"/>
              </w:rPr>
              <w:t>Hambergite</w:t>
            </w:r>
          </w:p>
        </w:tc>
        <w:tc>
          <w:tcPr>
            <w:tcW w:w="1199"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 </w:t>
            </w:r>
          </w:p>
        </w:tc>
        <w:tc>
          <w:tcPr>
            <w:tcW w:w="766"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 </w:t>
            </w:r>
          </w:p>
        </w:tc>
        <w:tc>
          <w:tcPr>
            <w:tcW w:w="843"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 </w:t>
            </w:r>
          </w:p>
        </w:tc>
        <w:tc>
          <w:tcPr>
            <w:tcW w:w="920"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 </w:t>
            </w:r>
          </w:p>
        </w:tc>
      </w:tr>
      <w:tr w:rsidR="00682AAC" w:rsidRPr="007F70BC" w:rsidTr="002534F5">
        <w:trPr>
          <w:trHeight w:val="320"/>
          <w:jc w:val="center"/>
        </w:trPr>
        <w:tc>
          <w:tcPr>
            <w:tcW w:w="1172"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Date</w:t>
            </w:r>
          </w:p>
        </w:tc>
        <w:tc>
          <w:tcPr>
            <w:tcW w:w="1199"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vertAlign w:val="superscript"/>
              </w:rPr>
              <w:t>11</w:t>
            </w:r>
            <w:r w:rsidRPr="007F70BC">
              <w:rPr>
                <w:rFonts w:eastAsia="Times New Roman" w:cs="Times New Roman"/>
                <w:color w:val="000000"/>
                <w:sz w:val="20"/>
                <w:szCs w:val="20"/>
              </w:rPr>
              <w:t>B/</w:t>
            </w:r>
            <w:r w:rsidRPr="007F70BC">
              <w:rPr>
                <w:rFonts w:eastAsia="Times New Roman" w:cs="Times New Roman"/>
                <w:color w:val="000000"/>
                <w:sz w:val="20"/>
                <w:szCs w:val="20"/>
                <w:vertAlign w:val="superscript"/>
              </w:rPr>
              <w:t>10</w:t>
            </w:r>
            <w:r w:rsidRPr="007F70BC">
              <w:rPr>
                <w:rFonts w:eastAsia="Times New Roman" w:cs="Times New Roman"/>
                <w:color w:val="000000"/>
                <w:sz w:val="20"/>
                <w:szCs w:val="20"/>
              </w:rPr>
              <w:t>B (raw)</w:t>
            </w:r>
          </w:p>
        </w:tc>
        <w:tc>
          <w:tcPr>
            <w:tcW w:w="766"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α IMF</w:t>
            </w:r>
          </w:p>
        </w:tc>
        <w:tc>
          <w:tcPr>
            <w:tcW w:w="843"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δ</w:t>
            </w:r>
            <w:r w:rsidRPr="007F70BC">
              <w:rPr>
                <w:rFonts w:eastAsia="Times New Roman" w:cs="Times New Roman"/>
                <w:color w:val="000000"/>
                <w:sz w:val="20"/>
                <w:szCs w:val="20"/>
                <w:vertAlign w:val="superscript"/>
              </w:rPr>
              <w:t>11</w:t>
            </w:r>
            <w:r w:rsidRPr="007F70BC">
              <w:rPr>
                <w:rFonts w:eastAsia="Times New Roman" w:cs="Times New Roman"/>
                <w:color w:val="000000"/>
                <w:sz w:val="20"/>
                <w:szCs w:val="20"/>
              </w:rPr>
              <w:t>B (‰)</w:t>
            </w:r>
          </w:p>
        </w:tc>
        <w:tc>
          <w:tcPr>
            <w:tcW w:w="920"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Error (‰)</w:t>
            </w:r>
          </w:p>
        </w:tc>
      </w:tr>
      <w:tr w:rsidR="00682AAC" w:rsidRPr="007F70BC" w:rsidTr="002534F5">
        <w:trPr>
          <w:trHeight w:val="260"/>
          <w:jc w:val="center"/>
        </w:trPr>
        <w:tc>
          <w:tcPr>
            <w:tcW w:w="1172"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11/21/2014</w:t>
            </w:r>
          </w:p>
        </w:tc>
        <w:tc>
          <w:tcPr>
            <w:tcW w:w="11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3.8751</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0.9647</w:t>
            </w:r>
          </w:p>
        </w:tc>
        <w:tc>
          <w:tcPr>
            <w:tcW w:w="843"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-6.3</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0.4</w:t>
            </w:r>
          </w:p>
        </w:tc>
      </w:tr>
      <w:tr w:rsidR="00682AAC" w:rsidRPr="007F70BC" w:rsidTr="002534F5">
        <w:trPr>
          <w:trHeight w:val="270"/>
          <w:jc w:val="center"/>
        </w:trPr>
        <w:tc>
          <w:tcPr>
            <w:tcW w:w="1172"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11/21/2014</w:t>
            </w:r>
          </w:p>
        </w:tc>
        <w:tc>
          <w:tcPr>
            <w:tcW w:w="11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3.8786</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0.9656</w:t>
            </w:r>
          </w:p>
        </w:tc>
        <w:tc>
          <w:tcPr>
            <w:tcW w:w="843"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-5.4</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0.4</w:t>
            </w:r>
          </w:p>
        </w:tc>
      </w:tr>
      <w:tr w:rsidR="00682AAC" w:rsidRPr="007F70BC" w:rsidTr="002534F5">
        <w:trPr>
          <w:trHeight w:val="310"/>
          <w:jc w:val="center"/>
        </w:trPr>
        <w:tc>
          <w:tcPr>
            <w:tcW w:w="1172" w:type="dxa"/>
            <w:tcBorders>
              <w:top w:val="single" w:sz="8" w:space="0" w:color="auto"/>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Average</w:t>
            </w:r>
          </w:p>
        </w:tc>
        <w:tc>
          <w:tcPr>
            <w:tcW w:w="1199" w:type="dxa"/>
            <w:tcBorders>
              <w:top w:val="single" w:sz="8" w:space="0" w:color="auto"/>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3.8769</w:t>
            </w:r>
          </w:p>
        </w:tc>
        <w:tc>
          <w:tcPr>
            <w:tcW w:w="766" w:type="dxa"/>
            <w:tcBorders>
              <w:top w:val="single" w:sz="8" w:space="0" w:color="auto"/>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0.9651</w:t>
            </w:r>
          </w:p>
        </w:tc>
        <w:tc>
          <w:tcPr>
            <w:tcW w:w="843" w:type="dxa"/>
            <w:tcBorders>
              <w:top w:val="single" w:sz="8" w:space="0" w:color="auto"/>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-5.8</w:t>
            </w:r>
          </w:p>
        </w:tc>
        <w:tc>
          <w:tcPr>
            <w:tcW w:w="920" w:type="dxa"/>
            <w:tcBorders>
              <w:top w:val="single" w:sz="8" w:space="0" w:color="auto"/>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 </w:t>
            </w:r>
          </w:p>
        </w:tc>
      </w:tr>
      <w:tr w:rsidR="00682AAC" w:rsidRPr="007F70BC" w:rsidTr="002534F5">
        <w:trPr>
          <w:trHeight w:val="260"/>
          <w:jc w:val="center"/>
        </w:trPr>
        <w:tc>
          <w:tcPr>
            <w:tcW w:w="1172"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1σ StDev</w:t>
            </w:r>
          </w:p>
        </w:tc>
        <w:tc>
          <w:tcPr>
            <w:tcW w:w="11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0.0024</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0.0006</w:t>
            </w:r>
          </w:p>
        </w:tc>
        <w:tc>
          <w:tcPr>
            <w:tcW w:w="843"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0.6</w:t>
            </w:r>
          </w:p>
        </w:tc>
        <w:tc>
          <w:tcPr>
            <w:tcW w:w="920" w:type="dxa"/>
            <w:tcBorders>
              <w:top w:val="nil"/>
              <w:left w:val="nil"/>
              <w:bottom w:val="nil"/>
              <w:right w:val="nil"/>
            </w:tcBorders>
            <w:shd w:val="clear" w:color="auto" w:fill="auto"/>
            <w:noWrap/>
            <w:vAlign w:val="bottom"/>
            <w:hideMark/>
          </w:tcPr>
          <w:p w:rsidR="00682AAC" w:rsidRPr="007F70BC" w:rsidRDefault="00682AAC" w:rsidP="00682AAC">
            <w:pPr>
              <w:spacing w:after="0"/>
              <w:jc w:val="center"/>
              <w:rPr>
                <w:rFonts w:eastAsia="Times New Roman" w:cs="Times New Roman"/>
                <w:color w:val="000000"/>
                <w:sz w:val="20"/>
                <w:szCs w:val="20"/>
              </w:rPr>
            </w:pPr>
          </w:p>
        </w:tc>
      </w:tr>
      <w:tr w:rsidR="00682AAC" w:rsidRPr="007F70BC" w:rsidTr="002534F5">
        <w:trPr>
          <w:trHeight w:val="260"/>
          <w:jc w:val="center"/>
        </w:trPr>
        <w:tc>
          <w:tcPr>
            <w:tcW w:w="1172"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Ext Rep (‰)</w:t>
            </w:r>
          </w:p>
        </w:tc>
        <w:tc>
          <w:tcPr>
            <w:tcW w:w="1199" w:type="dxa"/>
            <w:tcBorders>
              <w:top w:val="nil"/>
              <w:left w:val="nil"/>
              <w:bottom w:val="nil"/>
              <w:right w:val="nil"/>
            </w:tcBorders>
            <w:shd w:val="clear" w:color="auto" w:fill="auto"/>
            <w:noWrap/>
            <w:vAlign w:val="bottom"/>
            <w:hideMark/>
          </w:tcPr>
          <w:p w:rsidR="00682AAC" w:rsidRPr="007F70BC" w:rsidRDefault="00682AAC" w:rsidP="00682AAC">
            <w:pPr>
              <w:spacing w:after="0"/>
              <w:rPr>
                <w:rFonts w:eastAsia="Times New Roman" w:cs="Times New Roman"/>
                <w:color w:val="000000"/>
                <w:sz w:val="20"/>
                <w:szCs w:val="20"/>
              </w:rPr>
            </w:pPr>
          </w:p>
        </w:tc>
        <w:tc>
          <w:tcPr>
            <w:tcW w:w="766" w:type="dxa"/>
            <w:tcBorders>
              <w:top w:val="nil"/>
              <w:left w:val="nil"/>
              <w:bottom w:val="nil"/>
              <w:right w:val="nil"/>
            </w:tcBorders>
            <w:shd w:val="clear" w:color="auto" w:fill="auto"/>
            <w:noWrap/>
            <w:vAlign w:val="bottom"/>
            <w:hideMark/>
          </w:tcPr>
          <w:p w:rsidR="00682AAC" w:rsidRPr="007F70BC" w:rsidRDefault="00682AAC" w:rsidP="00682AAC">
            <w:pPr>
              <w:spacing w:after="0"/>
              <w:rPr>
                <w:rFonts w:eastAsia="Times New Roman" w:cs="Times New Roman"/>
                <w:sz w:val="20"/>
                <w:szCs w:val="20"/>
              </w:rPr>
            </w:pPr>
          </w:p>
        </w:tc>
        <w:tc>
          <w:tcPr>
            <w:tcW w:w="843"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0.6</w:t>
            </w:r>
          </w:p>
        </w:tc>
        <w:tc>
          <w:tcPr>
            <w:tcW w:w="920" w:type="dxa"/>
            <w:tcBorders>
              <w:top w:val="nil"/>
              <w:left w:val="nil"/>
              <w:bottom w:val="nil"/>
              <w:right w:val="nil"/>
            </w:tcBorders>
            <w:shd w:val="clear" w:color="auto" w:fill="auto"/>
            <w:noWrap/>
            <w:vAlign w:val="bottom"/>
            <w:hideMark/>
          </w:tcPr>
          <w:p w:rsidR="00682AAC" w:rsidRPr="007F70BC" w:rsidRDefault="00682AAC" w:rsidP="00682AAC">
            <w:pPr>
              <w:spacing w:after="0"/>
              <w:jc w:val="center"/>
              <w:rPr>
                <w:rFonts w:eastAsia="Times New Roman" w:cs="Times New Roman"/>
                <w:color w:val="000000"/>
                <w:sz w:val="20"/>
                <w:szCs w:val="20"/>
              </w:rPr>
            </w:pPr>
          </w:p>
        </w:tc>
      </w:tr>
    </w:tbl>
    <w:p w:rsidR="00A76046" w:rsidRDefault="00A76046" w:rsidP="00713274">
      <w:pPr>
        <w:spacing w:line="480" w:lineRule="auto"/>
        <w:rPr>
          <w:rFonts w:cs="Times New Roman"/>
          <w:color w:val="000000"/>
        </w:rPr>
      </w:pPr>
    </w:p>
    <w:p w:rsidR="00A76046" w:rsidRDefault="00A76046">
      <w:pPr>
        <w:rPr>
          <w:rFonts w:cs="Times New Roman"/>
          <w:color w:val="000000"/>
        </w:rPr>
      </w:pPr>
      <w:r>
        <w:rPr>
          <w:rFonts w:cs="Times New Roman"/>
          <w:color w:val="000000"/>
        </w:rPr>
        <w:br w:type="page"/>
      </w:r>
    </w:p>
    <w:tbl>
      <w:tblPr>
        <w:tblW w:w="4886" w:type="dxa"/>
        <w:jc w:val="center"/>
        <w:tblLook w:val="04A0" w:firstRow="1" w:lastRow="0" w:firstColumn="1" w:lastColumn="0" w:noHBand="0" w:noVBand="1"/>
      </w:tblPr>
      <w:tblGrid>
        <w:gridCol w:w="1200"/>
        <w:gridCol w:w="1180"/>
        <w:gridCol w:w="766"/>
        <w:gridCol w:w="820"/>
        <w:gridCol w:w="920"/>
      </w:tblGrid>
      <w:tr w:rsidR="00682AAC" w:rsidRPr="007F70BC" w:rsidTr="002534F5">
        <w:trPr>
          <w:trHeight w:val="260"/>
          <w:jc w:val="center"/>
        </w:trPr>
        <w:tc>
          <w:tcPr>
            <w:tcW w:w="4886" w:type="dxa"/>
            <w:gridSpan w:val="5"/>
            <w:tcBorders>
              <w:top w:val="nil"/>
              <w:left w:val="nil"/>
              <w:bottom w:val="nil"/>
              <w:right w:val="nil"/>
            </w:tcBorders>
            <w:shd w:val="clear" w:color="auto" w:fill="auto"/>
            <w:noWrap/>
            <w:vAlign w:val="bottom"/>
            <w:hideMark/>
          </w:tcPr>
          <w:p w:rsidR="00682AAC" w:rsidRPr="007F70BC" w:rsidRDefault="00682AAC" w:rsidP="00682AAC">
            <w:pPr>
              <w:spacing w:after="0"/>
              <w:rPr>
                <w:rFonts w:eastAsia="Times New Roman" w:cs="Times New Roman"/>
                <w:sz w:val="20"/>
                <w:szCs w:val="20"/>
              </w:rPr>
            </w:pPr>
            <w:r w:rsidRPr="007F70BC">
              <w:rPr>
                <w:rFonts w:eastAsia="Times New Roman" w:cs="Times New Roman"/>
                <w:color w:val="000000"/>
                <w:sz w:val="20"/>
                <w:szCs w:val="20"/>
              </w:rPr>
              <w:lastRenderedPageBreak/>
              <w:t>Table 2 cont.</w:t>
            </w:r>
          </w:p>
        </w:tc>
      </w:tr>
      <w:tr w:rsidR="00682AAC" w:rsidRPr="007F70BC" w:rsidTr="002534F5">
        <w:trPr>
          <w:trHeight w:val="310"/>
          <w:jc w:val="center"/>
        </w:trPr>
        <w:tc>
          <w:tcPr>
            <w:tcW w:w="3966" w:type="dxa"/>
            <w:gridSpan w:val="4"/>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Ferroaxinite standard (</w:t>
            </w:r>
            <w:r w:rsidRPr="007F70BC">
              <w:rPr>
                <w:rFonts w:eastAsia="Times New Roman" w:cs="Times New Roman"/>
                <w:color w:val="000000"/>
                <w:sz w:val="20"/>
                <w:szCs w:val="20"/>
                <w:vertAlign w:val="superscript"/>
              </w:rPr>
              <w:t>11</w:t>
            </w:r>
            <w:r w:rsidRPr="007F70BC">
              <w:rPr>
                <w:rFonts w:eastAsia="Times New Roman" w:cs="Times New Roman"/>
                <w:color w:val="000000"/>
                <w:sz w:val="20"/>
                <w:szCs w:val="20"/>
              </w:rPr>
              <w:t>B/</w:t>
            </w:r>
            <w:r w:rsidRPr="007F70BC">
              <w:rPr>
                <w:rFonts w:eastAsia="Times New Roman" w:cs="Times New Roman"/>
                <w:color w:val="000000"/>
                <w:sz w:val="20"/>
                <w:szCs w:val="20"/>
                <w:vertAlign w:val="superscript"/>
              </w:rPr>
              <w:t>10</w:t>
            </w:r>
            <w:r w:rsidRPr="007F70BC">
              <w:rPr>
                <w:rFonts w:eastAsia="Times New Roman" w:cs="Times New Roman"/>
                <w:color w:val="000000"/>
                <w:sz w:val="20"/>
                <w:szCs w:val="20"/>
              </w:rPr>
              <w:t>B = 4.0181)</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p>
        </w:tc>
      </w:tr>
      <w:tr w:rsidR="00682AAC" w:rsidRPr="007F70BC" w:rsidTr="002534F5">
        <w:trPr>
          <w:trHeight w:val="270"/>
          <w:jc w:val="center"/>
        </w:trPr>
        <w:tc>
          <w:tcPr>
            <w:tcW w:w="1200"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rPr>
                <w:rFonts w:eastAsia="Times New Roman" w:cs="Times New Roman"/>
                <w:i/>
                <w:iCs/>
                <w:color w:val="000000"/>
                <w:sz w:val="20"/>
                <w:szCs w:val="20"/>
              </w:rPr>
            </w:pPr>
            <w:r w:rsidRPr="007F70BC">
              <w:rPr>
                <w:rFonts w:eastAsia="Times New Roman" w:cs="Times New Roman"/>
                <w:i/>
                <w:iCs/>
                <w:color w:val="000000"/>
                <w:sz w:val="20"/>
                <w:szCs w:val="20"/>
              </w:rPr>
              <w:t>Axinite</w:t>
            </w:r>
          </w:p>
        </w:tc>
        <w:tc>
          <w:tcPr>
            <w:tcW w:w="1180"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 </w:t>
            </w:r>
          </w:p>
        </w:tc>
        <w:tc>
          <w:tcPr>
            <w:tcW w:w="766"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 </w:t>
            </w:r>
          </w:p>
        </w:tc>
        <w:tc>
          <w:tcPr>
            <w:tcW w:w="820"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 </w:t>
            </w:r>
          </w:p>
        </w:tc>
        <w:tc>
          <w:tcPr>
            <w:tcW w:w="920"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 </w:t>
            </w:r>
          </w:p>
        </w:tc>
      </w:tr>
      <w:tr w:rsidR="00682AAC" w:rsidRPr="007F70BC" w:rsidTr="002534F5">
        <w:trPr>
          <w:trHeight w:val="320"/>
          <w:jc w:val="center"/>
        </w:trPr>
        <w:tc>
          <w:tcPr>
            <w:tcW w:w="1200"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Date</w:t>
            </w:r>
          </w:p>
        </w:tc>
        <w:tc>
          <w:tcPr>
            <w:tcW w:w="1180"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vertAlign w:val="superscript"/>
              </w:rPr>
              <w:t>11</w:t>
            </w:r>
            <w:r w:rsidRPr="007F70BC">
              <w:rPr>
                <w:rFonts w:eastAsia="Times New Roman" w:cs="Times New Roman"/>
                <w:color w:val="000000"/>
                <w:sz w:val="20"/>
                <w:szCs w:val="20"/>
              </w:rPr>
              <w:t>B/</w:t>
            </w:r>
            <w:r w:rsidRPr="007F70BC">
              <w:rPr>
                <w:rFonts w:eastAsia="Times New Roman" w:cs="Times New Roman"/>
                <w:color w:val="000000"/>
                <w:sz w:val="20"/>
                <w:szCs w:val="20"/>
                <w:vertAlign w:val="superscript"/>
              </w:rPr>
              <w:t>10</w:t>
            </w:r>
            <w:r w:rsidRPr="007F70BC">
              <w:rPr>
                <w:rFonts w:eastAsia="Times New Roman" w:cs="Times New Roman"/>
                <w:color w:val="000000"/>
                <w:sz w:val="20"/>
                <w:szCs w:val="20"/>
              </w:rPr>
              <w:t>B (raw)</w:t>
            </w:r>
          </w:p>
        </w:tc>
        <w:tc>
          <w:tcPr>
            <w:tcW w:w="766"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α IMF</w:t>
            </w:r>
          </w:p>
        </w:tc>
        <w:tc>
          <w:tcPr>
            <w:tcW w:w="820"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δ</w:t>
            </w:r>
            <w:r w:rsidRPr="007F70BC">
              <w:rPr>
                <w:rFonts w:eastAsia="Times New Roman" w:cs="Times New Roman"/>
                <w:color w:val="000000"/>
                <w:sz w:val="20"/>
                <w:szCs w:val="20"/>
                <w:vertAlign w:val="superscript"/>
              </w:rPr>
              <w:t>11</w:t>
            </w:r>
            <w:r w:rsidRPr="007F70BC">
              <w:rPr>
                <w:rFonts w:eastAsia="Times New Roman" w:cs="Times New Roman"/>
                <w:color w:val="000000"/>
                <w:sz w:val="20"/>
                <w:szCs w:val="20"/>
              </w:rPr>
              <w:t>B (‰)</w:t>
            </w:r>
          </w:p>
        </w:tc>
        <w:tc>
          <w:tcPr>
            <w:tcW w:w="920"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Error (‰)</w:t>
            </w:r>
          </w:p>
        </w:tc>
      </w:tr>
      <w:tr w:rsidR="00682AAC" w:rsidRPr="007F70BC" w:rsidTr="002534F5">
        <w:trPr>
          <w:trHeight w:val="260"/>
          <w:jc w:val="center"/>
        </w:trPr>
        <w:tc>
          <w:tcPr>
            <w:tcW w:w="120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11/20/2014</w:t>
            </w:r>
          </w:p>
        </w:tc>
        <w:tc>
          <w:tcPr>
            <w:tcW w:w="118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3.8910</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0.9684</w:t>
            </w:r>
          </w:p>
        </w:tc>
        <w:tc>
          <w:tcPr>
            <w:tcW w:w="8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-7.2</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0.5</w:t>
            </w:r>
          </w:p>
        </w:tc>
      </w:tr>
      <w:tr w:rsidR="00682AAC" w:rsidRPr="007F70BC" w:rsidTr="002534F5">
        <w:trPr>
          <w:trHeight w:val="260"/>
          <w:jc w:val="center"/>
        </w:trPr>
        <w:tc>
          <w:tcPr>
            <w:tcW w:w="120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11/20/2014</w:t>
            </w:r>
          </w:p>
        </w:tc>
        <w:tc>
          <w:tcPr>
            <w:tcW w:w="118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3.8916</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0.9685</w:t>
            </w:r>
          </w:p>
        </w:tc>
        <w:tc>
          <w:tcPr>
            <w:tcW w:w="8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-7.0</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0.4</w:t>
            </w:r>
          </w:p>
        </w:tc>
      </w:tr>
      <w:tr w:rsidR="00682AAC" w:rsidRPr="007F70BC" w:rsidTr="002534F5">
        <w:trPr>
          <w:trHeight w:val="260"/>
          <w:jc w:val="center"/>
        </w:trPr>
        <w:tc>
          <w:tcPr>
            <w:tcW w:w="120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11/20/2014</w:t>
            </w:r>
          </w:p>
        </w:tc>
        <w:tc>
          <w:tcPr>
            <w:tcW w:w="118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3.8912</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0.9684</w:t>
            </w:r>
          </w:p>
        </w:tc>
        <w:tc>
          <w:tcPr>
            <w:tcW w:w="8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-7.1</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0.4</w:t>
            </w:r>
          </w:p>
        </w:tc>
      </w:tr>
      <w:tr w:rsidR="00682AAC" w:rsidRPr="007F70BC" w:rsidTr="002534F5">
        <w:trPr>
          <w:trHeight w:val="270"/>
          <w:jc w:val="center"/>
        </w:trPr>
        <w:tc>
          <w:tcPr>
            <w:tcW w:w="1200"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11/20/2014</w:t>
            </w:r>
          </w:p>
        </w:tc>
        <w:tc>
          <w:tcPr>
            <w:tcW w:w="1180"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3.9036</w:t>
            </w:r>
          </w:p>
        </w:tc>
        <w:tc>
          <w:tcPr>
            <w:tcW w:w="766"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0.9715</w:t>
            </w:r>
          </w:p>
        </w:tc>
        <w:tc>
          <w:tcPr>
            <w:tcW w:w="820"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-4.0</w:t>
            </w:r>
          </w:p>
        </w:tc>
        <w:tc>
          <w:tcPr>
            <w:tcW w:w="920"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0.5</w:t>
            </w:r>
          </w:p>
        </w:tc>
      </w:tr>
      <w:tr w:rsidR="00682AAC" w:rsidRPr="007F70BC" w:rsidTr="002534F5">
        <w:trPr>
          <w:trHeight w:val="260"/>
          <w:jc w:val="center"/>
        </w:trPr>
        <w:tc>
          <w:tcPr>
            <w:tcW w:w="120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Average</w:t>
            </w:r>
          </w:p>
        </w:tc>
        <w:tc>
          <w:tcPr>
            <w:tcW w:w="118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3.8944</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0.9692</w:t>
            </w:r>
          </w:p>
        </w:tc>
        <w:tc>
          <w:tcPr>
            <w:tcW w:w="8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-6.3</w:t>
            </w:r>
          </w:p>
        </w:tc>
        <w:tc>
          <w:tcPr>
            <w:tcW w:w="920" w:type="dxa"/>
            <w:tcBorders>
              <w:top w:val="nil"/>
              <w:left w:val="nil"/>
              <w:bottom w:val="nil"/>
              <w:right w:val="nil"/>
            </w:tcBorders>
            <w:shd w:val="clear" w:color="auto" w:fill="auto"/>
            <w:noWrap/>
            <w:vAlign w:val="bottom"/>
            <w:hideMark/>
          </w:tcPr>
          <w:p w:rsidR="00682AAC" w:rsidRPr="007F70BC" w:rsidRDefault="00682AAC" w:rsidP="00682AAC">
            <w:pPr>
              <w:spacing w:after="0"/>
              <w:jc w:val="center"/>
              <w:rPr>
                <w:rFonts w:eastAsia="Times New Roman" w:cs="Times New Roman"/>
                <w:color w:val="000000"/>
                <w:sz w:val="20"/>
                <w:szCs w:val="20"/>
              </w:rPr>
            </w:pPr>
          </w:p>
        </w:tc>
      </w:tr>
      <w:tr w:rsidR="00682AAC" w:rsidRPr="007F70BC" w:rsidTr="002534F5">
        <w:trPr>
          <w:trHeight w:val="260"/>
          <w:jc w:val="center"/>
        </w:trPr>
        <w:tc>
          <w:tcPr>
            <w:tcW w:w="120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1σ StDev</w:t>
            </w:r>
          </w:p>
        </w:tc>
        <w:tc>
          <w:tcPr>
            <w:tcW w:w="118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0.0062</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0.0015</w:t>
            </w:r>
          </w:p>
        </w:tc>
        <w:tc>
          <w:tcPr>
            <w:tcW w:w="8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1.6</w:t>
            </w:r>
          </w:p>
        </w:tc>
        <w:tc>
          <w:tcPr>
            <w:tcW w:w="920" w:type="dxa"/>
            <w:tcBorders>
              <w:top w:val="nil"/>
              <w:left w:val="nil"/>
              <w:bottom w:val="nil"/>
              <w:right w:val="nil"/>
            </w:tcBorders>
            <w:shd w:val="clear" w:color="auto" w:fill="auto"/>
            <w:noWrap/>
            <w:vAlign w:val="bottom"/>
            <w:hideMark/>
          </w:tcPr>
          <w:p w:rsidR="00682AAC" w:rsidRPr="007F70BC" w:rsidRDefault="00682AAC" w:rsidP="00682AAC">
            <w:pPr>
              <w:spacing w:after="0"/>
              <w:jc w:val="center"/>
              <w:rPr>
                <w:rFonts w:eastAsia="Times New Roman" w:cs="Times New Roman"/>
                <w:color w:val="000000"/>
                <w:sz w:val="20"/>
                <w:szCs w:val="20"/>
              </w:rPr>
            </w:pPr>
          </w:p>
        </w:tc>
      </w:tr>
      <w:tr w:rsidR="00682AAC" w:rsidRPr="007F70BC" w:rsidTr="002534F5">
        <w:trPr>
          <w:trHeight w:val="260"/>
          <w:jc w:val="center"/>
        </w:trPr>
        <w:tc>
          <w:tcPr>
            <w:tcW w:w="120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Ext Rep (‰)</w:t>
            </w:r>
          </w:p>
        </w:tc>
        <w:tc>
          <w:tcPr>
            <w:tcW w:w="1180" w:type="dxa"/>
            <w:tcBorders>
              <w:top w:val="nil"/>
              <w:left w:val="nil"/>
              <w:bottom w:val="nil"/>
              <w:right w:val="nil"/>
            </w:tcBorders>
            <w:shd w:val="clear" w:color="auto" w:fill="auto"/>
            <w:noWrap/>
            <w:vAlign w:val="bottom"/>
            <w:hideMark/>
          </w:tcPr>
          <w:p w:rsidR="00682AAC" w:rsidRPr="007F70BC" w:rsidRDefault="00682AAC" w:rsidP="00682AAC">
            <w:pPr>
              <w:spacing w:after="0"/>
              <w:rPr>
                <w:rFonts w:eastAsia="Times New Roman" w:cs="Times New Roman"/>
                <w:color w:val="000000"/>
                <w:sz w:val="20"/>
                <w:szCs w:val="20"/>
              </w:rPr>
            </w:pPr>
          </w:p>
        </w:tc>
        <w:tc>
          <w:tcPr>
            <w:tcW w:w="766" w:type="dxa"/>
            <w:tcBorders>
              <w:top w:val="nil"/>
              <w:left w:val="nil"/>
              <w:bottom w:val="nil"/>
              <w:right w:val="nil"/>
            </w:tcBorders>
            <w:shd w:val="clear" w:color="auto" w:fill="auto"/>
            <w:noWrap/>
            <w:vAlign w:val="bottom"/>
            <w:hideMark/>
          </w:tcPr>
          <w:p w:rsidR="00682AAC" w:rsidRPr="007F70BC" w:rsidRDefault="00682AAC" w:rsidP="00682AAC">
            <w:pPr>
              <w:spacing w:after="0"/>
              <w:rPr>
                <w:rFonts w:eastAsia="Times New Roman" w:cs="Times New Roman"/>
                <w:sz w:val="20"/>
                <w:szCs w:val="20"/>
              </w:rPr>
            </w:pPr>
          </w:p>
        </w:tc>
        <w:tc>
          <w:tcPr>
            <w:tcW w:w="8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1.6</w:t>
            </w:r>
          </w:p>
        </w:tc>
        <w:tc>
          <w:tcPr>
            <w:tcW w:w="920" w:type="dxa"/>
            <w:tcBorders>
              <w:top w:val="nil"/>
              <w:left w:val="nil"/>
              <w:bottom w:val="nil"/>
              <w:right w:val="nil"/>
            </w:tcBorders>
            <w:shd w:val="clear" w:color="auto" w:fill="auto"/>
            <w:noWrap/>
            <w:vAlign w:val="bottom"/>
            <w:hideMark/>
          </w:tcPr>
          <w:p w:rsidR="00682AAC" w:rsidRPr="007F70BC" w:rsidRDefault="00682AAC" w:rsidP="00682AAC">
            <w:pPr>
              <w:spacing w:after="0"/>
              <w:jc w:val="center"/>
              <w:rPr>
                <w:rFonts w:eastAsia="Times New Roman" w:cs="Times New Roman"/>
                <w:color w:val="000000"/>
                <w:sz w:val="20"/>
                <w:szCs w:val="20"/>
              </w:rPr>
            </w:pPr>
          </w:p>
        </w:tc>
      </w:tr>
      <w:tr w:rsidR="00682AAC" w:rsidRPr="007F70BC" w:rsidTr="002534F5">
        <w:trPr>
          <w:trHeight w:val="260"/>
          <w:jc w:val="center"/>
        </w:trPr>
        <w:tc>
          <w:tcPr>
            <w:tcW w:w="1200" w:type="dxa"/>
            <w:tcBorders>
              <w:top w:val="nil"/>
              <w:left w:val="nil"/>
              <w:bottom w:val="nil"/>
              <w:right w:val="nil"/>
            </w:tcBorders>
            <w:shd w:val="clear" w:color="auto" w:fill="auto"/>
            <w:noWrap/>
            <w:vAlign w:val="bottom"/>
            <w:hideMark/>
          </w:tcPr>
          <w:p w:rsidR="00682AAC" w:rsidRPr="007F70BC" w:rsidRDefault="00682AAC" w:rsidP="00682AAC">
            <w:pPr>
              <w:spacing w:after="0"/>
              <w:rPr>
                <w:rFonts w:eastAsia="Times New Roman" w:cs="Times New Roman"/>
                <w:sz w:val="20"/>
                <w:szCs w:val="20"/>
              </w:rPr>
            </w:pPr>
          </w:p>
        </w:tc>
        <w:tc>
          <w:tcPr>
            <w:tcW w:w="1180" w:type="dxa"/>
            <w:tcBorders>
              <w:top w:val="nil"/>
              <w:left w:val="nil"/>
              <w:bottom w:val="nil"/>
              <w:right w:val="nil"/>
            </w:tcBorders>
            <w:shd w:val="clear" w:color="auto" w:fill="auto"/>
            <w:noWrap/>
            <w:vAlign w:val="bottom"/>
            <w:hideMark/>
          </w:tcPr>
          <w:p w:rsidR="00682AAC" w:rsidRPr="007F70BC" w:rsidRDefault="00682AAC" w:rsidP="00682AAC">
            <w:pPr>
              <w:spacing w:after="0"/>
              <w:rPr>
                <w:rFonts w:eastAsia="Times New Roman" w:cs="Times New Roman"/>
                <w:sz w:val="20"/>
                <w:szCs w:val="20"/>
              </w:rPr>
            </w:pPr>
          </w:p>
        </w:tc>
        <w:tc>
          <w:tcPr>
            <w:tcW w:w="766" w:type="dxa"/>
            <w:tcBorders>
              <w:top w:val="nil"/>
              <w:left w:val="nil"/>
              <w:bottom w:val="nil"/>
              <w:right w:val="nil"/>
            </w:tcBorders>
            <w:shd w:val="clear" w:color="auto" w:fill="auto"/>
            <w:noWrap/>
            <w:vAlign w:val="bottom"/>
            <w:hideMark/>
          </w:tcPr>
          <w:p w:rsidR="00682AAC" w:rsidRPr="007F70BC" w:rsidRDefault="00682AAC" w:rsidP="00682AAC">
            <w:pPr>
              <w:spacing w:after="0"/>
              <w:rPr>
                <w:rFonts w:eastAsia="Times New Roman" w:cs="Times New Roman"/>
                <w:sz w:val="20"/>
                <w:szCs w:val="20"/>
              </w:rPr>
            </w:pPr>
          </w:p>
        </w:tc>
        <w:tc>
          <w:tcPr>
            <w:tcW w:w="820" w:type="dxa"/>
            <w:tcBorders>
              <w:top w:val="nil"/>
              <w:left w:val="nil"/>
              <w:bottom w:val="nil"/>
              <w:right w:val="nil"/>
            </w:tcBorders>
            <w:shd w:val="clear" w:color="auto" w:fill="auto"/>
            <w:noWrap/>
            <w:vAlign w:val="bottom"/>
            <w:hideMark/>
          </w:tcPr>
          <w:p w:rsidR="00682AAC" w:rsidRPr="007F70BC" w:rsidRDefault="00682AAC" w:rsidP="00682AAC">
            <w:pPr>
              <w:spacing w:after="0"/>
              <w:rPr>
                <w:rFonts w:eastAsia="Times New Roman" w:cs="Times New Roman"/>
                <w:sz w:val="20"/>
                <w:szCs w:val="20"/>
              </w:rPr>
            </w:pPr>
          </w:p>
        </w:tc>
        <w:tc>
          <w:tcPr>
            <w:tcW w:w="920" w:type="dxa"/>
            <w:tcBorders>
              <w:top w:val="nil"/>
              <w:left w:val="nil"/>
              <w:bottom w:val="nil"/>
              <w:right w:val="nil"/>
            </w:tcBorders>
            <w:shd w:val="clear" w:color="auto" w:fill="auto"/>
            <w:noWrap/>
            <w:vAlign w:val="bottom"/>
            <w:hideMark/>
          </w:tcPr>
          <w:p w:rsidR="00682AAC" w:rsidRPr="007F70BC" w:rsidRDefault="00682AAC" w:rsidP="00682AAC">
            <w:pPr>
              <w:spacing w:after="0"/>
              <w:rPr>
                <w:rFonts w:eastAsia="Times New Roman" w:cs="Times New Roman"/>
                <w:sz w:val="20"/>
                <w:szCs w:val="20"/>
              </w:rPr>
            </w:pPr>
          </w:p>
        </w:tc>
      </w:tr>
      <w:tr w:rsidR="00682AAC" w:rsidRPr="007F70BC" w:rsidTr="002534F5">
        <w:trPr>
          <w:trHeight w:val="310"/>
          <w:jc w:val="center"/>
        </w:trPr>
        <w:tc>
          <w:tcPr>
            <w:tcW w:w="2380" w:type="dxa"/>
            <w:gridSpan w:val="2"/>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Dravite (</w:t>
            </w:r>
            <w:r w:rsidRPr="007F70BC">
              <w:rPr>
                <w:rFonts w:eastAsia="Times New Roman" w:cs="Times New Roman"/>
                <w:color w:val="000000"/>
                <w:sz w:val="20"/>
                <w:szCs w:val="20"/>
                <w:vertAlign w:val="superscript"/>
              </w:rPr>
              <w:t>11</w:t>
            </w:r>
            <w:r w:rsidRPr="007F70BC">
              <w:rPr>
                <w:rFonts w:eastAsia="Times New Roman" w:cs="Times New Roman"/>
                <w:color w:val="000000"/>
                <w:sz w:val="20"/>
                <w:szCs w:val="20"/>
              </w:rPr>
              <w:t>B/</w:t>
            </w:r>
            <w:r w:rsidRPr="007F70BC">
              <w:rPr>
                <w:rFonts w:eastAsia="Times New Roman" w:cs="Times New Roman"/>
                <w:color w:val="000000"/>
                <w:sz w:val="20"/>
                <w:szCs w:val="20"/>
                <w:vertAlign w:val="superscript"/>
              </w:rPr>
              <w:t>10</w:t>
            </w:r>
            <w:r w:rsidRPr="007F70BC">
              <w:rPr>
                <w:rFonts w:eastAsia="Times New Roman" w:cs="Times New Roman"/>
                <w:color w:val="000000"/>
                <w:sz w:val="20"/>
                <w:szCs w:val="20"/>
              </w:rPr>
              <w:t>B = 4.0169)</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p>
        </w:tc>
        <w:tc>
          <w:tcPr>
            <w:tcW w:w="820" w:type="dxa"/>
            <w:tcBorders>
              <w:top w:val="nil"/>
              <w:left w:val="nil"/>
              <w:bottom w:val="nil"/>
              <w:right w:val="nil"/>
            </w:tcBorders>
            <w:shd w:val="clear" w:color="auto" w:fill="auto"/>
            <w:noWrap/>
            <w:vAlign w:val="bottom"/>
            <w:hideMark/>
          </w:tcPr>
          <w:p w:rsidR="00682AAC" w:rsidRPr="007F70BC" w:rsidRDefault="00682AAC" w:rsidP="00682AAC">
            <w:pPr>
              <w:spacing w:after="0"/>
              <w:rPr>
                <w:rFonts w:eastAsia="Times New Roman" w:cs="Times New Roman"/>
                <w:sz w:val="20"/>
                <w:szCs w:val="20"/>
              </w:rPr>
            </w:pPr>
          </w:p>
        </w:tc>
        <w:tc>
          <w:tcPr>
            <w:tcW w:w="920" w:type="dxa"/>
            <w:tcBorders>
              <w:top w:val="nil"/>
              <w:left w:val="nil"/>
              <w:bottom w:val="nil"/>
              <w:right w:val="nil"/>
            </w:tcBorders>
            <w:shd w:val="clear" w:color="auto" w:fill="auto"/>
            <w:noWrap/>
            <w:vAlign w:val="bottom"/>
            <w:hideMark/>
          </w:tcPr>
          <w:p w:rsidR="00682AAC" w:rsidRPr="007F70BC" w:rsidRDefault="00682AAC" w:rsidP="00682AAC">
            <w:pPr>
              <w:spacing w:after="0"/>
              <w:rPr>
                <w:rFonts w:eastAsia="Times New Roman" w:cs="Times New Roman"/>
                <w:sz w:val="20"/>
                <w:szCs w:val="20"/>
              </w:rPr>
            </w:pPr>
          </w:p>
        </w:tc>
      </w:tr>
      <w:tr w:rsidR="00682AAC" w:rsidRPr="007F70BC" w:rsidTr="002534F5">
        <w:trPr>
          <w:trHeight w:val="270"/>
          <w:jc w:val="center"/>
        </w:trPr>
        <w:tc>
          <w:tcPr>
            <w:tcW w:w="1200"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rPr>
                <w:rFonts w:eastAsia="Times New Roman" w:cs="Times New Roman"/>
                <w:i/>
                <w:iCs/>
                <w:color w:val="000000"/>
                <w:sz w:val="20"/>
                <w:szCs w:val="20"/>
              </w:rPr>
            </w:pPr>
            <w:r w:rsidRPr="007F70BC">
              <w:rPr>
                <w:rFonts w:eastAsia="Times New Roman" w:cs="Times New Roman"/>
                <w:i/>
                <w:iCs/>
                <w:color w:val="000000"/>
                <w:sz w:val="20"/>
                <w:szCs w:val="20"/>
              </w:rPr>
              <w:t>Tourmaline</w:t>
            </w:r>
          </w:p>
        </w:tc>
        <w:tc>
          <w:tcPr>
            <w:tcW w:w="1180"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 </w:t>
            </w:r>
          </w:p>
        </w:tc>
        <w:tc>
          <w:tcPr>
            <w:tcW w:w="766"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 </w:t>
            </w:r>
          </w:p>
        </w:tc>
        <w:tc>
          <w:tcPr>
            <w:tcW w:w="820"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 </w:t>
            </w:r>
          </w:p>
        </w:tc>
        <w:tc>
          <w:tcPr>
            <w:tcW w:w="920"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 </w:t>
            </w:r>
          </w:p>
        </w:tc>
      </w:tr>
      <w:tr w:rsidR="00682AAC" w:rsidRPr="007F70BC" w:rsidTr="002534F5">
        <w:trPr>
          <w:trHeight w:val="320"/>
          <w:jc w:val="center"/>
        </w:trPr>
        <w:tc>
          <w:tcPr>
            <w:tcW w:w="1200"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Date</w:t>
            </w:r>
          </w:p>
        </w:tc>
        <w:tc>
          <w:tcPr>
            <w:tcW w:w="1180"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vertAlign w:val="superscript"/>
              </w:rPr>
              <w:t>11</w:t>
            </w:r>
            <w:r w:rsidRPr="007F70BC">
              <w:rPr>
                <w:rFonts w:eastAsia="Times New Roman" w:cs="Times New Roman"/>
                <w:color w:val="000000"/>
                <w:sz w:val="20"/>
                <w:szCs w:val="20"/>
              </w:rPr>
              <w:t>B/</w:t>
            </w:r>
            <w:r w:rsidRPr="007F70BC">
              <w:rPr>
                <w:rFonts w:eastAsia="Times New Roman" w:cs="Times New Roman"/>
                <w:color w:val="000000"/>
                <w:sz w:val="20"/>
                <w:szCs w:val="20"/>
                <w:vertAlign w:val="superscript"/>
              </w:rPr>
              <w:t>10</w:t>
            </w:r>
            <w:r w:rsidRPr="007F70BC">
              <w:rPr>
                <w:rFonts w:eastAsia="Times New Roman" w:cs="Times New Roman"/>
                <w:color w:val="000000"/>
                <w:sz w:val="20"/>
                <w:szCs w:val="20"/>
              </w:rPr>
              <w:t xml:space="preserve">B </w:t>
            </w:r>
            <w:r w:rsidRPr="007F70BC">
              <w:rPr>
                <w:rFonts w:eastAsia="Times New Roman" w:cs="Times New Roman"/>
                <w:color w:val="000000"/>
                <w:sz w:val="20"/>
                <w:szCs w:val="20"/>
                <w:vertAlign w:val="subscript"/>
              </w:rPr>
              <w:t>(raw)</w:t>
            </w:r>
          </w:p>
        </w:tc>
        <w:tc>
          <w:tcPr>
            <w:tcW w:w="766"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α IMF</w:t>
            </w:r>
          </w:p>
        </w:tc>
        <w:tc>
          <w:tcPr>
            <w:tcW w:w="820"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δ</w:t>
            </w:r>
            <w:r w:rsidRPr="007F70BC">
              <w:rPr>
                <w:rFonts w:eastAsia="Times New Roman" w:cs="Times New Roman"/>
                <w:color w:val="000000"/>
                <w:sz w:val="20"/>
                <w:szCs w:val="20"/>
                <w:vertAlign w:val="superscript"/>
              </w:rPr>
              <w:t>11</w:t>
            </w:r>
            <w:r w:rsidRPr="007F70BC">
              <w:rPr>
                <w:rFonts w:eastAsia="Times New Roman" w:cs="Times New Roman"/>
                <w:color w:val="000000"/>
                <w:sz w:val="20"/>
                <w:szCs w:val="20"/>
              </w:rPr>
              <w:t>B (‰)</w:t>
            </w:r>
          </w:p>
        </w:tc>
        <w:tc>
          <w:tcPr>
            <w:tcW w:w="920"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Error (‰)</w:t>
            </w:r>
          </w:p>
        </w:tc>
      </w:tr>
      <w:tr w:rsidR="00682AAC" w:rsidRPr="007F70BC" w:rsidTr="002534F5">
        <w:trPr>
          <w:trHeight w:val="260"/>
          <w:jc w:val="center"/>
        </w:trPr>
        <w:tc>
          <w:tcPr>
            <w:tcW w:w="120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10/12/2015</w:t>
            </w:r>
          </w:p>
        </w:tc>
        <w:tc>
          <w:tcPr>
            <w:tcW w:w="118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3.8538</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0.9594</w:t>
            </w:r>
          </w:p>
        </w:tc>
        <w:tc>
          <w:tcPr>
            <w:tcW w:w="8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-6.5</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0.6</w:t>
            </w:r>
          </w:p>
        </w:tc>
      </w:tr>
      <w:tr w:rsidR="00682AAC" w:rsidRPr="007F70BC" w:rsidTr="002534F5">
        <w:trPr>
          <w:trHeight w:val="260"/>
          <w:jc w:val="center"/>
        </w:trPr>
        <w:tc>
          <w:tcPr>
            <w:tcW w:w="120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10/12/2015</w:t>
            </w:r>
          </w:p>
        </w:tc>
        <w:tc>
          <w:tcPr>
            <w:tcW w:w="118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3.8516</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0.9589</w:t>
            </w:r>
          </w:p>
        </w:tc>
        <w:tc>
          <w:tcPr>
            <w:tcW w:w="8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-7.0</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0.5</w:t>
            </w:r>
          </w:p>
        </w:tc>
      </w:tr>
      <w:tr w:rsidR="00682AAC" w:rsidRPr="007F70BC" w:rsidTr="002534F5">
        <w:trPr>
          <w:trHeight w:val="260"/>
          <w:jc w:val="center"/>
        </w:trPr>
        <w:tc>
          <w:tcPr>
            <w:tcW w:w="120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10/12/2015</w:t>
            </w:r>
          </w:p>
        </w:tc>
        <w:tc>
          <w:tcPr>
            <w:tcW w:w="118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3.8529</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0.9592</w:t>
            </w:r>
          </w:p>
        </w:tc>
        <w:tc>
          <w:tcPr>
            <w:tcW w:w="8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-6.7</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0.4</w:t>
            </w:r>
          </w:p>
        </w:tc>
      </w:tr>
      <w:tr w:rsidR="00682AAC" w:rsidRPr="007F70BC" w:rsidTr="002534F5">
        <w:trPr>
          <w:trHeight w:val="260"/>
          <w:jc w:val="center"/>
        </w:trPr>
        <w:tc>
          <w:tcPr>
            <w:tcW w:w="120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10/12/2015</w:t>
            </w:r>
          </w:p>
        </w:tc>
        <w:tc>
          <w:tcPr>
            <w:tcW w:w="118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3.8505</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0.9586</w:t>
            </w:r>
          </w:p>
        </w:tc>
        <w:tc>
          <w:tcPr>
            <w:tcW w:w="8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-7.3</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0.4</w:t>
            </w:r>
          </w:p>
        </w:tc>
      </w:tr>
      <w:tr w:rsidR="00682AAC" w:rsidRPr="007F70BC" w:rsidTr="002534F5">
        <w:trPr>
          <w:trHeight w:val="260"/>
          <w:jc w:val="center"/>
        </w:trPr>
        <w:tc>
          <w:tcPr>
            <w:tcW w:w="120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10/12/2015</w:t>
            </w:r>
          </w:p>
        </w:tc>
        <w:tc>
          <w:tcPr>
            <w:tcW w:w="118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3.8529</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0.9592</w:t>
            </w:r>
          </w:p>
        </w:tc>
        <w:tc>
          <w:tcPr>
            <w:tcW w:w="8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-6.7</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w:t>
            </w:r>
          </w:p>
        </w:tc>
      </w:tr>
      <w:tr w:rsidR="00682AAC" w:rsidRPr="007F70BC" w:rsidTr="002534F5">
        <w:trPr>
          <w:trHeight w:val="260"/>
          <w:jc w:val="center"/>
        </w:trPr>
        <w:tc>
          <w:tcPr>
            <w:tcW w:w="120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10/12/2015</w:t>
            </w:r>
          </w:p>
        </w:tc>
        <w:tc>
          <w:tcPr>
            <w:tcW w:w="118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3.8557</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0.9599</w:t>
            </w:r>
          </w:p>
        </w:tc>
        <w:tc>
          <w:tcPr>
            <w:tcW w:w="8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-6.0</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0.8</w:t>
            </w:r>
          </w:p>
        </w:tc>
      </w:tr>
      <w:tr w:rsidR="00682AAC" w:rsidRPr="007F70BC" w:rsidTr="002534F5">
        <w:trPr>
          <w:trHeight w:val="260"/>
          <w:jc w:val="center"/>
        </w:trPr>
        <w:tc>
          <w:tcPr>
            <w:tcW w:w="120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10/12/2015</w:t>
            </w:r>
          </w:p>
        </w:tc>
        <w:tc>
          <w:tcPr>
            <w:tcW w:w="118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3.8558</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0.9599</w:t>
            </w:r>
          </w:p>
        </w:tc>
        <w:tc>
          <w:tcPr>
            <w:tcW w:w="8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-6.0</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w:t>
            </w:r>
          </w:p>
        </w:tc>
      </w:tr>
      <w:tr w:rsidR="00682AAC" w:rsidRPr="007F70BC" w:rsidTr="002534F5">
        <w:trPr>
          <w:trHeight w:val="260"/>
          <w:jc w:val="center"/>
        </w:trPr>
        <w:tc>
          <w:tcPr>
            <w:tcW w:w="120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10/13/2015</w:t>
            </w:r>
          </w:p>
        </w:tc>
        <w:tc>
          <w:tcPr>
            <w:tcW w:w="118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3.8510</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0.9587</w:t>
            </w:r>
          </w:p>
        </w:tc>
        <w:tc>
          <w:tcPr>
            <w:tcW w:w="8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-8.1</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0.6</w:t>
            </w:r>
          </w:p>
        </w:tc>
      </w:tr>
      <w:tr w:rsidR="00682AAC" w:rsidRPr="007F70BC" w:rsidTr="002534F5">
        <w:trPr>
          <w:trHeight w:val="260"/>
          <w:jc w:val="center"/>
        </w:trPr>
        <w:tc>
          <w:tcPr>
            <w:tcW w:w="120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10/13/2015</w:t>
            </w:r>
          </w:p>
        </w:tc>
        <w:tc>
          <w:tcPr>
            <w:tcW w:w="118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3.8560</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0.9599</w:t>
            </w:r>
          </w:p>
        </w:tc>
        <w:tc>
          <w:tcPr>
            <w:tcW w:w="8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-6.8</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0.6</w:t>
            </w:r>
          </w:p>
        </w:tc>
      </w:tr>
      <w:tr w:rsidR="00682AAC" w:rsidRPr="007F70BC" w:rsidTr="002534F5">
        <w:trPr>
          <w:trHeight w:val="260"/>
          <w:jc w:val="center"/>
        </w:trPr>
        <w:tc>
          <w:tcPr>
            <w:tcW w:w="120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10/13/2015</w:t>
            </w:r>
          </w:p>
        </w:tc>
        <w:tc>
          <w:tcPr>
            <w:tcW w:w="118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3.8602</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0.9610</w:t>
            </w:r>
          </w:p>
        </w:tc>
        <w:tc>
          <w:tcPr>
            <w:tcW w:w="8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-5.7</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0.6</w:t>
            </w:r>
          </w:p>
        </w:tc>
      </w:tr>
      <w:tr w:rsidR="00682AAC" w:rsidRPr="007F70BC" w:rsidTr="002534F5">
        <w:trPr>
          <w:trHeight w:val="260"/>
          <w:jc w:val="center"/>
        </w:trPr>
        <w:tc>
          <w:tcPr>
            <w:tcW w:w="120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10/13/2015</w:t>
            </w:r>
          </w:p>
        </w:tc>
        <w:tc>
          <w:tcPr>
            <w:tcW w:w="118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3.8563</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0.9600</w:t>
            </w:r>
          </w:p>
        </w:tc>
        <w:tc>
          <w:tcPr>
            <w:tcW w:w="8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-6.7</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0.5</w:t>
            </w:r>
          </w:p>
        </w:tc>
      </w:tr>
      <w:tr w:rsidR="00682AAC" w:rsidRPr="007F70BC" w:rsidTr="002534F5">
        <w:trPr>
          <w:trHeight w:val="260"/>
          <w:jc w:val="center"/>
        </w:trPr>
        <w:tc>
          <w:tcPr>
            <w:tcW w:w="120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10/13/2015</w:t>
            </w:r>
          </w:p>
        </w:tc>
        <w:tc>
          <w:tcPr>
            <w:tcW w:w="118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3.8579</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0.9604</w:t>
            </w:r>
          </w:p>
        </w:tc>
        <w:tc>
          <w:tcPr>
            <w:tcW w:w="8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-6.3</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0.6</w:t>
            </w:r>
          </w:p>
        </w:tc>
      </w:tr>
      <w:tr w:rsidR="00682AAC" w:rsidRPr="007F70BC" w:rsidTr="002534F5">
        <w:trPr>
          <w:trHeight w:val="260"/>
          <w:jc w:val="center"/>
        </w:trPr>
        <w:tc>
          <w:tcPr>
            <w:tcW w:w="120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10/13/2015</w:t>
            </w:r>
          </w:p>
        </w:tc>
        <w:tc>
          <w:tcPr>
            <w:tcW w:w="118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3.8587</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0.9606</w:t>
            </w:r>
          </w:p>
        </w:tc>
        <w:tc>
          <w:tcPr>
            <w:tcW w:w="8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-6.1</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0.7</w:t>
            </w:r>
          </w:p>
        </w:tc>
      </w:tr>
      <w:tr w:rsidR="00682AAC" w:rsidRPr="007F70BC" w:rsidTr="002534F5">
        <w:trPr>
          <w:trHeight w:val="260"/>
          <w:jc w:val="center"/>
        </w:trPr>
        <w:tc>
          <w:tcPr>
            <w:tcW w:w="120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10/14/2015</w:t>
            </w:r>
          </w:p>
        </w:tc>
        <w:tc>
          <w:tcPr>
            <w:tcW w:w="118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3.8608</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0.9611</w:t>
            </w:r>
          </w:p>
        </w:tc>
        <w:tc>
          <w:tcPr>
            <w:tcW w:w="8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-5.0</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0.8</w:t>
            </w:r>
          </w:p>
        </w:tc>
      </w:tr>
      <w:tr w:rsidR="00682AAC" w:rsidRPr="007F70BC" w:rsidTr="002534F5">
        <w:trPr>
          <w:trHeight w:val="260"/>
          <w:jc w:val="center"/>
        </w:trPr>
        <w:tc>
          <w:tcPr>
            <w:tcW w:w="120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10/14/2015</w:t>
            </w:r>
          </w:p>
        </w:tc>
        <w:tc>
          <w:tcPr>
            <w:tcW w:w="118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3.8665</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0.9626</w:t>
            </w:r>
          </w:p>
        </w:tc>
        <w:tc>
          <w:tcPr>
            <w:tcW w:w="8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-3.5</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0.6</w:t>
            </w:r>
          </w:p>
        </w:tc>
      </w:tr>
      <w:tr w:rsidR="00682AAC" w:rsidRPr="007F70BC" w:rsidTr="002534F5">
        <w:trPr>
          <w:trHeight w:val="260"/>
          <w:jc w:val="center"/>
        </w:trPr>
        <w:tc>
          <w:tcPr>
            <w:tcW w:w="120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10/14/2015</w:t>
            </w:r>
          </w:p>
        </w:tc>
        <w:tc>
          <w:tcPr>
            <w:tcW w:w="118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3.8609</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0.9612</w:t>
            </w:r>
          </w:p>
        </w:tc>
        <w:tc>
          <w:tcPr>
            <w:tcW w:w="8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-5.0</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0.6</w:t>
            </w:r>
          </w:p>
        </w:tc>
      </w:tr>
      <w:tr w:rsidR="00682AAC" w:rsidRPr="007F70BC" w:rsidTr="002534F5">
        <w:trPr>
          <w:trHeight w:val="260"/>
          <w:jc w:val="center"/>
        </w:trPr>
        <w:tc>
          <w:tcPr>
            <w:tcW w:w="120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10/14/2015</w:t>
            </w:r>
          </w:p>
        </w:tc>
        <w:tc>
          <w:tcPr>
            <w:tcW w:w="118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3.8616</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0.9613</w:t>
            </w:r>
          </w:p>
        </w:tc>
        <w:tc>
          <w:tcPr>
            <w:tcW w:w="8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-4.8</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0.7</w:t>
            </w:r>
          </w:p>
        </w:tc>
      </w:tr>
      <w:tr w:rsidR="00682AAC" w:rsidRPr="007F70BC" w:rsidTr="002534F5">
        <w:trPr>
          <w:trHeight w:val="260"/>
          <w:jc w:val="center"/>
        </w:trPr>
        <w:tc>
          <w:tcPr>
            <w:tcW w:w="120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10/14/2015</w:t>
            </w:r>
          </w:p>
        </w:tc>
        <w:tc>
          <w:tcPr>
            <w:tcW w:w="118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3.8522</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0.9590</w:t>
            </w:r>
          </w:p>
        </w:tc>
        <w:tc>
          <w:tcPr>
            <w:tcW w:w="8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-7.2</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0.7</w:t>
            </w:r>
          </w:p>
        </w:tc>
      </w:tr>
      <w:tr w:rsidR="00682AAC" w:rsidRPr="007F70BC" w:rsidTr="002534F5">
        <w:trPr>
          <w:trHeight w:val="260"/>
          <w:jc w:val="center"/>
        </w:trPr>
        <w:tc>
          <w:tcPr>
            <w:tcW w:w="120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10/14/2015</w:t>
            </w:r>
          </w:p>
        </w:tc>
        <w:tc>
          <w:tcPr>
            <w:tcW w:w="118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3.8522</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0.9590</w:t>
            </w:r>
          </w:p>
        </w:tc>
        <w:tc>
          <w:tcPr>
            <w:tcW w:w="8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-7.2</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0.7</w:t>
            </w:r>
          </w:p>
        </w:tc>
      </w:tr>
      <w:tr w:rsidR="00682AAC" w:rsidRPr="007F70BC" w:rsidTr="002534F5">
        <w:trPr>
          <w:trHeight w:val="260"/>
          <w:jc w:val="center"/>
        </w:trPr>
        <w:tc>
          <w:tcPr>
            <w:tcW w:w="120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10/14/2015</w:t>
            </w:r>
          </w:p>
        </w:tc>
        <w:tc>
          <w:tcPr>
            <w:tcW w:w="118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3.8495</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0.9583</w:t>
            </w:r>
          </w:p>
        </w:tc>
        <w:tc>
          <w:tcPr>
            <w:tcW w:w="8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-7.9</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0.8</w:t>
            </w:r>
          </w:p>
        </w:tc>
      </w:tr>
      <w:tr w:rsidR="00682AAC" w:rsidRPr="007F70BC" w:rsidTr="002534F5">
        <w:trPr>
          <w:trHeight w:val="260"/>
          <w:jc w:val="center"/>
        </w:trPr>
        <w:tc>
          <w:tcPr>
            <w:tcW w:w="120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10/14/2015</w:t>
            </w:r>
          </w:p>
        </w:tc>
        <w:tc>
          <w:tcPr>
            <w:tcW w:w="118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3.8451</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0.9572</w:t>
            </w:r>
          </w:p>
        </w:tc>
        <w:tc>
          <w:tcPr>
            <w:tcW w:w="8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-9.1</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0.6</w:t>
            </w:r>
          </w:p>
        </w:tc>
      </w:tr>
      <w:tr w:rsidR="00682AAC" w:rsidRPr="007F70BC" w:rsidTr="002534F5">
        <w:trPr>
          <w:trHeight w:val="260"/>
          <w:jc w:val="center"/>
        </w:trPr>
        <w:tc>
          <w:tcPr>
            <w:tcW w:w="120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10/14/2015</w:t>
            </w:r>
          </w:p>
        </w:tc>
        <w:tc>
          <w:tcPr>
            <w:tcW w:w="118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3.8522</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0.9590</w:t>
            </w:r>
          </w:p>
        </w:tc>
        <w:tc>
          <w:tcPr>
            <w:tcW w:w="8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-7.2</w:t>
            </w:r>
          </w:p>
        </w:tc>
        <w:tc>
          <w:tcPr>
            <w:tcW w:w="9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0.8</w:t>
            </w:r>
          </w:p>
        </w:tc>
      </w:tr>
      <w:tr w:rsidR="00682AAC" w:rsidRPr="007F70BC" w:rsidTr="002534F5">
        <w:trPr>
          <w:trHeight w:val="270"/>
          <w:jc w:val="center"/>
        </w:trPr>
        <w:tc>
          <w:tcPr>
            <w:tcW w:w="1200"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10/14/2015</w:t>
            </w:r>
          </w:p>
        </w:tc>
        <w:tc>
          <w:tcPr>
            <w:tcW w:w="1180"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3.8453</w:t>
            </w:r>
          </w:p>
        </w:tc>
        <w:tc>
          <w:tcPr>
            <w:tcW w:w="766"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0.9573</w:t>
            </w:r>
          </w:p>
        </w:tc>
        <w:tc>
          <w:tcPr>
            <w:tcW w:w="820"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-9.0</w:t>
            </w:r>
          </w:p>
        </w:tc>
        <w:tc>
          <w:tcPr>
            <w:tcW w:w="920"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0.6</w:t>
            </w:r>
          </w:p>
        </w:tc>
      </w:tr>
      <w:tr w:rsidR="00682AAC" w:rsidRPr="007F70BC" w:rsidTr="002534F5">
        <w:trPr>
          <w:trHeight w:val="260"/>
          <w:jc w:val="center"/>
        </w:trPr>
        <w:tc>
          <w:tcPr>
            <w:tcW w:w="120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Average</w:t>
            </w:r>
          </w:p>
        </w:tc>
        <w:tc>
          <w:tcPr>
            <w:tcW w:w="118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3.8548</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0.9596</w:t>
            </w:r>
          </w:p>
        </w:tc>
        <w:tc>
          <w:tcPr>
            <w:tcW w:w="8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-6.6</w:t>
            </w:r>
          </w:p>
        </w:tc>
        <w:tc>
          <w:tcPr>
            <w:tcW w:w="920" w:type="dxa"/>
            <w:tcBorders>
              <w:top w:val="nil"/>
              <w:left w:val="nil"/>
              <w:bottom w:val="nil"/>
              <w:right w:val="nil"/>
            </w:tcBorders>
            <w:shd w:val="clear" w:color="auto" w:fill="auto"/>
            <w:noWrap/>
            <w:vAlign w:val="bottom"/>
            <w:hideMark/>
          </w:tcPr>
          <w:p w:rsidR="00682AAC" w:rsidRPr="007F70BC" w:rsidRDefault="00682AAC" w:rsidP="00682AAC">
            <w:pPr>
              <w:spacing w:after="0"/>
              <w:jc w:val="center"/>
              <w:rPr>
                <w:rFonts w:eastAsia="Times New Roman" w:cs="Times New Roman"/>
                <w:color w:val="000000"/>
                <w:sz w:val="20"/>
                <w:szCs w:val="20"/>
              </w:rPr>
            </w:pPr>
          </w:p>
        </w:tc>
      </w:tr>
      <w:tr w:rsidR="00682AAC" w:rsidRPr="007F70BC" w:rsidTr="002534F5">
        <w:trPr>
          <w:trHeight w:val="260"/>
          <w:jc w:val="center"/>
        </w:trPr>
        <w:tc>
          <w:tcPr>
            <w:tcW w:w="120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1σ StDev</w:t>
            </w:r>
          </w:p>
        </w:tc>
        <w:tc>
          <w:tcPr>
            <w:tcW w:w="118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0.0066</w:t>
            </w:r>
          </w:p>
        </w:tc>
        <w:tc>
          <w:tcPr>
            <w:tcW w:w="766"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0.0016</w:t>
            </w:r>
          </w:p>
        </w:tc>
        <w:tc>
          <w:tcPr>
            <w:tcW w:w="8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1.7</w:t>
            </w:r>
          </w:p>
        </w:tc>
        <w:tc>
          <w:tcPr>
            <w:tcW w:w="920" w:type="dxa"/>
            <w:tcBorders>
              <w:top w:val="nil"/>
              <w:left w:val="nil"/>
              <w:bottom w:val="nil"/>
              <w:right w:val="nil"/>
            </w:tcBorders>
            <w:shd w:val="clear" w:color="auto" w:fill="auto"/>
            <w:noWrap/>
            <w:vAlign w:val="bottom"/>
            <w:hideMark/>
          </w:tcPr>
          <w:p w:rsidR="00682AAC" w:rsidRPr="007F70BC" w:rsidRDefault="00682AAC" w:rsidP="00682AAC">
            <w:pPr>
              <w:spacing w:after="0"/>
              <w:jc w:val="center"/>
              <w:rPr>
                <w:rFonts w:eastAsia="Times New Roman" w:cs="Times New Roman"/>
                <w:color w:val="000000"/>
                <w:sz w:val="20"/>
                <w:szCs w:val="20"/>
              </w:rPr>
            </w:pPr>
          </w:p>
        </w:tc>
      </w:tr>
      <w:tr w:rsidR="00682AAC" w:rsidRPr="007F70BC" w:rsidTr="002534F5">
        <w:trPr>
          <w:trHeight w:val="260"/>
          <w:jc w:val="center"/>
        </w:trPr>
        <w:tc>
          <w:tcPr>
            <w:tcW w:w="1200"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Ext Rep (‰)</w:t>
            </w:r>
          </w:p>
        </w:tc>
        <w:tc>
          <w:tcPr>
            <w:tcW w:w="1180" w:type="dxa"/>
            <w:tcBorders>
              <w:top w:val="nil"/>
              <w:left w:val="nil"/>
              <w:bottom w:val="nil"/>
              <w:right w:val="nil"/>
            </w:tcBorders>
            <w:shd w:val="clear" w:color="auto" w:fill="auto"/>
            <w:noWrap/>
            <w:vAlign w:val="bottom"/>
            <w:hideMark/>
          </w:tcPr>
          <w:p w:rsidR="00682AAC" w:rsidRPr="007F70BC" w:rsidRDefault="00682AAC" w:rsidP="00682AAC">
            <w:pPr>
              <w:spacing w:after="0"/>
              <w:rPr>
                <w:rFonts w:eastAsia="Times New Roman" w:cs="Times New Roman"/>
                <w:color w:val="000000"/>
                <w:sz w:val="20"/>
                <w:szCs w:val="20"/>
              </w:rPr>
            </w:pPr>
          </w:p>
        </w:tc>
        <w:tc>
          <w:tcPr>
            <w:tcW w:w="766" w:type="dxa"/>
            <w:tcBorders>
              <w:top w:val="nil"/>
              <w:left w:val="nil"/>
              <w:bottom w:val="nil"/>
              <w:right w:val="nil"/>
            </w:tcBorders>
            <w:shd w:val="clear" w:color="auto" w:fill="auto"/>
            <w:noWrap/>
            <w:vAlign w:val="bottom"/>
            <w:hideMark/>
          </w:tcPr>
          <w:p w:rsidR="00682AAC" w:rsidRPr="007F70BC" w:rsidRDefault="00682AAC" w:rsidP="00682AAC">
            <w:pPr>
              <w:spacing w:after="0"/>
              <w:rPr>
                <w:rFonts w:eastAsia="Times New Roman" w:cs="Times New Roman"/>
                <w:sz w:val="20"/>
                <w:szCs w:val="20"/>
              </w:rPr>
            </w:pPr>
          </w:p>
        </w:tc>
        <w:tc>
          <w:tcPr>
            <w:tcW w:w="82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1.7</w:t>
            </w:r>
          </w:p>
        </w:tc>
        <w:tc>
          <w:tcPr>
            <w:tcW w:w="920" w:type="dxa"/>
            <w:tcBorders>
              <w:top w:val="nil"/>
              <w:left w:val="nil"/>
              <w:bottom w:val="nil"/>
              <w:right w:val="nil"/>
            </w:tcBorders>
            <w:shd w:val="clear" w:color="auto" w:fill="auto"/>
            <w:noWrap/>
            <w:vAlign w:val="bottom"/>
            <w:hideMark/>
          </w:tcPr>
          <w:p w:rsidR="00682AAC" w:rsidRPr="007F70BC" w:rsidRDefault="00682AAC" w:rsidP="00682AAC">
            <w:pPr>
              <w:spacing w:after="0"/>
              <w:jc w:val="center"/>
              <w:rPr>
                <w:rFonts w:eastAsia="Times New Roman" w:cs="Times New Roman"/>
                <w:color w:val="000000"/>
                <w:sz w:val="20"/>
                <w:szCs w:val="20"/>
              </w:rPr>
            </w:pPr>
          </w:p>
        </w:tc>
      </w:tr>
    </w:tbl>
    <w:p w:rsidR="00682AAC" w:rsidRDefault="00682AAC" w:rsidP="00713274">
      <w:pPr>
        <w:spacing w:line="480" w:lineRule="auto"/>
        <w:rPr>
          <w:rFonts w:cs="Times New Roman"/>
          <w:color w:val="000000"/>
        </w:rPr>
      </w:pPr>
    </w:p>
    <w:p w:rsidR="00682AAC" w:rsidRDefault="00682AAC">
      <w:pPr>
        <w:rPr>
          <w:rFonts w:cs="Times New Roman"/>
          <w:color w:val="000000"/>
        </w:rPr>
      </w:pPr>
      <w:r>
        <w:rPr>
          <w:rFonts w:cs="Times New Roman"/>
          <w:color w:val="000000"/>
        </w:rPr>
        <w:br w:type="page"/>
      </w:r>
    </w:p>
    <w:tbl>
      <w:tblPr>
        <w:tblW w:w="5820" w:type="dxa"/>
        <w:jc w:val="center"/>
        <w:tblLook w:val="04A0" w:firstRow="1" w:lastRow="0" w:firstColumn="1" w:lastColumn="0" w:noHBand="0" w:noVBand="1"/>
      </w:tblPr>
      <w:tblGrid>
        <w:gridCol w:w="1238"/>
        <w:gridCol w:w="1240"/>
        <w:gridCol w:w="766"/>
        <w:gridCol w:w="587"/>
        <w:gridCol w:w="1099"/>
        <w:gridCol w:w="894"/>
      </w:tblGrid>
      <w:tr w:rsidR="00682AAC" w:rsidRPr="007F70BC" w:rsidTr="002534F5">
        <w:trPr>
          <w:trHeight w:val="260"/>
          <w:jc w:val="center"/>
        </w:trPr>
        <w:tc>
          <w:tcPr>
            <w:tcW w:w="5820" w:type="dxa"/>
            <w:gridSpan w:val="6"/>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lastRenderedPageBreak/>
              <w:t>Table 2 cont.: Standard Data and IMF for 2015 SIMS - Micas</w:t>
            </w:r>
          </w:p>
        </w:tc>
      </w:tr>
      <w:tr w:rsidR="00682AAC" w:rsidRPr="007F70BC" w:rsidTr="002534F5">
        <w:trPr>
          <w:trHeight w:val="320"/>
          <w:jc w:val="center"/>
        </w:trPr>
        <w:tc>
          <w:tcPr>
            <w:tcW w:w="2478" w:type="dxa"/>
            <w:gridSpan w:val="2"/>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IMt-1 (</w:t>
            </w:r>
            <w:r w:rsidRPr="007F70BC">
              <w:rPr>
                <w:rFonts w:eastAsia="Times New Roman" w:cs="Times New Roman"/>
                <w:color w:val="000000"/>
                <w:sz w:val="20"/>
                <w:szCs w:val="20"/>
                <w:vertAlign w:val="superscript"/>
              </w:rPr>
              <w:t>11</w:t>
            </w:r>
            <w:r w:rsidRPr="007F70BC">
              <w:rPr>
                <w:rFonts w:eastAsia="Times New Roman" w:cs="Times New Roman"/>
                <w:color w:val="000000"/>
                <w:sz w:val="20"/>
                <w:szCs w:val="20"/>
              </w:rPr>
              <w:t>B/</w:t>
            </w:r>
            <w:r w:rsidRPr="007F70BC">
              <w:rPr>
                <w:rFonts w:eastAsia="Times New Roman" w:cs="Times New Roman"/>
                <w:color w:val="000000"/>
                <w:sz w:val="20"/>
                <w:szCs w:val="20"/>
                <w:vertAlign w:val="superscript"/>
              </w:rPr>
              <w:t>10</w:t>
            </w:r>
            <w:r w:rsidRPr="007F70BC">
              <w:rPr>
                <w:rFonts w:eastAsia="Times New Roman" w:cs="Times New Roman"/>
                <w:color w:val="000000"/>
                <w:sz w:val="20"/>
                <w:szCs w:val="20"/>
              </w:rPr>
              <w:t>B = 4.00723)</w:t>
            </w:r>
          </w:p>
        </w:tc>
        <w:tc>
          <w:tcPr>
            <w:tcW w:w="762"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 </w:t>
            </w:r>
          </w:p>
        </w:tc>
        <w:tc>
          <w:tcPr>
            <w:tcW w:w="587" w:type="dxa"/>
            <w:tcBorders>
              <w:top w:val="nil"/>
              <w:left w:val="nil"/>
              <w:bottom w:val="single" w:sz="8" w:space="0" w:color="auto"/>
              <w:right w:val="nil"/>
            </w:tcBorders>
            <w:shd w:val="clear" w:color="auto" w:fill="auto"/>
            <w:noWrap/>
            <w:vAlign w:val="bottom"/>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 </w:t>
            </w:r>
          </w:p>
        </w:tc>
        <w:tc>
          <w:tcPr>
            <w:tcW w:w="1099" w:type="dxa"/>
            <w:tcBorders>
              <w:top w:val="nil"/>
              <w:left w:val="nil"/>
              <w:bottom w:val="single" w:sz="8" w:space="0" w:color="auto"/>
              <w:right w:val="nil"/>
            </w:tcBorders>
            <w:shd w:val="clear" w:color="auto" w:fill="auto"/>
            <w:noWrap/>
            <w:vAlign w:val="bottom"/>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 </w:t>
            </w:r>
          </w:p>
        </w:tc>
        <w:tc>
          <w:tcPr>
            <w:tcW w:w="894" w:type="dxa"/>
            <w:tcBorders>
              <w:top w:val="nil"/>
              <w:left w:val="nil"/>
              <w:bottom w:val="nil"/>
              <w:right w:val="nil"/>
            </w:tcBorders>
            <w:shd w:val="clear" w:color="auto" w:fill="auto"/>
            <w:noWrap/>
            <w:vAlign w:val="bottom"/>
            <w:hideMark/>
          </w:tcPr>
          <w:p w:rsidR="00682AAC" w:rsidRPr="007F70BC" w:rsidRDefault="00682AAC" w:rsidP="00682AAC">
            <w:pPr>
              <w:spacing w:after="0"/>
              <w:rPr>
                <w:rFonts w:eastAsia="Times New Roman" w:cs="Times New Roman"/>
                <w:color w:val="000000"/>
                <w:sz w:val="20"/>
                <w:szCs w:val="20"/>
              </w:rPr>
            </w:pPr>
          </w:p>
        </w:tc>
      </w:tr>
      <w:tr w:rsidR="00682AAC" w:rsidRPr="007F70BC" w:rsidTr="002534F5">
        <w:trPr>
          <w:trHeight w:val="320"/>
          <w:jc w:val="center"/>
        </w:trPr>
        <w:tc>
          <w:tcPr>
            <w:tcW w:w="1238"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Date</w:t>
            </w:r>
          </w:p>
        </w:tc>
        <w:tc>
          <w:tcPr>
            <w:tcW w:w="1240"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vertAlign w:val="superscript"/>
              </w:rPr>
              <w:t>11</w:t>
            </w:r>
            <w:r w:rsidRPr="007F70BC">
              <w:rPr>
                <w:rFonts w:eastAsia="Times New Roman" w:cs="Times New Roman"/>
                <w:color w:val="000000"/>
                <w:sz w:val="20"/>
                <w:szCs w:val="20"/>
              </w:rPr>
              <w:t>B/</w:t>
            </w:r>
            <w:r w:rsidRPr="007F70BC">
              <w:rPr>
                <w:rFonts w:eastAsia="Times New Roman" w:cs="Times New Roman"/>
                <w:color w:val="000000"/>
                <w:sz w:val="20"/>
                <w:szCs w:val="20"/>
                <w:vertAlign w:val="superscript"/>
              </w:rPr>
              <w:t>10</w:t>
            </w:r>
            <w:r w:rsidRPr="007F70BC">
              <w:rPr>
                <w:rFonts w:eastAsia="Times New Roman" w:cs="Times New Roman"/>
                <w:color w:val="000000"/>
                <w:sz w:val="20"/>
                <w:szCs w:val="20"/>
              </w:rPr>
              <w:t xml:space="preserve">B </w:t>
            </w:r>
            <w:r w:rsidRPr="007F70BC">
              <w:rPr>
                <w:rFonts w:eastAsia="Times New Roman" w:cs="Times New Roman"/>
                <w:color w:val="000000"/>
                <w:sz w:val="20"/>
                <w:szCs w:val="20"/>
                <w:vertAlign w:val="subscript"/>
              </w:rPr>
              <w:t>(raw)</w:t>
            </w:r>
          </w:p>
        </w:tc>
        <w:tc>
          <w:tcPr>
            <w:tcW w:w="762"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α IMF</w:t>
            </w:r>
          </w:p>
        </w:tc>
        <w:tc>
          <w:tcPr>
            <w:tcW w:w="587"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δ</w:t>
            </w:r>
            <w:r w:rsidRPr="007F70BC">
              <w:rPr>
                <w:rFonts w:eastAsia="Times New Roman" w:cs="Times New Roman"/>
                <w:color w:val="000000"/>
                <w:sz w:val="20"/>
                <w:szCs w:val="20"/>
                <w:vertAlign w:val="superscript"/>
              </w:rPr>
              <w:t>11</w:t>
            </w:r>
            <w:r w:rsidRPr="007F70BC">
              <w:rPr>
                <w:rFonts w:eastAsia="Times New Roman" w:cs="Times New Roman"/>
                <w:color w:val="000000"/>
                <w:sz w:val="20"/>
                <w:szCs w:val="20"/>
              </w:rPr>
              <w:t>B</w:t>
            </w:r>
          </w:p>
        </w:tc>
        <w:tc>
          <w:tcPr>
            <w:tcW w:w="1099"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Error (‰)</w:t>
            </w:r>
          </w:p>
        </w:tc>
        <w:tc>
          <w:tcPr>
            <w:tcW w:w="894" w:type="dxa"/>
            <w:tcBorders>
              <w:top w:val="single" w:sz="8" w:space="0" w:color="auto"/>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vertAlign w:val="superscript"/>
              </w:rPr>
              <w:t>11</w:t>
            </w:r>
            <w:r w:rsidRPr="007F70BC">
              <w:rPr>
                <w:rFonts w:eastAsia="Times New Roman" w:cs="Times New Roman"/>
                <w:color w:val="000000"/>
                <w:sz w:val="20"/>
                <w:szCs w:val="20"/>
              </w:rPr>
              <w:t>B/</w:t>
            </w:r>
            <w:r w:rsidRPr="007F70BC">
              <w:rPr>
                <w:rFonts w:eastAsia="Times New Roman" w:cs="Times New Roman"/>
                <w:color w:val="000000"/>
                <w:sz w:val="20"/>
                <w:szCs w:val="20"/>
                <w:vertAlign w:val="superscript"/>
              </w:rPr>
              <w:t>28</w:t>
            </w:r>
            <w:r w:rsidRPr="007F70BC">
              <w:rPr>
                <w:rFonts w:eastAsia="Times New Roman" w:cs="Times New Roman"/>
                <w:color w:val="000000"/>
                <w:sz w:val="20"/>
                <w:szCs w:val="20"/>
              </w:rPr>
              <w:t>Si</w:t>
            </w:r>
          </w:p>
        </w:tc>
      </w:tr>
      <w:tr w:rsidR="00682AAC" w:rsidRPr="007F70BC" w:rsidTr="002534F5">
        <w:trPr>
          <w:trHeight w:val="390"/>
          <w:jc w:val="center"/>
        </w:trPr>
        <w:tc>
          <w:tcPr>
            <w:tcW w:w="1238"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10/15/2015</w:t>
            </w:r>
          </w:p>
        </w:tc>
        <w:tc>
          <w:tcPr>
            <w:tcW w:w="124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3.8677</w:t>
            </w:r>
          </w:p>
        </w:tc>
        <w:tc>
          <w:tcPr>
            <w:tcW w:w="762"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0.9652</w:t>
            </w:r>
          </w:p>
        </w:tc>
        <w:tc>
          <w:tcPr>
            <w:tcW w:w="587"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-8.3</w:t>
            </w:r>
          </w:p>
        </w:tc>
        <w:tc>
          <w:tcPr>
            <w:tcW w:w="10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1.7</w:t>
            </w:r>
          </w:p>
        </w:tc>
        <w:tc>
          <w:tcPr>
            <w:tcW w:w="894"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0.00123</w:t>
            </w:r>
          </w:p>
        </w:tc>
      </w:tr>
      <w:tr w:rsidR="00682AAC" w:rsidRPr="007F70BC" w:rsidTr="002534F5">
        <w:trPr>
          <w:trHeight w:val="260"/>
          <w:jc w:val="center"/>
        </w:trPr>
        <w:tc>
          <w:tcPr>
            <w:tcW w:w="1238"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10/15/2015</w:t>
            </w:r>
          </w:p>
        </w:tc>
        <w:tc>
          <w:tcPr>
            <w:tcW w:w="124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3.8630</w:t>
            </w:r>
          </w:p>
        </w:tc>
        <w:tc>
          <w:tcPr>
            <w:tcW w:w="762"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0.9640</w:t>
            </w:r>
          </w:p>
        </w:tc>
        <w:tc>
          <w:tcPr>
            <w:tcW w:w="587"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-9.5</w:t>
            </w:r>
          </w:p>
        </w:tc>
        <w:tc>
          <w:tcPr>
            <w:tcW w:w="10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1.8</w:t>
            </w:r>
          </w:p>
        </w:tc>
        <w:tc>
          <w:tcPr>
            <w:tcW w:w="894"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0.00121</w:t>
            </w:r>
          </w:p>
        </w:tc>
      </w:tr>
      <w:tr w:rsidR="00682AAC" w:rsidRPr="007F70BC" w:rsidTr="002534F5">
        <w:trPr>
          <w:trHeight w:val="260"/>
          <w:jc w:val="center"/>
        </w:trPr>
        <w:tc>
          <w:tcPr>
            <w:tcW w:w="1238"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10/15/2015</w:t>
            </w:r>
          </w:p>
        </w:tc>
        <w:tc>
          <w:tcPr>
            <w:tcW w:w="124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3.8738</w:t>
            </w:r>
          </w:p>
        </w:tc>
        <w:tc>
          <w:tcPr>
            <w:tcW w:w="762"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0.9667</w:t>
            </w:r>
          </w:p>
        </w:tc>
        <w:tc>
          <w:tcPr>
            <w:tcW w:w="587"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-6.7</w:t>
            </w:r>
          </w:p>
        </w:tc>
        <w:tc>
          <w:tcPr>
            <w:tcW w:w="10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1.8</w:t>
            </w:r>
          </w:p>
        </w:tc>
        <w:tc>
          <w:tcPr>
            <w:tcW w:w="894"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0.0012</w:t>
            </w:r>
          </w:p>
        </w:tc>
      </w:tr>
      <w:tr w:rsidR="00682AAC" w:rsidRPr="007F70BC" w:rsidTr="002534F5">
        <w:trPr>
          <w:trHeight w:val="260"/>
          <w:jc w:val="center"/>
        </w:trPr>
        <w:tc>
          <w:tcPr>
            <w:tcW w:w="1238"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10/15/2015</w:t>
            </w:r>
          </w:p>
        </w:tc>
        <w:tc>
          <w:tcPr>
            <w:tcW w:w="124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3.8591</w:t>
            </w:r>
          </w:p>
        </w:tc>
        <w:tc>
          <w:tcPr>
            <w:tcW w:w="762"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0.9630</w:t>
            </w:r>
          </w:p>
        </w:tc>
        <w:tc>
          <w:tcPr>
            <w:tcW w:w="587"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-10.5</w:t>
            </w:r>
          </w:p>
        </w:tc>
        <w:tc>
          <w:tcPr>
            <w:tcW w:w="10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2.2</w:t>
            </w:r>
          </w:p>
        </w:tc>
        <w:tc>
          <w:tcPr>
            <w:tcW w:w="894"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0.00119</w:t>
            </w:r>
          </w:p>
        </w:tc>
      </w:tr>
      <w:tr w:rsidR="00682AAC" w:rsidRPr="007F70BC" w:rsidTr="002534F5">
        <w:trPr>
          <w:trHeight w:val="260"/>
          <w:jc w:val="center"/>
        </w:trPr>
        <w:tc>
          <w:tcPr>
            <w:tcW w:w="1238"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10/15/2015</w:t>
            </w:r>
          </w:p>
        </w:tc>
        <w:tc>
          <w:tcPr>
            <w:tcW w:w="124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3.8771</w:t>
            </w:r>
          </w:p>
        </w:tc>
        <w:tc>
          <w:tcPr>
            <w:tcW w:w="762"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0.9675</w:t>
            </w:r>
          </w:p>
        </w:tc>
        <w:tc>
          <w:tcPr>
            <w:tcW w:w="587"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-5.9</w:t>
            </w:r>
          </w:p>
        </w:tc>
        <w:tc>
          <w:tcPr>
            <w:tcW w:w="10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1.8</w:t>
            </w:r>
          </w:p>
        </w:tc>
        <w:tc>
          <w:tcPr>
            <w:tcW w:w="894"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0.00126</w:t>
            </w:r>
          </w:p>
        </w:tc>
      </w:tr>
      <w:tr w:rsidR="00682AAC" w:rsidRPr="007F70BC" w:rsidTr="002534F5">
        <w:trPr>
          <w:trHeight w:val="260"/>
          <w:jc w:val="center"/>
        </w:trPr>
        <w:tc>
          <w:tcPr>
            <w:tcW w:w="1238"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10/15/2015</w:t>
            </w:r>
          </w:p>
        </w:tc>
        <w:tc>
          <w:tcPr>
            <w:tcW w:w="124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3.8484</w:t>
            </w:r>
          </w:p>
        </w:tc>
        <w:tc>
          <w:tcPr>
            <w:tcW w:w="762"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0.9604</w:t>
            </w:r>
          </w:p>
        </w:tc>
        <w:tc>
          <w:tcPr>
            <w:tcW w:w="587"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-13.2</w:t>
            </w:r>
          </w:p>
        </w:tc>
        <w:tc>
          <w:tcPr>
            <w:tcW w:w="10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1.9</w:t>
            </w:r>
          </w:p>
        </w:tc>
        <w:tc>
          <w:tcPr>
            <w:tcW w:w="894"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0.00121</w:t>
            </w:r>
          </w:p>
        </w:tc>
      </w:tr>
      <w:tr w:rsidR="00682AAC" w:rsidRPr="007F70BC" w:rsidTr="002534F5">
        <w:trPr>
          <w:trHeight w:val="260"/>
          <w:jc w:val="center"/>
        </w:trPr>
        <w:tc>
          <w:tcPr>
            <w:tcW w:w="1238"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10/15/2015</w:t>
            </w:r>
          </w:p>
        </w:tc>
        <w:tc>
          <w:tcPr>
            <w:tcW w:w="124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3.8564</w:t>
            </w:r>
          </w:p>
        </w:tc>
        <w:tc>
          <w:tcPr>
            <w:tcW w:w="762"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0.9624</w:t>
            </w:r>
          </w:p>
        </w:tc>
        <w:tc>
          <w:tcPr>
            <w:tcW w:w="587"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-9.3</w:t>
            </w:r>
          </w:p>
        </w:tc>
        <w:tc>
          <w:tcPr>
            <w:tcW w:w="10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1.3</w:t>
            </w:r>
          </w:p>
        </w:tc>
        <w:tc>
          <w:tcPr>
            <w:tcW w:w="894"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0.00124</w:t>
            </w:r>
          </w:p>
        </w:tc>
      </w:tr>
      <w:tr w:rsidR="00682AAC" w:rsidRPr="007F70BC" w:rsidTr="002534F5">
        <w:trPr>
          <w:trHeight w:val="260"/>
          <w:jc w:val="center"/>
        </w:trPr>
        <w:tc>
          <w:tcPr>
            <w:tcW w:w="1238"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10/15/2015</w:t>
            </w:r>
          </w:p>
        </w:tc>
        <w:tc>
          <w:tcPr>
            <w:tcW w:w="124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3.8510</w:t>
            </w:r>
          </w:p>
        </w:tc>
        <w:tc>
          <w:tcPr>
            <w:tcW w:w="762"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0.9610</w:t>
            </w:r>
          </w:p>
        </w:tc>
        <w:tc>
          <w:tcPr>
            <w:tcW w:w="587"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-10.7</w:t>
            </w:r>
          </w:p>
        </w:tc>
        <w:tc>
          <w:tcPr>
            <w:tcW w:w="10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1.3</w:t>
            </w:r>
          </w:p>
        </w:tc>
        <w:tc>
          <w:tcPr>
            <w:tcW w:w="894"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0.00128</w:t>
            </w:r>
          </w:p>
        </w:tc>
      </w:tr>
      <w:tr w:rsidR="00682AAC" w:rsidRPr="007F70BC" w:rsidTr="002534F5">
        <w:trPr>
          <w:trHeight w:val="260"/>
          <w:jc w:val="center"/>
        </w:trPr>
        <w:tc>
          <w:tcPr>
            <w:tcW w:w="1238"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10/15/2015</w:t>
            </w:r>
          </w:p>
        </w:tc>
        <w:tc>
          <w:tcPr>
            <w:tcW w:w="124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3.8780</w:t>
            </w:r>
          </w:p>
        </w:tc>
        <w:tc>
          <w:tcPr>
            <w:tcW w:w="762"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0.9678</w:t>
            </w:r>
          </w:p>
        </w:tc>
        <w:tc>
          <w:tcPr>
            <w:tcW w:w="587"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-3.7</w:t>
            </w:r>
          </w:p>
        </w:tc>
        <w:tc>
          <w:tcPr>
            <w:tcW w:w="10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1.7</w:t>
            </w:r>
          </w:p>
        </w:tc>
        <w:tc>
          <w:tcPr>
            <w:tcW w:w="894"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0.00122</w:t>
            </w:r>
          </w:p>
        </w:tc>
      </w:tr>
      <w:tr w:rsidR="00682AAC" w:rsidRPr="007F70BC" w:rsidTr="002534F5">
        <w:trPr>
          <w:trHeight w:val="260"/>
          <w:jc w:val="center"/>
        </w:trPr>
        <w:tc>
          <w:tcPr>
            <w:tcW w:w="1238"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10/15/2015</w:t>
            </w:r>
          </w:p>
        </w:tc>
        <w:tc>
          <w:tcPr>
            <w:tcW w:w="124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3.8550</w:t>
            </w:r>
          </w:p>
        </w:tc>
        <w:tc>
          <w:tcPr>
            <w:tcW w:w="762"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0.9620</w:t>
            </w:r>
          </w:p>
        </w:tc>
        <w:tc>
          <w:tcPr>
            <w:tcW w:w="587"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-9.6</w:t>
            </w:r>
          </w:p>
        </w:tc>
        <w:tc>
          <w:tcPr>
            <w:tcW w:w="10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1.2</w:t>
            </w:r>
          </w:p>
        </w:tc>
        <w:tc>
          <w:tcPr>
            <w:tcW w:w="894"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0.00134</w:t>
            </w:r>
          </w:p>
        </w:tc>
      </w:tr>
      <w:tr w:rsidR="00682AAC" w:rsidRPr="007F70BC" w:rsidTr="002534F5">
        <w:trPr>
          <w:trHeight w:val="270"/>
          <w:jc w:val="center"/>
        </w:trPr>
        <w:tc>
          <w:tcPr>
            <w:tcW w:w="1238"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10/15/2015</w:t>
            </w:r>
          </w:p>
        </w:tc>
        <w:tc>
          <w:tcPr>
            <w:tcW w:w="124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3.8468</w:t>
            </w:r>
          </w:p>
        </w:tc>
        <w:tc>
          <w:tcPr>
            <w:tcW w:w="762"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0.9600</w:t>
            </w:r>
          </w:p>
        </w:tc>
        <w:tc>
          <w:tcPr>
            <w:tcW w:w="587"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-11.7</w:t>
            </w:r>
          </w:p>
        </w:tc>
        <w:tc>
          <w:tcPr>
            <w:tcW w:w="1099"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1.5</w:t>
            </w:r>
          </w:p>
        </w:tc>
        <w:tc>
          <w:tcPr>
            <w:tcW w:w="894" w:type="dxa"/>
            <w:tcBorders>
              <w:top w:val="nil"/>
              <w:left w:val="nil"/>
              <w:bottom w:val="single" w:sz="8" w:space="0" w:color="auto"/>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0.00130</w:t>
            </w:r>
          </w:p>
        </w:tc>
      </w:tr>
      <w:tr w:rsidR="00682AAC" w:rsidRPr="007F70BC" w:rsidTr="002534F5">
        <w:trPr>
          <w:trHeight w:val="260"/>
          <w:jc w:val="center"/>
        </w:trPr>
        <w:tc>
          <w:tcPr>
            <w:tcW w:w="1238" w:type="dxa"/>
            <w:tcBorders>
              <w:top w:val="single" w:sz="8" w:space="0" w:color="auto"/>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Average</w:t>
            </w:r>
          </w:p>
        </w:tc>
        <w:tc>
          <w:tcPr>
            <w:tcW w:w="1240" w:type="dxa"/>
            <w:tcBorders>
              <w:top w:val="single" w:sz="8" w:space="0" w:color="auto"/>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3.8339</w:t>
            </w:r>
          </w:p>
        </w:tc>
        <w:tc>
          <w:tcPr>
            <w:tcW w:w="762" w:type="dxa"/>
            <w:tcBorders>
              <w:top w:val="single" w:sz="8" w:space="0" w:color="auto"/>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0.9567</w:t>
            </w:r>
          </w:p>
        </w:tc>
        <w:tc>
          <w:tcPr>
            <w:tcW w:w="587" w:type="dxa"/>
            <w:tcBorders>
              <w:top w:val="single" w:sz="8" w:space="0" w:color="auto"/>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-9.0</w:t>
            </w:r>
          </w:p>
        </w:tc>
        <w:tc>
          <w:tcPr>
            <w:tcW w:w="1099"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 </w:t>
            </w:r>
          </w:p>
        </w:tc>
        <w:tc>
          <w:tcPr>
            <w:tcW w:w="894"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0.0013</w:t>
            </w:r>
          </w:p>
        </w:tc>
      </w:tr>
      <w:tr w:rsidR="00682AAC" w:rsidRPr="007F70BC" w:rsidTr="002534F5">
        <w:trPr>
          <w:trHeight w:val="260"/>
          <w:jc w:val="center"/>
        </w:trPr>
        <w:tc>
          <w:tcPr>
            <w:tcW w:w="1238" w:type="dxa"/>
            <w:tcBorders>
              <w:top w:val="nil"/>
              <w:left w:val="nil"/>
              <w:bottom w:val="nil"/>
              <w:right w:val="nil"/>
            </w:tcBorders>
            <w:shd w:val="clear" w:color="auto" w:fill="auto"/>
            <w:noWrap/>
            <w:vAlign w:val="center"/>
            <w:hideMark/>
          </w:tcPr>
          <w:p w:rsidR="00682AAC" w:rsidRPr="007F70BC" w:rsidRDefault="00682AAC" w:rsidP="00682AAC">
            <w:pPr>
              <w:spacing w:after="0"/>
              <w:rPr>
                <w:rFonts w:eastAsia="Times New Roman" w:cs="Times New Roman"/>
                <w:color w:val="000000"/>
                <w:sz w:val="20"/>
                <w:szCs w:val="20"/>
              </w:rPr>
            </w:pPr>
            <w:r w:rsidRPr="007F70BC">
              <w:rPr>
                <w:rFonts w:eastAsia="Times New Roman" w:cs="Times New Roman"/>
                <w:color w:val="000000"/>
                <w:sz w:val="20"/>
                <w:szCs w:val="20"/>
              </w:rPr>
              <w:t>1σ StDev</w:t>
            </w:r>
          </w:p>
        </w:tc>
        <w:tc>
          <w:tcPr>
            <w:tcW w:w="1240"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0.0357</w:t>
            </w:r>
          </w:p>
        </w:tc>
        <w:tc>
          <w:tcPr>
            <w:tcW w:w="762"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0.0089</w:t>
            </w:r>
          </w:p>
        </w:tc>
        <w:tc>
          <w:tcPr>
            <w:tcW w:w="587"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2.2</w:t>
            </w:r>
          </w:p>
        </w:tc>
        <w:tc>
          <w:tcPr>
            <w:tcW w:w="1099" w:type="dxa"/>
            <w:tcBorders>
              <w:top w:val="nil"/>
              <w:left w:val="nil"/>
              <w:bottom w:val="nil"/>
              <w:right w:val="nil"/>
            </w:tcBorders>
            <w:shd w:val="clear" w:color="auto" w:fill="auto"/>
            <w:noWrap/>
            <w:vAlign w:val="bottom"/>
            <w:hideMark/>
          </w:tcPr>
          <w:p w:rsidR="00682AAC" w:rsidRPr="007F70BC" w:rsidRDefault="00682AAC" w:rsidP="00682AAC">
            <w:pPr>
              <w:spacing w:after="0"/>
              <w:jc w:val="center"/>
              <w:rPr>
                <w:rFonts w:eastAsia="Times New Roman" w:cs="Times New Roman"/>
                <w:color w:val="000000"/>
                <w:sz w:val="20"/>
                <w:szCs w:val="20"/>
              </w:rPr>
            </w:pPr>
          </w:p>
        </w:tc>
        <w:tc>
          <w:tcPr>
            <w:tcW w:w="894" w:type="dxa"/>
            <w:tcBorders>
              <w:top w:val="nil"/>
              <w:left w:val="nil"/>
              <w:bottom w:val="nil"/>
              <w:right w:val="nil"/>
            </w:tcBorders>
            <w:shd w:val="clear" w:color="auto" w:fill="auto"/>
            <w:noWrap/>
            <w:vAlign w:val="center"/>
            <w:hideMark/>
          </w:tcPr>
          <w:p w:rsidR="00682AAC" w:rsidRPr="007F70BC" w:rsidRDefault="00682AAC" w:rsidP="00682AAC">
            <w:pPr>
              <w:spacing w:after="0"/>
              <w:jc w:val="center"/>
              <w:rPr>
                <w:rFonts w:eastAsia="Times New Roman" w:cs="Times New Roman"/>
                <w:color w:val="000000"/>
                <w:sz w:val="20"/>
                <w:szCs w:val="20"/>
              </w:rPr>
            </w:pPr>
            <w:r w:rsidRPr="007F70BC">
              <w:rPr>
                <w:rFonts w:eastAsia="Times New Roman" w:cs="Times New Roman"/>
                <w:color w:val="000000"/>
                <w:sz w:val="20"/>
                <w:szCs w:val="20"/>
              </w:rPr>
              <w:t>0.00007</w:t>
            </w:r>
          </w:p>
        </w:tc>
      </w:tr>
    </w:tbl>
    <w:p w:rsidR="00682AAC" w:rsidRDefault="00682AAC" w:rsidP="00713274">
      <w:pPr>
        <w:spacing w:line="480" w:lineRule="auto"/>
        <w:rPr>
          <w:rFonts w:cs="Times New Roman"/>
          <w:color w:val="000000"/>
        </w:rPr>
      </w:pPr>
    </w:p>
    <w:p w:rsidR="00682AAC" w:rsidRDefault="00682AAC">
      <w:pPr>
        <w:rPr>
          <w:rFonts w:cs="Times New Roman"/>
          <w:color w:val="000000"/>
        </w:rPr>
      </w:pPr>
      <w:r>
        <w:rPr>
          <w:rFonts w:cs="Times New Roman"/>
          <w:color w:val="000000"/>
        </w:rPr>
        <w:br w:type="page"/>
      </w:r>
    </w:p>
    <w:p w:rsidR="000910D2" w:rsidRDefault="000910D2" w:rsidP="002534F5">
      <w:pPr>
        <w:pStyle w:val="Caption"/>
        <w:keepNext/>
        <w:jc w:val="center"/>
        <w:rPr>
          <w:b/>
          <w:sz w:val="24"/>
          <w:szCs w:val="24"/>
        </w:rPr>
        <w:sectPr w:rsidR="000910D2" w:rsidSect="003A423C">
          <w:footerReference w:type="default" r:id="rId51"/>
          <w:pgSz w:w="12240" w:h="15840"/>
          <w:pgMar w:top="1440" w:right="1440" w:bottom="1440" w:left="2304" w:header="720" w:footer="720" w:gutter="0"/>
          <w:pgNumType w:start="1"/>
          <w:cols w:space="720"/>
          <w:docGrid w:linePitch="360"/>
        </w:sectPr>
      </w:pPr>
    </w:p>
    <w:p w:rsidR="002534F5" w:rsidRPr="002534F5" w:rsidRDefault="00935830" w:rsidP="002534F5">
      <w:pPr>
        <w:pStyle w:val="Caption"/>
        <w:keepNext/>
        <w:jc w:val="center"/>
        <w:rPr>
          <w:i w:val="0"/>
          <w:sz w:val="24"/>
          <w:szCs w:val="24"/>
        </w:rPr>
      </w:pPr>
      <w:bookmarkStart w:id="70" w:name="_Toc490131682"/>
      <w:r>
        <w:rPr>
          <w:b/>
          <w:noProof/>
          <w:sz w:val="24"/>
          <w:szCs w:val="24"/>
        </w:rPr>
        <w:lastRenderedPageBreak/>
        <mc:AlternateContent>
          <mc:Choice Requires="wps">
            <w:drawing>
              <wp:anchor distT="0" distB="0" distL="114300" distR="114300" simplePos="0" relativeHeight="251791360" behindDoc="0" locked="0" layoutInCell="1" allowOverlap="1">
                <wp:simplePos x="0" y="0"/>
                <wp:positionH relativeFrom="margin">
                  <wp:posOffset>-914400</wp:posOffset>
                </wp:positionH>
                <wp:positionV relativeFrom="margin">
                  <wp:posOffset>2240280</wp:posOffset>
                </wp:positionV>
                <wp:extent cx="914400" cy="914400"/>
                <wp:effectExtent l="0" t="0" r="0" b="0"/>
                <wp:wrapNone/>
                <wp:docPr id="192" name="Rectangle 192"/>
                <wp:cNvGraphicFramePr/>
                <a:graphic xmlns:a="http://schemas.openxmlformats.org/drawingml/2006/main">
                  <a:graphicData uri="http://schemas.microsoft.com/office/word/2010/wordprocessingShape">
                    <wps:wsp>
                      <wps:cNvSpPr/>
                      <wps:spPr>
                        <a:xfrm rot="5400000">
                          <a:off x="0" y="0"/>
                          <a:ext cx="914400" cy="914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D3B9B" w:rsidRPr="00935830" w:rsidRDefault="006D3B9B" w:rsidP="00935830">
                            <w:pPr>
                              <w:jc w:val="center"/>
                              <w:rPr>
                                <w:color w:val="000000" w:themeColor="text1"/>
                              </w:rPr>
                            </w:pPr>
                            <w:r w:rsidRPr="00935830">
                              <w:rPr>
                                <w:color w:val="000000" w:themeColor="text1"/>
                              </w:rPr>
                              <w:t>50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92" o:spid="_x0000_s1037" style="position:absolute;left:0;text-align:left;margin-left:-1in;margin-top:176.4pt;width:1in;height:1in;rotation:90;z-index:251791360;visibility:visible;mso-wrap-style:square;mso-wrap-distance-left:9pt;mso-wrap-distance-top:0;mso-wrap-distance-right:9pt;mso-wrap-distance-bottom:0;mso-position-horizontal:absolute;mso-position-horizontal-relative:margin;mso-position-vertical:absolut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" filled="f" stroked="f" strokeweight="2pt">
                <v:textbox>
                  <w:txbxContent>
                    <w:p w:rsidR="006D3B9B" w:rsidRPr="00935830" w:rsidRDefault="006D3B9B" w:rsidP="00935830">
                      <w:pPr>
                        <w:jc w:val="center"/>
                        <w:rPr>
                          <w:color w:val="000000" w:themeColor="text1"/>
                        </w:rPr>
                      </w:pPr>
                      <w:r w:rsidRPr="00935830">
                        <w:rPr>
                          <w:color w:val="000000" w:themeColor="text1"/>
                        </w:rPr>
                        <w:t>50</w:t>
                      </w:r>
                    </w:p>
                  </w:txbxContent>
                </v:textbox>
                <w10:wrap anchorx="margin" anchory="margin"/>
              </v:rect>
            </w:pict>
          </mc:Fallback>
        </mc:AlternateContent>
      </w:r>
      <w:r w:rsidR="002534F5" w:rsidRPr="002534F5">
        <w:rPr>
          <w:b/>
          <w:sz w:val="24"/>
          <w:szCs w:val="24"/>
        </w:rPr>
        <w:t xml:space="preserve">Table </w:t>
      </w:r>
      <w:r w:rsidR="00B23FDA">
        <w:rPr>
          <w:b/>
          <w:sz w:val="24"/>
          <w:szCs w:val="24"/>
        </w:rPr>
        <w:fldChar w:fldCharType="begin"/>
      </w:r>
      <w:r w:rsidR="00B23FDA">
        <w:rPr>
          <w:b/>
          <w:sz w:val="24"/>
          <w:szCs w:val="24"/>
        </w:rPr>
        <w:instrText xml:space="preserve"> STYLEREF 1 \s </w:instrText>
      </w:r>
      <w:r w:rsidR="00B23FDA">
        <w:rPr>
          <w:b/>
          <w:sz w:val="24"/>
          <w:szCs w:val="24"/>
        </w:rPr>
        <w:fldChar w:fldCharType="separate"/>
      </w:r>
      <w:r w:rsidR="000C5FC3">
        <w:rPr>
          <w:b/>
          <w:noProof/>
          <w:sz w:val="24"/>
          <w:szCs w:val="24"/>
        </w:rPr>
        <w:t>2</w:t>
      </w:r>
      <w:r w:rsidR="00B23FDA">
        <w:rPr>
          <w:b/>
          <w:sz w:val="24"/>
          <w:szCs w:val="24"/>
        </w:rPr>
        <w:fldChar w:fldCharType="end"/>
      </w:r>
      <w:r w:rsidR="00B23FDA">
        <w:rPr>
          <w:b/>
          <w:sz w:val="24"/>
          <w:szCs w:val="24"/>
        </w:rPr>
        <w:noBreakHyphen/>
      </w:r>
      <w:r w:rsidR="00B23FDA">
        <w:rPr>
          <w:b/>
          <w:sz w:val="24"/>
          <w:szCs w:val="24"/>
        </w:rPr>
        <w:fldChar w:fldCharType="begin"/>
      </w:r>
      <w:r w:rsidR="00B23FDA">
        <w:rPr>
          <w:b/>
          <w:sz w:val="24"/>
          <w:szCs w:val="24"/>
        </w:rPr>
        <w:instrText xml:space="preserve"> SEQ Table \* ARABIC \s 1 </w:instrText>
      </w:r>
      <w:r w:rsidR="00B23FDA">
        <w:rPr>
          <w:b/>
          <w:sz w:val="24"/>
          <w:szCs w:val="24"/>
        </w:rPr>
        <w:fldChar w:fldCharType="separate"/>
      </w:r>
      <w:r w:rsidR="000C5FC3">
        <w:rPr>
          <w:b/>
          <w:noProof/>
          <w:sz w:val="24"/>
          <w:szCs w:val="24"/>
        </w:rPr>
        <w:t>3</w:t>
      </w:r>
      <w:r w:rsidR="00B23FDA">
        <w:rPr>
          <w:b/>
          <w:sz w:val="24"/>
          <w:szCs w:val="24"/>
        </w:rPr>
        <w:fldChar w:fldCharType="end"/>
      </w:r>
      <w:r w:rsidR="002534F5" w:rsidRPr="002534F5">
        <w:rPr>
          <w:rFonts w:eastAsia="Times New Roman" w:cs="Times New Roman"/>
          <w:i w:val="0"/>
          <w:color w:val="000000"/>
          <w:sz w:val="24"/>
          <w:szCs w:val="24"/>
        </w:rPr>
        <w:t xml:space="preserve"> Boron isotopic compositions of minerals from the Main Dike</w:t>
      </w:r>
      <w:bookmarkEnd w:id="70"/>
    </w:p>
    <w:tbl>
      <w:tblPr>
        <w:tblW w:w="9700" w:type="dxa"/>
        <w:jc w:val="center"/>
        <w:tblLook w:val="04A0" w:firstRow="1" w:lastRow="0" w:firstColumn="1" w:lastColumn="0" w:noHBand="0" w:noVBand="1"/>
      </w:tblPr>
      <w:tblGrid>
        <w:gridCol w:w="1222"/>
        <w:gridCol w:w="2041"/>
        <w:gridCol w:w="2597"/>
        <w:gridCol w:w="960"/>
        <w:gridCol w:w="960"/>
        <w:gridCol w:w="960"/>
        <w:gridCol w:w="960"/>
      </w:tblGrid>
      <w:tr w:rsidR="002534F5" w:rsidRPr="00D368C9" w:rsidTr="002534F5">
        <w:trPr>
          <w:trHeight w:val="320"/>
          <w:jc w:val="center"/>
        </w:trPr>
        <w:tc>
          <w:tcPr>
            <w:tcW w:w="1222" w:type="dxa"/>
            <w:tcBorders>
              <w:top w:val="single" w:sz="8" w:space="0" w:color="auto"/>
              <w:left w:val="nil"/>
              <w:bottom w:val="single" w:sz="8" w:space="0" w:color="auto"/>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Mineral</w:t>
            </w:r>
          </w:p>
        </w:tc>
        <w:tc>
          <w:tcPr>
            <w:tcW w:w="2041" w:type="dxa"/>
            <w:tcBorders>
              <w:top w:val="single" w:sz="8" w:space="0" w:color="auto"/>
              <w:left w:val="nil"/>
              <w:bottom w:val="single" w:sz="8" w:space="0" w:color="auto"/>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Sample ID</w:t>
            </w:r>
          </w:p>
        </w:tc>
        <w:tc>
          <w:tcPr>
            <w:tcW w:w="2597" w:type="dxa"/>
            <w:tcBorders>
              <w:top w:val="single" w:sz="8" w:space="0" w:color="auto"/>
              <w:left w:val="nil"/>
              <w:bottom w:val="single" w:sz="8" w:space="0" w:color="auto"/>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Location</w:t>
            </w:r>
          </w:p>
        </w:tc>
        <w:tc>
          <w:tcPr>
            <w:tcW w:w="960" w:type="dxa"/>
            <w:tcBorders>
              <w:top w:val="single" w:sz="8" w:space="0" w:color="auto"/>
              <w:left w:val="nil"/>
              <w:bottom w:val="single" w:sz="8" w:space="0" w:color="auto"/>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HAB</w:t>
            </w:r>
            <w:r w:rsidRPr="00D368C9">
              <w:rPr>
                <w:rFonts w:eastAsia="Times New Roman" w:cs="Times New Roman"/>
                <w:color w:val="000000"/>
                <w:sz w:val="20"/>
                <w:szCs w:val="20"/>
                <w:vertAlign w:val="superscript"/>
              </w:rPr>
              <w:t>*</w:t>
            </w:r>
          </w:p>
        </w:tc>
        <w:tc>
          <w:tcPr>
            <w:tcW w:w="960" w:type="dxa"/>
            <w:tcBorders>
              <w:top w:val="single" w:sz="8" w:space="0" w:color="auto"/>
              <w:left w:val="nil"/>
              <w:bottom w:val="single" w:sz="8" w:space="0" w:color="auto"/>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δ</w:t>
            </w:r>
            <w:r w:rsidRPr="00D368C9">
              <w:rPr>
                <w:rFonts w:eastAsia="Times New Roman" w:cs="Times New Roman"/>
                <w:color w:val="000000"/>
                <w:sz w:val="20"/>
                <w:szCs w:val="20"/>
                <w:vertAlign w:val="superscript"/>
              </w:rPr>
              <w:t>11</w:t>
            </w:r>
            <w:r w:rsidRPr="00D368C9">
              <w:rPr>
                <w:rFonts w:eastAsia="Times New Roman" w:cs="Times New Roman"/>
                <w:color w:val="000000"/>
                <w:sz w:val="20"/>
                <w:szCs w:val="20"/>
              </w:rPr>
              <w:t>B</w:t>
            </w:r>
          </w:p>
        </w:tc>
        <w:tc>
          <w:tcPr>
            <w:tcW w:w="960" w:type="dxa"/>
            <w:tcBorders>
              <w:top w:val="single" w:sz="8" w:space="0" w:color="auto"/>
              <w:left w:val="nil"/>
              <w:bottom w:val="single" w:sz="8" w:space="0" w:color="auto"/>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2σSD</w:t>
            </w:r>
          </w:p>
        </w:tc>
        <w:tc>
          <w:tcPr>
            <w:tcW w:w="960" w:type="dxa"/>
            <w:tcBorders>
              <w:top w:val="single" w:sz="8" w:space="0" w:color="auto"/>
              <w:left w:val="nil"/>
              <w:bottom w:val="single" w:sz="8" w:space="0" w:color="auto"/>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N</w:t>
            </w:r>
          </w:p>
        </w:tc>
      </w:tr>
      <w:tr w:rsidR="002534F5" w:rsidRPr="00D368C9" w:rsidTr="002534F5">
        <w:trPr>
          <w:trHeight w:val="260"/>
          <w:jc w:val="center"/>
        </w:trPr>
        <w:tc>
          <w:tcPr>
            <w:tcW w:w="1222"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Tourmaline</w:t>
            </w:r>
          </w:p>
        </w:tc>
        <w:tc>
          <w:tcPr>
            <w:tcW w:w="2041"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2</w:t>
            </w:r>
          </w:p>
        </w:tc>
        <w:tc>
          <w:tcPr>
            <w:tcW w:w="2597"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Massive Aplite</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3</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6.4</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0.9</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3</w:t>
            </w:r>
          </w:p>
        </w:tc>
      </w:tr>
      <w:tr w:rsidR="002534F5" w:rsidRPr="00D368C9" w:rsidTr="002534F5">
        <w:trPr>
          <w:trHeight w:val="260"/>
          <w:jc w:val="center"/>
        </w:trPr>
        <w:tc>
          <w:tcPr>
            <w:tcW w:w="1222"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2041"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3</w:t>
            </w:r>
          </w:p>
        </w:tc>
        <w:tc>
          <w:tcPr>
            <w:tcW w:w="2597"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9</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4.5</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1.5</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4</w:t>
            </w:r>
          </w:p>
        </w:tc>
      </w:tr>
      <w:tr w:rsidR="002534F5" w:rsidRPr="00D368C9" w:rsidTr="002534F5">
        <w:trPr>
          <w:trHeight w:val="260"/>
          <w:jc w:val="center"/>
        </w:trPr>
        <w:tc>
          <w:tcPr>
            <w:tcW w:w="1222"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2041"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4</w:t>
            </w:r>
          </w:p>
        </w:tc>
        <w:tc>
          <w:tcPr>
            <w:tcW w:w="2597"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30</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5.7</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1</w:t>
            </w:r>
          </w:p>
        </w:tc>
      </w:tr>
      <w:tr w:rsidR="002534F5" w:rsidRPr="00D368C9" w:rsidTr="002534F5">
        <w:trPr>
          <w:trHeight w:val="260"/>
          <w:jc w:val="center"/>
        </w:trPr>
        <w:tc>
          <w:tcPr>
            <w:tcW w:w="1222"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2041"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5c</w:t>
            </w:r>
          </w:p>
        </w:tc>
        <w:tc>
          <w:tcPr>
            <w:tcW w:w="2597"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Layered Aplite</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52</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3.6</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1.3</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3</w:t>
            </w:r>
          </w:p>
        </w:tc>
      </w:tr>
      <w:tr w:rsidR="002534F5" w:rsidRPr="00D368C9" w:rsidTr="002534F5">
        <w:trPr>
          <w:trHeight w:val="260"/>
          <w:jc w:val="center"/>
        </w:trPr>
        <w:tc>
          <w:tcPr>
            <w:tcW w:w="1222"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2041"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5d</w:t>
            </w:r>
          </w:p>
        </w:tc>
        <w:tc>
          <w:tcPr>
            <w:tcW w:w="2597"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58</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3.5</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2.0</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2</w:t>
            </w:r>
          </w:p>
        </w:tc>
      </w:tr>
      <w:tr w:rsidR="002534F5" w:rsidRPr="00D368C9" w:rsidTr="002534F5">
        <w:trPr>
          <w:trHeight w:val="260"/>
          <w:jc w:val="center"/>
        </w:trPr>
        <w:tc>
          <w:tcPr>
            <w:tcW w:w="1222"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2041"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5e</w:t>
            </w:r>
          </w:p>
        </w:tc>
        <w:tc>
          <w:tcPr>
            <w:tcW w:w="2597"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62</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2.1</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1.6</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3</w:t>
            </w:r>
          </w:p>
        </w:tc>
      </w:tr>
      <w:tr w:rsidR="002534F5" w:rsidRPr="00D368C9" w:rsidTr="002534F5">
        <w:trPr>
          <w:trHeight w:val="260"/>
          <w:jc w:val="center"/>
        </w:trPr>
        <w:tc>
          <w:tcPr>
            <w:tcW w:w="1222"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2041"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5f</w:t>
            </w:r>
          </w:p>
        </w:tc>
        <w:tc>
          <w:tcPr>
            <w:tcW w:w="2597"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68</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2.0</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6.1</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3</w:t>
            </w:r>
          </w:p>
        </w:tc>
      </w:tr>
      <w:tr w:rsidR="002534F5" w:rsidRPr="00D368C9" w:rsidTr="002534F5">
        <w:trPr>
          <w:trHeight w:val="260"/>
          <w:jc w:val="center"/>
        </w:trPr>
        <w:tc>
          <w:tcPr>
            <w:tcW w:w="1222"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2041"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6a</w:t>
            </w:r>
          </w:p>
        </w:tc>
        <w:tc>
          <w:tcPr>
            <w:tcW w:w="2597"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75</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4.7</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1.8</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2</w:t>
            </w:r>
          </w:p>
        </w:tc>
      </w:tr>
      <w:tr w:rsidR="002534F5" w:rsidRPr="00D368C9" w:rsidTr="002534F5">
        <w:trPr>
          <w:trHeight w:val="260"/>
          <w:jc w:val="center"/>
        </w:trPr>
        <w:tc>
          <w:tcPr>
            <w:tcW w:w="1222"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2041"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6b</w:t>
            </w:r>
          </w:p>
        </w:tc>
        <w:tc>
          <w:tcPr>
            <w:tcW w:w="2597"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79</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5.2</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0.2</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2</w:t>
            </w:r>
          </w:p>
        </w:tc>
      </w:tr>
      <w:tr w:rsidR="002534F5" w:rsidRPr="00D368C9" w:rsidTr="002534F5">
        <w:trPr>
          <w:trHeight w:val="260"/>
          <w:jc w:val="center"/>
        </w:trPr>
        <w:tc>
          <w:tcPr>
            <w:tcW w:w="1222"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2041"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6c</w:t>
            </w:r>
          </w:p>
        </w:tc>
        <w:tc>
          <w:tcPr>
            <w:tcW w:w="2597"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84</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4.7</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1.4</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2</w:t>
            </w:r>
          </w:p>
        </w:tc>
      </w:tr>
      <w:tr w:rsidR="002534F5" w:rsidRPr="00D368C9" w:rsidTr="002534F5">
        <w:trPr>
          <w:trHeight w:val="260"/>
          <w:jc w:val="center"/>
        </w:trPr>
        <w:tc>
          <w:tcPr>
            <w:tcW w:w="1222"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2041"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6d</w:t>
            </w:r>
          </w:p>
        </w:tc>
        <w:tc>
          <w:tcPr>
            <w:tcW w:w="2597"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88</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5.4</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1.4</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4</w:t>
            </w:r>
          </w:p>
        </w:tc>
      </w:tr>
      <w:tr w:rsidR="002534F5" w:rsidRPr="00D368C9" w:rsidTr="002534F5">
        <w:trPr>
          <w:trHeight w:val="260"/>
          <w:jc w:val="center"/>
        </w:trPr>
        <w:tc>
          <w:tcPr>
            <w:tcW w:w="1222"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2041"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6e</w:t>
            </w:r>
          </w:p>
        </w:tc>
        <w:tc>
          <w:tcPr>
            <w:tcW w:w="2597"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92</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6.4</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1.7</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6</w:t>
            </w:r>
          </w:p>
        </w:tc>
      </w:tr>
      <w:tr w:rsidR="002534F5" w:rsidRPr="00D368C9" w:rsidTr="002534F5">
        <w:trPr>
          <w:trHeight w:val="260"/>
          <w:jc w:val="center"/>
        </w:trPr>
        <w:tc>
          <w:tcPr>
            <w:tcW w:w="1222"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2041"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6f</w:t>
            </w:r>
          </w:p>
        </w:tc>
        <w:tc>
          <w:tcPr>
            <w:tcW w:w="2597"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Lower Intermediate Zone</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96</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5.3</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1.3</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2</w:t>
            </w:r>
          </w:p>
        </w:tc>
      </w:tr>
      <w:tr w:rsidR="002534F5" w:rsidRPr="00D368C9" w:rsidTr="002534F5">
        <w:trPr>
          <w:trHeight w:val="260"/>
          <w:jc w:val="center"/>
        </w:trPr>
        <w:tc>
          <w:tcPr>
            <w:tcW w:w="1222"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2041"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6g</w:t>
            </w:r>
          </w:p>
        </w:tc>
        <w:tc>
          <w:tcPr>
            <w:tcW w:w="2597"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100</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3.9</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2.9</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2</w:t>
            </w:r>
          </w:p>
        </w:tc>
      </w:tr>
      <w:tr w:rsidR="002534F5" w:rsidRPr="00D368C9" w:rsidTr="002534F5">
        <w:trPr>
          <w:trHeight w:val="260"/>
          <w:jc w:val="center"/>
        </w:trPr>
        <w:tc>
          <w:tcPr>
            <w:tcW w:w="1222"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2041"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Elbaite1 (grn/lt grn)</w:t>
            </w:r>
          </w:p>
        </w:tc>
        <w:tc>
          <w:tcPr>
            <w:tcW w:w="2597"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Pocket</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100-135</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1.0</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1.0</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7</w:t>
            </w:r>
          </w:p>
        </w:tc>
      </w:tr>
      <w:tr w:rsidR="002534F5" w:rsidRPr="00D368C9" w:rsidTr="002534F5">
        <w:trPr>
          <w:trHeight w:val="260"/>
          <w:jc w:val="center"/>
        </w:trPr>
        <w:tc>
          <w:tcPr>
            <w:tcW w:w="1222"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2041"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Elbaite2 (grn)</w:t>
            </w:r>
          </w:p>
        </w:tc>
        <w:tc>
          <w:tcPr>
            <w:tcW w:w="2597"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100-135</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3.5</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2.0</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2</w:t>
            </w:r>
          </w:p>
        </w:tc>
      </w:tr>
      <w:tr w:rsidR="002534F5" w:rsidRPr="00D368C9" w:rsidTr="002534F5">
        <w:trPr>
          <w:trHeight w:val="260"/>
          <w:jc w:val="center"/>
        </w:trPr>
        <w:tc>
          <w:tcPr>
            <w:tcW w:w="1222"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2041"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Elbaite2 (lt grn)</w:t>
            </w:r>
          </w:p>
        </w:tc>
        <w:tc>
          <w:tcPr>
            <w:tcW w:w="2597"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100-135</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3.2</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1.8</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2</w:t>
            </w:r>
          </w:p>
        </w:tc>
      </w:tr>
      <w:tr w:rsidR="002534F5" w:rsidRPr="00D368C9" w:rsidTr="002534F5">
        <w:trPr>
          <w:trHeight w:val="260"/>
          <w:jc w:val="center"/>
        </w:trPr>
        <w:tc>
          <w:tcPr>
            <w:tcW w:w="1222"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2041"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Elbaite2 (pnk)</w:t>
            </w:r>
          </w:p>
        </w:tc>
        <w:tc>
          <w:tcPr>
            <w:tcW w:w="2597"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100-135</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2.5</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0.4</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2</w:t>
            </w:r>
          </w:p>
        </w:tc>
      </w:tr>
      <w:tr w:rsidR="002534F5" w:rsidRPr="00D368C9" w:rsidTr="002534F5">
        <w:trPr>
          <w:trHeight w:val="260"/>
          <w:jc w:val="center"/>
        </w:trPr>
        <w:tc>
          <w:tcPr>
            <w:tcW w:w="1222"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Lepidolite</w:t>
            </w:r>
          </w:p>
        </w:tc>
        <w:tc>
          <w:tcPr>
            <w:tcW w:w="2041"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Lepidolite</w:t>
            </w:r>
          </w:p>
        </w:tc>
        <w:tc>
          <w:tcPr>
            <w:tcW w:w="2597"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100-135</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-7.9</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3.6</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5</w:t>
            </w:r>
          </w:p>
        </w:tc>
      </w:tr>
      <w:tr w:rsidR="002534F5" w:rsidRPr="00D368C9" w:rsidTr="002534F5">
        <w:trPr>
          <w:trHeight w:val="260"/>
          <w:jc w:val="center"/>
        </w:trPr>
        <w:tc>
          <w:tcPr>
            <w:tcW w:w="1222"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Hambergite</w:t>
            </w:r>
          </w:p>
        </w:tc>
        <w:tc>
          <w:tcPr>
            <w:tcW w:w="2041"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Hambergite</w:t>
            </w:r>
          </w:p>
        </w:tc>
        <w:tc>
          <w:tcPr>
            <w:tcW w:w="2597"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100-135</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20.9</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2.2</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4</w:t>
            </w:r>
          </w:p>
        </w:tc>
      </w:tr>
      <w:tr w:rsidR="002534F5" w:rsidRPr="00D368C9" w:rsidTr="002534F5">
        <w:trPr>
          <w:trHeight w:val="260"/>
          <w:jc w:val="center"/>
        </w:trPr>
        <w:tc>
          <w:tcPr>
            <w:tcW w:w="1222"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Tourmaline</w:t>
            </w:r>
          </w:p>
        </w:tc>
        <w:tc>
          <w:tcPr>
            <w:tcW w:w="2041"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7a</w:t>
            </w:r>
          </w:p>
        </w:tc>
        <w:tc>
          <w:tcPr>
            <w:tcW w:w="2597"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Upper Intermediate Zone</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150</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6.0</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0.1</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2</w:t>
            </w:r>
          </w:p>
        </w:tc>
      </w:tr>
      <w:tr w:rsidR="002534F5" w:rsidRPr="00D368C9" w:rsidTr="002534F5">
        <w:trPr>
          <w:trHeight w:val="260"/>
          <w:jc w:val="center"/>
        </w:trPr>
        <w:tc>
          <w:tcPr>
            <w:tcW w:w="1222"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2041"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7b</w:t>
            </w:r>
          </w:p>
        </w:tc>
        <w:tc>
          <w:tcPr>
            <w:tcW w:w="2597"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145</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5.9</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0.0</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1</w:t>
            </w:r>
          </w:p>
        </w:tc>
      </w:tr>
      <w:tr w:rsidR="002534F5" w:rsidRPr="00D368C9" w:rsidTr="002534F5">
        <w:trPr>
          <w:trHeight w:val="260"/>
          <w:jc w:val="center"/>
        </w:trPr>
        <w:tc>
          <w:tcPr>
            <w:tcW w:w="1222"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2041"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7c</w:t>
            </w:r>
          </w:p>
        </w:tc>
        <w:tc>
          <w:tcPr>
            <w:tcW w:w="2597"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140</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2.0</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2.0</w:t>
            </w:r>
          </w:p>
        </w:tc>
        <w:tc>
          <w:tcPr>
            <w:tcW w:w="960" w:type="dxa"/>
            <w:tcBorders>
              <w:top w:val="nil"/>
              <w:left w:val="nil"/>
              <w:bottom w:val="nil"/>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2</w:t>
            </w:r>
          </w:p>
        </w:tc>
      </w:tr>
      <w:tr w:rsidR="002534F5" w:rsidRPr="00D368C9" w:rsidTr="002534F5">
        <w:trPr>
          <w:trHeight w:val="270"/>
          <w:jc w:val="center"/>
        </w:trPr>
        <w:tc>
          <w:tcPr>
            <w:tcW w:w="1222" w:type="dxa"/>
            <w:tcBorders>
              <w:top w:val="nil"/>
              <w:left w:val="nil"/>
              <w:bottom w:val="single" w:sz="8" w:space="0" w:color="auto"/>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2041" w:type="dxa"/>
            <w:tcBorders>
              <w:top w:val="nil"/>
              <w:left w:val="nil"/>
              <w:bottom w:val="single" w:sz="8" w:space="0" w:color="auto"/>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8</w:t>
            </w:r>
          </w:p>
        </w:tc>
        <w:tc>
          <w:tcPr>
            <w:tcW w:w="2597" w:type="dxa"/>
            <w:tcBorders>
              <w:top w:val="nil"/>
              <w:left w:val="nil"/>
              <w:bottom w:val="single" w:sz="8" w:space="0" w:color="auto"/>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w:t>
            </w:r>
          </w:p>
        </w:tc>
        <w:tc>
          <w:tcPr>
            <w:tcW w:w="960" w:type="dxa"/>
            <w:tcBorders>
              <w:top w:val="nil"/>
              <w:left w:val="nil"/>
              <w:bottom w:val="single" w:sz="8" w:space="0" w:color="auto"/>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150</w:t>
            </w:r>
          </w:p>
        </w:tc>
        <w:tc>
          <w:tcPr>
            <w:tcW w:w="960" w:type="dxa"/>
            <w:tcBorders>
              <w:top w:val="nil"/>
              <w:left w:val="nil"/>
              <w:bottom w:val="single" w:sz="8" w:space="0" w:color="auto"/>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5.2</w:t>
            </w:r>
          </w:p>
        </w:tc>
        <w:tc>
          <w:tcPr>
            <w:tcW w:w="960" w:type="dxa"/>
            <w:tcBorders>
              <w:top w:val="nil"/>
              <w:left w:val="nil"/>
              <w:bottom w:val="single" w:sz="8" w:space="0" w:color="auto"/>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0.3</w:t>
            </w:r>
          </w:p>
        </w:tc>
        <w:tc>
          <w:tcPr>
            <w:tcW w:w="960" w:type="dxa"/>
            <w:tcBorders>
              <w:top w:val="nil"/>
              <w:left w:val="nil"/>
              <w:bottom w:val="single" w:sz="8" w:space="0" w:color="auto"/>
              <w:right w:val="nil"/>
            </w:tcBorders>
            <w:shd w:val="clear" w:color="auto" w:fill="auto"/>
            <w:noWrap/>
            <w:vAlign w:val="center"/>
            <w:hideMark/>
          </w:tcPr>
          <w:p w:rsidR="002534F5" w:rsidRPr="00D368C9" w:rsidRDefault="002534F5" w:rsidP="0032741E">
            <w:pPr>
              <w:spacing w:after="0"/>
              <w:jc w:val="center"/>
              <w:rPr>
                <w:rFonts w:eastAsia="Times New Roman" w:cs="Times New Roman"/>
                <w:color w:val="000000"/>
                <w:sz w:val="20"/>
                <w:szCs w:val="20"/>
              </w:rPr>
            </w:pPr>
            <w:r w:rsidRPr="00D368C9">
              <w:rPr>
                <w:rFonts w:eastAsia="Times New Roman" w:cs="Times New Roman"/>
                <w:color w:val="000000"/>
                <w:sz w:val="20"/>
                <w:szCs w:val="20"/>
              </w:rPr>
              <w:t>5</w:t>
            </w:r>
          </w:p>
        </w:tc>
      </w:tr>
      <w:tr w:rsidR="002534F5" w:rsidRPr="00D368C9" w:rsidTr="002534F5">
        <w:trPr>
          <w:trHeight w:val="260"/>
          <w:jc w:val="center"/>
        </w:trPr>
        <w:tc>
          <w:tcPr>
            <w:tcW w:w="5860" w:type="dxa"/>
            <w:gridSpan w:val="3"/>
            <w:tcBorders>
              <w:top w:val="nil"/>
              <w:left w:val="nil"/>
              <w:bottom w:val="nil"/>
              <w:right w:val="nil"/>
            </w:tcBorders>
            <w:shd w:val="clear" w:color="auto" w:fill="auto"/>
            <w:noWrap/>
            <w:vAlign w:val="bottom"/>
            <w:hideMark/>
          </w:tcPr>
          <w:p w:rsidR="002534F5" w:rsidRPr="00D368C9" w:rsidRDefault="002534F5" w:rsidP="0032741E">
            <w:pPr>
              <w:spacing w:after="0"/>
              <w:rPr>
                <w:rFonts w:eastAsia="Times New Roman" w:cs="Times New Roman"/>
                <w:color w:val="000000"/>
                <w:sz w:val="20"/>
                <w:szCs w:val="20"/>
              </w:rPr>
            </w:pPr>
            <w:r w:rsidRPr="00D368C9">
              <w:rPr>
                <w:rFonts w:eastAsia="Times New Roman" w:cs="Times New Roman"/>
                <w:color w:val="000000"/>
                <w:sz w:val="20"/>
                <w:szCs w:val="20"/>
              </w:rPr>
              <w:t>HAB: Height above base of pegmatite (cm)</w:t>
            </w:r>
          </w:p>
        </w:tc>
        <w:tc>
          <w:tcPr>
            <w:tcW w:w="960" w:type="dxa"/>
            <w:tcBorders>
              <w:top w:val="nil"/>
              <w:left w:val="nil"/>
              <w:bottom w:val="nil"/>
              <w:right w:val="nil"/>
            </w:tcBorders>
            <w:shd w:val="clear" w:color="auto" w:fill="auto"/>
            <w:noWrap/>
            <w:vAlign w:val="bottom"/>
            <w:hideMark/>
          </w:tcPr>
          <w:p w:rsidR="002534F5" w:rsidRPr="00D368C9" w:rsidRDefault="002534F5" w:rsidP="0032741E">
            <w:pPr>
              <w:spacing w:after="0"/>
              <w:rPr>
                <w:rFonts w:eastAsia="Times New Roman" w:cs="Times New Roman"/>
                <w:color w:val="000000"/>
                <w:sz w:val="20"/>
                <w:szCs w:val="20"/>
              </w:rPr>
            </w:pPr>
          </w:p>
        </w:tc>
        <w:tc>
          <w:tcPr>
            <w:tcW w:w="960" w:type="dxa"/>
            <w:tcBorders>
              <w:top w:val="nil"/>
              <w:left w:val="nil"/>
              <w:bottom w:val="nil"/>
              <w:right w:val="nil"/>
            </w:tcBorders>
            <w:shd w:val="clear" w:color="auto" w:fill="auto"/>
            <w:noWrap/>
            <w:vAlign w:val="bottom"/>
            <w:hideMark/>
          </w:tcPr>
          <w:p w:rsidR="002534F5" w:rsidRPr="00D368C9" w:rsidRDefault="002534F5" w:rsidP="0032741E">
            <w:pPr>
              <w:spacing w:after="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2534F5" w:rsidRPr="00D368C9" w:rsidRDefault="002534F5" w:rsidP="0032741E">
            <w:pPr>
              <w:spacing w:after="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2534F5" w:rsidRPr="00D368C9" w:rsidRDefault="002534F5" w:rsidP="0032741E">
            <w:pPr>
              <w:spacing w:after="0"/>
              <w:rPr>
                <w:rFonts w:eastAsia="Times New Roman" w:cs="Times New Roman"/>
                <w:sz w:val="20"/>
                <w:szCs w:val="20"/>
              </w:rPr>
            </w:pPr>
          </w:p>
        </w:tc>
      </w:tr>
    </w:tbl>
    <w:p w:rsidR="005D7234" w:rsidRDefault="005D7234" w:rsidP="00713274">
      <w:pPr>
        <w:spacing w:line="480" w:lineRule="auto"/>
        <w:rPr>
          <w:rFonts w:cs="Times New Roman"/>
          <w:color w:val="000000"/>
        </w:rPr>
      </w:pPr>
    </w:p>
    <w:p w:rsidR="005D7234" w:rsidRDefault="005D7234">
      <w:pPr>
        <w:rPr>
          <w:rFonts w:cs="Times New Roman"/>
          <w:color w:val="000000"/>
        </w:rPr>
      </w:pPr>
      <w:r>
        <w:rPr>
          <w:rFonts w:cs="Times New Roman"/>
          <w:color w:val="000000"/>
        </w:rPr>
        <w:br w:type="page"/>
      </w:r>
    </w:p>
    <w:p w:rsidR="00D87CEE" w:rsidRPr="00D87CEE" w:rsidRDefault="00935830" w:rsidP="00D87CEE">
      <w:pPr>
        <w:pStyle w:val="Caption"/>
        <w:keepNext/>
        <w:jc w:val="center"/>
        <w:rPr>
          <w:i w:val="0"/>
          <w:sz w:val="24"/>
          <w:szCs w:val="24"/>
        </w:rPr>
      </w:pPr>
      <w:bookmarkStart w:id="71" w:name="_Toc490131683"/>
      <w:r>
        <w:rPr>
          <w:b/>
          <w:noProof/>
          <w:sz w:val="24"/>
          <w:szCs w:val="24"/>
        </w:rPr>
        <w:lastRenderedPageBreak/>
        <mc:AlternateContent>
          <mc:Choice Requires="wps">
            <w:drawing>
              <wp:anchor distT="0" distB="0" distL="114300" distR="114300" simplePos="0" relativeHeight="251793408" behindDoc="0" locked="0" layoutInCell="1" allowOverlap="1" wp14:anchorId="1E468624" wp14:editId="1294D2D8">
                <wp:simplePos x="0" y="0"/>
                <wp:positionH relativeFrom="margin">
                  <wp:posOffset>-919480</wp:posOffset>
                </wp:positionH>
                <wp:positionV relativeFrom="margin">
                  <wp:posOffset>1960880</wp:posOffset>
                </wp:positionV>
                <wp:extent cx="914400" cy="914400"/>
                <wp:effectExtent l="0" t="0" r="0" b="0"/>
                <wp:wrapNone/>
                <wp:docPr id="193" name="Rectangle 193"/>
                <wp:cNvGraphicFramePr/>
                <a:graphic xmlns:a="http://schemas.openxmlformats.org/drawingml/2006/main">
                  <a:graphicData uri="http://schemas.microsoft.com/office/word/2010/wordprocessingShape">
                    <wps:wsp>
                      <wps:cNvSpPr/>
                      <wps:spPr>
                        <a:xfrm rot="5400000">
                          <a:off x="0" y="0"/>
                          <a:ext cx="914400" cy="914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D3B9B" w:rsidRPr="00935830" w:rsidRDefault="006D3B9B" w:rsidP="00935830">
                            <w:pPr>
                              <w:jc w:val="center"/>
                              <w:rPr>
                                <w:color w:val="000000" w:themeColor="text1"/>
                              </w:rPr>
                            </w:pPr>
                            <w:r>
                              <w:rPr>
                                <w:color w:val="000000" w:themeColor="text1"/>
                              </w:rPr>
                              <w:t>51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468624" id="Rectangle 193" o:spid="_x0000_s1038" style="position:absolute;left:0;text-align:left;margin-left:-72.4pt;margin-top:154.4pt;width:1in;height:1in;rotation:90;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" filled="f" stroked="f" strokeweight="2pt">
                <v:textbox>
                  <w:txbxContent>
                    <w:p w:rsidR="006D3B9B" w:rsidRPr="00935830" w:rsidRDefault="006D3B9B" w:rsidP="00935830">
                      <w:pPr>
                        <w:jc w:val="center"/>
                        <w:rPr>
                          <w:color w:val="000000" w:themeColor="text1"/>
                        </w:rPr>
                      </w:pPr>
                      <w:r>
                        <w:rPr>
                          <w:color w:val="000000" w:themeColor="text1"/>
                        </w:rPr>
                        <w:t>51</w:t>
                      </w:r>
                    </w:p>
                  </w:txbxContent>
                </v:textbox>
                <w10:wrap anchorx="margin" anchory="margin"/>
              </v:rect>
            </w:pict>
          </mc:Fallback>
        </mc:AlternateContent>
      </w:r>
      <w:r w:rsidR="00D87CEE" w:rsidRPr="00D87CEE">
        <w:rPr>
          <w:b/>
          <w:sz w:val="24"/>
          <w:szCs w:val="24"/>
        </w:rPr>
        <w:t xml:space="preserve">Table </w:t>
      </w:r>
      <w:r w:rsidR="00B23FDA">
        <w:rPr>
          <w:b/>
          <w:sz w:val="24"/>
          <w:szCs w:val="24"/>
        </w:rPr>
        <w:fldChar w:fldCharType="begin"/>
      </w:r>
      <w:r w:rsidR="00B23FDA">
        <w:rPr>
          <w:b/>
          <w:sz w:val="24"/>
          <w:szCs w:val="24"/>
        </w:rPr>
        <w:instrText xml:space="preserve"> STYLEREF 1 \s </w:instrText>
      </w:r>
      <w:r w:rsidR="00B23FDA">
        <w:rPr>
          <w:b/>
          <w:sz w:val="24"/>
          <w:szCs w:val="24"/>
        </w:rPr>
        <w:fldChar w:fldCharType="separate"/>
      </w:r>
      <w:r w:rsidR="000C5FC3">
        <w:rPr>
          <w:b/>
          <w:noProof/>
          <w:sz w:val="24"/>
          <w:szCs w:val="24"/>
        </w:rPr>
        <w:t>2</w:t>
      </w:r>
      <w:r w:rsidR="00B23FDA">
        <w:rPr>
          <w:b/>
          <w:sz w:val="24"/>
          <w:szCs w:val="24"/>
        </w:rPr>
        <w:fldChar w:fldCharType="end"/>
      </w:r>
      <w:r w:rsidR="00B23FDA">
        <w:rPr>
          <w:b/>
          <w:sz w:val="24"/>
          <w:szCs w:val="24"/>
        </w:rPr>
        <w:noBreakHyphen/>
      </w:r>
      <w:r w:rsidR="00B23FDA">
        <w:rPr>
          <w:b/>
          <w:sz w:val="24"/>
          <w:szCs w:val="24"/>
        </w:rPr>
        <w:fldChar w:fldCharType="begin"/>
      </w:r>
      <w:r w:rsidR="00B23FDA">
        <w:rPr>
          <w:b/>
          <w:sz w:val="24"/>
          <w:szCs w:val="24"/>
        </w:rPr>
        <w:instrText xml:space="preserve"> SEQ Table \* ARABIC \s 1 </w:instrText>
      </w:r>
      <w:r w:rsidR="00B23FDA">
        <w:rPr>
          <w:b/>
          <w:sz w:val="24"/>
          <w:szCs w:val="24"/>
        </w:rPr>
        <w:fldChar w:fldCharType="separate"/>
      </w:r>
      <w:r w:rsidR="000C5FC3">
        <w:rPr>
          <w:b/>
          <w:noProof/>
          <w:sz w:val="24"/>
          <w:szCs w:val="24"/>
        </w:rPr>
        <w:t>4</w:t>
      </w:r>
      <w:r w:rsidR="00B23FDA">
        <w:rPr>
          <w:b/>
          <w:sz w:val="24"/>
          <w:szCs w:val="24"/>
        </w:rPr>
        <w:fldChar w:fldCharType="end"/>
      </w:r>
      <w:r w:rsidR="00D87CEE" w:rsidRPr="00D87CEE">
        <w:rPr>
          <w:rFonts w:eastAsia="Times New Roman" w:cs="Times New Roman"/>
          <w:i w:val="0"/>
          <w:color w:val="000000"/>
          <w:sz w:val="24"/>
          <w:szCs w:val="24"/>
        </w:rPr>
        <w:t xml:space="preserve"> Boron isotopic compositions of minerals from Swamp Dike</w:t>
      </w:r>
      <w:bookmarkEnd w:id="71"/>
    </w:p>
    <w:tbl>
      <w:tblPr>
        <w:tblW w:w="9700" w:type="dxa"/>
        <w:jc w:val="center"/>
        <w:tblLook w:val="04A0" w:firstRow="1" w:lastRow="0" w:firstColumn="1" w:lastColumn="0" w:noHBand="0" w:noVBand="1"/>
      </w:tblPr>
      <w:tblGrid>
        <w:gridCol w:w="1250"/>
        <w:gridCol w:w="1920"/>
        <w:gridCol w:w="2690"/>
        <w:gridCol w:w="960"/>
        <w:gridCol w:w="960"/>
        <w:gridCol w:w="960"/>
        <w:gridCol w:w="960"/>
      </w:tblGrid>
      <w:tr w:rsidR="00D87CEE" w:rsidRPr="00A07116" w:rsidTr="00D87CEE">
        <w:trPr>
          <w:trHeight w:val="320"/>
          <w:jc w:val="center"/>
        </w:trPr>
        <w:tc>
          <w:tcPr>
            <w:tcW w:w="1250" w:type="dxa"/>
            <w:tcBorders>
              <w:top w:val="single" w:sz="8" w:space="0" w:color="auto"/>
              <w:left w:val="nil"/>
              <w:bottom w:val="single" w:sz="8" w:space="0" w:color="auto"/>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Mineral</w:t>
            </w:r>
          </w:p>
        </w:tc>
        <w:tc>
          <w:tcPr>
            <w:tcW w:w="1920" w:type="dxa"/>
            <w:tcBorders>
              <w:top w:val="single" w:sz="8" w:space="0" w:color="auto"/>
              <w:left w:val="nil"/>
              <w:bottom w:val="single" w:sz="8" w:space="0" w:color="auto"/>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Sample ID</w:t>
            </w:r>
          </w:p>
        </w:tc>
        <w:tc>
          <w:tcPr>
            <w:tcW w:w="2690" w:type="dxa"/>
            <w:tcBorders>
              <w:top w:val="single" w:sz="8" w:space="0" w:color="auto"/>
              <w:left w:val="nil"/>
              <w:bottom w:val="single" w:sz="8" w:space="0" w:color="auto"/>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Location</w:t>
            </w:r>
          </w:p>
        </w:tc>
        <w:tc>
          <w:tcPr>
            <w:tcW w:w="960" w:type="dxa"/>
            <w:tcBorders>
              <w:top w:val="single" w:sz="8" w:space="0" w:color="auto"/>
              <w:left w:val="nil"/>
              <w:bottom w:val="single" w:sz="8" w:space="0" w:color="auto"/>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HAB</w:t>
            </w:r>
            <w:r w:rsidRPr="00A07116">
              <w:rPr>
                <w:rFonts w:eastAsia="Times New Roman" w:cs="Times New Roman"/>
                <w:color w:val="000000"/>
                <w:sz w:val="20"/>
                <w:szCs w:val="20"/>
                <w:vertAlign w:val="superscript"/>
              </w:rPr>
              <w:t>*</w:t>
            </w:r>
          </w:p>
        </w:tc>
        <w:tc>
          <w:tcPr>
            <w:tcW w:w="960" w:type="dxa"/>
            <w:tcBorders>
              <w:top w:val="single" w:sz="8" w:space="0" w:color="auto"/>
              <w:left w:val="nil"/>
              <w:bottom w:val="single" w:sz="8" w:space="0" w:color="auto"/>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δ</w:t>
            </w:r>
            <w:r w:rsidRPr="00A07116">
              <w:rPr>
                <w:rFonts w:eastAsia="Times New Roman" w:cs="Times New Roman"/>
                <w:color w:val="000000"/>
                <w:sz w:val="20"/>
                <w:szCs w:val="20"/>
                <w:vertAlign w:val="superscript"/>
              </w:rPr>
              <w:t>11</w:t>
            </w:r>
            <w:r w:rsidRPr="00A07116">
              <w:rPr>
                <w:rFonts w:eastAsia="Times New Roman" w:cs="Times New Roman"/>
                <w:color w:val="000000"/>
                <w:sz w:val="20"/>
                <w:szCs w:val="20"/>
              </w:rPr>
              <w:t>B</w:t>
            </w:r>
          </w:p>
        </w:tc>
        <w:tc>
          <w:tcPr>
            <w:tcW w:w="960" w:type="dxa"/>
            <w:tcBorders>
              <w:top w:val="single" w:sz="8" w:space="0" w:color="auto"/>
              <w:left w:val="nil"/>
              <w:bottom w:val="single" w:sz="8" w:space="0" w:color="auto"/>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2σSD</w:t>
            </w:r>
          </w:p>
        </w:tc>
        <w:tc>
          <w:tcPr>
            <w:tcW w:w="960" w:type="dxa"/>
            <w:tcBorders>
              <w:top w:val="single" w:sz="8" w:space="0" w:color="auto"/>
              <w:left w:val="nil"/>
              <w:bottom w:val="single" w:sz="8" w:space="0" w:color="auto"/>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N</w:t>
            </w:r>
          </w:p>
        </w:tc>
      </w:tr>
      <w:tr w:rsidR="00D87CEE" w:rsidRPr="00A07116" w:rsidTr="00D87CEE">
        <w:trPr>
          <w:trHeight w:val="290"/>
          <w:jc w:val="center"/>
        </w:trPr>
        <w:tc>
          <w:tcPr>
            <w:tcW w:w="125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Tourmaline</w:t>
            </w:r>
          </w:p>
        </w:tc>
        <w:tc>
          <w:tcPr>
            <w:tcW w:w="192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KD1</w:t>
            </w:r>
          </w:p>
        </w:tc>
        <w:tc>
          <w:tcPr>
            <w:tcW w:w="269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Lower graphic</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3.5</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4.7</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1.9</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2</w:t>
            </w:r>
          </w:p>
        </w:tc>
      </w:tr>
      <w:tr w:rsidR="00D87CEE" w:rsidRPr="00A07116" w:rsidTr="00D87CEE">
        <w:trPr>
          <w:trHeight w:val="290"/>
          <w:jc w:val="center"/>
        </w:trPr>
        <w:tc>
          <w:tcPr>
            <w:tcW w:w="125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w:t>
            </w:r>
          </w:p>
        </w:tc>
        <w:tc>
          <w:tcPr>
            <w:tcW w:w="192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KD2</w:t>
            </w:r>
          </w:p>
        </w:tc>
        <w:tc>
          <w:tcPr>
            <w:tcW w:w="269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Massive aplite</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10</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6.5</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0.8</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4</w:t>
            </w:r>
          </w:p>
        </w:tc>
      </w:tr>
      <w:tr w:rsidR="00D87CEE" w:rsidRPr="00A07116" w:rsidTr="00D87CEE">
        <w:trPr>
          <w:trHeight w:val="290"/>
          <w:jc w:val="center"/>
        </w:trPr>
        <w:tc>
          <w:tcPr>
            <w:tcW w:w="125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w:t>
            </w:r>
          </w:p>
        </w:tc>
        <w:tc>
          <w:tcPr>
            <w:tcW w:w="192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KD3</w:t>
            </w:r>
          </w:p>
        </w:tc>
        <w:tc>
          <w:tcPr>
            <w:tcW w:w="269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Layered aplite</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15.5</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6.2</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0.1</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2</w:t>
            </w:r>
          </w:p>
        </w:tc>
      </w:tr>
      <w:tr w:rsidR="00D87CEE" w:rsidRPr="00A07116" w:rsidTr="00D87CEE">
        <w:trPr>
          <w:trHeight w:val="290"/>
          <w:jc w:val="center"/>
        </w:trPr>
        <w:tc>
          <w:tcPr>
            <w:tcW w:w="125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w:t>
            </w:r>
          </w:p>
        </w:tc>
        <w:tc>
          <w:tcPr>
            <w:tcW w:w="192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KD4</w:t>
            </w:r>
          </w:p>
        </w:tc>
        <w:tc>
          <w:tcPr>
            <w:tcW w:w="269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17</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6.4</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2.6</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2</w:t>
            </w:r>
          </w:p>
        </w:tc>
      </w:tr>
      <w:tr w:rsidR="00D87CEE" w:rsidRPr="00A07116" w:rsidTr="00D87CEE">
        <w:trPr>
          <w:trHeight w:val="290"/>
          <w:jc w:val="center"/>
        </w:trPr>
        <w:tc>
          <w:tcPr>
            <w:tcW w:w="125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w:t>
            </w:r>
          </w:p>
        </w:tc>
        <w:tc>
          <w:tcPr>
            <w:tcW w:w="192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KD5</w:t>
            </w:r>
          </w:p>
        </w:tc>
        <w:tc>
          <w:tcPr>
            <w:tcW w:w="269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19</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7.5</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0.7</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2</w:t>
            </w:r>
          </w:p>
        </w:tc>
      </w:tr>
      <w:tr w:rsidR="00D87CEE" w:rsidRPr="00A07116" w:rsidTr="00D87CEE">
        <w:trPr>
          <w:trHeight w:val="290"/>
          <w:jc w:val="center"/>
        </w:trPr>
        <w:tc>
          <w:tcPr>
            <w:tcW w:w="125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w:t>
            </w:r>
          </w:p>
        </w:tc>
        <w:tc>
          <w:tcPr>
            <w:tcW w:w="192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KD6</w:t>
            </w:r>
          </w:p>
        </w:tc>
        <w:tc>
          <w:tcPr>
            <w:tcW w:w="269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20.5</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4.6</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1.1</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2</w:t>
            </w:r>
          </w:p>
        </w:tc>
      </w:tr>
      <w:tr w:rsidR="00D87CEE" w:rsidRPr="00A07116" w:rsidTr="00D87CEE">
        <w:trPr>
          <w:trHeight w:val="290"/>
          <w:jc w:val="center"/>
        </w:trPr>
        <w:tc>
          <w:tcPr>
            <w:tcW w:w="125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w:t>
            </w:r>
          </w:p>
        </w:tc>
        <w:tc>
          <w:tcPr>
            <w:tcW w:w="192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KD7</w:t>
            </w:r>
          </w:p>
        </w:tc>
        <w:tc>
          <w:tcPr>
            <w:tcW w:w="269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22</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6.5</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0.1</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2</w:t>
            </w:r>
          </w:p>
        </w:tc>
      </w:tr>
      <w:tr w:rsidR="00D87CEE" w:rsidRPr="00A07116" w:rsidTr="00D87CEE">
        <w:trPr>
          <w:trHeight w:val="290"/>
          <w:jc w:val="center"/>
        </w:trPr>
        <w:tc>
          <w:tcPr>
            <w:tcW w:w="125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w:t>
            </w:r>
          </w:p>
        </w:tc>
        <w:tc>
          <w:tcPr>
            <w:tcW w:w="192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KD8</w:t>
            </w:r>
          </w:p>
        </w:tc>
        <w:tc>
          <w:tcPr>
            <w:tcW w:w="269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23</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6.4</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0.6</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2</w:t>
            </w:r>
          </w:p>
        </w:tc>
      </w:tr>
      <w:tr w:rsidR="00D87CEE" w:rsidRPr="00A07116" w:rsidTr="00D87CEE">
        <w:trPr>
          <w:trHeight w:val="290"/>
          <w:jc w:val="center"/>
        </w:trPr>
        <w:tc>
          <w:tcPr>
            <w:tcW w:w="125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w:t>
            </w:r>
          </w:p>
        </w:tc>
        <w:tc>
          <w:tcPr>
            <w:tcW w:w="192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KD9</w:t>
            </w:r>
          </w:p>
        </w:tc>
        <w:tc>
          <w:tcPr>
            <w:tcW w:w="269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Lower Intermediate Zone</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25</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1.6</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1.4</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4</w:t>
            </w:r>
          </w:p>
        </w:tc>
      </w:tr>
      <w:tr w:rsidR="00D87CEE" w:rsidRPr="00A07116" w:rsidTr="00D87CEE">
        <w:trPr>
          <w:trHeight w:val="290"/>
          <w:jc w:val="center"/>
        </w:trPr>
        <w:tc>
          <w:tcPr>
            <w:tcW w:w="125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w:t>
            </w:r>
          </w:p>
        </w:tc>
        <w:tc>
          <w:tcPr>
            <w:tcW w:w="192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KD10</w:t>
            </w:r>
          </w:p>
        </w:tc>
        <w:tc>
          <w:tcPr>
            <w:tcW w:w="269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29</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1.5</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0.8</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4</w:t>
            </w:r>
          </w:p>
        </w:tc>
      </w:tr>
      <w:tr w:rsidR="00D87CEE" w:rsidRPr="00A07116" w:rsidTr="00D87CEE">
        <w:trPr>
          <w:trHeight w:val="290"/>
          <w:jc w:val="center"/>
        </w:trPr>
        <w:tc>
          <w:tcPr>
            <w:tcW w:w="125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w:t>
            </w:r>
          </w:p>
        </w:tc>
        <w:tc>
          <w:tcPr>
            <w:tcW w:w="192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Black Tourmaline</w:t>
            </w:r>
          </w:p>
        </w:tc>
        <w:tc>
          <w:tcPr>
            <w:tcW w:w="269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Pocket</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30-35</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6.7</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2.8</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3</w:t>
            </w:r>
          </w:p>
        </w:tc>
      </w:tr>
      <w:tr w:rsidR="00D87CEE" w:rsidRPr="00A07116" w:rsidTr="00D87CEE">
        <w:trPr>
          <w:trHeight w:val="290"/>
          <w:jc w:val="center"/>
        </w:trPr>
        <w:tc>
          <w:tcPr>
            <w:tcW w:w="125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Danburite</w:t>
            </w:r>
          </w:p>
        </w:tc>
        <w:tc>
          <w:tcPr>
            <w:tcW w:w="192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Danburite</w:t>
            </w:r>
          </w:p>
        </w:tc>
        <w:tc>
          <w:tcPr>
            <w:tcW w:w="269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30-35</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-5.6</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2.4</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3</w:t>
            </w:r>
          </w:p>
        </w:tc>
      </w:tr>
      <w:tr w:rsidR="00D87CEE" w:rsidRPr="00A07116" w:rsidTr="00D87CEE">
        <w:trPr>
          <w:trHeight w:val="290"/>
          <w:jc w:val="center"/>
        </w:trPr>
        <w:tc>
          <w:tcPr>
            <w:tcW w:w="125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Tourmaline</w:t>
            </w:r>
          </w:p>
        </w:tc>
        <w:tc>
          <w:tcPr>
            <w:tcW w:w="192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KD11</w:t>
            </w:r>
          </w:p>
        </w:tc>
        <w:tc>
          <w:tcPr>
            <w:tcW w:w="269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Upper Intermediate Zone</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36</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2.0</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0.8</w:t>
            </w:r>
          </w:p>
        </w:tc>
        <w:tc>
          <w:tcPr>
            <w:tcW w:w="960" w:type="dxa"/>
            <w:tcBorders>
              <w:top w:val="nil"/>
              <w:left w:val="nil"/>
              <w:bottom w:val="nil"/>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4</w:t>
            </w:r>
          </w:p>
        </w:tc>
      </w:tr>
      <w:tr w:rsidR="00D87CEE" w:rsidRPr="00A07116" w:rsidTr="00D87CEE">
        <w:trPr>
          <w:trHeight w:val="300"/>
          <w:jc w:val="center"/>
        </w:trPr>
        <w:tc>
          <w:tcPr>
            <w:tcW w:w="1250" w:type="dxa"/>
            <w:tcBorders>
              <w:top w:val="nil"/>
              <w:left w:val="nil"/>
              <w:bottom w:val="single" w:sz="8" w:space="0" w:color="auto"/>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w:t>
            </w:r>
          </w:p>
        </w:tc>
        <w:tc>
          <w:tcPr>
            <w:tcW w:w="1920" w:type="dxa"/>
            <w:tcBorders>
              <w:top w:val="nil"/>
              <w:left w:val="nil"/>
              <w:bottom w:val="single" w:sz="8" w:space="0" w:color="auto"/>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KD12</w:t>
            </w:r>
          </w:p>
        </w:tc>
        <w:tc>
          <w:tcPr>
            <w:tcW w:w="2690" w:type="dxa"/>
            <w:tcBorders>
              <w:top w:val="nil"/>
              <w:left w:val="nil"/>
              <w:bottom w:val="single" w:sz="8" w:space="0" w:color="auto"/>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w:t>
            </w:r>
          </w:p>
        </w:tc>
        <w:tc>
          <w:tcPr>
            <w:tcW w:w="960" w:type="dxa"/>
            <w:tcBorders>
              <w:top w:val="nil"/>
              <w:left w:val="nil"/>
              <w:bottom w:val="single" w:sz="8" w:space="0" w:color="auto"/>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38</w:t>
            </w:r>
          </w:p>
        </w:tc>
        <w:tc>
          <w:tcPr>
            <w:tcW w:w="960" w:type="dxa"/>
            <w:tcBorders>
              <w:top w:val="nil"/>
              <w:left w:val="nil"/>
              <w:bottom w:val="single" w:sz="8" w:space="0" w:color="auto"/>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1.6</w:t>
            </w:r>
          </w:p>
        </w:tc>
        <w:tc>
          <w:tcPr>
            <w:tcW w:w="960" w:type="dxa"/>
            <w:tcBorders>
              <w:top w:val="nil"/>
              <w:left w:val="nil"/>
              <w:bottom w:val="single" w:sz="8" w:space="0" w:color="auto"/>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3.5</w:t>
            </w:r>
          </w:p>
        </w:tc>
        <w:tc>
          <w:tcPr>
            <w:tcW w:w="960" w:type="dxa"/>
            <w:tcBorders>
              <w:top w:val="nil"/>
              <w:left w:val="nil"/>
              <w:bottom w:val="single" w:sz="8" w:space="0" w:color="auto"/>
              <w:right w:val="nil"/>
            </w:tcBorders>
            <w:shd w:val="clear" w:color="auto" w:fill="auto"/>
            <w:noWrap/>
            <w:vAlign w:val="center"/>
            <w:hideMark/>
          </w:tcPr>
          <w:p w:rsidR="00D87CEE" w:rsidRPr="00A07116" w:rsidRDefault="00D87CEE" w:rsidP="0032741E">
            <w:pPr>
              <w:spacing w:after="0"/>
              <w:jc w:val="center"/>
              <w:rPr>
                <w:rFonts w:eastAsia="Times New Roman" w:cs="Times New Roman"/>
                <w:color w:val="000000"/>
                <w:sz w:val="20"/>
                <w:szCs w:val="20"/>
              </w:rPr>
            </w:pPr>
            <w:r w:rsidRPr="00A07116">
              <w:rPr>
                <w:rFonts w:eastAsia="Times New Roman" w:cs="Times New Roman"/>
                <w:color w:val="000000"/>
                <w:sz w:val="20"/>
                <w:szCs w:val="20"/>
              </w:rPr>
              <w:t>4</w:t>
            </w:r>
          </w:p>
        </w:tc>
      </w:tr>
      <w:tr w:rsidR="00D87CEE" w:rsidRPr="00A07116" w:rsidTr="00D87CEE">
        <w:trPr>
          <w:trHeight w:val="290"/>
          <w:jc w:val="center"/>
        </w:trPr>
        <w:tc>
          <w:tcPr>
            <w:tcW w:w="5860" w:type="dxa"/>
            <w:gridSpan w:val="3"/>
            <w:tcBorders>
              <w:top w:val="nil"/>
              <w:left w:val="nil"/>
              <w:bottom w:val="nil"/>
              <w:right w:val="nil"/>
            </w:tcBorders>
            <w:shd w:val="clear" w:color="auto" w:fill="auto"/>
            <w:noWrap/>
            <w:vAlign w:val="bottom"/>
            <w:hideMark/>
          </w:tcPr>
          <w:p w:rsidR="00D87CEE" w:rsidRPr="00A07116" w:rsidRDefault="00D87CEE" w:rsidP="0032741E">
            <w:pPr>
              <w:spacing w:after="0"/>
              <w:rPr>
                <w:rFonts w:eastAsia="Times New Roman" w:cs="Times New Roman"/>
                <w:color w:val="000000"/>
                <w:sz w:val="20"/>
                <w:szCs w:val="20"/>
              </w:rPr>
            </w:pPr>
            <w:r w:rsidRPr="00A07116">
              <w:rPr>
                <w:rFonts w:eastAsia="Times New Roman" w:cs="Times New Roman"/>
                <w:color w:val="000000"/>
                <w:sz w:val="20"/>
                <w:szCs w:val="20"/>
              </w:rPr>
              <w:t>HAB: Height above base of pegmatite (cm)</w:t>
            </w:r>
          </w:p>
        </w:tc>
        <w:tc>
          <w:tcPr>
            <w:tcW w:w="960" w:type="dxa"/>
            <w:tcBorders>
              <w:top w:val="nil"/>
              <w:left w:val="nil"/>
              <w:bottom w:val="nil"/>
              <w:right w:val="nil"/>
            </w:tcBorders>
            <w:shd w:val="clear" w:color="auto" w:fill="auto"/>
            <w:noWrap/>
            <w:vAlign w:val="bottom"/>
            <w:hideMark/>
          </w:tcPr>
          <w:p w:rsidR="00D87CEE" w:rsidRPr="00A07116" w:rsidRDefault="00D87CEE" w:rsidP="0032741E">
            <w:pPr>
              <w:spacing w:after="0"/>
              <w:rPr>
                <w:rFonts w:eastAsia="Times New Roman" w:cs="Times New Roman"/>
                <w:color w:val="000000"/>
                <w:sz w:val="20"/>
                <w:szCs w:val="20"/>
              </w:rPr>
            </w:pPr>
          </w:p>
        </w:tc>
        <w:tc>
          <w:tcPr>
            <w:tcW w:w="960" w:type="dxa"/>
            <w:tcBorders>
              <w:top w:val="nil"/>
              <w:left w:val="nil"/>
              <w:bottom w:val="nil"/>
              <w:right w:val="nil"/>
            </w:tcBorders>
            <w:shd w:val="clear" w:color="auto" w:fill="auto"/>
            <w:noWrap/>
            <w:vAlign w:val="bottom"/>
            <w:hideMark/>
          </w:tcPr>
          <w:p w:rsidR="00D87CEE" w:rsidRPr="00A07116" w:rsidRDefault="00D87CEE" w:rsidP="0032741E">
            <w:pPr>
              <w:spacing w:after="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D87CEE" w:rsidRPr="00A07116" w:rsidRDefault="00D87CEE" w:rsidP="0032741E">
            <w:pPr>
              <w:spacing w:after="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rsidR="00D87CEE" w:rsidRPr="00A07116" w:rsidRDefault="00D87CEE" w:rsidP="0032741E">
            <w:pPr>
              <w:spacing w:after="0"/>
              <w:rPr>
                <w:rFonts w:eastAsia="Times New Roman" w:cs="Times New Roman"/>
                <w:sz w:val="20"/>
                <w:szCs w:val="20"/>
              </w:rPr>
            </w:pPr>
          </w:p>
        </w:tc>
      </w:tr>
    </w:tbl>
    <w:p w:rsidR="00A76046" w:rsidRDefault="00A76046" w:rsidP="00713274">
      <w:pPr>
        <w:spacing w:line="480" w:lineRule="auto"/>
        <w:rPr>
          <w:rFonts w:cs="Times New Roman"/>
          <w:color w:val="000000"/>
        </w:rPr>
      </w:pPr>
    </w:p>
    <w:p w:rsidR="00A76046" w:rsidRDefault="00A76046">
      <w:pPr>
        <w:rPr>
          <w:rFonts w:cs="Times New Roman"/>
          <w:color w:val="000000"/>
        </w:rPr>
      </w:pPr>
      <w:r>
        <w:rPr>
          <w:rFonts w:cs="Times New Roman"/>
          <w:color w:val="000000"/>
        </w:rPr>
        <w:br w:type="page"/>
      </w:r>
    </w:p>
    <w:p w:rsidR="00D87CEE" w:rsidRPr="00D87CEE" w:rsidRDefault="00D87CEE" w:rsidP="00D87CEE">
      <w:pPr>
        <w:pStyle w:val="Caption"/>
        <w:keepNext/>
        <w:jc w:val="center"/>
        <w:rPr>
          <w:i w:val="0"/>
          <w:sz w:val="24"/>
          <w:szCs w:val="24"/>
        </w:rPr>
      </w:pPr>
      <w:bookmarkStart w:id="72" w:name="_Toc490131684"/>
      <w:r w:rsidRPr="00D87CEE">
        <w:rPr>
          <w:b/>
          <w:sz w:val="24"/>
          <w:szCs w:val="24"/>
        </w:rPr>
        <w:lastRenderedPageBreak/>
        <w:t xml:space="preserve">Table </w:t>
      </w:r>
      <w:r w:rsidR="00B23FDA">
        <w:rPr>
          <w:b/>
          <w:sz w:val="24"/>
          <w:szCs w:val="24"/>
        </w:rPr>
        <w:fldChar w:fldCharType="begin"/>
      </w:r>
      <w:r w:rsidR="00B23FDA">
        <w:rPr>
          <w:b/>
          <w:sz w:val="24"/>
          <w:szCs w:val="24"/>
        </w:rPr>
        <w:instrText xml:space="preserve"> STYLEREF 1 \s </w:instrText>
      </w:r>
      <w:r w:rsidR="00B23FDA">
        <w:rPr>
          <w:b/>
          <w:sz w:val="24"/>
          <w:szCs w:val="24"/>
        </w:rPr>
        <w:fldChar w:fldCharType="separate"/>
      </w:r>
      <w:r w:rsidR="000C5FC3">
        <w:rPr>
          <w:b/>
          <w:noProof/>
          <w:sz w:val="24"/>
          <w:szCs w:val="24"/>
        </w:rPr>
        <w:t>2</w:t>
      </w:r>
      <w:r w:rsidR="00B23FDA">
        <w:rPr>
          <w:b/>
          <w:sz w:val="24"/>
          <w:szCs w:val="24"/>
        </w:rPr>
        <w:fldChar w:fldCharType="end"/>
      </w:r>
      <w:r w:rsidR="00B23FDA">
        <w:rPr>
          <w:b/>
          <w:sz w:val="24"/>
          <w:szCs w:val="24"/>
        </w:rPr>
        <w:noBreakHyphen/>
      </w:r>
      <w:r w:rsidR="00B23FDA">
        <w:rPr>
          <w:b/>
          <w:sz w:val="24"/>
          <w:szCs w:val="24"/>
        </w:rPr>
        <w:fldChar w:fldCharType="begin"/>
      </w:r>
      <w:r w:rsidR="00B23FDA">
        <w:rPr>
          <w:b/>
          <w:sz w:val="24"/>
          <w:szCs w:val="24"/>
        </w:rPr>
        <w:instrText xml:space="preserve"> SEQ Table \* ARABIC \s 1 </w:instrText>
      </w:r>
      <w:r w:rsidR="00B23FDA">
        <w:rPr>
          <w:b/>
          <w:sz w:val="24"/>
          <w:szCs w:val="24"/>
        </w:rPr>
        <w:fldChar w:fldCharType="separate"/>
      </w:r>
      <w:r w:rsidR="000C5FC3">
        <w:rPr>
          <w:b/>
          <w:noProof/>
          <w:sz w:val="24"/>
          <w:szCs w:val="24"/>
        </w:rPr>
        <w:t>5</w:t>
      </w:r>
      <w:r w:rsidR="00B23FDA">
        <w:rPr>
          <w:b/>
          <w:sz w:val="24"/>
          <w:szCs w:val="24"/>
        </w:rPr>
        <w:fldChar w:fldCharType="end"/>
      </w:r>
      <w:r w:rsidRPr="00D87CEE">
        <w:rPr>
          <w:rFonts w:eastAsia="Times New Roman" w:cs="Times New Roman"/>
          <w:i w:val="0"/>
          <w:color w:val="000000"/>
          <w:sz w:val="24"/>
          <w:szCs w:val="24"/>
        </w:rPr>
        <w:t xml:space="preserve"> Boron isotopic compositions of minerals from Spessartine Dike</w:t>
      </w:r>
      <w:bookmarkEnd w:id="72"/>
    </w:p>
    <w:tbl>
      <w:tblPr>
        <w:tblW w:w="8740" w:type="dxa"/>
        <w:jc w:val="center"/>
        <w:tblLook w:val="04A0" w:firstRow="1" w:lastRow="0" w:firstColumn="1" w:lastColumn="0" w:noHBand="0" w:noVBand="1"/>
      </w:tblPr>
      <w:tblGrid>
        <w:gridCol w:w="1612"/>
        <w:gridCol w:w="1668"/>
        <w:gridCol w:w="2580"/>
        <w:gridCol w:w="960"/>
        <w:gridCol w:w="960"/>
        <w:gridCol w:w="960"/>
      </w:tblGrid>
      <w:tr w:rsidR="00D87CEE" w:rsidRPr="003A61F6" w:rsidTr="00D87CEE">
        <w:trPr>
          <w:trHeight w:val="320"/>
          <w:jc w:val="center"/>
        </w:trPr>
        <w:tc>
          <w:tcPr>
            <w:tcW w:w="1612" w:type="dxa"/>
            <w:tcBorders>
              <w:top w:val="single" w:sz="4" w:space="0" w:color="auto"/>
              <w:left w:val="nil"/>
              <w:bottom w:val="single" w:sz="8" w:space="0" w:color="auto"/>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Mineral</w:t>
            </w:r>
          </w:p>
        </w:tc>
        <w:tc>
          <w:tcPr>
            <w:tcW w:w="1668" w:type="dxa"/>
            <w:tcBorders>
              <w:top w:val="single" w:sz="4" w:space="0" w:color="auto"/>
              <w:left w:val="nil"/>
              <w:bottom w:val="single" w:sz="8" w:space="0" w:color="auto"/>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Sample ID</w:t>
            </w:r>
          </w:p>
        </w:tc>
        <w:tc>
          <w:tcPr>
            <w:tcW w:w="2580" w:type="dxa"/>
            <w:tcBorders>
              <w:top w:val="single" w:sz="8" w:space="0" w:color="auto"/>
              <w:left w:val="nil"/>
              <w:bottom w:val="single" w:sz="8" w:space="0" w:color="auto"/>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Sample Location</w:t>
            </w:r>
          </w:p>
        </w:tc>
        <w:tc>
          <w:tcPr>
            <w:tcW w:w="960" w:type="dxa"/>
            <w:tcBorders>
              <w:top w:val="single" w:sz="8" w:space="0" w:color="auto"/>
              <w:left w:val="nil"/>
              <w:bottom w:val="single" w:sz="8" w:space="0" w:color="auto"/>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δ</w:t>
            </w:r>
            <w:r w:rsidRPr="003A61F6">
              <w:rPr>
                <w:rFonts w:eastAsia="Times New Roman" w:cs="Times New Roman"/>
                <w:color w:val="000000"/>
                <w:sz w:val="20"/>
                <w:szCs w:val="20"/>
                <w:vertAlign w:val="superscript"/>
              </w:rPr>
              <w:t>11</w:t>
            </w:r>
            <w:r w:rsidRPr="003A61F6">
              <w:rPr>
                <w:rFonts w:eastAsia="Times New Roman" w:cs="Times New Roman"/>
                <w:color w:val="000000"/>
                <w:sz w:val="20"/>
                <w:szCs w:val="20"/>
              </w:rPr>
              <w:t>B</w:t>
            </w:r>
          </w:p>
        </w:tc>
        <w:tc>
          <w:tcPr>
            <w:tcW w:w="960" w:type="dxa"/>
            <w:tcBorders>
              <w:top w:val="single" w:sz="8" w:space="0" w:color="auto"/>
              <w:left w:val="nil"/>
              <w:bottom w:val="single" w:sz="8" w:space="0" w:color="auto"/>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2σSD</w:t>
            </w:r>
          </w:p>
        </w:tc>
        <w:tc>
          <w:tcPr>
            <w:tcW w:w="960" w:type="dxa"/>
            <w:tcBorders>
              <w:top w:val="single" w:sz="8" w:space="0" w:color="auto"/>
              <w:left w:val="nil"/>
              <w:bottom w:val="single" w:sz="8" w:space="0" w:color="auto"/>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N</w:t>
            </w:r>
          </w:p>
        </w:tc>
      </w:tr>
      <w:tr w:rsidR="00D87CEE" w:rsidRPr="003A61F6" w:rsidTr="00D87CEE">
        <w:trPr>
          <w:trHeight w:val="290"/>
          <w:jc w:val="center"/>
        </w:trPr>
        <w:tc>
          <w:tcPr>
            <w:tcW w:w="1612"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Tourmaline</w:t>
            </w:r>
          </w:p>
        </w:tc>
        <w:tc>
          <w:tcPr>
            <w:tcW w:w="1668"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Herc</w:t>
            </w:r>
          </w:p>
        </w:tc>
        <w:tc>
          <w:tcPr>
            <w:tcW w:w="2580"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Intermediate Zone</w:t>
            </w:r>
          </w:p>
        </w:tc>
        <w:tc>
          <w:tcPr>
            <w:tcW w:w="960"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4.6</w:t>
            </w:r>
          </w:p>
        </w:tc>
        <w:tc>
          <w:tcPr>
            <w:tcW w:w="960"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1.8</w:t>
            </w:r>
          </w:p>
        </w:tc>
        <w:tc>
          <w:tcPr>
            <w:tcW w:w="960"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3</w:t>
            </w:r>
          </w:p>
        </w:tc>
      </w:tr>
      <w:tr w:rsidR="00D87CEE" w:rsidRPr="003A61F6" w:rsidTr="00D87CEE">
        <w:trPr>
          <w:trHeight w:val="290"/>
          <w:jc w:val="center"/>
        </w:trPr>
        <w:tc>
          <w:tcPr>
            <w:tcW w:w="1612"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w:t>
            </w:r>
          </w:p>
        </w:tc>
        <w:tc>
          <w:tcPr>
            <w:tcW w:w="1668"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LT3core</w:t>
            </w:r>
          </w:p>
        </w:tc>
        <w:tc>
          <w:tcPr>
            <w:tcW w:w="2580"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Pocket</w:t>
            </w:r>
          </w:p>
        </w:tc>
        <w:tc>
          <w:tcPr>
            <w:tcW w:w="960"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5.7</w:t>
            </w:r>
          </w:p>
        </w:tc>
        <w:tc>
          <w:tcPr>
            <w:tcW w:w="960"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0.6</w:t>
            </w:r>
          </w:p>
        </w:tc>
        <w:tc>
          <w:tcPr>
            <w:tcW w:w="960"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3</w:t>
            </w:r>
          </w:p>
        </w:tc>
      </w:tr>
      <w:tr w:rsidR="00D87CEE" w:rsidRPr="003A61F6" w:rsidTr="00D87CEE">
        <w:trPr>
          <w:trHeight w:val="290"/>
          <w:jc w:val="center"/>
        </w:trPr>
        <w:tc>
          <w:tcPr>
            <w:tcW w:w="1612"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w:t>
            </w:r>
          </w:p>
        </w:tc>
        <w:tc>
          <w:tcPr>
            <w:tcW w:w="1668"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LT3pen</w:t>
            </w:r>
          </w:p>
        </w:tc>
        <w:tc>
          <w:tcPr>
            <w:tcW w:w="2580"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w:t>
            </w:r>
          </w:p>
        </w:tc>
        <w:tc>
          <w:tcPr>
            <w:tcW w:w="960"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5.8</w:t>
            </w:r>
          </w:p>
        </w:tc>
        <w:tc>
          <w:tcPr>
            <w:tcW w:w="960"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1.2</w:t>
            </w:r>
          </w:p>
        </w:tc>
        <w:tc>
          <w:tcPr>
            <w:tcW w:w="960"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4</w:t>
            </w:r>
          </w:p>
        </w:tc>
      </w:tr>
      <w:tr w:rsidR="00D87CEE" w:rsidRPr="003A61F6" w:rsidTr="00D87CEE">
        <w:trPr>
          <w:trHeight w:val="290"/>
          <w:jc w:val="center"/>
        </w:trPr>
        <w:tc>
          <w:tcPr>
            <w:tcW w:w="1612"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w:t>
            </w:r>
          </w:p>
        </w:tc>
        <w:tc>
          <w:tcPr>
            <w:tcW w:w="1668"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TurAx</w:t>
            </w:r>
          </w:p>
        </w:tc>
        <w:tc>
          <w:tcPr>
            <w:tcW w:w="2580"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w:t>
            </w:r>
          </w:p>
        </w:tc>
        <w:tc>
          <w:tcPr>
            <w:tcW w:w="960"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13.8</w:t>
            </w:r>
          </w:p>
        </w:tc>
        <w:tc>
          <w:tcPr>
            <w:tcW w:w="960"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4.5</w:t>
            </w:r>
          </w:p>
        </w:tc>
        <w:tc>
          <w:tcPr>
            <w:tcW w:w="960"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3</w:t>
            </w:r>
          </w:p>
        </w:tc>
      </w:tr>
      <w:tr w:rsidR="00D87CEE" w:rsidRPr="003A61F6" w:rsidTr="00D87CEE">
        <w:trPr>
          <w:trHeight w:val="290"/>
          <w:jc w:val="center"/>
        </w:trPr>
        <w:tc>
          <w:tcPr>
            <w:tcW w:w="1612"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Axinite</w:t>
            </w:r>
          </w:p>
        </w:tc>
        <w:tc>
          <w:tcPr>
            <w:tcW w:w="1668"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LT3 Ax</w:t>
            </w:r>
          </w:p>
        </w:tc>
        <w:tc>
          <w:tcPr>
            <w:tcW w:w="2580"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w:t>
            </w:r>
          </w:p>
        </w:tc>
        <w:tc>
          <w:tcPr>
            <w:tcW w:w="960"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2.6</w:t>
            </w:r>
          </w:p>
        </w:tc>
        <w:tc>
          <w:tcPr>
            <w:tcW w:w="960"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3.0</w:t>
            </w:r>
          </w:p>
        </w:tc>
        <w:tc>
          <w:tcPr>
            <w:tcW w:w="960"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3</w:t>
            </w:r>
          </w:p>
        </w:tc>
      </w:tr>
      <w:tr w:rsidR="00D87CEE" w:rsidRPr="003A61F6" w:rsidTr="00D87CEE">
        <w:trPr>
          <w:trHeight w:val="290"/>
          <w:jc w:val="center"/>
        </w:trPr>
        <w:tc>
          <w:tcPr>
            <w:tcW w:w="1612"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Muscovite</w:t>
            </w:r>
          </w:p>
        </w:tc>
        <w:tc>
          <w:tcPr>
            <w:tcW w:w="1668"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MsE</w:t>
            </w:r>
          </w:p>
        </w:tc>
        <w:tc>
          <w:tcPr>
            <w:tcW w:w="2580"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w:t>
            </w:r>
          </w:p>
        </w:tc>
        <w:tc>
          <w:tcPr>
            <w:tcW w:w="960"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-10.1</w:t>
            </w:r>
          </w:p>
        </w:tc>
        <w:tc>
          <w:tcPr>
            <w:tcW w:w="960"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4.0</w:t>
            </w:r>
          </w:p>
        </w:tc>
        <w:tc>
          <w:tcPr>
            <w:tcW w:w="960" w:type="dxa"/>
            <w:tcBorders>
              <w:top w:val="nil"/>
              <w:left w:val="nil"/>
              <w:bottom w:val="nil"/>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5</w:t>
            </w:r>
          </w:p>
        </w:tc>
      </w:tr>
      <w:tr w:rsidR="00D87CEE" w:rsidRPr="003A61F6" w:rsidTr="00D87CEE">
        <w:trPr>
          <w:trHeight w:val="300"/>
          <w:jc w:val="center"/>
        </w:trPr>
        <w:tc>
          <w:tcPr>
            <w:tcW w:w="1612" w:type="dxa"/>
            <w:tcBorders>
              <w:top w:val="nil"/>
              <w:left w:val="nil"/>
              <w:bottom w:val="single" w:sz="8" w:space="0" w:color="auto"/>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Tourmaline</w:t>
            </w:r>
          </w:p>
        </w:tc>
        <w:tc>
          <w:tcPr>
            <w:tcW w:w="1668" w:type="dxa"/>
            <w:tcBorders>
              <w:top w:val="nil"/>
              <w:left w:val="nil"/>
              <w:bottom w:val="single" w:sz="8" w:space="0" w:color="auto"/>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SD_ExoTur</w:t>
            </w:r>
          </w:p>
        </w:tc>
        <w:tc>
          <w:tcPr>
            <w:tcW w:w="2580" w:type="dxa"/>
            <w:tcBorders>
              <w:top w:val="nil"/>
              <w:left w:val="nil"/>
              <w:bottom w:val="single" w:sz="8" w:space="0" w:color="auto"/>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Exomorphic</w:t>
            </w:r>
          </w:p>
        </w:tc>
        <w:tc>
          <w:tcPr>
            <w:tcW w:w="960" w:type="dxa"/>
            <w:tcBorders>
              <w:top w:val="nil"/>
              <w:left w:val="nil"/>
              <w:bottom w:val="single" w:sz="8" w:space="0" w:color="auto"/>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-0.1</w:t>
            </w:r>
          </w:p>
        </w:tc>
        <w:tc>
          <w:tcPr>
            <w:tcW w:w="960" w:type="dxa"/>
            <w:tcBorders>
              <w:top w:val="nil"/>
              <w:left w:val="nil"/>
              <w:bottom w:val="single" w:sz="8" w:space="0" w:color="auto"/>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3.4</w:t>
            </w:r>
          </w:p>
        </w:tc>
        <w:tc>
          <w:tcPr>
            <w:tcW w:w="960" w:type="dxa"/>
            <w:tcBorders>
              <w:top w:val="nil"/>
              <w:left w:val="nil"/>
              <w:bottom w:val="single" w:sz="8" w:space="0" w:color="auto"/>
              <w:right w:val="nil"/>
            </w:tcBorders>
            <w:shd w:val="clear" w:color="auto" w:fill="auto"/>
            <w:noWrap/>
            <w:vAlign w:val="center"/>
            <w:hideMark/>
          </w:tcPr>
          <w:p w:rsidR="00D87CEE" w:rsidRPr="003A61F6" w:rsidRDefault="00D87CEE" w:rsidP="0032741E">
            <w:pPr>
              <w:spacing w:after="0"/>
              <w:jc w:val="center"/>
              <w:rPr>
                <w:rFonts w:eastAsia="Times New Roman" w:cs="Times New Roman"/>
                <w:color w:val="000000"/>
                <w:sz w:val="20"/>
                <w:szCs w:val="20"/>
              </w:rPr>
            </w:pPr>
            <w:r w:rsidRPr="003A61F6">
              <w:rPr>
                <w:rFonts w:eastAsia="Times New Roman" w:cs="Times New Roman"/>
                <w:color w:val="000000"/>
                <w:sz w:val="20"/>
                <w:szCs w:val="20"/>
              </w:rPr>
              <w:t>7</w:t>
            </w:r>
          </w:p>
        </w:tc>
      </w:tr>
    </w:tbl>
    <w:p w:rsidR="000910D2" w:rsidRDefault="00935830" w:rsidP="00713274">
      <w:pPr>
        <w:spacing w:line="480" w:lineRule="auto"/>
        <w:rPr>
          <w:rFonts w:cs="Times New Roman"/>
          <w:color w:val="000000"/>
        </w:rPr>
        <w:sectPr w:rsidR="000910D2" w:rsidSect="00E46922">
          <w:footerReference w:type="default" r:id="rId52"/>
          <w:pgSz w:w="15840" w:h="12240" w:orient="landscape"/>
          <w:pgMar w:top="2304" w:right="1440" w:bottom="1440" w:left="1440" w:header="720" w:footer="720" w:gutter="0"/>
          <w:pgNumType w:start="43"/>
          <w:cols w:space="720"/>
          <w:docGrid w:linePitch="360"/>
        </w:sectPr>
      </w:pPr>
      <w:r>
        <w:rPr>
          <w:b/>
          <w:noProof/>
        </w:rPr>
        <mc:AlternateContent>
          <mc:Choice Requires="wps">
            <w:drawing>
              <wp:anchor distT="0" distB="0" distL="114300" distR="114300" simplePos="0" relativeHeight="251795456" behindDoc="0" locked="0" layoutInCell="1" allowOverlap="1" wp14:anchorId="4E735349" wp14:editId="394F0956">
                <wp:simplePos x="0" y="0"/>
                <wp:positionH relativeFrom="margin">
                  <wp:posOffset>-914400</wp:posOffset>
                </wp:positionH>
                <wp:positionV relativeFrom="margin">
                  <wp:posOffset>1972945</wp:posOffset>
                </wp:positionV>
                <wp:extent cx="914400" cy="914400"/>
                <wp:effectExtent l="0" t="0" r="0" b="0"/>
                <wp:wrapNone/>
                <wp:docPr id="194" name="Rectangle 194"/>
                <wp:cNvGraphicFramePr/>
                <a:graphic xmlns:a="http://schemas.openxmlformats.org/drawingml/2006/main">
                  <a:graphicData uri="http://schemas.microsoft.com/office/word/2010/wordprocessingShape">
                    <wps:wsp>
                      <wps:cNvSpPr/>
                      <wps:spPr>
                        <a:xfrm rot="5400000">
                          <a:off x="0" y="0"/>
                          <a:ext cx="914400" cy="914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D3B9B" w:rsidRPr="00935830" w:rsidRDefault="006D3B9B" w:rsidP="00935830">
                            <w:pPr>
                              <w:jc w:val="center"/>
                              <w:rPr>
                                <w:color w:val="000000" w:themeColor="text1"/>
                              </w:rPr>
                            </w:pPr>
                            <w:r>
                              <w:rPr>
                                <w:color w:val="000000" w:themeColor="text1"/>
                              </w:rPr>
                              <w:t>52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735349" id="Rectangle 194" o:spid="_x0000_s1039" style="position:absolute;margin-left:-1in;margin-top:155.35pt;width:1in;height:1in;rotation:90;z-index:2517954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" filled="f" stroked="f" strokeweight="2pt">
                <v:textbox>
                  <w:txbxContent>
                    <w:p w:rsidR="006D3B9B" w:rsidRPr="00935830" w:rsidRDefault="006D3B9B" w:rsidP="00935830">
                      <w:pPr>
                        <w:jc w:val="center"/>
                        <w:rPr>
                          <w:color w:val="000000" w:themeColor="text1"/>
                        </w:rPr>
                      </w:pPr>
                      <w:r>
                        <w:rPr>
                          <w:color w:val="000000" w:themeColor="text1"/>
                        </w:rPr>
                        <w:t>52</w:t>
                      </w:r>
                    </w:p>
                  </w:txbxContent>
                </v:textbox>
                <w10:wrap anchorx="margin" anchory="margin"/>
              </v:rect>
            </w:pict>
          </mc:Fallback>
        </mc:AlternateContent>
      </w:r>
    </w:p>
    <w:p w:rsidR="00665C0F" w:rsidRPr="00D87CEE" w:rsidRDefault="00665C0F" w:rsidP="0064244B">
      <w:pPr>
        <w:pStyle w:val="Heading1"/>
        <w:spacing w:line="480" w:lineRule="auto"/>
        <w:rPr>
          <w:rFonts w:asciiTheme="minorHAnsi" w:hAnsiTheme="minorHAnsi" w:cstheme="minorHAnsi"/>
          <w:szCs w:val="24"/>
        </w:rPr>
      </w:pPr>
      <w:bookmarkStart w:id="73" w:name="_Toc491246007"/>
      <w:r w:rsidRPr="00D87CEE">
        <w:rPr>
          <w:rFonts w:cs="Times New Roman"/>
          <w:szCs w:val="24"/>
        </w:rPr>
        <w:lastRenderedPageBreak/>
        <w:t xml:space="preserve">Diffusivities of B, </w:t>
      </w:r>
      <w:r w:rsidRPr="00D87CEE">
        <w:rPr>
          <w:rFonts w:cs="Times New Roman"/>
          <w:szCs w:val="24"/>
          <w:vertAlign w:val="superscript"/>
        </w:rPr>
        <w:t>11</w:t>
      </w:r>
      <w:r w:rsidRPr="00D87CEE">
        <w:rPr>
          <w:rFonts w:cs="Times New Roman"/>
          <w:szCs w:val="24"/>
        </w:rPr>
        <w:t xml:space="preserve">B, and </w:t>
      </w:r>
      <w:r w:rsidRPr="00D87CEE">
        <w:rPr>
          <w:rFonts w:cs="Times New Roman"/>
          <w:szCs w:val="24"/>
          <w:vertAlign w:val="superscript"/>
        </w:rPr>
        <w:t>10</w:t>
      </w:r>
      <w:r w:rsidRPr="00D87CEE">
        <w:rPr>
          <w:rFonts w:cs="Times New Roman"/>
          <w:szCs w:val="24"/>
        </w:rPr>
        <w:t>B in hydrous, granitic melt at 800°C and 200 MPa: Implications for the mass transfer of B and its isotopes in natural systems</w:t>
      </w:r>
      <w:bookmarkEnd w:id="73"/>
    </w:p>
    <w:p w:rsidR="00665C0F" w:rsidRPr="0047415D" w:rsidRDefault="00665C0F" w:rsidP="0064244B">
      <w:pPr>
        <w:pStyle w:val="Heading2"/>
        <w:spacing w:line="480" w:lineRule="auto"/>
        <w:rPr>
          <w:rFonts w:cs="Times New Roman"/>
          <w:sz w:val="24"/>
        </w:rPr>
      </w:pPr>
      <w:bookmarkStart w:id="74" w:name="_Toc491246008"/>
      <w:r w:rsidRPr="0047415D">
        <w:rPr>
          <w:rFonts w:cs="Times New Roman"/>
          <w:sz w:val="24"/>
        </w:rPr>
        <w:t>1. Introduction</w:t>
      </w:r>
      <w:bookmarkEnd w:id="74"/>
    </w:p>
    <w:p w:rsidR="00665C0F" w:rsidRDefault="00665C0F" w:rsidP="00665C0F">
      <w:pPr>
        <w:spacing w:line="480" w:lineRule="auto"/>
        <w:ind w:firstLine="720"/>
        <w:rPr>
          <w:rFonts w:cs="Times New Roman"/>
        </w:rPr>
      </w:pPr>
      <w:r>
        <w:rPr>
          <w:rFonts w:cs="Times New Roman"/>
        </w:rPr>
        <w:t>The boron isotopic composition of tourmaline,</w:t>
      </w:r>
      <w:r w:rsidRPr="001F1DE1">
        <w:rPr>
          <w:rFonts w:cs="Times New Roman"/>
        </w:rPr>
        <w:t xml:space="preserve"> </w:t>
      </w:r>
      <w:r>
        <w:rPr>
          <w:rFonts w:cs="Times New Roman"/>
        </w:rPr>
        <w:t>δ</w:t>
      </w:r>
      <w:r w:rsidRPr="00F34ED5">
        <w:rPr>
          <w:rFonts w:cs="Times New Roman"/>
          <w:vertAlign w:val="superscript"/>
        </w:rPr>
        <w:t>11</w:t>
      </w:r>
      <w:r>
        <w:rPr>
          <w:rFonts w:cs="Times New Roman"/>
        </w:rPr>
        <w:t>B</w:t>
      </w:r>
      <w:r w:rsidRPr="00F34ED5">
        <w:rPr>
          <w:rFonts w:cs="Times New Roman"/>
          <w:vertAlign w:val="subscript"/>
        </w:rPr>
        <w:t>Tur</w:t>
      </w:r>
      <w:r>
        <w:rPr>
          <w:rFonts w:cs="Times New Roman"/>
        </w:rPr>
        <w:t xml:space="preserve">, in granites and pegmatites has been used to assess (1) the role and state of water during the primary phase of magmatic crystallization, (2) the assimilation of various geologic materials into granitic melt, and (3) the source materials of granitic melts </w:t>
      </w:r>
      <w:r>
        <w:rPr>
          <w:rFonts w:cs="Times New Roman"/>
        </w:rPr>
        <w:fldChar w:fldCharType="begin" w:fldLock="1"/>
      </w:r>
      <w:r w:rsidR="00266290">
        <w:rPr>
          <w:rFonts w:cs="Times New Roman"/>
        </w:rPr>
        <w:instrText>ADDIN CSL_CITATION { "citationItems" : [ { "id" : "ITEM-1", "itemData" : { "DOI" : "10.1016/j.chemgeo.2015.11.025", "ISSN" : "00092541", "abstract" : "The internal evolution of the Varutr\u00e4sk rare-element pegmatite (Skellefte District, Northern Sweden) has been investigated using stable isotope (B, H, O) geochemistry of tourmaline and coexisting micas, feldspar and quartz. Varutr\u00e4sk is a classic and typical example of highly fractionated LCT-type pegmatites, with a pronounced concentric zoning pattern composed of well-developed border, wall and intermediate zones and a quartz core. The pegmatite displays considerable rare-element enrichment, culminating in the formation of albite-lepidolite and pollucite units in the innermost zones. Major and trace element variations in tourmaline from the main pegmatite zones correlate well with the internal zoning pattern. Mineral compositions record an abrupt change in fractionation trends between the barren outer and intermediate zones and the inner, late-stage assemblages that carry rare-element mineralization. This change is also shown by the B-isotope variations of tourmaline. Early and mid-stage tourmalines record a systematic increase in \u03b411B from -14.6\u2030 to -6.2\u2030 which can be explained by closed-system melt-mineral isotope fractionation whereby crystallization of large amounts of muscovite preferentially removes 10B from the residual melt. In contrast, tourmaline from late-stage assemblages in the inner zones and cross-cutting veinlets shows a reversal in the B isotope trend, with a decrease in \u03b411B from -8\u2030 to -14.1\u2030. This reversal cannot be explained by mineral-melt isotope fractionation, but requires fluid-melt partitioning and partial fluid loss. Hydrogen isotope variations in mica support this model. The systematic increase in \u03b4D from -75\u2030 in the outer zones (muscovite) to -63\u2030 and -53\u2030 in the inner zones (Li-micas) cannot be explained by closed-system variations in temperature or melt-mica fractionation, but it is consistent with late fluid exsolution. Oxygen isotope compositions of tourmaline (\u03b418O from 9.7\u2030 to 11.6\u2030), quartz (13.3\u2030 to 14\u2030) and mica (10.3\u2030 to 11.3\u2030) show good agreement with equilibrium partitioning and yield temperatures in the range 450\u00b0C to 600\u00b0C. Combining this with the stability fields of Li-aluminosilicates petalite and spodumene indicates crystallization pressures of 2-3kbar. Taken together, the stable isotope and mineral chemistry data demonstrate that rare-element enrichment in the innermost fractionated assemblages in the Varutr\u00e4sk pegmatite was associated with the transition from purely magmatic crystallization to conditions \u2026", "author" : [ { "dropping-particle" : "", "family" : "Siegel", "given" : "Karin", "non-dropping-particle" : "", "parse-names" : false, "suffix" : "" }, { "dropping-particle" : "", "family" : "Wagner", "given" : "Thomas", "non-dropping-particle" : "", "parse-names" : false, "suffix" : "" }, { "dropping-particle" : "", "family" : "Trumbull", "given" : "Robert B.", "non-dropping-particle" : "", "parse-names" : false, "suffix" : "" }, { "dropping-particle" : "", "family" : "Jonsson", "given" : "Erik", "non-dropping-particle" : "", "parse-names" : false, "suffix" : "" }, { "dropping-particle" : "", "family" : "Matalin", "given" : "Gabriella", "non-dropping-particle" : "", "parse-names" : false, "suffix" : "" }, { "dropping-particle" : "", "family" : "W\u00e4lle", "given" : "Markus", "non-dropping-particle" : "", "parse-names" : false, "suffix" : "" }, { "dropping-particle" : "", "family" : "Heinrich", "given" : "Christoph A.", "non-dropping-particle" : "", "parse-names" : false, "suffix" : "" } ], "container-title" : "Chemical Geology", "id" : "ITEM-1", "issued" : { "date-parts" : [ [ "2016" ] ] }, "page" : "1-16", "publisher" : "Elsevier B.V.", "title" : "Stable isotope (B, H, O) and mineral-chemistry constraints on the magmatic to hydrothermal evolution of the Varutr\u00e4sk rare-element pegmatite (Northern Sweden)", "type" : "article-journal", "volume" : "421" }, "uris" : [ "http://www.mendeley.com/documents/?uuid=86c56466-e0c4-4297-83f2-ada62f7f82f2" ] }, { "id" : "ITEM-2", "itemData" : { "DOI" : "10.1016/j.chemgeo.2013.05.021", "ISSN" : "0009-2541", "author" : [ { "dropping-particle" : "", "family" : "Trumbull", "given" : "Robert B", "non-dropping-particle" : "", "parse-names" : false, "suffix" : "" }, { "dropping-particle" : "", "family" : "Beurlen", "given" : "Hartmut", "non-dropping-particle" : "", "parse-names" : false, "suffix" : "" }, { "dropping-particle" : "", "family" : "Wiedenbeck", "given" : "Michael", "non-dropping-particle" : "", "parse-names" : false, "suffix" : "" }, { "dropping-particle" : "", "family" : "Soares", "given" : "Dwight R", "non-dropping-particle" : "", "parse-names" : false, "suffix" : "" } ], "container-title" : "Chemical Geology", "id" : "ITEM-2", "issued" : { "date-parts" : [ [ "2013" ] ] }, "page" : "47-62", "publisher" : "Elsevier B.V.", "title" : "The diversity of B-isotope variations in tourmaline from rare-element pegmatites in the Borborema Province of Brazil", "type" : "article-journal", "volume" : "352" }, "uris" : [ "http://www.mendeley.com/documents/?uuid=42e5d20c-a3f5-4b24-9b2e-8f7ffb58d592" ] }, { "id" : "ITEM-3", "itemData" : { "DOI" : "10.1016/S0009-2541(98)00155-7", "ISSN" : "00092541", "abstract" : "The Archean Sinceni granite is a geologically and geochemically well-studied example of the transition from granite to pegmatite, with subsequent development of hydrothermal alteration in metatonalite wallrocks. Tourmaline occurs in all settings of this system, from the granite to the pegmatites and in the hydrothermal rocks. The chemical and B-isotopic composition of tourmalines was studied by electron- and ion microprobe to understand how tourmaline composition varies during the stages of magmatic to hydrothermal development. The chemical composition of tourmaline from each rock type (granite, pegmatite, hydrothermal vein in metatonalite) is distinctive. In terms of their Na/Na + Ca and Fe/Fe + Mg ratios, the tourmalines correlate with the whole-rock ratios of the corresponding host rock. Tourmalines from the pegmatites show significantly higher Al contents than those from the parental granite, and a correspondingly greater degree of alkali-site vacancies (ca. 30% in pegmatite, 15-20% in granite). Tourmalines in granite have a narrow range of isotopic composition (??11B, mean -15.7???, ?? = 1.3), which is considered to approximate the composition of the magma from which they crystallized. Tourmalines from aplitic zones in pegmatite have the same range of boron isotopic composition as the granite (mean -15.2???, ?? = 1.7). In contrast, tourmaline from a coarse, zoned pegmatite and hydrothermal tourmalines are isotopically lighter (??11B values of -16.6 to -23.0???). These differences are consistent with a model of isotopic fractionation due to fluid exsolution. Tourmaline-fluid fractionation factors allow us to estimate that the exsolved fluid had a ??11B composition of about -13???. The B-isotopic compositions of hydrothermal tourmalines are consistent with formation from this fluid at temperatures of 350 to 500??C, which are in line with temperatures from fluid inclusion microthermometry.", "author" : [ { "dropping-particle" : "", "family" : "Trumbull", "given" : "Robert B.", "non-dropping-particle" : "", "parse-names" : false, "suffix" : "" }, { "dropping-particle" : "", "family" : "Chaussidon", "given" : "Marc", "non-dropping-particle" : "", "parse-names" : false, "suffix" : "" } ], "container-title" : "Chemical Geology", "id" : "ITEM-3", "issue" : "1-4", "issued" : { "date-parts" : [ [ "1999" ] ] }, "page" : "125-137", "title" : "Chemical and boron isotopic composition of magmatic and hydrothermal tourmalines from the Sinceni granite-pegmatite system in Swaziland", "type" : "article-journal", "volume" : "153" }, "uris" : [ "http://www.mendeley.com/documents/?uuid=abb5d9e1-98bd-4b37-a28c-1376eb5cb0ac" ] }, { "id" : "ITEM-4", "itemData" : { "ISBN" : "0935-1221", "ISSN" : "09351221", "abstract" : "Baron isotopic compositions are found to be nearly uniform within progressive growth sectors of three zoned tourmaline samples, each from a different miarolitic pegmatite on Elba Island. Chemistry (schorl to elbaite) and textures of these samples indicate that they formed from an evolving medium that varied from melt, through melt + vapor, to vapor only assemblages (here designated simply as \"melt/fluid\") with decreasing temperature (ca. 650-300 degrees C). Closed-system crystallization conditions are inferred in two cases whereas, in one case, late fracturing and open-system conditions resulted in development of fibrous schorl overgrowths. The negligible variation in tourmaline isotopic composition (delta(11)B from -9.6 to -8.5 parts per thousand) is tentatively explained in two different ways. In the first case, the isotopic fractionation factor between tourmaline and either fluid-unsaturated melt, fluid-saturated melt, or aqueous fluids is near-constant near Delta(fluid-tour) = 0 (i.e., no isotopic fractionation occurs). In the second case, \"melt/fluid\" composition was increasingly enriched in B-11 due to increasing \"melt/fluid\"-tourmaline isotopic fractionation as temperature dropped. The latter scenario is more consistent with the few presently available experimental data on tourmaline-fluid isotopic fractionation at high temperatures, and implies that evolving magmatic fluids will be relatively enriched in B-11 compared to associated crystalline assemblages.", "author" : [ { "dropping-particle" : "", "family" : "Tonarini", "given" : "Sonia", "non-dropping-particle" : "", "parse-names" : false, "suffix" : "" }, { "dropping-particle" : "", "family" : "Dini", "given" : "A", "non-dropping-particle" : "", "parse-names" : false, "suffix" : "" }, { "dropping-particle" : "", "family" : "Pezzotta", "given" : "Federico", "non-dropping-particle" : "", "parse-names" : false, "suffix" : "" }, { "dropping-particle" : "", "family" : "Leeman", "given" : "William P", "non-dropping-particle" : "", "parse-names" : false, "suffix" : "" } ], "container-title" : "European Journal Of Mineralogy", "id" : "ITEM-4", "issue" : "5", "issued" : { "date-parts" : [ [ "1998" ] ] }, "page" : "941-951", "title" : "Boron isotopic composition of zoned (schorl-elbaite) tourmalines, Mt. Capanne Li-Cs pegmatites, Elba (Italy)", "type" : "article-journal", "volume" : "10" }, "uris" : [ "http://www.mendeley.com/documents/?uuid=fa8ed009-9b16-4d69-9a79-2e39519f39a0" ] }, { "id" : "ITEM-5", "itemData" : { "author" : [ { "dropping-particle" : "", "family" : "Maner", "given" : "James L.", "non-dropping-particle" : "", "parse-names" : false, "suffix" : "" }, { "dropping-particle" : "", "family" : "London", "given" : "David", "non-dropping-particle" : "", "parse-names" : false, "suffix" : "" } ], "container-title" : "Chemical Geology", "id" : "ITEM-5", "issued" : { "date-parts" : [ [ "2017" ] ] }, "page" : "70-83", "title" : "The boron isotopic evolution of the Little Three pegmatites, Ramona, CA", "type" : "article-journal", "volume" : "460" }, "uris" : [ "http://www.mendeley.com/documents/?uuid=11cc18a9-0371-405e-94da-26e69fba70f0" ] } ], "mendeley" : { "formattedCitation" : "(Maner and London, 2017; Siegel et al., 2016; Tonarini et al., 1998; Trumbull et al., 2013; Trumbull and Chaussidon, 1999)", "plainTextFormattedCitation" : "(Maner and London, 2017; Siegel et al., 2016; Tonarini et al., 1998; Trumbull et al., 2013; Trumbull and Chaussidon, 1999)", "previouslyFormattedCitation" : "(Tonarini et al. 1998; Trumbull and Chaussidon 1999; Trumbull et al. 2013; Siegel et al. 2016; Maner and London 2017)" }, "properties" : { "noteIndex" : 0 }, "schema" : "https://github.com/citation-style-language/schema/raw/master/csl-citation.json" }</w:instrText>
      </w:r>
      <w:r>
        <w:rPr>
          <w:rFonts w:cs="Times New Roman"/>
        </w:rPr>
        <w:fldChar w:fldCharType="separate"/>
      </w:r>
      <w:r w:rsidR="00266290" w:rsidRPr="00266290">
        <w:rPr>
          <w:rFonts w:cs="Times New Roman"/>
          <w:noProof/>
        </w:rPr>
        <w:t>(Maner and London, 2017; Siegel et al., 2016; Tonarini et al., 1998; Trumbull et al., 2013; Trumbull and Chaussidon, 1999)</w:t>
      </w:r>
      <w:r>
        <w:rPr>
          <w:rFonts w:cs="Times New Roman"/>
        </w:rPr>
        <w:fldChar w:fldCharType="end"/>
      </w:r>
      <w:r>
        <w:rPr>
          <w:rFonts w:cs="Times New Roman"/>
        </w:rPr>
        <w:t>. Most prior studies of δ</w:t>
      </w:r>
      <w:r w:rsidRPr="00F34ED5">
        <w:rPr>
          <w:rFonts w:cs="Times New Roman"/>
          <w:vertAlign w:val="superscript"/>
        </w:rPr>
        <w:t>11</w:t>
      </w:r>
      <w:r>
        <w:rPr>
          <w:rFonts w:cs="Times New Roman"/>
        </w:rPr>
        <w:t>B</w:t>
      </w:r>
      <w:r w:rsidRPr="00F34ED5">
        <w:rPr>
          <w:rFonts w:cs="Times New Roman"/>
          <w:vertAlign w:val="subscript"/>
        </w:rPr>
        <w:t>Tur</w:t>
      </w:r>
      <w:r>
        <w:rPr>
          <w:rFonts w:cs="Times New Roman"/>
        </w:rPr>
        <w:t xml:space="preserve"> from granites and pegmatites have assumed that the δ</w:t>
      </w:r>
      <w:r w:rsidRPr="00F34ED5">
        <w:rPr>
          <w:rFonts w:cs="Times New Roman"/>
          <w:vertAlign w:val="superscript"/>
        </w:rPr>
        <w:t>11</w:t>
      </w:r>
      <w:r>
        <w:rPr>
          <w:rFonts w:cs="Times New Roman"/>
        </w:rPr>
        <w:t xml:space="preserve">B of tourmaline represents an equilibrium distribution of boron isotopes between tourmaline and the melt or aqueous solution from which it grew (cf. </w:t>
      </w:r>
      <w:r>
        <w:rPr>
          <w:rFonts w:cs="Times New Roman"/>
        </w:rPr>
        <w:fldChar w:fldCharType="begin" w:fldLock="1"/>
      </w:r>
      <w:r w:rsidR="00266290">
        <w:rPr>
          <w:rFonts w:cs="Times New Roman"/>
        </w:rPr>
        <w:instrText>ADDIN CSL_CITATION { "citationItems" : [ { "id" : "ITEM-1", "itemData" : { "author" : [ { "dropping-particle" : "", "family" : "Maner", "given" : "James L.", "non-dropping-particle" : "", "parse-names" : false, "suffix" : "" }, { "dropping-particle" : "", "family" : "London", "given" : "David", "non-dropping-particle" : "", "parse-names" : false, "suffix" : "" } ], "container-title" : "Chemical Geology", "id" : "ITEM-1", "issued" : { "date-parts" : [ [ "2017" ] ] }, "page" : "70-83", "title" : "The boron isotopic evolution of the Little Three pegmatites, Ramona, CA", "type" : "article-journal", "volume" : "460" }, "uris" : [ "http://www.mendeley.com/documents/?uuid=f42cb9e8-e6c7-47d6-999e-72a6be7c5c2e" ] } ], "mendeley" : { "formattedCitation" : "(Maner and London, 2017)", "manualFormatting" : "Maner and London, 2017)", "plainTextFormattedCitation" : "(Maner and London, 2017)", "previouslyFormattedCitation" : "(Maner and London 2017)" }, "properties" : { "noteIndex" : 0 }, "schema" : "https://github.com/citation-style-language/schema/raw/master/csl-citation.json" }</w:instrText>
      </w:r>
      <w:r>
        <w:rPr>
          <w:rFonts w:cs="Times New Roman"/>
        </w:rPr>
        <w:fldChar w:fldCharType="separate"/>
      </w:r>
      <w:r w:rsidRPr="00873AF6">
        <w:rPr>
          <w:rFonts w:cs="Times New Roman"/>
          <w:noProof/>
        </w:rPr>
        <w:t>Maner and London, 2017)</w:t>
      </w:r>
      <w:r>
        <w:rPr>
          <w:rFonts w:cs="Times New Roman"/>
        </w:rPr>
        <w:fldChar w:fldCharType="end"/>
      </w:r>
      <w:r>
        <w:rPr>
          <w:rFonts w:cs="Times New Roman"/>
        </w:rPr>
        <w:t xml:space="preserve">. This is an essential condition for the application of Rayleigh modeling of isotopic compositions of minerals and melts </w:t>
      </w:r>
      <w:r>
        <w:rPr>
          <w:rFonts w:cs="Times New Roman"/>
        </w:rPr>
        <w:fldChar w:fldCharType="begin" w:fldLock="1"/>
      </w:r>
      <w:r w:rsidR="00266290">
        <w:rPr>
          <w:rFonts w:cs="Times New Roman"/>
        </w:rPr>
        <w:instrText>ADDIN CSL_CITATION { "citationItems" : [ { "id" : "ITEM-1", "itemData" : { "author" : [ { "dropping-particle" : "", "family" : "White", "given" : "Williams M.", "non-dropping-particle" : "", "parse-names" : false, "suffix" : "" } ], "id" : "ITEM-1", "issued" : { "date-parts" : [ [ "2013" ] ] }, "publisher" : "Wiley-Blackwell", "title" : "Geochemistry", "type" : "book" }, "uris" : [ "http://www.mendeley.com/documents/?uuid=48642334-1713-4ce4-8098-58b9b366f66b" ] } ], "mendeley" : { "formattedCitation" : "(White, 2013)", "plainTextFormattedCitation" : "(White, 2013)", "previouslyFormattedCitation" : "(White 2013)" }, "properties" : { "noteIndex" : 0 }, "schema" : "https://github.com/citation-style-language/schema/raw/master/csl-citation.json" }</w:instrText>
      </w:r>
      <w:r>
        <w:rPr>
          <w:rFonts w:cs="Times New Roman"/>
        </w:rPr>
        <w:fldChar w:fldCharType="separate"/>
      </w:r>
      <w:r w:rsidR="00266290" w:rsidRPr="00266290">
        <w:rPr>
          <w:rFonts w:cs="Times New Roman"/>
          <w:noProof/>
        </w:rPr>
        <w:t>(White, 2013)</w:t>
      </w:r>
      <w:r>
        <w:rPr>
          <w:rFonts w:cs="Times New Roman"/>
        </w:rPr>
        <w:fldChar w:fldCharType="end"/>
      </w:r>
      <w:r>
        <w:rPr>
          <w:rFonts w:cs="Times New Roman"/>
        </w:rPr>
        <w:t xml:space="preserve">. However, diffusion-limited, kinetically controlled fractionation of isotopes between crystals and melt can yield compositions for minerals and melt that differ substantially from compositions predicted by an equilibrium model </w:t>
      </w:r>
      <w:r>
        <w:rPr>
          <w:rFonts w:cs="Times New Roman"/>
        </w:rPr>
        <w:fldChar w:fldCharType="begin" w:fldLock="1"/>
      </w:r>
      <w:r w:rsidR="00266290">
        <w:rPr>
          <w:rFonts w:cs="Times New Roman"/>
        </w:rPr>
        <w:instrText>ADDIN CSL_CITATION { "citationItems" : [ { "id" : "ITEM-1", "itemData" : { "author" : [ { "dropping-particle" : "", "family" : "Richter", "given" : "F.M.", "non-dropping-particle" : "", "parse-names" : false, "suffix" : "" }, { "dropping-particle" : "", "family" : "Davis", "given" : "A.M.", "non-dropping-particle" : "", "parse-names" : false, "suffix" : "" }, { "dropping-particle" : "", "family" : "DePaolo", "given" : "D.J.", "non-dropping-particle" : "", "parse-names" : false, "suffix" : "" }, { "dropping-particle" : "", "family" : "Watson", "given" : "E.B.", "non-dropping-particle" : "", "parse-names" : false, "suffix" : "" } ], "container-title" : "Geochimica et Cosmochimica Acta", "id" : "ITEM-1", "issued" : { "date-parts" : [ [ "2003" ] ] }, "page" : "3905-3923", "title" : "Isotopic fractionation by chemical diffusion between molten basalt and rhyolite", "type" : "article-journal", "volume" : "20" }, "uris" : [ "http://www.mendeley.com/documents/?uuid=cfcd162c-f63b-4924-9b92-d8efc2f41ad1" ] }, { "id" : "ITEM-2", "itemData" : { "author" : [ { "dropping-particle" : "", "family" : "Jambon", "given" : "A.", "non-dropping-particle" : "", "parse-names" : false, "suffix" : "" } ], "container-title" : "Geochimica et Cosmochimica Acta", "id" : "ITEM-2", "issued" : { "date-parts" : [ [ "1980" ] ] }, "page" : "1373-1380", "title" : "Isotopic fractionation: a kinetic model for crystals growing from magmatic melts", "type" : "article-journal", "volume" : "44" }, "uris" : [ "http://www.mendeley.com/documents/?uuid=ea99866d-9cee-4af2-8baa-06dac05c8720" ] }, { "id" : "ITEM-3", "itemData" : { "author" : [ { "dropping-particle" : "", "family" : "Watson", "given" : "E. Bruce", "non-dropping-particle" : "", "parse-names" : false, "suffix" : "" }, { "dropping-particle" : "", "family" : "M\u00fcller", "given" : "Thomas", "non-dropping-particle" : "", "parse-names" : false, "suffix" : "" } ], "container-title" : "Chemical Geology", "id" : "ITEM-3", "issued" : { "date-parts" : [ [ "2009" ] ] }, "page" : "111-124", "title" : "Non-equilibrium isotopic and elemental fractionation during diffusion-controlled crystal growth under static and dynamic conditions", "type" : "article-journal", "volume" : "267" }, "uris" : [ "http://www.mendeley.com/documents/?uuid=3d8448b7-3ef1-46e7-8299-d8586cfb3439" ] } ], "mendeley" : { "formattedCitation" : "(Jambon, 1980; Richter et al., 2003; Watson and M\u00fcller, 2009)", "manualFormatting" : "(Jambon, 1980; Richter et al., 2003; Watson and M\u00fcller, 2009)", "plainTextFormattedCitation" : "(Jambon, 1980; Richter et al., 2003; Watson and M\u00fcller, 2009)", "previouslyFormattedCitation" : "(Jambon 1980; Richter et al. 2003; Watson and M\u00fcller 2009)" }, "properties" : { "noteIndex" : 0 }, "schema" : "https://github.com/citation-style-language/schema/raw/master/csl-citation.json" }</w:instrText>
      </w:r>
      <w:r>
        <w:rPr>
          <w:rFonts w:cs="Times New Roman"/>
        </w:rPr>
        <w:fldChar w:fldCharType="separate"/>
      </w:r>
      <w:r w:rsidRPr="0007164D">
        <w:rPr>
          <w:rFonts w:cs="Times New Roman"/>
          <w:noProof/>
        </w:rPr>
        <w:t>(Jambon, 1980; Richter et al., 2003; Watson and M</w:t>
      </w:r>
      <w:r>
        <w:rPr>
          <w:rFonts w:cs="Times New Roman"/>
          <w:noProof/>
        </w:rPr>
        <w:t>ü</w:t>
      </w:r>
      <w:r w:rsidRPr="0007164D">
        <w:rPr>
          <w:rFonts w:cs="Times New Roman"/>
          <w:noProof/>
        </w:rPr>
        <w:t>ller, 2009)</w:t>
      </w:r>
      <w:r>
        <w:rPr>
          <w:rFonts w:cs="Times New Roman"/>
        </w:rPr>
        <w:fldChar w:fldCharType="end"/>
      </w:r>
      <w:r>
        <w:rPr>
          <w:rFonts w:cs="Times New Roman"/>
        </w:rPr>
        <w:t xml:space="preserve">. Therefore, it is necessary to evaluate the diffusivity of boron and its isotopes in granitic melt, and then to assess the presumption of equilibrium isotopic fractionation between tourmaline and is growth media. </w:t>
      </w:r>
    </w:p>
    <w:p w:rsidR="00665C0F" w:rsidRDefault="00665C0F" w:rsidP="00665C0F">
      <w:pPr>
        <w:spacing w:line="480" w:lineRule="auto"/>
        <w:ind w:firstLine="720"/>
        <w:rPr>
          <w:rFonts w:cs="Times New Roman"/>
        </w:rPr>
      </w:pPr>
      <w:r>
        <w:rPr>
          <w:rFonts w:cs="Times New Roman"/>
        </w:rPr>
        <w:t xml:space="preserve">The diffusivity of boron in granitic melt has been measured through various experimental methods and in a variety of melt compositions </w:t>
      </w:r>
      <w:r>
        <w:rPr>
          <w:rFonts w:cs="Times New Roman"/>
        </w:rPr>
        <w:fldChar w:fldCharType="begin" w:fldLock="1"/>
      </w:r>
      <w:r w:rsidR="00266290">
        <w:rPr>
          <w:rFonts w:cs="Times New Roman"/>
        </w:rPr>
        <w:instrText>ADDIN CSL_CITATION { "citationItems" : [ { "id" : "ITEM-1", "itemData" : { "author" : [ { "dropping-particle" : "", "family" : "Chakraborty", "given" : "Sumit", "non-dropping-particle" : "", "parse-names" : false, "suffix" : "" }, { "dropping-particle" : "", "family" : "Dingwell", "given" : "Donald B.", "non-dropping-particle" : "", "parse-names" : false, "suffix" : "" }, { "dropping-particle" : "", "family" : "Chaussidon", "given" : "Marc", "non-dropping-particle" : "", "parse-names" : false, "suffix" : "" } ], "container-title" : "Geochimica et Cosmochimica Acta", "id" : "ITEM-1", "issued" : { "date-parts" : [ [ "1993" ] ] }, "page" : "1741-1751", "title" : "Chemical diffusivity of boron in melts of haplogranitic composition", "type" : "article-journal", "volume" : "57" }, "uris" : [ "http://www.mendeley.com/documents/?uuid=afecc5e1-c8ba-4824-9a11-f6056c151d36" ] }, { "id" : "ITEM-2", "itemData" : { "author" : [ { "dropping-particle" : "", "family" : "Mungall", "given" : "James E.", "non-dropping-particle" : "", "parse-names" : false, "suffix" : "" }, { "dropping-particle" : "", "family" : "Dingwell", "given" : "Donald B.", "non-dropping-particle" : "", "parse-names" : false, "suffix" : "" }, { "dropping-particle" : "", "family" : "Chaussidon", "given" : "Marc", "non-dropping-particle" : "", "parse-names" : false, "suffix" : "" } ], "container-title" : "Geochimica et Cosmochimica Acta", "id" : "ITEM-2", "issue" : "17", "issued" : { "date-parts" : [ [ "1999" ] ] }, "page" : "2599-2610", "title" : "Chemical diffusivites of 18 trace elements in granitoid melts", "type" : "article-journal", "volume" : "63" }, "uris" : [ "http://www.mendeley.com/documents/?uuid=86874a2e-b540-4dfb-a11f-fcc86b997204" ] }, { "id" : "ITEM-3", "itemData" : { "DOI" : "10.3749/canmin.47.4.697", "ISSN" : "00084476", "abstract" : "abstract Many granitic pegmatites contain two textural domains. Anisotropic textures of the outer zones, including fine-grained units, graphic intergrowths, and unidirectional solidification textures, are dominated by the effects of liquidus undercooling. The coarse, blocky textures of the interior zones result mostly from the accumulation of fluxes that enhance the diffusion of Al and of Si. Those fluxes are likely to become enriched in a boundary-layer liquid that forms at the growth front of crystals. Experiments that entail the dissolution of acid solutions of H 3 BO 3 , H 3 PO 4 and HF into haplogranite glass at 800\u00b0C and 200 MPa serve as model subsystems for the boundary-layer liquid in granitic pegmatites. When the fluxes are added as acidic components, they promote an increase in the H 2 O content of granitic melts via a melt-speciation reaction, M +", "author" : [ { "dropping-particle" : "", "family" : "London", "given" : "David", "non-dropping-particle" : "", "parse-names" : false, "suffix" : "" } ], "container-title" : "Canadian Mineralogist", "id" : "ITEM-3", "issue" : "4", "issued" : { "date-parts" : [ [ "2009" ] ] }, "page" : "697-724", "title" : "The origin of primary textures in granitic pegmatites", "type" : "article-journal", "volume" : "47" }, "uris" : [ "http://www.mendeley.com/documents/?uuid=e5f39597-1738-43fb-a77c-571e491ee42d" ] }, { "id" : "ITEM-4", "itemData" : { "author" : [ { "dropping-particle" : "", "family" : "Baker", "given" : "Don R.", "non-dropping-particle" : "", "parse-names" : false, "suffix" : "" } ], "container-title" : "Geochimica et Cosmochimica Acta", "id" : "ITEM-4", "issued" : { "date-parts" : [ [ "1992" ] ] }, "page" : "617-631", "title" : "Tracer diffusion of network formers and multicomponent diffusion in dacitic and rhyolitic melts", "type" : "article-journal", "volume" : "56" }, "uris" : [ "http://www.mendeley.com/documents/?uuid=8b7a6fca-8cea-4a8b-867f-17384ba5d563" ] } ], "mendeley" : { "formattedCitation" : "(Baker, 1992; Chakraborty et al., 1993; London, 2009; Mungall et al., 1999)", "plainTextFormattedCitation" : "(Baker, 1992; Chakraborty et al., 1993; London, 2009; Mungall et al., 1999)", "previouslyFormattedCitation" : "(Baker 1992; Chakraborty et al. 1993; Mungall et al. 1999; London 2009)" }, "properties" : { "noteIndex" : 0 }, "schema" : "https://github.com/citation-style-language/schema/raw/master/csl-citation.json" }</w:instrText>
      </w:r>
      <w:r>
        <w:rPr>
          <w:rFonts w:cs="Times New Roman"/>
        </w:rPr>
        <w:fldChar w:fldCharType="separate"/>
      </w:r>
      <w:r w:rsidR="00266290" w:rsidRPr="00266290">
        <w:rPr>
          <w:rFonts w:cs="Times New Roman"/>
          <w:noProof/>
        </w:rPr>
        <w:t xml:space="preserve">(Baker, 1992; Chakraborty </w:t>
      </w:r>
      <w:r w:rsidR="00266290" w:rsidRPr="00266290">
        <w:rPr>
          <w:rFonts w:cs="Times New Roman"/>
          <w:noProof/>
        </w:rPr>
        <w:lastRenderedPageBreak/>
        <w:t>et al., 1993; London, 2009; Mungall et al., 1999)</w:t>
      </w:r>
      <w:r>
        <w:rPr>
          <w:rFonts w:cs="Times New Roman"/>
        </w:rPr>
        <w:fldChar w:fldCharType="end"/>
      </w:r>
      <w:r>
        <w:rPr>
          <w:rFonts w:cs="Times New Roman"/>
        </w:rPr>
        <w:t>. In granitic compositions, diffusion coefficients for B are smaller (faster) in hydrous melts (10</w:t>
      </w:r>
      <w:r>
        <w:rPr>
          <w:rFonts w:cs="Times New Roman"/>
          <w:vertAlign w:val="superscript"/>
        </w:rPr>
        <w:t xml:space="preserve">-8 </w:t>
      </w:r>
      <w:r>
        <w:rPr>
          <w:rFonts w:cs="Times New Roman"/>
        </w:rPr>
        <w:t>m</w:t>
      </w:r>
      <w:r>
        <w:rPr>
          <w:rFonts w:cs="Times New Roman"/>
          <w:vertAlign w:val="superscript"/>
        </w:rPr>
        <w:t>2</w:t>
      </w:r>
      <w:r>
        <w:rPr>
          <w:rFonts w:cs="Times New Roman"/>
        </w:rPr>
        <w:t>/s at 1300</w:t>
      </w:r>
      <w:r>
        <w:t>°</w:t>
      </w:r>
      <w:r>
        <w:rPr>
          <w:rFonts w:cs="Times New Roman"/>
        </w:rPr>
        <w:t xml:space="preserve">C: </w:t>
      </w:r>
      <w:r>
        <w:rPr>
          <w:rFonts w:cs="Times New Roman"/>
        </w:rPr>
        <w:fldChar w:fldCharType="begin" w:fldLock="1"/>
      </w:r>
      <w:r w:rsidR="00266290">
        <w:rPr>
          <w:rFonts w:cs="Times New Roman"/>
        </w:rPr>
        <w:instrText>ADDIN CSL_CITATION { "citationItems" : [ { "id" : "ITEM-1", "itemData" : { "author" : [ { "dropping-particle" : "", "family" : "Mungall", "given" : "James E.", "non-dropping-particle" : "", "parse-names" : false, "suffix" : "" }, { "dropping-particle" : "", "family" : "Dingwell", "given" : "Donald B.", "non-dropping-particle" : "", "parse-names" : false, "suffix" : "" }, { "dropping-particle" : "", "family" : "Chaussidon", "given" : "Marc", "non-dropping-particle" : "", "parse-names" : false, "suffix" : "" } ], "container-title" : "Geochimica et Cosmochimica Acta", "id" : "ITEM-1", "issue" : "17", "issued" : { "date-parts" : [ [ "1999" ] ] }, "page" : "2599-2610", "title" : "Chemical diffusivites of 18 trace elements in granitoid melts", "type" : "article-journal", "volume" : "63" }, "uris" : [ "http://www.mendeley.com/documents/?uuid=86874a2e-b540-4dfb-a11f-fcc86b997204" ] } ], "mendeley" : { "formattedCitation" : "(Mungall et al., 1999)", "manualFormatting" : "Mungall et al., 1999)", "plainTextFormattedCitation" : "(Mungall et al., 1999)", "previouslyFormattedCitation" : "(Mungall et al. 1999)" }, "properties" : { "noteIndex" : 0 }, "schema" : "https://github.com/citation-style-language/schema/raw/master/csl-citation.json" }</w:instrText>
      </w:r>
      <w:r>
        <w:rPr>
          <w:rFonts w:cs="Times New Roman"/>
        </w:rPr>
        <w:fldChar w:fldCharType="separate"/>
      </w:r>
      <w:r w:rsidRPr="001C2394">
        <w:rPr>
          <w:rFonts w:cs="Times New Roman"/>
          <w:noProof/>
        </w:rPr>
        <w:t>Mungall et al., 1999)</w:t>
      </w:r>
      <w:r>
        <w:rPr>
          <w:rFonts w:cs="Times New Roman"/>
        </w:rPr>
        <w:fldChar w:fldCharType="end"/>
      </w:r>
      <w:r>
        <w:rPr>
          <w:rFonts w:cs="Times New Roman"/>
        </w:rPr>
        <w:t xml:space="preserve"> compared to anhydrous melts (10</w:t>
      </w:r>
      <w:r>
        <w:rPr>
          <w:rFonts w:cs="Times New Roman"/>
          <w:vertAlign w:val="superscript"/>
        </w:rPr>
        <w:t>-15</w:t>
      </w:r>
      <w:r>
        <w:rPr>
          <w:rFonts w:cs="Times New Roman"/>
        </w:rPr>
        <w:t xml:space="preserve"> m</w:t>
      </w:r>
      <w:r>
        <w:rPr>
          <w:rFonts w:cs="Times New Roman"/>
          <w:vertAlign w:val="superscript"/>
        </w:rPr>
        <w:t>2</w:t>
      </w:r>
      <w:r>
        <w:rPr>
          <w:rFonts w:cs="Times New Roman"/>
        </w:rPr>
        <w:t>/s at 1300</w:t>
      </w:r>
      <w:r>
        <w:t>°</w:t>
      </w:r>
      <w:r>
        <w:rPr>
          <w:rFonts w:cs="Times New Roman"/>
        </w:rPr>
        <w:t xml:space="preserve">C: </w:t>
      </w:r>
      <w:r>
        <w:rPr>
          <w:rFonts w:cs="Times New Roman"/>
        </w:rPr>
        <w:fldChar w:fldCharType="begin" w:fldLock="1"/>
      </w:r>
      <w:r w:rsidR="00266290">
        <w:rPr>
          <w:rFonts w:cs="Times New Roman"/>
        </w:rPr>
        <w:instrText>ADDIN CSL_CITATION { "citationItems" : [ { "id" : "ITEM-1", "itemData" : { "author" : [ { "dropping-particle" : "", "family" : "Baker", "given" : "Don R.", "non-dropping-particle" : "", "parse-names" : false, "suffix" : "" } ], "container-title" : "Geochimica et Cosmochimica Acta", "id" : "ITEM-1", "issued" : { "date-parts" : [ [ "1992" ] ] }, "page" : "617-631", "title" : "Tracer diffusion of network formers and multicomponent diffusion in dacitic and rhyolitic melts", "type" : "article-journal", "volume" : "56" }, "uris" : [ "http://www.mendeley.com/documents/?uuid=8b7a6fca-8cea-4a8b-867f-17384ba5d563" ] } ], "mendeley" : { "formattedCitation" : "(Baker, 1992)", "manualFormatting" : "Baker, 1992)", "plainTextFormattedCitation" : "(Baker, 1992)", "previouslyFormattedCitation" : "(Baker 1992)" }, "properties" : { "noteIndex" : 0 }, "schema" : "https://github.com/citation-style-language/schema/raw/master/csl-citation.json" }</w:instrText>
      </w:r>
      <w:r>
        <w:rPr>
          <w:rFonts w:cs="Times New Roman"/>
        </w:rPr>
        <w:fldChar w:fldCharType="separate"/>
      </w:r>
      <w:r w:rsidRPr="001C2394">
        <w:rPr>
          <w:rFonts w:cs="Times New Roman"/>
          <w:noProof/>
        </w:rPr>
        <w:t>Baker, 1992)</w:t>
      </w:r>
      <w:r>
        <w:rPr>
          <w:rFonts w:cs="Times New Roman"/>
        </w:rPr>
        <w:fldChar w:fldCharType="end"/>
      </w:r>
      <w:r>
        <w:rPr>
          <w:rFonts w:cs="Times New Roman"/>
        </w:rPr>
        <w:t xml:space="preserve">. Only two studies have measured diffusion coefficients for B at temperatures less than 1200°C </w:t>
      </w:r>
      <w:r>
        <w:rPr>
          <w:rFonts w:cs="Times New Roman"/>
        </w:rPr>
        <w:fldChar w:fldCharType="begin" w:fldLock="1"/>
      </w:r>
      <w:r w:rsidR="00266290">
        <w:rPr>
          <w:rFonts w:cs="Times New Roman"/>
        </w:rPr>
        <w:instrText>ADDIN CSL_CITATION { "citationItems" : [ { "id" : "ITEM-1", "itemData" : { "DOI" : "10.3749/canmin.47.4.697", "ISSN" : "00084476", "abstract" : "abstract Many granitic pegmatites contain two textural domains. Anisotropic textures of the outer zones, including fine-grained units, graphic intergrowths, and unidirectional solidification textures, are dominated by the effects of liquidus undercooling. The coarse, blocky textures of the interior zones result mostly from the accumulation of fluxes that enhance the diffusion of Al and of Si. Those fluxes are likely to become enriched in a boundary-layer liquid that forms at the growth front of crystals. Experiments that entail the dissolution of acid solutions of H 3 BO 3 , H 3 PO 4 and HF into haplogranite glass at 800\u00b0C and 200 MPa serve as model subsystems for the boundary-layer liquid in granitic pegmatites. When the fluxes are added as acidic components, they promote an increase in the H 2 O content of granitic melts via a melt-speciation reaction, M +", "author" : [ { "dropping-particle" : "", "family" : "London", "given" : "David", "non-dropping-particle" : "", "parse-names" : false, "suffix" : "" } ], "container-title" : "Canadian Mineralogist", "id" : "ITEM-1", "issue" : "4", "issued" : { "date-parts" : [ [ "2009" ] ] }, "page" : "697-724", "title" : "The origin of primary textures in granitic pegmatites", "type" : "article-journal", "volume" : "47" }, "uris" : [ "http://www.mendeley.com/documents/?uuid=e5f39597-1738-43fb-a77c-571e491ee42d" ] }, { "id" : "ITEM-2", "itemData" : { "author" : [ { "dropping-particle" : "", "family" : "Mungall", "given" : "James E.", "non-dropping-particle" : "", "parse-names" : false, "suffix" : "" }, { "dropping-particle" : "", "family" : "Dingwell", "given" : "Donald B.", "non-dropping-particle" : "", "parse-names" : false, "suffix" : "" }, { "dropping-particle" : "", "family" : "Chaussidon", "given" : "Marc", "non-dropping-particle" : "", "parse-names" : false, "suffix" : "" } ], "container-title" : "Geochimica et Cosmochimica Acta", "id" : "ITEM-2", "issue" : "17", "issued" : { "date-parts" : [ [ "1999" ] ] }, "page" : "2599-2610", "title" : "Chemical diffusivites of 18 trace elements in granitoid melts", "type" : "article-journal", "volume" : "63" }, "uris" : [ "http://www.mendeley.com/documents/?uuid=86874a2e-b540-4dfb-a11f-fcc86b997204" ] } ], "mendeley" : { "formattedCitation" : "(London, 2009; Mungall et al., 1999)", "plainTextFormattedCitation" : "(London, 2009; Mungall et al., 1999)", "previouslyFormattedCitation" : "(Mungall et al. 1999; London 2009)" }, "properties" : { "noteIndex" : 0 }, "schema" : "https://github.com/citation-style-language/schema/raw/master/csl-citation.json" }</w:instrText>
      </w:r>
      <w:r>
        <w:rPr>
          <w:rFonts w:cs="Times New Roman"/>
        </w:rPr>
        <w:fldChar w:fldCharType="separate"/>
      </w:r>
      <w:r w:rsidR="00266290" w:rsidRPr="00266290">
        <w:rPr>
          <w:rFonts w:cs="Times New Roman"/>
          <w:noProof/>
        </w:rPr>
        <w:t>(London, 2009; Mungall et al., 1999)</w:t>
      </w:r>
      <w:r>
        <w:rPr>
          <w:rFonts w:cs="Times New Roman"/>
        </w:rPr>
        <w:fldChar w:fldCharType="end"/>
      </w:r>
      <w:r>
        <w:rPr>
          <w:rFonts w:cs="Times New Roman"/>
        </w:rPr>
        <w:t xml:space="preserve">, and </w:t>
      </w:r>
      <w:r>
        <w:rPr>
          <w:rFonts w:cs="Times New Roman"/>
        </w:rPr>
        <w:fldChar w:fldCharType="begin" w:fldLock="1"/>
      </w:r>
      <w:r w:rsidR="00266290">
        <w:rPr>
          <w:rFonts w:cs="Times New Roman"/>
        </w:rPr>
        <w:instrText>ADDIN CSL_CITATION { "citationItems" : [ { "id" : "ITEM-1", "itemData" : { "DOI" : "10.3749/canmin.47.4.697", "ISSN" : "00084476", "abstract" : "abstract Many granitic pegmatites contain two textural domains. Anisotropic textures of the outer zones, including fine-grained units, graphic intergrowths, and unidirectional solidification textures, are dominated by the effects of liquidus undercooling. The coarse, blocky textures of the interior zones result mostly from the accumulation of fluxes that enhance the diffusion of Al and of Si. Those fluxes are likely to become enriched in a boundary-layer liquid that forms at the growth front of crystals. Experiments that entail the dissolution of acid solutions of H 3 BO 3 , H 3 PO 4 and HF into haplogranite glass at 800\u00b0C and 200 MPa serve as model subsystems for the boundary-layer liquid in granitic pegmatites. When the fluxes are added as acidic components, they promote an increase in the H 2 O content of granitic melts via a melt-speciation reaction, M +", "author" : [ { "dropping-particle" : "", "family" : "London", "given" : "David", "non-dropping-particle" : "", "parse-names" : false, "suffix" : "" } ], "container-title" : "Canadian Mineralogist", "id" : "ITEM-1", "issue" : "4", "issued" : { "date-parts" : [ [ "2009" ] ] }, "page" : "697-724", "title" : "The origin of primary textures in granitic pegmatites", "type" : "article-journal", "volume" : "47" }, "uris" : [ "http://www.mendeley.com/documents/?uuid=e5f39597-1738-43fb-a77c-571e491ee42d" ] } ], "mendeley" : { "formattedCitation" : "(London, 2009)", "manualFormatting" : "London (2009)", "plainTextFormattedCitation" : "(London, 2009)", "previouslyFormattedCitation" : "(London 2009)" }, "properties" : { "noteIndex" : 0 }, "schema" : "https://github.com/citation-style-language/schema/raw/master/csl-citation.json" }</w:instrText>
      </w:r>
      <w:r>
        <w:rPr>
          <w:rFonts w:cs="Times New Roman"/>
        </w:rPr>
        <w:fldChar w:fldCharType="separate"/>
      </w:r>
      <w:r>
        <w:rPr>
          <w:rFonts w:cs="Times New Roman"/>
          <w:noProof/>
        </w:rPr>
        <w:t>London (</w:t>
      </w:r>
      <w:r w:rsidRPr="009F4046">
        <w:rPr>
          <w:rFonts w:cs="Times New Roman"/>
          <w:noProof/>
        </w:rPr>
        <w:t>2009)</w:t>
      </w:r>
      <w:r>
        <w:rPr>
          <w:rFonts w:cs="Times New Roman"/>
        </w:rPr>
        <w:fldChar w:fldCharType="end"/>
      </w:r>
      <w:r>
        <w:rPr>
          <w:rFonts w:cs="Times New Roman"/>
        </w:rPr>
        <w:t xml:space="preserve"> is the only study to report a diffusion coefficient for B (10</w:t>
      </w:r>
      <w:r w:rsidRPr="00C533C5">
        <w:rPr>
          <w:rFonts w:cs="Times New Roman"/>
          <w:vertAlign w:val="superscript"/>
        </w:rPr>
        <w:t>-</w:t>
      </w:r>
      <w:r>
        <w:rPr>
          <w:rFonts w:cs="Times New Roman"/>
          <w:vertAlign w:val="superscript"/>
        </w:rPr>
        <w:t>12</w:t>
      </w:r>
      <w:r>
        <w:rPr>
          <w:rFonts w:cs="Times New Roman"/>
        </w:rPr>
        <w:t xml:space="preserve"> m</w:t>
      </w:r>
      <w:r>
        <w:rPr>
          <w:rFonts w:cs="Times New Roman"/>
          <w:vertAlign w:val="superscript"/>
        </w:rPr>
        <w:t>2</w:t>
      </w:r>
      <w:r>
        <w:rPr>
          <w:rFonts w:cs="Times New Roman"/>
        </w:rPr>
        <w:t xml:space="preserve">/s) at 800°C and 200 MPa in hydrous granitic melt. </w:t>
      </w:r>
    </w:p>
    <w:p w:rsidR="00665C0F" w:rsidRDefault="00665C0F" w:rsidP="00665C0F">
      <w:pPr>
        <w:spacing w:line="480" w:lineRule="auto"/>
        <w:ind w:firstLine="720"/>
        <w:rPr>
          <w:rFonts w:cs="Times New Roman"/>
        </w:rPr>
      </w:pPr>
      <w:r>
        <w:rPr>
          <w:rFonts w:cs="Times New Roman"/>
        </w:rPr>
        <w:t xml:space="preserve">Diffusion through silicic melt is an efficient process by which to separate isotopes of a given element </w:t>
      </w:r>
      <w:r>
        <w:rPr>
          <w:rFonts w:cs="Times New Roman"/>
        </w:rPr>
        <w:fldChar w:fldCharType="begin" w:fldLock="1"/>
      </w:r>
      <w:r w:rsidR="00266290">
        <w:rPr>
          <w:rFonts w:cs="Times New Roman"/>
        </w:rPr>
        <w:instrText>ADDIN CSL_CITATION { "citationItems" : [ { "id" : "ITEM-1", "itemData" : { "author" : [ { "dropping-particle" : "", "family" : "Richter", "given" : "F.M.", "non-dropping-particle" : "", "parse-names" : false, "suffix" : "" }, { "dropping-particle" : "", "family" : "Liang", "given" : "Y.", "non-dropping-particle" : "", "parse-names" : false, "suffix" : "" }, { "dropping-particle" : "", "family" : "Davis", "given" : "A.M.", "non-dropping-particle" : "", "parse-names" : false, "suffix" : "" } ], "container-title" : "Geochimica et Cosmochimica Acta", "id" : "ITEM-1", "issued" : { "date-parts" : [ [ "1999" ] ] }, "page" : "2853-2861", "title" : "Isotope fractionation by diffusion in molten oxides", "type" : "article-journal", "volume" : "63" }, "uris" : [ "http://www.mendeley.com/documents/?uuid=cba6f6a2-4e94-4ed9-9f72-16c4c9c952d7" ] } ], "mendeley" : { "formattedCitation" : "(Richter et al., 1999)", "plainTextFormattedCitation" : "(Richter et al., 1999)", "previouslyFormattedCitation" : "(Richter et al. 1999)" }, "properties" : { "noteIndex" : 0 }, "schema" : "https://github.com/citation-style-language/schema/raw/master/csl-citation.json" }</w:instrText>
      </w:r>
      <w:r>
        <w:rPr>
          <w:rFonts w:cs="Times New Roman"/>
        </w:rPr>
        <w:fldChar w:fldCharType="separate"/>
      </w:r>
      <w:r w:rsidR="00266290" w:rsidRPr="00266290">
        <w:rPr>
          <w:rFonts w:cs="Times New Roman"/>
          <w:noProof/>
        </w:rPr>
        <w:t>(Richter et al., 1999)</w:t>
      </w:r>
      <w:r>
        <w:rPr>
          <w:rFonts w:cs="Times New Roman"/>
        </w:rPr>
        <w:fldChar w:fldCharType="end"/>
      </w:r>
      <w:r>
        <w:rPr>
          <w:rFonts w:cs="Times New Roman"/>
        </w:rPr>
        <w:t xml:space="preserve">. </w:t>
      </w:r>
      <w:r>
        <w:rPr>
          <w:rFonts w:cs="Times New Roman"/>
        </w:rPr>
        <w:fldChar w:fldCharType="begin" w:fldLock="1"/>
      </w:r>
      <w:r w:rsidR="00266290">
        <w:rPr>
          <w:rFonts w:cs="Times New Roman"/>
        </w:rPr>
        <w:instrText>ADDIN CSL_CITATION { "citationItems" : [ { "id" : "ITEM-1", "itemData" : { "author" : [ { "dropping-particle" : "", "family" : "Richter", "given" : "F.M.", "non-dropping-particle" : "", "parse-names" : false, "suffix" : "" }, { "dropping-particle" : "", "family" : "Davis", "given" : "A.M.", "non-dropping-particle" : "", "parse-names" : false, "suffix" : "" }, { "dropping-particle" : "", "family" : "DePaolo", "given" : "D.J.", "non-dropping-particle" : "", "parse-names" : false, "suffix" : "" }, { "dropping-particle" : "", "family" : "Watson", "given" : "E.B.", "non-dropping-particle" : "", "parse-names" : false, "suffix" : "" } ], "container-title" : "Geochimica et Cosmochimica Acta", "id" : "ITEM-1", "issued" : { "date-parts" : [ [ "2003" ] ] }, "page" : "3905-3923", "title" : "Isotopic fractionation by chemical diffusion between molten basalt and rhyolite", "type" : "article-journal", "volume" : "20" }, "uris" : [ "http://www.mendeley.com/documents/?uuid=cfcd162c-f63b-4924-9b92-d8efc2f41ad1" ] } ], "mendeley" : { "formattedCitation" : "(Richter et al., 2003)", "manualFormatting" : "Richter et al. (2003)", "plainTextFormattedCitation" : "(Richter et al., 2003)", "previouslyFormattedCitation" : "(Richter et al. 2003)" }, "properties" : { "noteIndex" : 0 }, "schema" : "https://github.com/citation-style-language/schema/raw/master/csl-citation.json" }</w:instrText>
      </w:r>
      <w:r>
        <w:rPr>
          <w:rFonts w:cs="Times New Roman"/>
        </w:rPr>
        <w:fldChar w:fldCharType="separate"/>
      </w:r>
      <w:r w:rsidRPr="005A079F">
        <w:rPr>
          <w:rFonts w:cs="Times New Roman"/>
          <w:noProof/>
        </w:rPr>
        <w:t xml:space="preserve">Richter et al. </w:t>
      </w:r>
      <w:r>
        <w:rPr>
          <w:rFonts w:cs="Times New Roman"/>
          <w:noProof/>
        </w:rPr>
        <w:t>(</w:t>
      </w:r>
      <w:r w:rsidRPr="005A079F">
        <w:rPr>
          <w:rFonts w:cs="Times New Roman"/>
          <w:noProof/>
        </w:rPr>
        <w:t>2003)</w:t>
      </w:r>
      <w:r>
        <w:rPr>
          <w:rFonts w:cs="Times New Roman"/>
        </w:rPr>
        <w:fldChar w:fldCharType="end"/>
      </w:r>
      <w:r>
        <w:rPr>
          <w:rFonts w:cs="Times New Roman"/>
        </w:rPr>
        <w:t xml:space="preserve"> measured diffusion coefficients for the isotopes of Ca and Li at 1350°C to 1450°C, 1.2-1.3GPa, in anhydrous rhyolite-basalt couples. They found that the difference in diffusivity of the heavy and light isotope was greatest for Li (~ 40‰) and smallest for the Ca (~ 6‰). </w:t>
      </w:r>
      <w:r>
        <w:rPr>
          <w:rFonts w:cs="Times New Roman"/>
        </w:rPr>
        <w:fldChar w:fldCharType="begin" w:fldLock="1"/>
      </w:r>
      <w:r w:rsidR="00266290">
        <w:rPr>
          <w:rFonts w:cs="Times New Roman"/>
        </w:rPr>
        <w:instrText>ADDIN CSL_CITATION { "citationItems" : [ { "id" : "ITEM-1", "itemData" : { "author" : [ { "dropping-particle" : "", "family" : "Chakraborty", "given" : "Sumit", "non-dropping-particle" : "", "parse-names" : false, "suffix" : "" }, { "dropping-particle" : "", "family" : "Dingwell", "given" : "Donald B.", "non-dropping-particle" : "", "parse-names" : false, "suffix" : "" }, { "dropping-particle" : "", "family" : "Chaussidon", "given" : "Marc", "non-dropping-particle" : "", "parse-names" : false, "suffix" : "" } ], "container-title" : "Geochimica et Cosmochimica Acta", "id" : "ITEM-1", "issued" : { "date-parts" : [ [ "1993" ] ] }, "page" : "1741-1751", "title" : "Chemical diffusivity of boron in melts of haplogranitic composition", "type" : "article-journal", "volume" : "57" }, "uris" : [ "http://www.mendeley.com/documents/?uuid=1c7ff261-77e5-4e43-84cd-b43957a78bfb", "http://www.mendeley.com/documents/?uuid=afecc5e1-c8ba-4824-9a11-f6056c151d36" ] } ], "mendeley" : { "formattedCitation" : "(Chakraborty et al., 1993)", "manualFormatting" : "Chakraborty et al. (1993)", "plainTextFormattedCitation" : "(Chakraborty et al., 1993)", "previouslyFormattedCitation" : "(Chakraborty et al. 1993)" }, "properties" : { "noteIndex" : 0 }, "schema" : "https://github.com/citation-style-language/schema/raw/master/csl-citation.json" }</w:instrText>
      </w:r>
      <w:r>
        <w:rPr>
          <w:rFonts w:cs="Times New Roman"/>
        </w:rPr>
        <w:fldChar w:fldCharType="separate"/>
      </w:r>
      <w:r w:rsidRPr="005A079F">
        <w:rPr>
          <w:rFonts w:cs="Times New Roman"/>
          <w:noProof/>
        </w:rPr>
        <w:t xml:space="preserve">Chakraborty et al. </w:t>
      </w:r>
      <w:r>
        <w:rPr>
          <w:rFonts w:cs="Times New Roman"/>
          <w:noProof/>
        </w:rPr>
        <w:t>(</w:t>
      </w:r>
      <w:r w:rsidRPr="005A079F">
        <w:rPr>
          <w:rFonts w:cs="Times New Roman"/>
          <w:noProof/>
        </w:rPr>
        <w:t>1993)</w:t>
      </w:r>
      <w:r>
        <w:rPr>
          <w:rFonts w:cs="Times New Roman"/>
        </w:rPr>
        <w:fldChar w:fldCharType="end"/>
      </w:r>
      <w:r>
        <w:rPr>
          <w:rFonts w:cs="Times New Roman"/>
        </w:rPr>
        <w:t xml:space="preserve"> found no difference in the diffusivity of </w:t>
      </w:r>
      <w:r>
        <w:rPr>
          <w:rFonts w:cs="Times New Roman"/>
          <w:vertAlign w:val="superscript"/>
        </w:rPr>
        <w:t>11</w:t>
      </w:r>
      <w:r>
        <w:rPr>
          <w:rFonts w:cs="Times New Roman"/>
        </w:rPr>
        <w:t xml:space="preserve">B and </w:t>
      </w:r>
      <w:r>
        <w:rPr>
          <w:rFonts w:cs="Times New Roman"/>
          <w:vertAlign w:val="superscript"/>
        </w:rPr>
        <w:t>10</w:t>
      </w:r>
      <w:r>
        <w:rPr>
          <w:rFonts w:cs="Times New Roman"/>
        </w:rPr>
        <w:t xml:space="preserve">B in granitic melt at 1400°C and 1 atm. However, the proportionately large mass differences between </w:t>
      </w:r>
      <w:r>
        <w:rPr>
          <w:rFonts w:cs="Times New Roman"/>
          <w:vertAlign w:val="superscript"/>
        </w:rPr>
        <w:t>11</w:t>
      </w:r>
      <w:r>
        <w:rPr>
          <w:rFonts w:cs="Times New Roman"/>
        </w:rPr>
        <w:t xml:space="preserve">B and </w:t>
      </w:r>
      <w:r>
        <w:rPr>
          <w:rFonts w:cs="Times New Roman"/>
          <w:vertAlign w:val="superscript"/>
        </w:rPr>
        <w:t>10</w:t>
      </w:r>
      <w:r>
        <w:rPr>
          <w:rFonts w:cs="Times New Roman"/>
        </w:rPr>
        <w:t xml:space="preserve">B means that they should have different diffusion coefficients, especially at the much lower temperatures of crystallization in granites and their pegmatites. </w:t>
      </w:r>
    </w:p>
    <w:p w:rsidR="00665C0F" w:rsidRPr="00420F78" w:rsidRDefault="00665C0F" w:rsidP="00665C0F">
      <w:pPr>
        <w:spacing w:line="480" w:lineRule="auto"/>
        <w:ind w:firstLine="720"/>
        <w:rPr>
          <w:rFonts w:cs="Times New Roman"/>
        </w:rPr>
      </w:pPr>
      <w:r>
        <w:rPr>
          <w:rFonts w:cs="Times New Roman"/>
        </w:rPr>
        <w:t>Thus, the</w:t>
      </w:r>
      <w:r w:rsidRPr="002B295B">
        <w:rPr>
          <w:rFonts w:cs="Times New Roman"/>
        </w:rPr>
        <w:t xml:space="preserve"> </w:t>
      </w:r>
      <w:r>
        <w:rPr>
          <w:rFonts w:cs="Times New Roman"/>
        </w:rPr>
        <w:t>δ</w:t>
      </w:r>
      <w:r w:rsidRPr="00F34ED5">
        <w:rPr>
          <w:rFonts w:cs="Times New Roman"/>
          <w:vertAlign w:val="superscript"/>
        </w:rPr>
        <w:t>11</w:t>
      </w:r>
      <w:r>
        <w:rPr>
          <w:rFonts w:cs="Times New Roman"/>
        </w:rPr>
        <w:t>B signature of tourmaline in granites and pegmatites may result from two kinetic effects. The rate of diffusion of B through melt relative to the rate of growth of tourmaline may be so slow that there is no fractionation of isotopes between tourmaline and melt.  In that case, the δ</w:t>
      </w:r>
      <w:r w:rsidRPr="00F34ED5">
        <w:rPr>
          <w:rFonts w:cs="Times New Roman"/>
          <w:vertAlign w:val="superscript"/>
        </w:rPr>
        <w:t>11</w:t>
      </w:r>
      <w:r>
        <w:rPr>
          <w:rFonts w:cs="Times New Roman"/>
        </w:rPr>
        <w:t>B values of tourmaline would not vary with the progress of crystallization, and δ</w:t>
      </w:r>
      <w:r w:rsidRPr="00F34ED5">
        <w:rPr>
          <w:rFonts w:cs="Times New Roman"/>
          <w:vertAlign w:val="superscript"/>
        </w:rPr>
        <w:t>11</w:t>
      </w:r>
      <w:r>
        <w:rPr>
          <w:rFonts w:cs="Times New Roman"/>
        </w:rPr>
        <w:t>B</w:t>
      </w:r>
      <w:r w:rsidRPr="00F34ED5">
        <w:rPr>
          <w:rFonts w:cs="Times New Roman"/>
          <w:vertAlign w:val="subscript"/>
        </w:rPr>
        <w:t>Tur</w:t>
      </w:r>
      <w:r>
        <w:rPr>
          <w:rFonts w:cs="Times New Roman"/>
        </w:rPr>
        <w:t xml:space="preserve"> would simply record that value of the bulk melt. If </w:t>
      </w:r>
      <w:r>
        <w:rPr>
          <w:rFonts w:cs="Times New Roman"/>
          <w:vertAlign w:val="superscript"/>
        </w:rPr>
        <w:t>10</w:t>
      </w:r>
      <w:r>
        <w:rPr>
          <w:rFonts w:cs="Times New Roman"/>
        </w:rPr>
        <w:t xml:space="preserve">B and </w:t>
      </w:r>
      <w:r>
        <w:rPr>
          <w:rFonts w:cs="Times New Roman"/>
          <w:vertAlign w:val="superscript"/>
        </w:rPr>
        <w:t>11</w:t>
      </w:r>
      <w:r>
        <w:rPr>
          <w:rFonts w:cs="Times New Roman"/>
        </w:rPr>
        <w:t xml:space="preserve">B can be effectively separated from one another via diffusion through </w:t>
      </w:r>
      <w:r>
        <w:rPr>
          <w:rFonts w:cs="Times New Roman"/>
        </w:rPr>
        <w:lastRenderedPageBreak/>
        <w:t>granitic melt, then values of δ</w:t>
      </w:r>
      <w:r w:rsidRPr="00F34ED5">
        <w:rPr>
          <w:rFonts w:cs="Times New Roman"/>
          <w:vertAlign w:val="superscript"/>
        </w:rPr>
        <w:t>11</w:t>
      </w:r>
      <w:r>
        <w:rPr>
          <w:rFonts w:cs="Times New Roman"/>
        </w:rPr>
        <w:t>B</w:t>
      </w:r>
      <w:r w:rsidRPr="00F34ED5">
        <w:rPr>
          <w:rFonts w:cs="Times New Roman"/>
          <w:vertAlign w:val="subscript"/>
        </w:rPr>
        <w:t>Tur</w:t>
      </w:r>
      <w:r>
        <w:rPr>
          <w:rFonts w:cs="Times New Roman"/>
        </w:rPr>
        <w:t xml:space="preserve"> in granitic rocks might be vary as crystallization proceeds, but not in accord with the equilibrium distribution of isotopes. </w:t>
      </w:r>
    </w:p>
    <w:p w:rsidR="00665C0F" w:rsidRDefault="00665C0F" w:rsidP="00665C0F">
      <w:pPr>
        <w:spacing w:line="480" w:lineRule="auto"/>
        <w:ind w:firstLine="720"/>
        <w:rPr>
          <w:rFonts w:cs="Times New Roman"/>
        </w:rPr>
      </w:pPr>
      <w:r>
        <w:rPr>
          <w:rFonts w:cs="Times New Roman"/>
        </w:rPr>
        <w:t xml:space="preserve">In this study, we report results from experiments designed to evaluate the diffusivity of boron and its isotopes in hydrous granitic melt at 800°C and 200 MPa. Diffusion coefficients are calculated from concentration-distance </w:t>
      </w:r>
      <w:r w:rsidRPr="00C263DF">
        <w:rPr>
          <w:rFonts w:cs="Times New Roman"/>
        </w:rPr>
        <w:t xml:space="preserve">profiles using two </w:t>
      </w:r>
      <w:r>
        <w:rPr>
          <w:rFonts w:cs="Times New Roman"/>
        </w:rPr>
        <w:t>different</w:t>
      </w:r>
      <w:r w:rsidRPr="00C263DF">
        <w:rPr>
          <w:rFonts w:cs="Times New Roman"/>
        </w:rPr>
        <w:t xml:space="preserve"> diffusion equations and </w:t>
      </w:r>
      <w:r>
        <w:rPr>
          <w:rFonts w:cs="Times New Roman"/>
        </w:rPr>
        <w:t>two</w:t>
      </w:r>
      <w:r w:rsidRPr="00C263DF">
        <w:rPr>
          <w:rFonts w:cs="Times New Roman"/>
        </w:rPr>
        <w:t xml:space="preserve"> different experimental designs. </w:t>
      </w:r>
      <w:r>
        <w:rPr>
          <w:rFonts w:cs="Times New Roman"/>
        </w:rPr>
        <w:t>All combinations of experimental design and calculations yield a consistent value for the diffusion coefficient, D</w:t>
      </w:r>
      <w:r w:rsidRPr="00B01B46">
        <w:rPr>
          <w:rFonts w:cs="Times New Roman"/>
          <w:vertAlign w:val="subscript"/>
        </w:rPr>
        <w:t>B</w:t>
      </w:r>
      <w:r>
        <w:rPr>
          <w:rFonts w:cs="Times New Roman"/>
        </w:rPr>
        <w:t xml:space="preserve"> that is similar to the value reported by London (2009). In the only two experiments that contained both </w:t>
      </w:r>
      <w:r w:rsidRPr="00B01B46">
        <w:rPr>
          <w:rFonts w:cs="Times New Roman"/>
          <w:vertAlign w:val="superscript"/>
        </w:rPr>
        <w:t>10</w:t>
      </w:r>
      <w:r>
        <w:rPr>
          <w:rFonts w:cs="Times New Roman"/>
        </w:rPr>
        <w:t xml:space="preserve">B and </w:t>
      </w:r>
      <w:r w:rsidRPr="00B01B46">
        <w:rPr>
          <w:rFonts w:cs="Times New Roman"/>
          <w:vertAlign w:val="superscript"/>
        </w:rPr>
        <w:t>11</w:t>
      </w:r>
      <w:r>
        <w:rPr>
          <w:rFonts w:cs="Times New Roman"/>
        </w:rPr>
        <w:t xml:space="preserve">B added as a single source, we document significant diffusive fractionation of the isotopes through melt. </w:t>
      </w:r>
      <w:r w:rsidRPr="00C263DF">
        <w:rPr>
          <w:rFonts w:cs="Times New Roman"/>
        </w:rPr>
        <w:t xml:space="preserve">We </w:t>
      </w:r>
      <w:r>
        <w:rPr>
          <w:rFonts w:cs="Times New Roman"/>
        </w:rPr>
        <w:t>consider the implications of the diffusion data for boron and its isotopes on the isotopic composition of fluids exsolving from granitic melt and on the isotopic composition of tourmaline in granites and pegmatites.</w:t>
      </w:r>
    </w:p>
    <w:p w:rsidR="00665C0F" w:rsidRPr="0047415D" w:rsidRDefault="00665C0F" w:rsidP="002F696E">
      <w:pPr>
        <w:pStyle w:val="Heading2"/>
        <w:spacing w:line="480" w:lineRule="auto"/>
        <w:rPr>
          <w:rFonts w:cs="Times New Roman"/>
          <w:sz w:val="24"/>
        </w:rPr>
      </w:pPr>
      <w:bookmarkStart w:id="75" w:name="_Toc491246009"/>
      <w:r w:rsidRPr="0047415D">
        <w:rPr>
          <w:rFonts w:cs="Times New Roman"/>
          <w:sz w:val="24"/>
        </w:rPr>
        <w:t>2. Methods</w:t>
      </w:r>
      <w:bookmarkEnd w:id="75"/>
    </w:p>
    <w:p w:rsidR="00665C0F" w:rsidRPr="00546121" w:rsidRDefault="00665C0F" w:rsidP="002F696E">
      <w:pPr>
        <w:pStyle w:val="Heading3"/>
        <w:spacing w:line="480" w:lineRule="auto"/>
        <w:rPr>
          <w:rFonts w:cs="Times New Roman"/>
        </w:rPr>
      </w:pPr>
      <w:bookmarkStart w:id="76" w:name="_Toc491246010"/>
      <w:r w:rsidRPr="00546121">
        <w:rPr>
          <w:rFonts w:cs="Times New Roman"/>
        </w:rPr>
        <w:t>2.1. Experimental Designs</w:t>
      </w:r>
      <w:bookmarkEnd w:id="76"/>
    </w:p>
    <w:p w:rsidR="00665C0F" w:rsidRDefault="00665C0F" w:rsidP="002F696E">
      <w:pPr>
        <w:spacing w:line="480" w:lineRule="auto"/>
        <w:ind w:firstLine="720"/>
        <w:rPr>
          <w:rFonts w:cs="Times New Roman"/>
        </w:rPr>
      </w:pPr>
      <w:r>
        <w:rPr>
          <w:rFonts w:cs="Times New Roman"/>
        </w:rPr>
        <w:t xml:space="preserve">Two experimental designs were implemented in this study to measure the diffusivity of boron and its isotopes in granitic melt. The first design, from </w:t>
      </w:r>
      <w:r>
        <w:rPr>
          <w:rFonts w:cs="Times New Roman"/>
        </w:rPr>
        <w:fldChar w:fldCharType="begin" w:fldLock="1"/>
      </w:r>
      <w:r w:rsidR="00266290">
        <w:rPr>
          <w:rFonts w:cs="Times New Roman"/>
        </w:rPr>
        <w:instrText>ADDIN CSL_CITATION { "citationItems" : [ { "id" : "ITEM-1", "itemData" : { "DOI" : "10.3749/canmin.47.4.697", "ISSN" : "00084476", "abstract" : "abstract Many granitic pegmatites contain two textural domains. Anisotropic textures of the outer zones, including fine-grained units, graphic intergrowths, and unidirectional solidification textures, are dominated by the effects of liquidus undercooling. The coarse, blocky textures of the interior zones result mostly from the accumulation of fluxes that enhance the diffusion of Al and of Si. Those fluxes are likely to become enriched in a boundary-layer liquid that forms at the growth front of crystals. Experiments that entail the dissolution of acid solutions of H 3 BO 3 , H 3 PO 4 and HF into haplogranite glass at 800\u00b0C and 200 MPa serve as model subsystems for the boundary-layer liquid in granitic pegmatites. When the fluxes are added as acidic components, they promote an increase in the H 2 O content of granitic melts via a melt-speciation reaction, M +", "author" : [ { "dropping-particle" : "", "family" : "London", "given" : "David", "non-dropping-particle" : "", "parse-names" : false, "suffix" : "" } ], "container-title" : "Canadian Mineralogist", "id" : "ITEM-1", "issue" : "4", "issued" : { "date-parts" : [ [ "2009" ] ] }, "page" : "697-724", "title" : "The origin of primary textures in granitic pegmatites", "type" : "article-journal", "volume" : "47" }, "uris" : [ "http://www.mendeley.com/documents/?uuid=e5f39597-1738-43fb-a77c-571e491ee42d" ] } ], "mendeley" : { "formattedCitation" : "(London, 2009)", "manualFormatting" : "London (2009)", "plainTextFormattedCitation" : "(London, 2009)", "previouslyFormattedCitation" : "(London 2009)" }, "properties" : { "noteIndex" : 0 }, "schema" : "https://github.com/citation-style-language/schema/raw/master/csl-citation.json" }</w:instrText>
      </w:r>
      <w:r>
        <w:rPr>
          <w:rFonts w:cs="Times New Roman"/>
        </w:rPr>
        <w:fldChar w:fldCharType="separate"/>
      </w:r>
      <w:r w:rsidRPr="005A079F">
        <w:rPr>
          <w:rFonts w:cs="Times New Roman"/>
          <w:noProof/>
        </w:rPr>
        <w:t xml:space="preserve">London </w:t>
      </w:r>
      <w:r>
        <w:rPr>
          <w:rFonts w:cs="Times New Roman"/>
          <w:noProof/>
        </w:rPr>
        <w:t>(</w:t>
      </w:r>
      <w:r w:rsidRPr="005A079F">
        <w:rPr>
          <w:rFonts w:cs="Times New Roman"/>
          <w:noProof/>
        </w:rPr>
        <w:t>2009)</w:t>
      </w:r>
      <w:r>
        <w:rPr>
          <w:rFonts w:cs="Times New Roman"/>
        </w:rPr>
        <w:fldChar w:fldCharType="end"/>
      </w:r>
      <w:r>
        <w:rPr>
          <w:rFonts w:cs="Times New Roman"/>
        </w:rPr>
        <w:t xml:space="preserve">, entails the diffusion of boron from a B-rich aqueous solution into B-free glass. In these experiments, B was added as boric acid with an unknown boron isotopic ratio. </w:t>
      </w:r>
      <w:r>
        <w:rPr>
          <w:rFonts w:cs="Times New Roman"/>
        </w:rPr>
        <w:fldChar w:fldCharType="begin" w:fldLock="1"/>
      </w:r>
      <w:r w:rsidR="00266290">
        <w:rPr>
          <w:rFonts w:cs="Times New Roman"/>
        </w:rPr>
        <w:instrText>ADDIN CSL_CITATION { "citationItems" : [ { "id" : "ITEM-1", "itemData" : { "DOI" : "10.3749/canmin.47.4.697", "ISSN" : "00084476", "abstract" : "abstract Many granitic pegmatites contain two textural domains. Anisotropic textures of the outer zones, including fine-grained units, graphic intergrowths, and unidirectional solidification textures, are dominated by the effects of liquidus undercooling. The coarse, blocky textures of the interior zones result mostly from the accumulation of fluxes that enhance the diffusion of Al and of Si. Those fluxes are likely to become enriched in a boundary-layer liquid that forms at the growth front of crystals. Experiments that entail the dissolution of acid solutions of H 3 BO 3 , H 3 PO 4 and HF into haplogranite glass at 800\u00b0C and 200 MPa serve as model subsystems for the boundary-layer liquid in granitic pegmatites. When the fluxes are added as acidic components, they promote an increase in the H 2 O content of granitic melts via a melt-speciation reaction, M +", "author" : [ { "dropping-particle" : "", "family" : "London", "given" : "David", "non-dropping-particle" : "", "parse-names" : false, "suffix" : "" } ], "container-title" : "Canadian Mineralogist", "id" : "ITEM-1", "issue" : "4", "issued" : { "date-parts" : [ [ "2009" ] ] }, "page" : "697-724", "title" : "The origin of primary textures in granitic pegmatites", "type" : "article-journal", "volume" : "47" }, "uris" : [ "http://www.mendeley.com/documents/?uuid=e5f39597-1738-43fb-a77c-571e491ee42d" ] } ], "mendeley" : { "formattedCitation" : "(London, 2009)", "manualFormatting" : "London (2009)", "plainTextFormattedCitation" : "(London, 2009)", "previouslyFormattedCitation" : "(London 2009)" }, "properties" : { "noteIndex" : 0 }, "schema" : "https://github.com/citation-style-language/schema/raw/master/csl-citation.json" }</w:instrText>
      </w:r>
      <w:r>
        <w:rPr>
          <w:rFonts w:cs="Times New Roman"/>
        </w:rPr>
        <w:fldChar w:fldCharType="separate"/>
      </w:r>
      <w:r w:rsidRPr="005A079F">
        <w:rPr>
          <w:rFonts w:cs="Times New Roman"/>
          <w:noProof/>
        </w:rPr>
        <w:t xml:space="preserve">London </w:t>
      </w:r>
      <w:r>
        <w:rPr>
          <w:rFonts w:cs="Times New Roman"/>
          <w:noProof/>
        </w:rPr>
        <w:t>(</w:t>
      </w:r>
      <w:r w:rsidRPr="005A079F">
        <w:rPr>
          <w:rFonts w:cs="Times New Roman"/>
          <w:noProof/>
        </w:rPr>
        <w:t>2009)</w:t>
      </w:r>
      <w:r>
        <w:rPr>
          <w:rFonts w:cs="Times New Roman"/>
        </w:rPr>
        <w:fldChar w:fldCharType="end"/>
      </w:r>
      <w:r>
        <w:rPr>
          <w:rFonts w:cs="Times New Roman"/>
        </w:rPr>
        <w:t xml:space="preserve"> used this design to measure the diffusivity of B in hydrous, granitic melt at 800°C and 200 MPa (experiment # CGB2). In this manuscript, we report B isotopic data from the same experiment. The second method, referred to as the diffusion-couple </w:t>
      </w:r>
      <w:r>
        <w:rPr>
          <w:rFonts w:cs="Times New Roman"/>
        </w:rPr>
        <w:lastRenderedPageBreak/>
        <w:t>method, involves stacking two glasses. In this method, the pairs of glass wafers we chose to investigate include:</w:t>
      </w:r>
    </w:p>
    <w:p w:rsidR="00665C0F" w:rsidRDefault="00665C0F" w:rsidP="00665C0F">
      <w:pPr>
        <w:numPr>
          <w:ilvl w:val="0"/>
          <w:numId w:val="17"/>
        </w:numPr>
        <w:spacing w:after="160" w:line="480" w:lineRule="auto"/>
        <w:rPr>
          <w:rFonts w:cs="Times New Roman"/>
        </w:rPr>
      </w:pPr>
      <w:r>
        <w:rPr>
          <w:rFonts w:cs="Times New Roman"/>
        </w:rPr>
        <w:t xml:space="preserve">A B-bearing glass (with a mixed isotope ratio) with a B-free glass, </w:t>
      </w:r>
    </w:p>
    <w:p w:rsidR="00665C0F" w:rsidRDefault="00665C0F" w:rsidP="00665C0F">
      <w:pPr>
        <w:numPr>
          <w:ilvl w:val="0"/>
          <w:numId w:val="17"/>
        </w:numPr>
        <w:spacing w:after="160" w:line="480" w:lineRule="auto"/>
        <w:rPr>
          <w:rFonts w:cs="Times New Roman"/>
        </w:rPr>
      </w:pPr>
      <w:r w:rsidRPr="00B9718C">
        <w:rPr>
          <w:rFonts w:cs="Times New Roman"/>
        </w:rPr>
        <w:t>two B-bearing glasses with different isotopic composition</w:t>
      </w:r>
      <w:r>
        <w:rPr>
          <w:rFonts w:cs="Times New Roman"/>
        </w:rPr>
        <w:t>s</w:t>
      </w:r>
      <w:r w:rsidRPr="00B9718C">
        <w:rPr>
          <w:rFonts w:cs="Times New Roman"/>
        </w:rPr>
        <w:t xml:space="preserve"> (</w:t>
      </w:r>
      <w:r w:rsidRPr="00B9718C">
        <w:rPr>
          <w:rFonts w:cs="Times New Roman"/>
          <w:vertAlign w:val="superscript"/>
        </w:rPr>
        <w:t>11</w:t>
      </w:r>
      <w:r w:rsidRPr="00B9718C">
        <w:rPr>
          <w:rFonts w:cs="Times New Roman"/>
        </w:rPr>
        <w:t xml:space="preserve">B in one, </w:t>
      </w:r>
      <w:r w:rsidRPr="00B9718C">
        <w:rPr>
          <w:rFonts w:cs="Times New Roman"/>
          <w:vertAlign w:val="superscript"/>
        </w:rPr>
        <w:t>10</w:t>
      </w:r>
      <w:r w:rsidRPr="00B9718C">
        <w:rPr>
          <w:rFonts w:cs="Times New Roman"/>
        </w:rPr>
        <w:t xml:space="preserve">B in the other), and </w:t>
      </w:r>
    </w:p>
    <w:p w:rsidR="00665C0F" w:rsidRPr="00B9718C" w:rsidRDefault="00665C0F" w:rsidP="00665C0F">
      <w:pPr>
        <w:numPr>
          <w:ilvl w:val="0"/>
          <w:numId w:val="17"/>
        </w:numPr>
        <w:spacing w:after="160" w:line="480" w:lineRule="auto"/>
        <w:rPr>
          <w:rFonts w:cs="Times New Roman"/>
        </w:rPr>
      </w:pPr>
      <w:r>
        <w:rPr>
          <w:rFonts w:cs="Times New Roman"/>
        </w:rPr>
        <w:t>a</w:t>
      </w:r>
      <w:r w:rsidRPr="00B9718C">
        <w:rPr>
          <w:rFonts w:cs="Times New Roman"/>
        </w:rPr>
        <w:t xml:space="preserve"> B-bearing glass wafer, enriched in either </w:t>
      </w:r>
      <w:r w:rsidRPr="00B9718C">
        <w:rPr>
          <w:rFonts w:cs="Times New Roman"/>
          <w:vertAlign w:val="superscript"/>
        </w:rPr>
        <w:t>10</w:t>
      </w:r>
      <w:r w:rsidRPr="00B9718C">
        <w:rPr>
          <w:rFonts w:cs="Times New Roman"/>
        </w:rPr>
        <w:t xml:space="preserve">B or </w:t>
      </w:r>
      <w:r w:rsidRPr="00B9718C">
        <w:rPr>
          <w:rFonts w:cs="Times New Roman"/>
          <w:vertAlign w:val="superscript"/>
        </w:rPr>
        <w:t>11</w:t>
      </w:r>
      <w:r w:rsidRPr="00B9718C">
        <w:rPr>
          <w:rFonts w:cs="Times New Roman"/>
        </w:rPr>
        <w:t xml:space="preserve">B, with a B-free glass wafer. </w:t>
      </w:r>
    </w:p>
    <w:p w:rsidR="00665C0F" w:rsidRPr="00546121" w:rsidRDefault="00665C0F" w:rsidP="00A03F13">
      <w:pPr>
        <w:pStyle w:val="Heading3"/>
        <w:spacing w:line="480" w:lineRule="auto"/>
        <w:rPr>
          <w:rFonts w:cs="Times New Roman"/>
        </w:rPr>
      </w:pPr>
      <w:bookmarkStart w:id="77" w:name="_Toc491246011"/>
      <w:r w:rsidRPr="00546121">
        <w:rPr>
          <w:rFonts w:cs="Times New Roman"/>
        </w:rPr>
        <w:t>2.2</w:t>
      </w:r>
      <w:r w:rsidR="00A03F13">
        <w:rPr>
          <w:rFonts w:cs="Times New Roman"/>
        </w:rPr>
        <w:t>.</w:t>
      </w:r>
      <w:r w:rsidRPr="00546121">
        <w:rPr>
          <w:rFonts w:cs="Times New Roman"/>
        </w:rPr>
        <w:t xml:space="preserve"> Experimental methods</w:t>
      </w:r>
      <w:bookmarkEnd w:id="77"/>
    </w:p>
    <w:p w:rsidR="00665C0F" w:rsidRDefault="00665C0F" w:rsidP="00665C0F">
      <w:pPr>
        <w:spacing w:line="480" w:lineRule="auto"/>
        <w:rPr>
          <w:rFonts w:cs="Times New Roman"/>
        </w:rPr>
      </w:pPr>
      <w:r>
        <w:rPr>
          <w:rFonts w:cs="Times New Roman"/>
        </w:rPr>
        <w:tab/>
        <w:t xml:space="preserve">Four different glass compositions were used in this study. The first glass, which also served as the starting composition for all other </w:t>
      </w:r>
      <w:r w:rsidRPr="003001C9">
        <w:rPr>
          <w:rFonts w:cs="Times New Roman"/>
        </w:rPr>
        <w:t>glasses, was designed to match the thermal minimum in the hydrous, metaluminous haplogranite system at 200 MPa</w:t>
      </w:r>
      <w:r w:rsidRPr="003001C9">
        <w:rPr>
          <w:rFonts w:cs="Times New Roman"/>
          <w:vertAlign w:val="subscript"/>
        </w:rPr>
        <w:t xml:space="preserve">H2O </w:t>
      </w:r>
      <w:r w:rsidRPr="003001C9">
        <w:rPr>
          <w:rFonts w:cs="Times New Roman"/>
        </w:rPr>
        <w:t xml:space="preserve">(CG and HG: Table </w:t>
      </w:r>
      <w:r w:rsidR="0083401A">
        <w:rPr>
          <w:rFonts w:cs="Times New Roman"/>
        </w:rPr>
        <w:t>3-</w:t>
      </w:r>
      <w:r w:rsidRPr="003001C9">
        <w:rPr>
          <w:rFonts w:cs="Times New Roman"/>
        </w:rPr>
        <w:t>1). The second and third glasses contain ~ 10 wt.% B</w:t>
      </w:r>
      <w:r w:rsidRPr="003001C9">
        <w:rPr>
          <w:rFonts w:cs="Times New Roman"/>
          <w:vertAlign w:val="subscript"/>
        </w:rPr>
        <w:t>2</w:t>
      </w:r>
      <w:r w:rsidRPr="003001C9">
        <w:rPr>
          <w:rFonts w:cs="Times New Roman"/>
        </w:rPr>
        <w:t>O</w:t>
      </w:r>
      <w:r w:rsidRPr="003001C9">
        <w:rPr>
          <w:rFonts w:cs="Times New Roman"/>
          <w:vertAlign w:val="subscript"/>
        </w:rPr>
        <w:t>3</w:t>
      </w:r>
      <w:r w:rsidRPr="003001C9">
        <w:rPr>
          <w:rFonts w:cs="Times New Roman"/>
        </w:rPr>
        <w:t xml:space="preserve"> as </w:t>
      </w:r>
      <w:r w:rsidRPr="003001C9">
        <w:rPr>
          <w:rFonts w:cs="Times New Roman"/>
          <w:vertAlign w:val="superscript"/>
        </w:rPr>
        <w:t>11</w:t>
      </w:r>
      <w:r w:rsidRPr="003001C9">
        <w:rPr>
          <w:rFonts w:cs="Times New Roman"/>
        </w:rPr>
        <w:t xml:space="preserve">B and </w:t>
      </w:r>
      <w:r w:rsidRPr="003001C9">
        <w:rPr>
          <w:rFonts w:cs="Times New Roman"/>
          <w:vertAlign w:val="superscript"/>
        </w:rPr>
        <w:t>10</w:t>
      </w:r>
      <w:r w:rsidRPr="003001C9">
        <w:rPr>
          <w:rFonts w:cs="Times New Roman"/>
        </w:rPr>
        <w:t>B, respectively (</w:t>
      </w:r>
      <w:r w:rsidRPr="003001C9">
        <w:rPr>
          <w:rFonts w:cs="Times New Roman"/>
          <w:vertAlign w:val="superscript"/>
        </w:rPr>
        <w:t>11</w:t>
      </w:r>
      <w:r w:rsidRPr="003001C9">
        <w:rPr>
          <w:rFonts w:cs="Times New Roman"/>
        </w:rPr>
        <w:t xml:space="preserve">BHG and </w:t>
      </w:r>
      <w:r w:rsidRPr="003001C9">
        <w:rPr>
          <w:rFonts w:cs="Times New Roman"/>
          <w:vertAlign w:val="superscript"/>
        </w:rPr>
        <w:t>10</w:t>
      </w:r>
      <w:r w:rsidRPr="003001C9">
        <w:rPr>
          <w:rFonts w:cs="Times New Roman"/>
        </w:rPr>
        <w:t xml:space="preserve">BHG: Table </w:t>
      </w:r>
      <w:r w:rsidR="0083401A">
        <w:rPr>
          <w:rFonts w:cs="Times New Roman"/>
        </w:rPr>
        <w:t>3-</w:t>
      </w:r>
      <w:r w:rsidRPr="003001C9">
        <w:rPr>
          <w:rFonts w:cs="Times New Roman"/>
        </w:rPr>
        <w:t>1). The fourth glass consists of ~ 5 wt.% B</w:t>
      </w:r>
      <w:r w:rsidRPr="003001C9">
        <w:rPr>
          <w:rFonts w:cs="Times New Roman"/>
          <w:vertAlign w:val="subscript"/>
        </w:rPr>
        <w:t>2</w:t>
      </w:r>
      <w:r w:rsidRPr="003001C9">
        <w:rPr>
          <w:rFonts w:cs="Times New Roman"/>
        </w:rPr>
        <w:t>O</w:t>
      </w:r>
      <w:r w:rsidRPr="003001C9">
        <w:rPr>
          <w:rFonts w:cs="Times New Roman"/>
          <w:vertAlign w:val="subscript"/>
        </w:rPr>
        <w:t>3</w:t>
      </w:r>
      <w:r w:rsidRPr="003001C9">
        <w:rPr>
          <w:rFonts w:cs="Times New Roman"/>
        </w:rPr>
        <w:t xml:space="preserve"> with a mixture of </w:t>
      </w:r>
      <w:r w:rsidRPr="003001C9">
        <w:rPr>
          <w:rFonts w:cs="Times New Roman"/>
          <w:vertAlign w:val="superscript"/>
        </w:rPr>
        <w:t>11</w:t>
      </w:r>
      <w:r w:rsidRPr="003001C9">
        <w:rPr>
          <w:rFonts w:cs="Times New Roman"/>
        </w:rPr>
        <w:t xml:space="preserve">B and </w:t>
      </w:r>
      <w:r w:rsidRPr="003001C9">
        <w:rPr>
          <w:rFonts w:cs="Times New Roman"/>
          <w:vertAlign w:val="superscript"/>
        </w:rPr>
        <w:t>10</w:t>
      </w:r>
      <w:r w:rsidRPr="003001C9">
        <w:rPr>
          <w:rFonts w:cs="Times New Roman"/>
        </w:rPr>
        <w:t xml:space="preserve">B (HGB5: Table </w:t>
      </w:r>
      <w:r w:rsidR="0083401A">
        <w:rPr>
          <w:rFonts w:cs="Times New Roman"/>
        </w:rPr>
        <w:t>3-</w:t>
      </w:r>
      <w:r w:rsidRPr="003001C9">
        <w:rPr>
          <w:rFonts w:cs="Times New Roman"/>
        </w:rPr>
        <w:t>1). Each starting material</w:t>
      </w:r>
      <w:r>
        <w:rPr>
          <w:rFonts w:cs="Times New Roman"/>
        </w:rPr>
        <w:t xml:space="preserve"> glass was prepared by fusing chemical reagents in Pt dishes in a Deltech bottom-loading furnace at 1600°C for 1 to 4 hours; the resulting glass plates were ~ 3 mm thick. Quenched B-bearing glasses were aphyric and trapped few air bubbles. The B-free glass is aphyric and contains abundant air bubbles. Chips of glass were analyzed by an electron microprobe for their chemical composition and to assess their chemical homogeneity. Upon creating a homogeneous glass, cores measuring 3 x 3 mm were drilled from each glass plate. Several glass cores were hydrated to ~ 6 wt.% H</w:t>
      </w:r>
      <w:r>
        <w:rPr>
          <w:rFonts w:cs="Times New Roman"/>
          <w:vertAlign w:val="subscript"/>
        </w:rPr>
        <w:t>2</w:t>
      </w:r>
      <w:r>
        <w:rPr>
          <w:rFonts w:cs="Times New Roman"/>
        </w:rPr>
        <w:t xml:space="preserve">O prior to their use in diffusion experiments in case the diffusivity of B depends on the water </w:t>
      </w:r>
      <w:r>
        <w:rPr>
          <w:rFonts w:cs="Times New Roman"/>
        </w:rPr>
        <w:lastRenderedPageBreak/>
        <w:t>content of melt. Hydrous and anhydrous glass cores were cut into ~ 1 mm thick circular wafers for final experimentation.</w:t>
      </w:r>
    </w:p>
    <w:p w:rsidR="00665C0F" w:rsidRPr="00C263DF" w:rsidRDefault="00665C0F" w:rsidP="00665C0F">
      <w:pPr>
        <w:spacing w:line="480" w:lineRule="auto"/>
        <w:ind w:firstLine="720"/>
        <w:rPr>
          <w:rFonts w:cs="Times New Roman"/>
        </w:rPr>
      </w:pPr>
      <w:r>
        <w:rPr>
          <w:rFonts w:cs="Times New Roman"/>
        </w:rPr>
        <w:t>Gold capsules were loaded with stacked glass wafers, such that their cut surfaces touched, forming a cylinder. Capsules were weighed before and after the addition of each component to record the mass of each component and sealed using a TIG-welder. Sealed capsules were loaded into NIMONIC 105 cold-seal reaction vessels and heated to 800°C and 200 MPa for zero to 28 days. The zero-day experiment was quenched immediately upon reaching the target temperature. Experiments were quenched nearly isobarically at an average rate of ~30°C/min to room temperature. All capsules were weighed again after quench to check for leaks produced during the experiment. Capsules showing no signs of leakage were prepared for chemical and/or isotopic analyses.</w:t>
      </w:r>
    </w:p>
    <w:p w:rsidR="00665C0F" w:rsidRPr="00546121" w:rsidRDefault="00665C0F" w:rsidP="00A03F13">
      <w:pPr>
        <w:pStyle w:val="Heading3"/>
        <w:spacing w:line="480" w:lineRule="auto"/>
        <w:rPr>
          <w:rFonts w:cs="Times New Roman"/>
        </w:rPr>
      </w:pPr>
      <w:bookmarkStart w:id="78" w:name="_Toc491246012"/>
      <w:r w:rsidRPr="00546121">
        <w:rPr>
          <w:rFonts w:cs="Times New Roman"/>
        </w:rPr>
        <w:t>2.3. Preparation of glasses for analysis</w:t>
      </w:r>
      <w:bookmarkEnd w:id="78"/>
    </w:p>
    <w:p w:rsidR="00665C0F" w:rsidRPr="00F66B69" w:rsidRDefault="00665C0F" w:rsidP="00665C0F">
      <w:pPr>
        <w:spacing w:line="480" w:lineRule="auto"/>
        <w:rPr>
          <w:rFonts w:cs="Times New Roman"/>
        </w:rPr>
      </w:pPr>
      <w:r>
        <w:rPr>
          <w:rFonts w:cs="Times New Roman"/>
        </w:rPr>
        <w:tab/>
        <w:t>Glasses were sectioned and mounted in 1” circular molds using EpoThin</w:t>
      </w:r>
      <w:r>
        <w:rPr>
          <w:rFonts w:cs="Times New Roman"/>
          <w:vertAlign w:val="superscript"/>
        </w:rPr>
        <w:t>TM</w:t>
      </w:r>
      <w:r>
        <w:rPr>
          <w:rFonts w:cs="Times New Roman"/>
        </w:rPr>
        <w:t xml:space="preserve"> (Beuhler) epoxy. Molds were initially ground using diamond-embedded plates on a lapidary wheel followed by a polish using a combination of diamond-embedded films. A final, fine-finish polish was applied to each sample using a series of solutions containing 3 µm to ¼ µm diamond grit. Polished mounts were cleaned, dried, and coated with either C (for EMPA) or Au (for SIMS) prior to analysis.</w:t>
      </w:r>
    </w:p>
    <w:p w:rsidR="00665C0F" w:rsidRPr="00546121" w:rsidRDefault="00665C0F" w:rsidP="00A03F13">
      <w:pPr>
        <w:pStyle w:val="Heading3"/>
        <w:spacing w:line="480" w:lineRule="auto"/>
        <w:rPr>
          <w:rFonts w:cs="Times New Roman"/>
        </w:rPr>
      </w:pPr>
      <w:bookmarkStart w:id="79" w:name="_Toc491246013"/>
      <w:r w:rsidRPr="00546121">
        <w:rPr>
          <w:rFonts w:cs="Times New Roman"/>
        </w:rPr>
        <w:t>2.4. Electron microprobe (EMPA)</w:t>
      </w:r>
      <w:bookmarkEnd w:id="79"/>
    </w:p>
    <w:p w:rsidR="00665C0F" w:rsidRPr="00F66B69" w:rsidRDefault="00665C0F" w:rsidP="00665C0F">
      <w:pPr>
        <w:spacing w:line="480" w:lineRule="auto"/>
        <w:ind w:firstLine="720"/>
        <w:rPr>
          <w:rFonts w:cs="Times New Roman"/>
        </w:rPr>
      </w:pPr>
      <w:r>
        <w:rPr>
          <w:rFonts w:cs="Times New Roman"/>
        </w:rPr>
        <w:t>The Cameca SX-100 at the University of Oklahoma was used to chemically characterize all glasses. Glasses were analyzed for Si, Al, K, Na, and B using a 2-</w:t>
      </w:r>
      <w:r>
        <w:rPr>
          <w:rFonts w:cs="Times New Roman"/>
        </w:rPr>
        <w:lastRenderedPageBreak/>
        <w:t>condition analytical routine. The first condition used a 10 kV accelerating voltage, 2 nA beam current, and 20 µm spot diameter to analyze Si, Al, K, and Na. The second condition used the same accelerating voltage and spot size, but a 40 nA beam current to analyze B. Individual point analyses were separated by a distance of 50 µm to 100</w:t>
      </w:r>
      <w:r w:rsidRPr="00FA1A45">
        <w:rPr>
          <w:rFonts w:cs="Times New Roman"/>
        </w:rPr>
        <w:t xml:space="preserve"> </w:t>
      </w:r>
      <w:r>
        <w:rPr>
          <w:rFonts w:cs="Times New Roman"/>
        </w:rPr>
        <w:t xml:space="preserve">µm. Detection limits for Si, Al, Na, and K are ~ </w:t>
      </w:r>
      <w:r w:rsidRPr="00DF290F">
        <w:rPr>
          <w:rFonts w:cs="Times New Roman"/>
        </w:rPr>
        <w:t>0.1</w:t>
      </w:r>
      <w:r>
        <w:rPr>
          <w:rFonts w:cs="Times New Roman"/>
        </w:rPr>
        <w:t xml:space="preserve"> wt.% oxide, and ~ 0.5 wt.% for B</w:t>
      </w:r>
      <w:r>
        <w:rPr>
          <w:rFonts w:cs="Times New Roman"/>
          <w:vertAlign w:val="subscript"/>
        </w:rPr>
        <w:t>2</w:t>
      </w:r>
      <w:r>
        <w:rPr>
          <w:rFonts w:cs="Times New Roman"/>
        </w:rPr>
        <w:t>O</w:t>
      </w:r>
      <w:r>
        <w:rPr>
          <w:rFonts w:cs="Times New Roman"/>
          <w:vertAlign w:val="subscript"/>
        </w:rPr>
        <w:t>3</w:t>
      </w:r>
      <w:r>
        <w:rPr>
          <w:rFonts w:cs="Times New Roman"/>
        </w:rPr>
        <w:t xml:space="preserve">. Data reduction used the PAP method </w:t>
      </w:r>
      <w:r>
        <w:rPr>
          <w:rFonts w:cs="Times New Roman"/>
        </w:rPr>
        <w:fldChar w:fldCharType="begin" w:fldLock="1"/>
      </w:r>
      <w:r w:rsidR="00266290">
        <w:rPr>
          <w:rFonts w:cs="Times New Roman"/>
        </w:rPr>
        <w:instrText>ADDIN CSL_CITATION { "citationItems" : [ { "id" : "ITEM-1", "itemData" : { "author" : [ { "dropping-particle" : "", "family" : "Pouchou", "given" : "J.L.", "non-dropping-particle" : "", "parse-names" : false, "suffix" : "" }, { "dropping-particle" : "", "family" : "Pichoir", "given" : "F.", "non-dropping-particle" : "", "parse-names" : false, "suffix" : "" } ], "container-title" : "Microbeam Analysis", "id" : "ITEM-1", "issued" : { "date-parts" : [ [ "1985" ] ] }, "page" : "104-106", "publisher" : "San Francisco Press, California", "title" : "\"PAP\" (\u0278-\u03c1-z) correction procedure for improved quantitative microanalysis", "type" : "chapter" }, "uris" : [ "http://www.mendeley.com/documents/?uuid=6e588b2f-7a78-44c6-b4d1-8c2f08cd1f56" ] } ], "mendeley" : { "formattedCitation" : "(Pouchou and Pichoir, 1985)", "plainTextFormattedCitation" : "(Pouchou and Pichoir, 1985)", "previouslyFormattedCitation" : "(Pouchou and Pichoir 1985)" }, "properties" : { "noteIndex" : 0 }, "schema" : "https://github.com/citation-style-language/schema/raw/master/csl-citation.json" }</w:instrText>
      </w:r>
      <w:r>
        <w:rPr>
          <w:rFonts w:cs="Times New Roman"/>
        </w:rPr>
        <w:fldChar w:fldCharType="separate"/>
      </w:r>
      <w:r w:rsidR="00266290" w:rsidRPr="00266290">
        <w:rPr>
          <w:rFonts w:cs="Times New Roman"/>
          <w:noProof/>
        </w:rPr>
        <w:t>(Pouchou and Pichoir, 1985)</w:t>
      </w:r>
      <w:r>
        <w:rPr>
          <w:rFonts w:cs="Times New Roman"/>
        </w:rPr>
        <w:fldChar w:fldCharType="end"/>
      </w:r>
      <w:r>
        <w:rPr>
          <w:rFonts w:cs="Times New Roman"/>
        </w:rPr>
        <w:t>.</w:t>
      </w:r>
    </w:p>
    <w:p w:rsidR="00665C0F" w:rsidRPr="00546121" w:rsidRDefault="00665C0F" w:rsidP="00A03F13">
      <w:pPr>
        <w:pStyle w:val="Heading3"/>
        <w:spacing w:line="480" w:lineRule="auto"/>
        <w:rPr>
          <w:rFonts w:cs="Times New Roman"/>
        </w:rPr>
      </w:pPr>
      <w:bookmarkStart w:id="80" w:name="_Toc491246014"/>
      <w:r w:rsidRPr="00546121">
        <w:rPr>
          <w:rFonts w:cs="Times New Roman"/>
        </w:rPr>
        <w:t>2.5. Secondary ion mass spectrometry (SIMS)</w:t>
      </w:r>
      <w:bookmarkEnd w:id="80"/>
    </w:p>
    <w:p w:rsidR="00665C0F" w:rsidRPr="003001C9" w:rsidRDefault="00665C0F" w:rsidP="00665C0F">
      <w:pPr>
        <w:spacing w:line="480" w:lineRule="auto"/>
        <w:ind w:firstLine="720"/>
        <w:rPr>
          <w:rFonts w:cs="Times New Roman"/>
        </w:rPr>
      </w:pPr>
      <w:r>
        <w:rPr>
          <w:rFonts w:cs="Times New Roman"/>
        </w:rPr>
        <w:t xml:space="preserve">Boron concentrations and boron isotopic ratios were measured using the Cameca 6f secondary ion mass spectrometer (SIMS) at the Arizona State University. The SIMS instrument was setup to measure </w:t>
      </w:r>
      <w:r>
        <w:rPr>
          <w:rFonts w:cs="Times New Roman"/>
          <w:vertAlign w:val="superscript"/>
        </w:rPr>
        <w:t>11</w:t>
      </w:r>
      <w:r>
        <w:rPr>
          <w:rFonts w:cs="Times New Roman"/>
        </w:rPr>
        <w:t xml:space="preserve">B, </w:t>
      </w:r>
      <w:r>
        <w:rPr>
          <w:rFonts w:cs="Times New Roman"/>
          <w:vertAlign w:val="superscript"/>
        </w:rPr>
        <w:t>10</w:t>
      </w:r>
      <w:r>
        <w:rPr>
          <w:rFonts w:cs="Times New Roman"/>
        </w:rPr>
        <w:t xml:space="preserve">B, and </w:t>
      </w:r>
      <w:r>
        <w:rPr>
          <w:rFonts w:cs="Times New Roman"/>
          <w:vertAlign w:val="superscript"/>
        </w:rPr>
        <w:t>30</w:t>
      </w:r>
      <w:r>
        <w:rPr>
          <w:rFonts w:cs="Times New Roman"/>
        </w:rPr>
        <w:t xml:space="preserve">Si for 1s each using an energy window offset of -75 V and a window of ± 20 V.  The total impact energy was 21.5 kV with a primary ion beam current between 1 and 5 nA. Boron isotopic ratios were measured using a similar instrument setup as reported by </w:t>
      </w:r>
      <w:r>
        <w:rPr>
          <w:rFonts w:cs="Times New Roman"/>
        </w:rPr>
        <w:fldChar w:fldCharType="begin" w:fldLock="1"/>
      </w:r>
      <w:r w:rsidR="00266290">
        <w:rPr>
          <w:rFonts w:cs="Times New Roman"/>
        </w:rPr>
        <w:instrText>ADDIN CSL_CITATION { "citationItems" : [ { "id" : "ITEM-1", "itemData" : { "author" : [ { "dropping-particle" : "", "family" : "Maner", "given" : "James L.", "non-dropping-particle" : "", "parse-names" : false, "suffix" : "" }, { "dropping-particle" : "", "family" : "London", "given" : "David", "non-dropping-particle" : "", "parse-names" : false, "suffix" : "" } ], "container-title" : "Chemical Geology", "id" : "ITEM-1", "issued" : { "date-parts" : [ [ "2017" ] ] }, "page" : "70-83", "title" : "The boron isotopic evolution of the Little Three pegmatites, Ramona, CA", "type" : "article-journal", "volume" : "460" }, "uris" : [ "http://www.mendeley.com/documents/?uuid=11cc18a9-0371-405e-94da-26e69fba70f0" ] } ], "mendeley" : { "formattedCitation" : "(Maner and London, 2017)", "manualFormatting" : "Maner and London (2017)", "plainTextFormattedCitation" : "(Maner and London, 2017)", "previouslyFormattedCitation" : "(Maner and London 2017)" }, "properties" : { "noteIndex" : 0 }, "schema" : "https://github.com/citation-style-language/schema/raw/master/csl-citation.json" }</w:instrText>
      </w:r>
      <w:r>
        <w:rPr>
          <w:rFonts w:cs="Times New Roman"/>
        </w:rPr>
        <w:fldChar w:fldCharType="separate"/>
      </w:r>
      <w:r>
        <w:rPr>
          <w:rFonts w:cs="Times New Roman"/>
          <w:noProof/>
        </w:rPr>
        <w:t>Maner and London (</w:t>
      </w:r>
      <w:r w:rsidRPr="00003F8A">
        <w:rPr>
          <w:rFonts w:cs="Times New Roman"/>
          <w:noProof/>
        </w:rPr>
        <w:t>2017)</w:t>
      </w:r>
      <w:r>
        <w:rPr>
          <w:rFonts w:cs="Times New Roman"/>
        </w:rPr>
        <w:fldChar w:fldCharType="end"/>
      </w:r>
      <w:r>
        <w:rPr>
          <w:rFonts w:cs="Times New Roman"/>
        </w:rPr>
        <w:t xml:space="preserve">. All boron isotopic ratios are reported using standard units (‰) and isotopic notation, using the zero </w:t>
      </w:r>
      <w:r w:rsidRPr="003001C9">
        <w:rPr>
          <w:rFonts w:cs="Times New Roman"/>
        </w:rPr>
        <w:t xml:space="preserve">point reference of </w:t>
      </w:r>
      <w:r w:rsidRPr="003001C9">
        <w:rPr>
          <w:rFonts w:cs="Times New Roman"/>
        </w:rPr>
        <w:fldChar w:fldCharType="begin" w:fldLock="1"/>
      </w:r>
      <w:r w:rsidR="00266290">
        <w:rPr>
          <w:rFonts w:cs="Times New Roman"/>
        </w:rPr>
        <w:instrText>ADDIN CSL_CITATION { "citationItems" : [ { "id" : "ITEM-1", "itemData" : { "author" : [ { "dropping-particle" : "", "family" : "Catanzaro", "given" : "E.J.", "non-dropping-particle" : "", "parse-names" : false, "suffix" : "" }, { "dropping-particle" : "", "family" : "Champion", "given" : "C.E.", "non-dropping-particle" : "", "parse-names" : false, "suffix" : "" }, { "dropping-particle" : "", "family" : "Garner", "given" : "E.L.", "non-dropping-particle" : "", "parse-names" : false, "suffix" : "" }, { "dropping-particle" : "", "family" : "Marinenko", "given" : "G.", "non-dropping-particle" : "", "parse-names" : false, "suffix" : "" }, { "dropping-particle" : "", "family" : "Sappenfield", "given" : "K.M.", "non-dropping-particle" : "", "parse-names" : false, "suffix" : "" }, { "dropping-particle" : "", "family" : "Shields", "given" : "W.R.", "non-dropping-particle" : "", "parse-names" : false, "suffix" : "" } ], "container-title" : "NBS (US) Spec. Publ.", "id" : "ITEM-1", "issued" : { "date-parts" : [ [ "1970" ] ] }, "page" : "1-70", "title" : "Standard Reference Materials: Boric Acid; Isotopic, and Assay Standard Reference Materials", "type" : "article-journal", "volume" : "260" }, "uris" : [ "http://www.mendeley.com/documents/?uuid=b842342a-4d73-423c-b668-0801c69eeb33" ] } ], "mendeley" : { "formattedCitation" : "(Catanzaro et al., 1970)", "manualFormatting" : "Catanzaro E.J. et al. (1970)", "plainTextFormattedCitation" : "(Catanzaro et al., 1970)", "previouslyFormattedCitation" : "(Catanzaro et al. 1970)" }, "properties" : { "noteIndex" : 0 }, "schema" : "https://github.com/citation-style-language/schema/raw/master/csl-citation.json" }</w:instrText>
      </w:r>
      <w:r w:rsidRPr="003001C9">
        <w:rPr>
          <w:rFonts w:cs="Times New Roman"/>
        </w:rPr>
        <w:fldChar w:fldCharType="separate"/>
      </w:r>
      <w:r w:rsidR="00C17CC7">
        <w:rPr>
          <w:rFonts w:cs="Times New Roman"/>
          <w:noProof/>
        </w:rPr>
        <w:t>Catanzaro</w:t>
      </w:r>
      <w:r w:rsidRPr="003001C9">
        <w:rPr>
          <w:rFonts w:cs="Times New Roman"/>
          <w:noProof/>
        </w:rPr>
        <w:t xml:space="preserve"> et al. (1970)</w:t>
      </w:r>
      <w:r w:rsidRPr="003001C9">
        <w:rPr>
          <w:rFonts w:cs="Times New Roman"/>
        </w:rPr>
        <w:fldChar w:fldCharType="end"/>
      </w:r>
      <w:r w:rsidRPr="003001C9">
        <w:rPr>
          <w:rFonts w:cs="Times New Roman"/>
        </w:rPr>
        <w:t>.</w:t>
      </w:r>
    </w:p>
    <w:p w:rsidR="00665C0F" w:rsidRPr="00B0623C" w:rsidRDefault="00665C0F" w:rsidP="00665C0F">
      <w:pPr>
        <w:spacing w:line="480" w:lineRule="auto"/>
        <w:ind w:firstLine="720"/>
        <w:rPr>
          <w:rFonts w:cs="Times New Roman"/>
        </w:rPr>
      </w:pPr>
      <w:r w:rsidRPr="003001C9">
        <w:rPr>
          <w:rFonts w:cs="Times New Roman"/>
        </w:rPr>
        <w:t xml:space="preserve">Boron content was calculated using a calibration curve developed for this study using SIMS signals for </w:t>
      </w:r>
      <w:r w:rsidRPr="003001C9">
        <w:rPr>
          <w:rFonts w:cs="Times New Roman"/>
          <w:vertAlign w:val="superscript"/>
        </w:rPr>
        <w:t>10</w:t>
      </w:r>
      <w:r w:rsidRPr="003001C9">
        <w:rPr>
          <w:rFonts w:cs="Times New Roman"/>
        </w:rPr>
        <w:t xml:space="preserve">B, </w:t>
      </w:r>
      <w:r w:rsidRPr="003001C9">
        <w:rPr>
          <w:rFonts w:cs="Times New Roman"/>
          <w:vertAlign w:val="superscript"/>
        </w:rPr>
        <w:t>11</w:t>
      </w:r>
      <w:r w:rsidRPr="003001C9">
        <w:rPr>
          <w:rFonts w:cs="Times New Roman"/>
        </w:rPr>
        <w:t xml:space="preserve">B, and </w:t>
      </w:r>
      <w:r w:rsidRPr="003001C9">
        <w:rPr>
          <w:rFonts w:cs="Times New Roman"/>
          <w:vertAlign w:val="superscript"/>
        </w:rPr>
        <w:t>30</w:t>
      </w:r>
      <w:r w:rsidRPr="003001C9">
        <w:rPr>
          <w:rFonts w:cs="Times New Roman"/>
        </w:rPr>
        <w:t xml:space="preserve">Si on hydrous and anhydrous glasses. Standards include six hydrous, granitic glasses (E10, B5, 2.5AN, 2.5FN, 5AN, 5CN: Table </w:t>
      </w:r>
      <w:r w:rsidR="0083401A">
        <w:rPr>
          <w:rFonts w:cs="Times New Roman"/>
        </w:rPr>
        <w:t>3-</w:t>
      </w:r>
      <w:r w:rsidRPr="003001C9">
        <w:rPr>
          <w:rFonts w:cs="Times New Roman"/>
        </w:rPr>
        <w:t xml:space="preserve">2), the Macusani obsidian (MAC: Table </w:t>
      </w:r>
      <w:r w:rsidR="0083401A">
        <w:rPr>
          <w:rFonts w:cs="Times New Roman"/>
        </w:rPr>
        <w:t>3-</w:t>
      </w:r>
      <w:r w:rsidRPr="003001C9">
        <w:rPr>
          <w:rFonts w:cs="Times New Roman"/>
        </w:rPr>
        <w:t xml:space="preserve">2), and three glasses from the Johns Manville company (JM253, JM902, JM901F: Table </w:t>
      </w:r>
      <w:r w:rsidR="0083401A">
        <w:rPr>
          <w:rFonts w:cs="Times New Roman"/>
        </w:rPr>
        <w:t>3-</w:t>
      </w:r>
      <w:r w:rsidRPr="003001C9">
        <w:rPr>
          <w:rFonts w:cs="Times New Roman"/>
        </w:rPr>
        <w:t xml:space="preserve">2). The B contents of glasses E10 and B5 were analyzed at Activation Laboratories (Ancaster, Ontario) using wet-chemical (ICP) methods. Glasses 2.5AN, 2.5FN, 5AN, 5CN were analyzed using an electron microprobe. The B content of MAC is from </w:t>
      </w:r>
      <w:r w:rsidRPr="003001C9">
        <w:rPr>
          <w:rFonts w:cs="Times New Roman"/>
        </w:rPr>
        <w:fldChar w:fldCharType="begin" w:fldLock="1"/>
      </w:r>
      <w:r w:rsidR="00266290">
        <w:rPr>
          <w:rFonts w:cs="Times New Roman"/>
        </w:rPr>
        <w:instrText>ADDIN CSL_CITATION { "citationItems" : [ { "id" : "ITEM-1", "itemData" : { "DOI" : "10.1007/BF00375368", "ISBN" : "0010-7999", "ISSN" : "00107999", "author" : [ { "dropping-particle" : "", "family" : "London", "given" : "David", "non-dropping-particle" : "", "parse-names" : false, "suffix" : "" }, { "dropping-particle" : "", "family" : "Hervig", "given" : "Richard L.", "non-dropping-particle" : "", "parse-names" : false, "suffix" : "" }, { "dropping-particle" : "", "family" : "Morgan VI", "given" : "George B.", "non-dropping-particle" : "", "parse-names" : false, "suffix" : "" } ], "container-title" : "Contributions to Mineralogy and Petrology", "id" : "ITEM-1", "issue" : "3", "issued" : { "date-parts" : [ [ "1988" ] ] }, "page" : "360-373", "title" : "Melt-vapor solubilities and elemental partitioning in peraluminous granite-pegmatite systems: experimental results with Macusani glass at 200 MPa", "type" : "article-journal", "volume" : "99" }, "uris" : [ "http://www.mendeley.com/documents/?uuid=d3741f24-96af-4bcd-8a43-4ab927eb82f1" ] } ], "mendeley" : { "formattedCitation" : "(London et al., 1988)", "plainTextFormattedCitation" : "(London et al., 1988)", "previouslyFormattedCitation" : "(London et al. 1988)" }, "properties" : { "noteIndex" : 0 }, "schema" : "https://github.com/citation-style-language/schema/raw/master/csl-citation.json" }</w:instrText>
      </w:r>
      <w:r w:rsidRPr="003001C9">
        <w:rPr>
          <w:rFonts w:cs="Times New Roman"/>
        </w:rPr>
        <w:fldChar w:fldCharType="separate"/>
      </w:r>
      <w:r w:rsidR="00266290" w:rsidRPr="00266290">
        <w:rPr>
          <w:rFonts w:cs="Times New Roman"/>
          <w:noProof/>
        </w:rPr>
        <w:t>(London et al., 1988)</w:t>
      </w:r>
      <w:r w:rsidRPr="003001C9">
        <w:rPr>
          <w:rFonts w:cs="Times New Roman"/>
        </w:rPr>
        <w:fldChar w:fldCharType="end"/>
      </w:r>
      <w:r w:rsidRPr="003001C9">
        <w:rPr>
          <w:rFonts w:cs="Times New Roman"/>
        </w:rPr>
        <w:t xml:space="preserve">. The Johns Manville </w:t>
      </w:r>
      <w:r w:rsidRPr="003001C9">
        <w:rPr>
          <w:rFonts w:cs="Times New Roman"/>
        </w:rPr>
        <w:lastRenderedPageBreak/>
        <w:t xml:space="preserve">company provided compositional data for each of the JM glasses. The sum of the </w:t>
      </w:r>
      <w:r w:rsidRPr="003001C9">
        <w:rPr>
          <w:rFonts w:cs="Times New Roman"/>
          <w:vertAlign w:val="superscript"/>
        </w:rPr>
        <w:t>11</w:t>
      </w:r>
      <w:r w:rsidRPr="003001C9">
        <w:rPr>
          <w:rFonts w:cs="Times New Roman"/>
        </w:rPr>
        <w:t>B/</w:t>
      </w:r>
      <w:r w:rsidRPr="003001C9">
        <w:rPr>
          <w:rFonts w:cs="Times New Roman"/>
          <w:vertAlign w:val="superscript"/>
        </w:rPr>
        <w:t>30</w:t>
      </w:r>
      <w:r w:rsidRPr="003001C9">
        <w:rPr>
          <w:rFonts w:cs="Times New Roman"/>
        </w:rPr>
        <w:t xml:space="preserve">Si and </w:t>
      </w:r>
      <w:r w:rsidRPr="003001C9">
        <w:rPr>
          <w:rFonts w:cs="Times New Roman"/>
          <w:vertAlign w:val="superscript"/>
        </w:rPr>
        <w:t>10</w:t>
      </w:r>
      <w:r w:rsidRPr="003001C9">
        <w:rPr>
          <w:rFonts w:cs="Times New Roman"/>
        </w:rPr>
        <w:t>B/</w:t>
      </w:r>
      <w:r w:rsidRPr="003001C9">
        <w:rPr>
          <w:rFonts w:cs="Times New Roman"/>
          <w:vertAlign w:val="superscript"/>
        </w:rPr>
        <w:t>30</w:t>
      </w:r>
      <w:r w:rsidRPr="003001C9">
        <w:rPr>
          <w:rFonts w:cs="Times New Roman"/>
        </w:rPr>
        <w:t>Si ratios was multiplied by the SiO</w:t>
      </w:r>
      <w:r w:rsidRPr="003001C9">
        <w:rPr>
          <w:rFonts w:cs="Times New Roman"/>
          <w:vertAlign w:val="subscript"/>
        </w:rPr>
        <w:t>2</w:t>
      </w:r>
      <w:r w:rsidRPr="003001C9">
        <w:rPr>
          <w:rFonts w:cs="Times New Roman"/>
        </w:rPr>
        <w:t xml:space="preserve"> content of the glass and plotted against the B content (in ppm). The result is a single linear array (r</w:t>
      </w:r>
      <w:r w:rsidRPr="003001C9">
        <w:rPr>
          <w:rFonts w:cs="Times New Roman"/>
          <w:vertAlign w:val="superscript"/>
        </w:rPr>
        <w:t>2</w:t>
      </w:r>
      <w:r w:rsidRPr="003001C9">
        <w:rPr>
          <w:rFonts w:cs="Times New Roman"/>
        </w:rPr>
        <w:t xml:space="preserve"> = 0.99) through the data (Fig. </w:t>
      </w:r>
      <w:r w:rsidR="00815F07">
        <w:rPr>
          <w:rFonts w:cs="Times New Roman"/>
        </w:rPr>
        <w:t>3-</w:t>
      </w:r>
      <w:r w:rsidRPr="003001C9">
        <w:rPr>
          <w:rFonts w:cs="Times New Roman"/>
        </w:rPr>
        <w:t>1).</w:t>
      </w:r>
    </w:p>
    <w:p w:rsidR="00665C0F" w:rsidRPr="00A03F13" w:rsidRDefault="00665C0F" w:rsidP="00A03F13">
      <w:pPr>
        <w:pStyle w:val="Heading2"/>
        <w:spacing w:line="480" w:lineRule="auto"/>
        <w:rPr>
          <w:rFonts w:cs="Times New Roman"/>
          <w:sz w:val="24"/>
        </w:rPr>
      </w:pPr>
      <w:bookmarkStart w:id="81" w:name="_Toc491246015"/>
      <w:r w:rsidRPr="00A03F13">
        <w:rPr>
          <w:rFonts w:cs="Times New Roman"/>
          <w:sz w:val="24"/>
        </w:rPr>
        <w:t>3. Calculation of a diffusion coefficient from concentration-distance profiles</w:t>
      </w:r>
      <w:bookmarkEnd w:id="81"/>
    </w:p>
    <w:p w:rsidR="00665C0F" w:rsidRDefault="00665C0F" w:rsidP="00A03F13">
      <w:pPr>
        <w:pStyle w:val="Heading3"/>
        <w:spacing w:line="480" w:lineRule="auto"/>
        <w:rPr>
          <w:rFonts w:cs="Times New Roman"/>
        </w:rPr>
      </w:pPr>
      <w:bookmarkStart w:id="82" w:name="_Toc491246016"/>
      <w:r>
        <w:rPr>
          <w:rFonts w:cs="Times New Roman"/>
        </w:rPr>
        <w:t>3.1</w:t>
      </w:r>
      <w:r w:rsidR="00A03F13">
        <w:rPr>
          <w:rFonts w:cs="Times New Roman"/>
        </w:rPr>
        <w:t>.</w:t>
      </w:r>
      <w:r>
        <w:rPr>
          <w:rFonts w:cs="Times New Roman"/>
        </w:rPr>
        <w:t xml:space="preserve"> Pertinent diffusion terminology</w:t>
      </w:r>
      <w:bookmarkEnd w:id="82"/>
    </w:p>
    <w:p w:rsidR="00665C0F" w:rsidRDefault="00665C0F" w:rsidP="00665C0F">
      <w:pPr>
        <w:spacing w:line="480" w:lineRule="auto"/>
        <w:ind w:firstLine="720"/>
        <w:rPr>
          <w:rFonts w:cs="Times New Roman"/>
        </w:rPr>
      </w:pPr>
      <w:r>
        <w:rPr>
          <w:rFonts w:cs="Times New Roman"/>
        </w:rPr>
        <w:t xml:space="preserve">The experiments were designed to measure the movement of B from B-bearing liquid into B-free liquid, and inter-diffusion of B isotopes between two liquid reservoirs. Chemical gradients exist in the former experiments, whereas, in the latter experiments, </w:t>
      </w:r>
      <w:r>
        <w:rPr>
          <w:rFonts w:cs="Times New Roman"/>
          <w:vertAlign w:val="superscript"/>
        </w:rPr>
        <w:t>10</w:t>
      </w:r>
      <w:r>
        <w:rPr>
          <w:rFonts w:cs="Times New Roman"/>
        </w:rPr>
        <w:t xml:space="preserve">B and </w:t>
      </w:r>
      <w:r>
        <w:rPr>
          <w:rFonts w:cs="Times New Roman"/>
          <w:vertAlign w:val="superscript"/>
        </w:rPr>
        <w:t>11</w:t>
      </w:r>
      <w:r>
        <w:rPr>
          <w:rFonts w:cs="Times New Roman"/>
        </w:rPr>
        <w:t xml:space="preserve">B are exchanged from opposing liquid reservoirs with nearly identical B content. Where chemical gradients do exist, the movement of atoms from the high concentration reservoir to the low concentration reservoir is termed chemical diffusion. Where chemical gradients do not exist, the transfer of isotopes between two reservoirs has been referred to as self-diffusion </w:t>
      </w:r>
      <w:r>
        <w:rPr>
          <w:rFonts w:cs="Times New Roman"/>
        </w:rPr>
        <w:fldChar w:fldCharType="begin" w:fldLock="1"/>
      </w:r>
      <w:r w:rsidR="00266290">
        <w:rPr>
          <w:rFonts w:cs="Times New Roman"/>
        </w:rPr>
        <w:instrText>ADDIN CSL_CITATION { "citationItems" : [ { "id" : "ITEM-1", "itemData" : { "author" : [ { "dropping-particle" : "", "family" : "Mungall", "given" : "James E.", "non-dropping-particle" : "", "parse-names" : false, "suffix" : "" }, { "dropping-particle" : "", "family" : "Dingwell", "given" : "Donald B.", "non-dropping-particle" : "", "parse-names" : false, "suffix" : "" }, { "dropping-particle" : "", "family" : "Chaussidon", "given" : "Marc", "non-dropping-particle" : "", "parse-names" : false, "suffix" : "" } ], "container-title" : "Geochimica et Cosmochimica Acta", "id" : "ITEM-1", "issue" : "17", "issued" : { "date-parts" : [ [ "1999" ] ] }, "page" : "2599-2610", "title" : "Chemical diffusivites of 18 trace elements in granitoid melts", "type" : "article-journal", "volume" : "63" }, "uris" : [ "http://www.mendeley.com/documents/?uuid=86874a2e-b540-4dfb-a11f-fcc86b997204" ] } ], "mendeley" : { "formattedCitation" : "(Mungall et al., 1999)", "plainTextFormattedCitation" : "(Mungall et al., 1999)", "previouslyFormattedCitation" : "(Mungall et al. 1999)" }, "properties" : { "noteIndex" : 0 }, "schema" : "https://github.com/citation-style-language/schema/raw/master/csl-citation.json" }</w:instrText>
      </w:r>
      <w:r>
        <w:rPr>
          <w:rFonts w:cs="Times New Roman"/>
        </w:rPr>
        <w:fldChar w:fldCharType="separate"/>
      </w:r>
      <w:r w:rsidR="00266290" w:rsidRPr="00266290">
        <w:rPr>
          <w:rFonts w:cs="Times New Roman"/>
          <w:noProof/>
        </w:rPr>
        <w:t>(Mungall et al., 1999)</w:t>
      </w:r>
      <w:r>
        <w:rPr>
          <w:rFonts w:cs="Times New Roman"/>
        </w:rPr>
        <w:fldChar w:fldCharType="end"/>
      </w:r>
      <w:r>
        <w:rPr>
          <w:rFonts w:cs="Times New Roman"/>
        </w:rPr>
        <w:t xml:space="preserve">. </w:t>
      </w:r>
    </w:p>
    <w:p w:rsidR="00665C0F" w:rsidRDefault="00665C0F" w:rsidP="00665C0F">
      <w:pPr>
        <w:spacing w:line="480" w:lineRule="auto"/>
        <w:ind w:firstLine="720"/>
        <w:rPr>
          <w:rFonts w:cs="Times New Roman"/>
        </w:rPr>
      </w:pPr>
      <w:r>
        <w:rPr>
          <w:rFonts w:cs="Times New Roman"/>
        </w:rPr>
        <w:t>Diffusion coefficients can be calculated from concentration versus distance profiles in chemical- and self-diffusion experiments. However, selecting the proper model by which to effectively describe concentration-distance data depends on whether diffusion of the element of interest is associated with other elements (multi-component diffusion), or only the single element in question (binary diffusion). W</w:t>
      </w:r>
      <w:r w:rsidRPr="007C34FC">
        <w:rPr>
          <w:rFonts w:cs="Times New Roman"/>
        </w:rPr>
        <w:t xml:space="preserve">e elected to treat the diffusion of B in terms of </w:t>
      </w:r>
      <w:r>
        <w:rPr>
          <w:rFonts w:cs="Times New Roman"/>
        </w:rPr>
        <w:t xml:space="preserve">a </w:t>
      </w:r>
      <w:r w:rsidRPr="007C34FC">
        <w:rPr>
          <w:rFonts w:cs="Times New Roman"/>
        </w:rPr>
        <w:t>binary diffusion</w:t>
      </w:r>
      <w:r>
        <w:rPr>
          <w:rFonts w:cs="Times New Roman"/>
        </w:rPr>
        <w:t xml:space="preserve"> problem because, aside from B content, the major element compositions of each starting material glass are similar to one another</w:t>
      </w:r>
      <w:r w:rsidRPr="007C34FC">
        <w:rPr>
          <w:rFonts w:cs="Times New Roman"/>
        </w:rPr>
        <w:t>.</w:t>
      </w:r>
    </w:p>
    <w:p w:rsidR="00665C0F" w:rsidRDefault="00665C0F" w:rsidP="00A03F13">
      <w:pPr>
        <w:pStyle w:val="Heading3"/>
        <w:spacing w:line="480" w:lineRule="auto"/>
        <w:rPr>
          <w:rFonts w:cs="Times New Roman"/>
        </w:rPr>
      </w:pPr>
      <w:bookmarkStart w:id="83" w:name="_Toc491246017"/>
      <w:r>
        <w:rPr>
          <w:rFonts w:cs="Times New Roman"/>
        </w:rPr>
        <w:lastRenderedPageBreak/>
        <w:t>3.2</w:t>
      </w:r>
      <w:r w:rsidR="00A03F13">
        <w:rPr>
          <w:rFonts w:cs="Times New Roman"/>
        </w:rPr>
        <w:t>.</w:t>
      </w:r>
      <w:r>
        <w:rPr>
          <w:rFonts w:cs="Times New Roman"/>
        </w:rPr>
        <w:t xml:space="preserve"> Pertinent diffusion equations</w:t>
      </w:r>
      <w:bookmarkEnd w:id="83"/>
      <w:r>
        <w:rPr>
          <w:rFonts w:cs="Times New Roman"/>
        </w:rPr>
        <w:t xml:space="preserve"> </w:t>
      </w:r>
    </w:p>
    <w:p w:rsidR="00665C0F" w:rsidRPr="006F4E25" w:rsidRDefault="00665C0F" w:rsidP="00665C0F">
      <w:pPr>
        <w:spacing w:line="480" w:lineRule="auto"/>
        <w:ind w:firstLine="720"/>
        <w:rPr>
          <w:rFonts w:cs="Times New Roman"/>
        </w:rPr>
      </w:pPr>
      <w:r>
        <w:rPr>
          <w:rFonts w:cs="Times New Roman"/>
        </w:rPr>
        <w:t xml:space="preserve">Effective binary (chemical) diffusion and self-diffusion coefficients are calculated from concentration-distance profiles using the inverse error function (1) and Boltzman-Matano (2) equations </w:t>
      </w:r>
      <w:r>
        <w:rPr>
          <w:rFonts w:cs="Times New Roman"/>
        </w:rPr>
        <w:fldChar w:fldCharType="begin" w:fldLock="1"/>
      </w:r>
      <w:r w:rsidR="00266290">
        <w:rPr>
          <w:rFonts w:cs="Times New Roman"/>
        </w:rPr>
        <w:instrText>ADDIN CSL_CITATION { "citationItems" : [ { "id" : "ITEM-1", "itemData" : { "author" : [ { "dropping-particle" : "", "family" : "Crank", "given" : "J.", "non-dropping-particle" : "", "parse-names" : false, "suffix" : "" } ], "id" : "ITEM-1", "issued" : { "date-parts" : [ [ "1975" ] ] }, "publisher" : "Oxford University Press", "title" : "The Mathematics of Diffusion", "type" : "book" }, "uris" : [ "http://www.mendeley.com/documents/?uuid=f115a17a-96df-4f05-b06b-a8a7e6a44976", "http://www.mendeley.com/documents/?uuid=d55af41c-b8c4-45dd-80b8-02b9135f1d6d" ] } ], "mendeley" : { "formattedCitation" : "(Crank, 1975)", "plainTextFormattedCitation" : "(Crank, 1975)", "previouslyFormattedCitation" : "(Crank 1975)" }, "properties" : { "noteIndex" : 0 }, "schema" : "https://github.com/citation-style-language/schema/raw/master/csl-citation.json" }</w:instrText>
      </w:r>
      <w:r>
        <w:rPr>
          <w:rFonts w:cs="Times New Roman"/>
        </w:rPr>
        <w:fldChar w:fldCharType="separate"/>
      </w:r>
      <w:r w:rsidR="00266290" w:rsidRPr="00266290">
        <w:rPr>
          <w:rFonts w:cs="Times New Roman"/>
          <w:noProof/>
        </w:rPr>
        <w:t>(Crank, 1975)</w:t>
      </w:r>
      <w:r>
        <w:rPr>
          <w:rFonts w:cs="Times New Roman"/>
        </w:rPr>
        <w:fldChar w:fldCharType="end"/>
      </w:r>
      <w:r>
        <w:rPr>
          <w:rFonts w:cs="Times New Roman"/>
        </w:rPr>
        <w:t xml:space="preserve">. </w:t>
      </w:r>
    </w:p>
    <w:p w:rsidR="00665C0F" w:rsidRDefault="00665C0F" w:rsidP="00665C0F">
      <w:pPr>
        <w:pStyle w:val="ListParagraph"/>
        <w:numPr>
          <w:ilvl w:val="0"/>
          <w:numId w:val="16"/>
        </w:numPr>
        <w:spacing w:after="0" w:line="480" w:lineRule="auto"/>
        <w:ind w:left="360"/>
        <w:contextualSpacing w:val="0"/>
        <w:jc w:val="center"/>
        <w:rPr>
          <w:rFonts w:cs="Times New Roman"/>
        </w:rPr>
      </w:pPr>
      <m:oMath>
        <m:r>
          <w:rPr>
            <w:rFonts w:ascii="Cambria Math" w:hAnsi="Cambria Math" w:cs="Times New Roman"/>
          </w:rPr>
          <m:t>C=</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O</m:t>
            </m:r>
          </m:sub>
        </m:sSub>
        <m:r>
          <w:rPr>
            <w:rFonts w:ascii="Cambria Math" w:hAnsi="Cambria Math" w:cs="Times New Roman"/>
          </w:rPr>
          <m:t>erfc</m:t>
        </m:r>
        <m:f>
          <m:fPr>
            <m:ctrlPr>
              <w:rPr>
                <w:rFonts w:ascii="Cambria Math" w:hAnsi="Cambria Math" w:cs="Times New Roman"/>
                <w:i/>
              </w:rPr>
            </m:ctrlPr>
          </m:fPr>
          <m:num>
            <m:r>
              <w:rPr>
                <w:rFonts w:ascii="Cambria Math" w:hAnsi="Cambria Math" w:cs="Times New Roman"/>
              </w:rPr>
              <m:t>x</m:t>
            </m:r>
          </m:num>
          <m:den>
            <m:r>
              <w:rPr>
                <w:rFonts w:ascii="Cambria Math" w:hAnsi="Cambria Math" w:cs="Times New Roman"/>
              </w:rPr>
              <m:t>2√(Dt)</m:t>
            </m:r>
          </m:den>
        </m:f>
      </m:oMath>
    </w:p>
    <w:p w:rsidR="00665C0F" w:rsidRPr="006F4E25" w:rsidRDefault="00B920BD" w:rsidP="00665C0F">
      <w:pPr>
        <w:pStyle w:val="ListParagraph"/>
        <w:numPr>
          <w:ilvl w:val="0"/>
          <w:numId w:val="16"/>
        </w:numPr>
        <w:spacing w:after="0" w:line="480" w:lineRule="auto"/>
        <w:ind w:left="360"/>
        <w:contextualSpacing w:val="0"/>
        <w:jc w:val="center"/>
        <w:rPr>
          <w:rFonts w:cs="Times New Roman"/>
        </w:rPr>
      </w:pPr>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C=C1</m:t>
            </m:r>
          </m:sub>
        </m:sSub>
        <m:r>
          <w:rPr>
            <w:rFonts w:ascii="Cambria Math" w:hAnsi="Cambria Math" w:cs="Times New Roman"/>
          </w:rPr>
          <m:t>=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2t</m:t>
            </m:r>
          </m:den>
        </m:f>
        <m:f>
          <m:fPr>
            <m:ctrlPr>
              <w:rPr>
                <w:rFonts w:ascii="Cambria Math" w:hAnsi="Cambria Math" w:cs="Times New Roman"/>
                <w:i/>
              </w:rPr>
            </m:ctrlPr>
          </m:fPr>
          <m:num>
            <m:r>
              <w:rPr>
                <w:rFonts w:ascii="Cambria Math" w:hAnsi="Cambria Math" w:cs="Times New Roman"/>
              </w:rPr>
              <m:t>dx</m:t>
            </m:r>
          </m:num>
          <m:den>
            <m:r>
              <w:rPr>
                <w:rFonts w:ascii="Cambria Math" w:hAnsi="Cambria Math" w:cs="Times New Roman"/>
              </w:rPr>
              <m:t>dC</m:t>
            </m:r>
          </m:den>
        </m:f>
        <m:nary>
          <m:naryPr>
            <m:limLoc m:val="subSup"/>
            <m:ctrlPr>
              <w:rPr>
                <w:rFonts w:ascii="Cambria Math" w:hAnsi="Cambria Math" w:cs="Times New Roman"/>
                <w:i/>
              </w:rPr>
            </m:ctrlPr>
          </m:naryPr>
          <m:sub>
            <m:r>
              <w:rPr>
                <w:rFonts w:ascii="Cambria Math" w:hAnsi="Cambria Math" w:cs="Times New Roman"/>
              </w:rPr>
              <m:t>0</m:t>
            </m:r>
          </m:sub>
          <m:sup>
            <m:r>
              <w:rPr>
                <w:rFonts w:ascii="Cambria Math" w:hAnsi="Cambria Math" w:cs="Times New Roman"/>
              </w:rPr>
              <m:t>C1</m:t>
            </m:r>
          </m:sup>
          <m:e>
            <m:r>
              <w:rPr>
                <w:rFonts w:ascii="Cambria Math" w:hAnsi="Cambria Math" w:cs="Times New Roman"/>
              </w:rPr>
              <m:t>xdC</m:t>
            </m:r>
          </m:e>
        </m:nary>
      </m:oMath>
    </w:p>
    <w:p w:rsidR="00665C0F" w:rsidRDefault="00665C0F" w:rsidP="00665C0F">
      <w:pPr>
        <w:spacing w:line="480" w:lineRule="auto"/>
        <w:rPr>
          <w:rFonts w:cs="Times New Roman"/>
        </w:rPr>
      </w:pPr>
      <w:r>
        <w:rPr>
          <w:rFonts w:cs="Times New Roman"/>
        </w:rPr>
        <w:t>The following conditions must be met to obtain accurate solutions to each equation: (1) the concentration of the diffusing component (diffusant) must remain constant, i.e. at its starting concentration, in the melt region at the beginning of the diffusion profile, and (2) the concentration of the diffusant must attain background levels before reaching the end of the diffusant-free melt region. The durations of experiments in this study were short enough to prevent complete equilibration of B throughout the melt region, but long enough to produce concentration-distance profiles with sufficient length to produce accurate models.</w:t>
      </w:r>
    </w:p>
    <w:p w:rsidR="00665C0F" w:rsidRDefault="00665C0F" w:rsidP="00665C0F">
      <w:pPr>
        <w:spacing w:line="480" w:lineRule="auto"/>
        <w:ind w:firstLine="720"/>
        <w:rPr>
          <w:rFonts w:cs="Times New Roman"/>
        </w:rPr>
      </w:pPr>
      <w:r>
        <w:rPr>
          <w:rFonts w:cs="Times New Roman"/>
        </w:rPr>
        <w:t>The inverse error function and Boltzman-Matano equations differ in that the former does not account for changes in diffusivity as a function of the concentration of the diffusant. If the diffusant changes the properties of the liquid in ways that influence its diffusivity, then the Bolzman-Matano equation provides a more accurate numerical representation of the diffusion coefficient. For the Boltzman-Matano solution, all concentration-distance data were fit to the mathematical expression that most closely matches the data. All concentration-distance profiles were fit to 3</w:t>
      </w:r>
      <w:r w:rsidRPr="003B6E8C">
        <w:rPr>
          <w:rFonts w:cs="Times New Roman"/>
          <w:vertAlign w:val="superscript"/>
        </w:rPr>
        <w:t>rd</w:t>
      </w:r>
      <w:r>
        <w:rPr>
          <w:rFonts w:cs="Times New Roman"/>
        </w:rPr>
        <w:t xml:space="preserve">-order polynomial expressions, which produced high correlation coefficients between the modeled and </w:t>
      </w:r>
      <w:r>
        <w:rPr>
          <w:rFonts w:cs="Times New Roman"/>
        </w:rPr>
        <w:lastRenderedPageBreak/>
        <w:t>measured data (r</w:t>
      </w:r>
      <w:r>
        <w:rPr>
          <w:rFonts w:cs="Times New Roman"/>
          <w:vertAlign w:val="superscript"/>
        </w:rPr>
        <w:t>2</w:t>
      </w:r>
      <w:r>
        <w:rPr>
          <w:rFonts w:cs="Times New Roman"/>
        </w:rPr>
        <w:t xml:space="preserve"> &gt; 0.94). The inverse error function was solved by making trial-and-error estimations of a diffusion coefficient until the calculated concentration-distance profile closely matched the measured data. A goodness-of-fit statistical evaluation allows comparison of the calculated and measured concentration-distance profiles, which provides an unbiased means by which a diffusion coefficient could be selected to solve the inverse error function equation.</w:t>
      </w:r>
    </w:p>
    <w:p w:rsidR="00665C0F" w:rsidRPr="00A03F13" w:rsidRDefault="00665C0F" w:rsidP="00A03F13">
      <w:pPr>
        <w:pStyle w:val="Heading2"/>
        <w:spacing w:line="480" w:lineRule="auto"/>
        <w:rPr>
          <w:rFonts w:cs="Times New Roman"/>
          <w:sz w:val="24"/>
        </w:rPr>
      </w:pPr>
      <w:bookmarkStart w:id="84" w:name="_Toc491246018"/>
      <w:r w:rsidRPr="00A03F13">
        <w:rPr>
          <w:rFonts w:cs="Times New Roman"/>
          <w:sz w:val="24"/>
        </w:rPr>
        <w:t>4. Results</w:t>
      </w:r>
      <w:bookmarkEnd w:id="84"/>
    </w:p>
    <w:p w:rsidR="00665C0F" w:rsidRPr="00546121" w:rsidRDefault="00665C0F" w:rsidP="00A03F13">
      <w:pPr>
        <w:pStyle w:val="Heading3"/>
        <w:spacing w:line="480" w:lineRule="auto"/>
        <w:rPr>
          <w:rFonts w:cs="Times New Roman"/>
        </w:rPr>
      </w:pPr>
      <w:bookmarkStart w:id="85" w:name="_Toc491246019"/>
      <w:r>
        <w:rPr>
          <w:rFonts w:cs="Times New Roman"/>
        </w:rPr>
        <w:t>4.1. Chemical compositions of glasses</w:t>
      </w:r>
      <w:bookmarkEnd w:id="85"/>
    </w:p>
    <w:p w:rsidR="00665C0F" w:rsidRDefault="00665C0F" w:rsidP="00665C0F">
      <w:pPr>
        <w:spacing w:line="480" w:lineRule="auto"/>
        <w:ind w:firstLine="720"/>
        <w:rPr>
          <w:rFonts w:cs="Times New Roman"/>
        </w:rPr>
      </w:pPr>
      <w:r w:rsidRPr="003B2BF8">
        <w:rPr>
          <w:rFonts w:cs="Times New Roman"/>
        </w:rPr>
        <w:t xml:space="preserve">The concentrations of </w:t>
      </w:r>
      <w:r>
        <w:rPr>
          <w:rFonts w:cs="Times New Roman"/>
        </w:rPr>
        <w:t>Al</w:t>
      </w:r>
      <w:r>
        <w:rPr>
          <w:rFonts w:cs="Times New Roman"/>
          <w:vertAlign w:val="subscript"/>
        </w:rPr>
        <w:t>2</w:t>
      </w:r>
      <w:r>
        <w:rPr>
          <w:rFonts w:cs="Times New Roman"/>
        </w:rPr>
        <w:t>O</w:t>
      </w:r>
      <w:r>
        <w:rPr>
          <w:rFonts w:cs="Times New Roman"/>
          <w:vertAlign w:val="subscript"/>
        </w:rPr>
        <w:t>3</w:t>
      </w:r>
      <w:r>
        <w:rPr>
          <w:rFonts w:cs="Times New Roman"/>
        </w:rPr>
        <w:t>, Na</w:t>
      </w:r>
      <w:r>
        <w:rPr>
          <w:rFonts w:cs="Times New Roman"/>
          <w:vertAlign w:val="subscript"/>
        </w:rPr>
        <w:t>2</w:t>
      </w:r>
      <w:r>
        <w:rPr>
          <w:rFonts w:cs="Times New Roman"/>
        </w:rPr>
        <w:t>O, and K</w:t>
      </w:r>
      <w:r>
        <w:rPr>
          <w:rFonts w:cs="Times New Roman"/>
          <w:vertAlign w:val="subscript"/>
        </w:rPr>
        <w:t>2</w:t>
      </w:r>
      <w:r>
        <w:rPr>
          <w:rFonts w:cs="Times New Roman"/>
        </w:rPr>
        <w:t xml:space="preserve">O </w:t>
      </w:r>
      <w:r w:rsidRPr="003B2BF8">
        <w:rPr>
          <w:rFonts w:cs="Times New Roman"/>
        </w:rPr>
        <w:t xml:space="preserve">are constant </w:t>
      </w:r>
      <w:r>
        <w:rPr>
          <w:rFonts w:cs="Times New Roman"/>
        </w:rPr>
        <w:t xml:space="preserve">within measurement by EMPA </w:t>
      </w:r>
      <w:r w:rsidRPr="003B2BF8">
        <w:rPr>
          <w:rFonts w:cs="Times New Roman"/>
        </w:rPr>
        <w:t>across each diffusion profile</w:t>
      </w:r>
      <w:r>
        <w:rPr>
          <w:rFonts w:cs="Times New Roman"/>
        </w:rPr>
        <w:t xml:space="preserve"> (Figures </w:t>
      </w:r>
      <w:r w:rsidR="00815F07">
        <w:rPr>
          <w:rFonts w:cs="Times New Roman"/>
        </w:rPr>
        <w:t>3-</w:t>
      </w:r>
      <w:r>
        <w:rPr>
          <w:rFonts w:cs="Times New Roman"/>
        </w:rPr>
        <w:t xml:space="preserve">2 and </w:t>
      </w:r>
      <w:r w:rsidR="00815F07">
        <w:rPr>
          <w:rFonts w:cs="Times New Roman"/>
        </w:rPr>
        <w:t>3-</w:t>
      </w:r>
      <w:r>
        <w:rPr>
          <w:rFonts w:cs="Times New Roman"/>
        </w:rPr>
        <w:t>3)</w:t>
      </w:r>
      <w:r w:rsidRPr="003B2BF8">
        <w:rPr>
          <w:rFonts w:cs="Times New Roman"/>
        </w:rPr>
        <w:t xml:space="preserve">. </w:t>
      </w:r>
      <w:r>
        <w:rPr>
          <w:rFonts w:cs="Times New Roman"/>
        </w:rPr>
        <w:t>The concentration of SiO</w:t>
      </w:r>
      <w:r>
        <w:rPr>
          <w:rFonts w:cs="Times New Roman"/>
          <w:vertAlign w:val="subscript"/>
        </w:rPr>
        <w:t>2</w:t>
      </w:r>
      <w:r>
        <w:rPr>
          <w:rFonts w:cs="Times New Roman"/>
        </w:rPr>
        <w:t xml:space="preserve">, however, decreases into the high-B melt region (Figure </w:t>
      </w:r>
      <w:r w:rsidR="00815F07">
        <w:rPr>
          <w:rFonts w:cs="Times New Roman"/>
        </w:rPr>
        <w:t>3-</w:t>
      </w:r>
      <w:r>
        <w:rPr>
          <w:rFonts w:cs="Times New Roman"/>
        </w:rPr>
        <w:t xml:space="preserve">2 and </w:t>
      </w:r>
      <w:r w:rsidR="00815F07">
        <w:rPr>
          <w:rFonts w:cs="Times New Roman"/>
        </w:rPr>
        <w:t>3-</w:t>
      </w:r>
      <w:r>
        <w:rPr>
          <w:rFonts w:cs="Times New Roman"/>
        </w:rPr>
        <w:t>3). Note that the initial concentrations of SiO</w:t>
      </w:r>
      <w:r>
        <w:rPr>
          <w:rFonts w:cs="Times New Roman"/>
          <w:vertAlign w:val="subscript"/>
        </w:rPr>
        <w:t>2</w:t>
      </w:r>
      <w:r>
        <w:rPr>
          <w:rFonts w:cs="Times New Roman"/>
        </w:rPr>
        <w:t xml:space="preserve"> in the HGB5 and HG glasses (Table </w:t>
      </w:r>
      <w:r w:rsidR="0083401A">
        <w:rPr>
          <w:rFonts w:cs="Times New Roman"/>
        </w:rPr>
        <w:t>3-</w:t>
      </w:r>
      <w:r>
        <w:rPr>
          <w:rFonts w:cs="Times New Roman"/>
        </w:rPr>
        <w:t>1) are not the same. Therefore, the difference in the concentration of SiO</w:t>
      </w:r>
      <w:r>
        <w:rPr>
          <w:rFonts w:cs="Times New Roman"/>
          <w:vertAlign w:val="subscript"/>
        </w:rPr>
        <w:t>2</w:t>
      </w:r>
      <w:r>
        <w:rPr>
          <w:rFonts w:cs="Times New Roman"/>
        </w:rPr>
        <w:t xml:space="preserve"> from one melt region to another is controlled by differences in the initial concentrations of SiO</w:t>
      </w:r>
      <w:r>
        <w:rPr>
          <w:rFonts w:cs="Times New Roman"/>
          <w:vertAlign w:val="subscript"/>
        </w:rPr>
        <w:t>2</w:t>
      </w:r>
      <w:r>
        <w:rPr>
          <w:rFonts w:cs="Times New Roman"/>
        </w:rPr>
        <w:t xml:space="preserve"> in each starting material (i.e. not a result of multi-component diffusion).</w:t>
      </w:r>
    </w:p>
    <w:p w:rsidR="00665C0F" w:rsidRDefault="00665C0F" w:rsidP="00665C0F">
      <w:pPr>
        <w:spacing w:line="480" w:lineRule="auto"/>
        <w:ind w:firstLine="720"/>
        <w:rPr>
          <w:rFonts w:cs="Times New Roman"/>
        </w:rPr>
      </w:pPr>
      <w:r w:rsidRPr="003B2BF8">
        <w:rPr>
          <w:rFonts w:cs="Times New Roman"/>
        </w:rPr>
        <w:t>The water (H</w:t>
      </w:r>
      <w:r w:rsidRPr="003B2BF8">
        <w:rPr>
          <w:rFonts w:cs="Times New Roman"/>
          <w:vertAlign w:val="subscript"/>
        </w:rPr>
        <w:t>2</w:t>
      </w:r>
      <w:r w:rsidRPr="003B2BF8">
        <w:rPr>
          <w:rFonts w:cs="Times New Roman"/>
        </w:rPr>
        <w:t>O) content of each glass, as determined by difference of EMPA totals from 100%, is zero for the single anhydrous exp</w:t>
      </w:r>
      <w:r>
        <w:rPr>
          <w:rFonts w:cs="Times New Roman"/>
        </w:rPr>
        <w:t>eriment and between ~ 6 and 8 wt</w:t>
      </w:r>
      <w:r w:rsidRPr="003B2BF8">
        <w:rPr>
          <w:rFonts w:cs="Times New Roman"/>
        </w:rPr>
        <w:t xml:space="preserve">% </w:t>
      </w:r>
      <w:r>
        <w:rPr>
          <w:rFonts w:cs="Times New Roman"/>
        </w:rPr>
        <w:t>in hydrous experiments</w:t>
      </w:r>
      <w:r w:rsidRPr="003B2BF8">
        <w:rPr>
          <w:rFonts w:cs="Times New Roman"/>
        </w:rPr>
        <w:t xml:space="preserve">. </w:t>
      </w:r>
      <w:r>
        <w:rPr>
          <w:rFonts w:cs="Times New Roman"/>
        </w:rPr>
        <w:t>A gradient in</w:t>
      </w:r>
      <w:r w:rsidRPr="003B2BF8">
        <w:rPr>
          <w:rFonts w:cs="Times New Roman"/>
        </w:rPr>
        <w:t xml:space="preserve"> water content </w:t>
      </w:r>
      <w:r>
        <w:rPr>
          <w:rFonts w:cs="Times New Roman"/>
        </w:rPr>
        <w:t xml:space="preserve">was observed in one experiment (CGB91: Figure </w:t>
      </w:r>
      <w:r w:rsidR="00815F07">
        <w:rPr>
          <w:rFonts w:cs="Times New Roman"/>
        </w:rPr>
        <w:t>3-</w:t>
      </w:r>
      <w:r>
        <w:rPr>
          <w:rFonts w:cs="Times New Roman"/>
        </w:rPr>
        <w:t>2); however, this is most likely a result of small differences in the amount of water added to glass cores during the pre-hydration step</w:t>
      </w:r>
      <w:r w:rsidRPr="003B2BF8">
        <w:rPr>
          <w:rFonts w:cs="Times New Roman"/>
        </w:rPr>
        <w:t xml:space="preserve">. </w:t>
      </w:r>
      <w:r>
        <w:rPr>
          <w:rFonts w:cs="Times New Roman"/>
        </w:rPr>
        <w:t>W</w:t>
      </w:r>
      <w:r w:rsidRPr="003B2BF8">
        <w:rPr>
          <w:rFonts w:cs="Times New Roman"/>
        </w:rPr>
        <w:t>ater was found to be completely homogenized (across ~ 2 mm of glass) in less than 1 hr, and B had not noticeably diffused from one wafer into the other</w:t>
      </w:r>
      <w:r w:rsidR="00475C8F">
        <w:rPr>
          <w:rFonts w:cs="Times New Roman"/>
        </w:rPr>
        <w:t xml:space="preserve"> (CGB34</w:t>
      </w:r>
      <w:r>
        <w:rPr>
          <w:rFonts w:cs="Times New Roman"/>
        </w:rPr>
        <w:t>)</w:t>
      </w:r>
      <w:r w:rsidRPr="003B2BF8">
        <w:rPr>
          <w:rFonts w:cs="Times New Roman"/>
        </w:rPr>
        <w:t xml:space="preserve">. </w:t>
      </w:r>
      <w:r w:rsidRPr="003B2BF8">
        <w:rPr>
          <w:rFonts w:cs="Times New Roman"/>
        </w:rPr>
        <w:lastRenderedPageBreak/>
        <w:t>Therefore, the diffusion of B should not depend on whether glasses began hydrated or were hydrated during the B diffusion experiment.</w:t>
      </w:r>
    </w:p>
    <w:p w:rsidR="00665C0F" w:rsidRDefault="00665C0F" w:rsidP="00A03F13">
      <w:pPr>
        <w:pStyle w:val="Heading3"/>
        <w:spacing w:line="480" w:lineRule="auto"/>
        <w:rPr>
          <w:rFonts w:cs="Times New Roman"/>
        </w:rPr>
      </w:pPr>
      <w:bookmarkStart w:id="86" w:name="_Toc491246020"/>
      <w:r>
        <w:rPr>
          <w:rFonts w:cs="Times New Roman"/>
        </w:rPr>
        <w:t>4.2</w:t>
      </w:r>
      <w:r w:rsidR="00A03F13">
        <w:rPr>
          <w:rFonts w:cs="Times New Roman"/>
        </w:rPr>
        <w:t>.</w:t>
      </w:r>
      <w:r>
        <w:rPr>
          <w:rFonts w:cs="Times New Roman"/>
        </w:rPr>
        <w:t xml:space="preserve"> Directionality of B diffusion</w:t>
      </w:r>
      <w:bookmarkEnd w:id="86"/>
    </w:p>
    <w:p w:rsidR="00665C0F" w:rsidRPr="003B2BF8" w:rsidRDefault="00665C0F" w:rsidP="00665C0F">
      <w:pPr>
        <w:spacing w:line="480" w:lineRule="auto"/>
        <w:ind w:firstLine="720"/>
        <w:rPr>
          <w:rFonts w:cs="Times New Roman"/>
        </w:rPr>
      </w:pPr>
      <w:r>
        <w:rPr>
          <w:rFonts w:cs="Times New Roman"/>
        </w:rPr>
        <w:t xml:space="preserve">Calculation of a diffusion coefficient requires comprehensive knowledge of the direction in which B moves from one region of melt into another. In experiments that used the diffusion-couple design, which includes the chemical- and self-diffusion experiments, measured concentration-distance profiles are very similar in multiple profiles across the two-glass interface. In contrast, concentration-distance profiles measured in experiment CGB2, which did not use the same diffusion-couple design, differ substantially depending on the location of the transect across the glass. For CGB2, the directionality of the diffusion of B was assessed by measuring more than 500 EMPA data points across the half of the glass surface adjacent to the boric acid source. </w:t>
      </w:r>
      <w:r w:rsidRPr="002A5B45">
        <w:rPr>
          <w:rFonts w:cs="Times New Roman"/>
        </w:rPr>
        <w:t>The data</w:t>
      </w:r>
      <w:r>
        <w:rPr>
          <w:rFonts w:cs="Times New Roman"/>
        </w:rPr>
        <w:t xml:space="preserve"> </w:t>
      </w:r>
      <w:r w:rsidRPr="002A5B45">
        <w:rPr>
          <w:rFonts w:cs="Times New Roman"/>
        </w:rPr>
        <w:t>were incorporated into Sigma</w:t>
      </w:r>
      <w:r>
        <w:rPr>
          <w:rFonts w:cs="Times New Roman"/>
        </w:rPr>
        <w:t>Plot 13.0 (Systat Software</w:t>
      </w:r>
      <w:r w:rsidRPr="002A5B45">
        <w:rPr>
          <w:rFonts w:cs="Times New Roman"/>
        </w:rPr>
        <w:t xml:space="preserve">), smoothed using a </w:t>
      </w:r>
      <w:r>
        <w:rPr>
          <w:rFonts w:cs="Times New Roman"/>
        </w:rPr>
        <w:t>locally weight smoothing (</w:t>
      </w:r>
      <w:r w:rsidRPr="00D715FC">
        <w:rPr>
          <w:rFonts w:cs="Times New Roman"/>
        </w:rPr>
        <w:t>LOESS</w:t>
      </w:r>
      <w:r>
        <w:rPr>
          <w:rFonts w:cs="Times New Roman"/>
        </w:rPr>
        <w:t>) method</w:t>
      </w:r>
      <w:r w:rsidRPr="002A5B45">
        <w:rPr>
          <w:rFonts w:cs="Times New Roman"/>
        </w:rPr>
        <w:t xml:space="preserve">, and then plotted </w:t>
      </w:r>
      <w:r>
        <w:rPr>
          <w:rFonts w:cs="Times New Roman"/>
        </w:rPr>
        <w:t>as concentration of B versus the X and Y dimensions of the glass</w:t>
      </w:r>
      <w:r w:rsidRPr="002A5B45">
        <w:rPr>
          <w:rFonts w:cs="Times New Roman"/>
        </w:rPr>
        <w:t xml:space="preserve">. </w:t>
      </w:r>
      <w:r>
        <w:rPr>
          <w:rFonts w:cs="Times New Roman"/>
        </w:rPr>
        <w:t xml:space="preserve">The </w:t>
      </w:r>
      <w:r w:rsidRPr="003001C9">
        <w:rPr>
          <w:rFonts w:cs="Times New Roman"/>
        </w:rPr>
        <w:t xml:space="preserve">data (Figure </w:t>
      </w:r>
      <w:r w:rsidR="00815F07">
        <w:rPr>
          <w:rFonts w:cs="Times New Roman"/>
        </w:rPr>
        <w:t>3-</w:t>
      </w:r>
      <w:r w:rsidRPr="003001C9">
        <w:rPr>
          <w:rFonts w:cs="Times New Roman"/>
        </w:rPr>
        <w:t xml:space="preserve">4) show that B diffused from all sides of the glass (melt) cylinder. Moreover, it is clear from the data in Figure </w:t>
      </w:r>
      <w:r w:rsidR="00815F07">
        <w:rPr>
          <w:rFonts w:cs="Times New Roman"/>
        </w:rPr>
        <w:t>3-</w:t>
      </w:r>
      <w:r w:rsidRPr="003001C9">
        <w:rPr>
          <w:rFonts w:cs="Times New Roman"/>
        </w:rPr>
        <w:t>4 that the distance B moved through melt from the cylinder walls is shorter than from the end of the</w:t>
      </w:r>
      <w:r>
        <w:rPr>
          <w:rFonts w:cs="Times New Roman"/>
        </w:rPr>
        <w:t xml:space="preserve"> core. Therefore, for experiment CGB2, w</w:t>
      </w:r>
      <w:r w:rsidRPr="002A5B45">
        <w:rPr>
          <w:rFonts w:cs="Times New Roman"/>
        </w:rPr>
        <w:t>e chose to use data from a profile down the center of the glass along its long axis</w:t>
      </w:r>
      <w:r>
        <w:rPr>
          <w:rFonts w:cs="Times New Roman"/>
        </w:rPr>
        <w:t>,</w:t>
      </w:r>
      <w:r w:rsidRPr="002A5B45">
        <w:rPr>
          <w:rFonts w:cs="Times New Roman"/>
        </w:rPr>
        <w:t xml:space="preserve"> the same </w:t>
      </w:r>
      <w:r>
        <w:rPr>
          <w:rFonts w:cs="Times New Roman"/>
        </w:rPr>
        <w:t xml:space="preserve">direction of </w:t>
      </w:r>
      <w:r w:rsidRPr="002A5B45">
        <w:rPr>
          <w:rFonts w:cs="Times New Roman"/>
        </w:rPr>
        <w:t>prof</w:t>
      </w:r>
      <w:r>
        <w:rPr>
          <w:rFonts w:cs="Times New Roman"/>
        </w:rPr>
        <w:t xml:space="preserve">ile utilized by </w:t>
      </w:r>
      <w:r>
        <w:rPr>
          <w:rFonts w:cs="Times New Roman"/>
        </w:rPr>
        <w:fldChar w:fldCharType="begin" w:fldLock="1"/>
      </w:r>
      <w:r w:rsidR="00266290">
        <w:rPr>
          <w:rFonts w:cs="Times New Roman"/>
        </w:rPr>
        <w:instrText>ADDIN CSL_CITATION { "citationItems" : [ { "id" : "ITEM-1", "itemData" : { "DOI" : "10.3749/canmin.47.4.697", "ISSN" : "00084476", "abstract" : "abstract Many granitic pegmatites contain two textural domains. Anisotropic textures of the outer zones, including fine-grained units, graphic intergrowths, and unidirectional solidification textures, are dominated by the effects of liquidus undercooling. The coarse, blocky textures of the interior zones result mostly from the accumulation of fluxes that enhance the diffusion of Al and of Si. Those fluxes are likely to become enriched in a boundary-layer liquid that forms at the growth front of crystals. Experiments that entail the dissolution of acid solutions of H 3 BO 3 , H 3 PO 4 and HF into haplogranite glass at 800\u00b0C and 200 MPa serve as model subsystems for the boundary-layer liquid in granitic pegmatites. When the fluxes are added as acidic components, they promote an increase in the H 2 O content of granitic melts via a melt-speciation reaction, M +", "author" : [ { "dropping-particle" : "", "family" : "London", "given" : "David", "non-dropping-particle" : "", "parse-names" : false, "suffix" : "" } ], "container-title" : "Canadian Mineralogist", "id" : "ITEM-1", "issue" : "4", "issued" : { "date-parts" : [ [ "2009" ] ] }, "page" : "697-724", "title" : "The origin of primary textures in granitic pegmatites", "type" : "article-journal", "volume" : "47" }, "uris" : [ "http://www.mendeley.com/documents/?uuid=e5f39597-1738-43fb-a77c-571e491ee42d" ] } ], "mendeley" : { "formattedCitation" : "(London, 2009)", "manualFormatting" : "London (2009)", "plainTextFormattedCitation" : "(London, 2009)", "previouslyFormattedCitation" : "(London 2009)" }, "properties" : { "noteIndex" : 0 }, "schema" : "https://github.com/citation-style-language/schema/raw/master/csl-citation.json" }</w:instrText>
      </w:r>
      <w:r>
        <w:rPr>
          <w:rFonts w:cs="Times New Roman"/>
        </w:rPr>
        <w:fldChar w:fldCharType="separate"/>
      </w:r>
      <w:r>
        <w:rPr>
          <w:rFonts w:cs="Times New Roman"/>
          <w:noProof/>
        </w:rPr>
        <w:t>London (</w:t>
      </w:r>
      <w:r w:rsidRPr="00DC2AB1">
        <w:rPr>
          <w:rFonts w:cs="Times New Roman"/>
          <w:noProof/>
        </w:rPr>
        <w:t>2009)</w:t>
      </w:r>
      <w:r>
        <w:rPr>
          <w:rFonts w:cs="Times New Roman"/>
        </w:rPr>
        <w:fldChar w:fldCharType="end"/>
      </w:r>
      <w:r>
        <w:rPr>
          <w:rFonts w:cs="Times New Roman"/>
        </w:rPr>
        <w:t>.</w:t>
      </w:r>
    </w:p>
    <w:p w:rsidR="00665C0F" w:rsidRDefault="00665C0F" w:rsidP="00A03F13">
      <w:pPr>
        <w:pStyle w:val="Heading3"/>
        <w:spacing w:line="480" w:lineRule="auto"/>
        <w:rPr>
          <w:rFonts w:cs="Times New Roman"/>
        </w:rPr>
      </w:pPr>
      <w:bookmarkStart w:id="87" w:name="_Toc491246021"/>
      <w:r>
        <w:rPr>
          <w:rFonts w:cs="Times New Roman"/>
        </w:rPr>
        <w:t>4.2. Diffusion coefficients for B</w:t>
      </w:r>
      <w:bookmarkEnd w:id="87"/>
    </w:p>
    <w:p w:rsidR="00665C0F" w:rsidRDefault="00665C0F" w:rsidP="00665C0F">
      <w:pPr>
        <w:spacing w:line="480" w:lineRule="auto"/>
        <w:ind w:firstLine="720"/>
        <w:rPr>
          <w:rFonts w:cs="Times New Roman"/>
        </w:rPr>
      </w:pPr>
      <w:r w:rsidRPr="002A5B45">
        <w:rPr>
          <w:rFonts w:cs="Times New Roman"/>
        </w:rPr>
        <w:t>Diffusion coefficients for B</w:t>
      </w:r>
      <w:r>
        <w:rPr>
          <w:rFonts w:cs="Times New Roman"/>
        </w:rPr>
        <w:t xml:space="preserve"> </w:t>
      </w:r>
      <w:r w:rsidRPr="003001C9">
        <w:rPr>
          <w:rFonts w:cs="Times New Roman"/>
        </w:rPr>
        <w:t>are between ~ 10</w:t>
      </w:r>
      <w:r w:rsidRPr="003001C9">
        <w:rPr>
          <w:rFonts w:cs="Times New Roman"/>
          <w:vertAlign w:val="superscript"/>
        </w:rPr>
        <w:t>-13</w:t>
      </w:r>
      <w:r w:rsidRPr="003001C9">
        <w:rPr>
          <w:rFonts w:cs="Times New Roman"/>
        </w:rPr>
        <w:t xml:space="preserve"> m</w:t>
      </w:r>
      <w:r w:rsidRPr="003001C9">
        <w:rPr>
          <w:rFonts w:cs="Times New Roman"/>
          <w:vertAlign w:val="superscript"/>
        </w:rPr>
        <w:t>2</w:t>
      </w:r>
      <w:r w:rsidRPr="003001C9">
        <w:rPr>
          <w:rFonts w:cs="Times New Roman"/>
        </w:rPr>
        <w:t>/s and 10</w:t>
      </w:r>
      <w:r w:rsidRPr="003001C9">
        <w:rPr>
          <w:rFonts w:cs="Times New Roman"/>
          <w:vertAlign w:val="superscript"/>
        </w:rPr>
        <w:t>-14</w:t>
      </w:r>
      <w:r w:rsidRPr="003001C9">
        <w:rPr>
          <w:rFonts w:cs="Times New Roman"/>
        </w:rPr>
        <w:t xml:space="preserve"> m</w:t>
      </w:r>
      <w:r w:rsidRPr="003001C9">
        <w:rPr>
          <w:rFonts w:cs="Times New Roman"/>
          <w:vertAlign w:val="superscript"/>
        </w:rPr>
        <w:t>2</w:t>
      </w:r>
      <w:r w:rsidRPr="003001C9">
        <w:rPr>
          <w:rFonts w:cs="Times New Roman"/>
        </w:rPr>
        <w:t>/s in all experiments (CGB2 and the new experiments presented here) using chemical- and self-</w:t>
      </w:r>
      <w:r w:rsidRPr="003001C9">
        <w:rPr>
          <w:rFonts w:cs="Times New Roman"/>
        </w:rPr>
        <w:lastRenderedPageBreak/>
        <w:t xml:space="preserve">diffusion couples (Table </w:t>
      </w:r>
      <w:r w:rsidR="0083401A">
        <w:rPr>
          <w:rFonts w:cs="Times New Roman"/>
        </w:rPr>
        <w:t>3-</w:t>
      </w:r>
      <w:r w:rsidRPr="003001C9">
        <w:rPr>
          <w:rFonts w:cs="Times New Roman"/>
        </w:rPr>
        <w:t xml:space="preserve">3). Diffusion coefficients calculated using the inverse error function are similar to the slowest (smallest) diffusion coefficients calculated using the Boltzman-Matano equation (Tables </w:t>
      </w:r>
      <w:r w:rsidR="0083401A">
        <w:rPr>
          <w:rFonts w:cs="Times New Roman"/>
        </w:rPr>
        <w:t>3-</w:t>
      </w:r>
      <w:r w:rsidRPr="003001C9">
        <w:rPr>
          <w:rFonts w:cs="Times New Roman"/>
        </w:rPr>
        <w:t xml:space="preserve">3 and </w:t>
      </w:r>
      <w:r w:rsidR="0083401A">
        <w:rPr>
          <w:rFonts w:cs="Times New Roman"/>
        </w:rPr>
        <w:t>3-</w:t>
      </w:r>
      <w:r w:rsidRPr="003001C9">
        <w:rPr>
          <w:rFonts w:cs="Times New Roman"/>
        </w:rPr>
        <w:t xml:space="preserve">4). For instance, as shown in Figure </w:t>
      </w:r>
      <w:r w:rsidR="00815F07">
        <w:rPr>
          <w:rFonts w:cs="Times New Roman"/>
        </w:rPr>
        <w:t>3-</w:t>
      </w:r>
      <w:r w:rsidRPr="003001C9">
        <w:rPr>
          <w:rFonts w:cs="Times New Roman"/>
        </w:rPr>
        <w:t>5 for experiment CGB2, the diffusion coefficient used to solve the inverse error function equation produces the best match to the concentration-distance data toward the left-hand side of the profile. The data on th</w:t>
      </w:r>
      <w:r>
        <w:rPr>
          <w:rFonts w:cs="Times New Roman"/>
        </w:rPr>
        <w:t xml:space="preserve">e left-hand side of Figure </w:t>
      </w:r>
      <w:r w:rsidR="00815F07">
        <w:rPr>
          <w:rFonts w:cs="Times New Roman"/>
        </w:rPr>
        <w:t>3-</w:t>
      </w:r>
      <w:r>
        <w:rPr>
          <w:rFonts w:cs="Times New Roman"/>
        </w:rPr>
        <w:t xml:space="preserve">5 corresponds to the slowest (smallest) diffusion coefficient calculated using the Boltzman-Matano equation. </w:t>
      </w:r>
    </w:p>
    <w:p w:rsidR="00665C0F" w:rsidRPr="00514773" w:rsidRDefault="00665C0F" w:rsidP="00665C0F">
      <w:pPr>
        <w:spacing w:line="480" w:lineRule="auto"/>
        <w:ind w:firstLine="720"/>
        <w:rPr>
          <w:rFonts w:cs="Times New Roman"/>
          <w:vertAlign w:val="subscript"/>
        </w:rPr>
      </w:pPr>
      <w:r>
        <w:rPr>
          <w:rFonts w:cs="Times New Roman"/>
        </w:rPr>
        <w:t xml:space="preserve">Note that the diffusion coefficients calculated from some experiments using the Boltzman-Matano equation change by an order of magnitude as a function of position along all concentration-distance profiles; compare BM(min) and BM(max) in Table </w:t>
      </w:r>
      <w:r w:rsidR="0083401A">
        <w:rPr>
          <w:rFonts w:cs="Times New Roman"/>
        </w:rPr>
        <w:t>3-</w:t>
      </w:r>
      <w:r>
        <w:rPr>
          <w:rFonts w:cs="Times New Roman"/>
        </w:rPr>
        <w:t>4. The diffusion coefficients do not appear to correlate with any chemical parameter, e.g. the concentration of B</w:t>
      </w:r>
      <w:r>
        <w:rPr>
          <w:rFonts w:cs="Times New Roman"/>
          <w:vertAlign w:val="subscript"/>
        </w:rPr>
        <w:t>2</w:t>
      </w:r>
      <w:r>
        <w:rPr>
          <w:rFonts w:cs="Times New Roman"/>
        </w:rPr>
        <w:t>O</w:t>
      </w:r>
      <w:r>
        <w:rPr>
          <w:rFonts w:cs="Times New Roman"/>
          <w:vertAlign w:val="subscript"/>
        </w:rPr>
        <w:t>3</w:t>
      </w:r>
      <w:r>
        <w:rPr>
          <w:rFonts w:cs="Times New Roman"/>
        </w:rPr>
        <w:t>. Diffusion coefficients calculated using the Boltzman-Matano equation are sensitive to the slope of the regression through the data. All concentration-distance profiles were fit to 3</w:t>
      </w:r>
      <w:r w:rsidRPr="00514773">
        <w:rPr>
          <w:rFonts w:cs="Times New Roman"/>
          <w:vertAlign w:val="superscript"/>
        </w:rPr>
        <w:t>rd</w:t>
      </w:r>
      <w:r>
        <w:rPr>
          <w:rFonts w:cs="Times New Roman"/>
        </w:rPr>
        <w:t>-order polynomial expressions, and the fit between the expression and the data is good (high r</w:t>
      </w:r>
      <w:r>
        <w:rPr>
          <w:rFonts w:cs="Times New Roman"/>
          <w:vertAlign w:val="superscript"/>
        </w:rPr>
        <w:t>2</w:t>
      </w:r>
      <w:r>
        <w:rPr>
          <w:rFonts w:cs="Times New Roman"/>
        </w:rPr>
        <w:t xml:space="preserve"> values: Table </w:t>
      </w:r>
      <w:r w:rsidR="0083401A">
        <w:rPr>
          <w:rFonts w:cs="Times New Roman"/>
        </w:rPr>
        <w:t>3-</w:t>
      </w:r>
      <w:r>
        <w:rPr>
          <w:rFonts w:cs="Times New Roman"/>
        </w:rPr>
        <w:t>4). Therefore, it is unlikely that the variability of the diffusion coefficients for B are related to the data fitting method. However, the coefficients in each 3</w:t>
      </w:r>
      <w:r w:rsidRPr="00514773">
        <w:rPr>
          <w:rFonts w:cs="Times New Roman"/>
          <w:vertAlign w:val="superscript"/>
        </w:rPr>
        <w:t>rd</w:t>
      </w:r>
      <w:r>
        <w:rPr>
          <w:rFonts w:cs="Times New Roman"/>
        </w:rPr>
        <w:t xml:space="preserve">-order polynomial expression are different for each experiment due to differences in concentration-distance profiles as a result of experiment duration. Therefore, the variability of calculated diffusion coefficients along a concentration-distance profile most likely stems from small changes in the slope of concentration-distance data. </w:t>
      </w:r>
    </w:p>
    <w:p w:rsidR="00665C0F" w:rsidRPr="00F471F0" w:rsidRDefault="00665C0F" w:rsidP="00A03F13">
      <w:pPr>
        <w:pStyle w:val="Heading3"/>
        <w:spacing w:line="480" w:lineRule="auto"/>
        <w:rPr>
          <w:rFonts w:cs="Times New Roman"/>
        </w:rPr>
      </w:pPr>
      <w:bookmarkStart w:id="88" w:name="_Toc491246022"/>
      <w:r>
        <w:rPr>
          <w:rFonts w:cs="Times New Roman"/>
        </w:rPr>
        <w:lastRenderedPageBreak/>
        <w:t>4</w:t>
      </w:r>
      <w:r w:rsidRPr="00F471F0">
        <w:rPr>
          <w:rFonts w:cs="Times New Roman"/>
        </w:rPr>
        <w:t>.3</w:t>
      </w:r>
      <w:r w:rsidR="00A03F13">
        <w:rPr>
          <w:rFonts w:cs="Times New Roman"/>
        </w:rPr>
        <w:t>.</w:t>
      </w:r>
      <w:r w:rsidRPr="00F471F0">
        <w:rPr>
          <w:rFonts w:cs="Times New Roman"/>
        </w:rPr>
        <w:t xml:space="preserve"> Diffusion coefficients for </w:t>
      </w:r>
      <w:r w:rsidRPr="00F471F0">
        <w:rPr>
          <w:rFonts w:cs="Times New Roman"/>
          <w:vertAlign w:val="superscript"/>
        </w:rPr>
        <w:t>10</w:t>
      </w:r>
      <w:r w:rsidRPr="00F471F0">
        <w:rPr>
          <w:rFonts w:cs="Times New Roman"/>
        </w:rPr>
        <w:t xml:space="preserve">B and </w:t>
      </w:r>
      <w:r w:rsidRPr="00F471F0">
        <w:rPr>
          <w:rFonts w:cs="Times New Roman"/>
          <w:vertAlign w:val="superscript"/>
        </w:rPr>
        <w:t>11</w:t>
      </w:r>
      <w:r w:rsidRPr="00F471F0">
        <w:rPr>
          <w:rFonts w:cs="Times New Roman"/>
        </w:rPr>
        <w:t>B</w:t>
      </w:r>
      <w:bookmarkEnd w:id="88"/>
    </w:p>
    <w:p w:rsidR="00665C0F" w:rsidRPr="003001C9" w:rsidRDefault="00665C0F" w:rsidP="00665C0F">
      <w:pPr>
        <w:spacing w:line="480" w:lineRule="auto"/>
        <w:ind w:firstLine="720"/>
        <w:rPr>
          <w:rFonts w:cs="Times New Roman"/>
        </w:rPr>
      </w:pPr>
      <w:r w:rsidRPr="003001C9">
        <w:rPr>
          <w:rFonts w:cs="Times New Roman"/>
        </w:rPr>
        <w:t xml:space="preserve">Diffusion coefficients for </w:t>
      </w:r>
      <w:r w:rsidRPr="003001C9">
        <w:rPr>
          <w:rFonts w:cs="Times New Roman"/>
          <w:vertAlign w:val="superscript"/>
        </w:rPr>
        <w:t>10</w:t>
      </w:r>
      <w:r w:rsidRPr="003001C9">
        <w:rPr>
          <w:rFonts w:cs="Times New Roman"/>
        </w:rPr>
        <w:t xml:space="preserve">B and </w:t>
      </w:r>
      <w:r w:rsidRPr="003001C9">
        <w:rPr>
          <w:rFonts w:cs="Times New Roman"/>
          <w:vertAlign w:val="superscript"/>
        </w:rPr>
        <w:t>11</w:t>
      </w:r>
      <w:r w:rsidRPr="003001C9">
        <w:rPr>
          <w:rFonts w:cs="Times New Roman"/>
        </w:rPr>
        <w:t>B in hydrous granitic melt are on the order of ~ 10</w:t>
      </w:r>
      <w:r w:rsidRPr="003001C9">
        <w:rPr>
          <w:rFonts w:cs="Times New Roman"/>
          <w:vertAlign w:val="superscript"/>
        </w:rPr>
        <w:t>-13</w:t>
      </w:r>
      <w:r w:rsidRPr="003001C9">
        <w:rPr>
          <w:rFonts w:cs="Times New Roman"/>
        </w:rPr>
        <w:t xml:space="preserve"> m</w:t>
      </w:r>
      <w:r w:rsidRPr="003001C9">
        <w:rPr>
          <w:rFonts w:cs="Times New Roman"/>
          <w:vertAlign w:val="superscript"/>
        </w:rPr>
        <w:t>2</w:t>
      </w:r>
      <w:r w:rsidRPr="003001C9">
        <w:rPr>
          <w:rFonts w:cs="Times New Roman"/>
        </w:rPr>
        <w:t>/s, whereas, in anhydrous granitic melt, diffusion coefficients are on the order of ~ 10</w:t>
      </w:r>
      <w:r w:rsidRPr="003001C9">
        <w:rPr>
          <w:rFonts w:cs="Times New Roman"/>
          <w:vertAlign w:val="superscript"/>
        </w:rPr>
        <w:t>-14</w:t>
      </w:r>
      <w:r w:rsidRPr="003001C9">
        <w:rPr>
          <w:rFonts w:cs="Times New Roman"/>
        </w:rPr>
        <w:t xml:space="preserve"> m</w:t>
      </w:r>
      <w:r w:rsidRPr="003001C9">
        <w:rPr>
          <w:rFonts w:cs="Times New Roman"/>
          <w:vertAlign w:val="superscript"/>
        </w:rPr>
        <w:t>2</w:t>
      </w:r>
      <w:r w:rsidRPr="003001C9">
        <w:rPr>
          <w:rFonts w:cs="Times New Roman"/>
        </w:rPr>
        <w:t xml:space="preserve">/s (Tables </w:t>
      </w:r>
      <w:r w:rsidR="0083401A">
        <w:rPr>
          <w:rFonts w:cs="Times New Roman"/>
        </w:rPr>
        <w:t>3-</w:t>
      </w:r>
      <w:r w:rsidRPr="003001C9">
        <w:rPr>
          <w:rFonts w:cs="Times New Roman"/>
        </w:rPr>
        <w:t xml:space="preserve">3 and </w:t>
      </w:r>
      <w:r w:rsidR="0083401A">
        <w:rPr>
          <w:rFonts w:cs="Times New Roman"/>
        </w:rPr>
        <w:t>3-</w:t>
      </w:r>
      <w:r w:rsidRPr="003001C9">
        <w:rPr>
          <w:rFonts w:cs="Times New Roman"/>
        </w:rPr>
        <w:t xml:space="preserve">4). Figure </w:t>
      </w:r>
      <w:r w:rsidR="00815F07">
        <w:rPr>
          <w:rFonts w:cs="Times New Roman"/>
        </w:rPr>
        <w:t>3-</w:t>
      </w:r>
      <w:r w:rsidRPr="003001C9">
        <w:rPr>
          <w:rFonts w:cs="Times New Roman"/>
        </w:rPr>
        <w:t xml:space="preserve">6 displays an example of the measured </w:t>
      </w:r>
      <w:r w:rsidRPr="003001C9">
        <w:rPr>
          <w:rFonts w:cs="Times New Roman"/>
          <w:vertAlign w:val="superscript"/>
        </w:rPr>
        <w:t>11</w:t>
      </w:r>
      <w:r w:rsidRPr="003001C9">
        <w:rPr>
          <w:rFonts w:cs="Times New Roman"/>
        </w:rPr>
        <w:t>B/</w:t>
      </w:r>
      <w:r w:rsidRPr="003001C9">
        <w:rPr>
          <w:rFonts w:cs="Times New Roman"/>
          <w:vertAlign w:val="superscript"/>
        </w:rPr>
        <w:t>30</w:t>
      </w:r>
      <w:r w:rsidRPr="003001C9">
        <w:rPr>
          <w:rFonts w:cs="Times New Roman"/>
        </w:rPr>
        <w:t xml:space="preserve">Si (CGB49: Table </w:t>
      </w:r>
      <w:r w:rsidR="0083401A">
        <w:rPr>
          <w:rFonts w:cs="Times New Roman"/>
        </w:rPr>
        <w:t>3-</w:t>
      </w:r>
      <w:r w:rsidRPr="003001C9">
        <w:rPr>
          <w:rFonts w:cs="Times New Roman"/>
        </w:rPr>
        <w:t xml:space="preserve">3) from which chemical diffusion coefficients were calculated. Self-diffusivities for </w:t>
      </w:r>
      <w:r w:rsidRPr="003001C9">
        <w:rPr>
          <w:rFonts w:cs="Times New Roman"/>
          <w:vertAlign w:val="superscript"/>
        </w:rPr>
        <w:t>11</w:t>
      </w:r>
      <w:r w:rsidRPr="003001C9">
        <w:rPr>
          <w:rFonts w:cs="Times New Roman"/>
        </w:rPr>
        <w:t xml:space="preserve">B and </w:t>
      </w:r>
      <w:r w:rsidRPr="003001C9">
        <w:rPr>
          <w:rFonts w:cs="Times New Roman"/>
          <w:vertAlign w:val="superscript"/>
        </w:rPr>
        <w:t>10</w:t>
      </w:r>
      <w:r w:rsidRPr="003001C9">
        <w:rPr>
          <w:rFonts w:cs="Times New Roman"/>
        </w:rPr>
        <w:t xml:space="preserve">B (Table </w:t>
      </w:r>
      <w:r w:rsidR="0083401A">
        <w:rPr>
          <w:rFonts w:cs="Times New Roman"/>
        </w:rPr>
        <w:t>3-</w:t>
      </w:r>
      <w:r w:rsidRPr="003001C9">
        <w:rPr>
          <w:rFonts w:cs="Times New Roman"/>
        </w:rPr>
        <w:t xml:space="preserve">4) were calculated from similar concentration-distance data (Figs. </w:t>
      </w:r>
      <w:r w:rsidR="00815F07">
        <w:rPr>
          <w:rFonts w:cs="Times New Roman"/>
        </w:rPr>
        <w:t>3-</w:t>
      </w:r>
      <w:r w:rsidRPr="003001C9">
        <w:rPr>
          <w:rFonts w:cs="Times New Roman"/>
        </w:rPr>
        <w:t xml:space="preserve">7a and </w:t>
      </w:r>
      <w:r w:rsidR="00815F07">
        <w:rPr>
          <w:rFonts w:cs="Times New Roman"/>
        </w:rPr>
        <w:t>3-</w:t>
      </w:r>
      <w:r w:rsidRPr="003001C9">
        <w:rPr>
          <w:rFonts w:cs="Times New Roman"/>
        </w:rPr>
        <w:t xml:space="preserve">7b). Self- and chemical-diffusivities for </w:t>
      </w:r>
      <w:r w:rsidRPr="003001C9">
        <w:rPr>
          <w:rFonts w:cs="Times New Roman"/>
          <w:vertAlign w:val="superscript"/>
        </w:rPr>
        <w:t>10</w:t>
      </w:r>
      <w:r w:rsidRPr="003001C9">
        <w:rPr>
          <w:rFonts w:cs="Times New Roman"/>
        </w:rPr>
        <w:t xml:space="preserve">B and </w:t>
      </w:r>
      <w:r w:rsidRPr="003001C9">
        <w:rPr>
          <w:rFonts w:cs="Times New Roman"/>
          <w:vertAlign w:val="superscript"/>
        </w:rPr>
        <w:t>11</w:t>
      </w:r>
      <w:r w:rsidRPr="003001C9">
        <w:rPr>
          <w:rFonts w:cs="Times New Roman"/>
        </w:rPr>
        <w:t xml:space="preserve">B are very similar to one another and to chemical diffusivities for B (Tables </w:t>
      </w:r>
      <w:r w:rsidR="0083401A">
        <w:rPr>
          <w:rFonts w:cs="Times New Roman"/>
        </w:rPr>
        <w:t>3-</w:t>
      </w:r>
      <w:r w:rsidRPr="003001C9">
        <w:rPr>
          <w:rFonts w:cs="Times New Roman"/>
        </w:rPr>
        <w:t xml:space="preserve">3 and </w:t>
      </w:r>
      <w:r w:rsidR="0083401A">
        <w:rPr>
          <w:rFonts w:cs="Times New Roman"/>
        </w:rPr>
        <w:t>3-</w:t>
      </w:r>
      <w:r w:rsidRPr="003001C9">
        <w:rPr>
          <w:rFonts w:cs="Times New Roman"/>
        </w:rPr>
        <w:t xml:space="preserve">4). </w:t>
      </w:r>
    </w:p>
    <w:p w:rsidR="00665C0F" w:rsidRPr="00AE588A" w:rsidRDefault="00665C0F" w:rsidP="00A03F13">
      <w:pPr>
        <w:pStyle w:val="Heading3"/>
        <w:spacing w:line="480" w:lineRule="auto"/>
        <w:rPr>
          <w:rFonts w:cs="Times New Roman"/>
        </w:rPr>
      </w:pPr>
      <w:bookmarkStart w:id="89" w:name="_Toc491246023"/>
      <w:r w:rsidRPr="003001C9">
        <w:rPr>
          <w:rFonts w:cs="Times New Roman"/>
        </w:rPr>
        <w:t>4.4</w:t>
      </w:r>
      <w:r w:rsidR="00A03F13">
        <w:rPr>
          <w:rFonts w:cs="Times New Roman"/>
        </w:rPr>
        <w:t>.</w:t>
      </w:r>
      <w:r w:rsidRPr="003001C9">
        <w:rPr>
          <w:rFonts w:cs="Times New Roman"/>
        </w:rPr>
        <w:t xml:space="preserve"> Diffusive separation of </w:t>
      </w:r>
      <w:r w:rsidRPr="003001C9">
        <w:rPr>
          <w:rFonts w:cs="Times New Roman"/>
          <w:vertAlign w:val="superscript"/>
        </w:rPr>
        <w:t>10</w:t>
      </w:r>
      <w:r w:rsidRPr="003001C9">
        <w:rPr>
          <w:rFonts w:cs="Times New Roman"/>
        </w:rPr>
        <w:t xml:space="preserve">B and </w:t>
      </w:r>
      <w:r w:rsidRPr="003001C9">
        <w:rPr>
          <w:rFonts w:cs="Times New Roman"/>
          <w:vertAlign w:val="superscript"/>
        </w:rPr>
        <w:t>11</w:t>
      </w:r>
      <w:r w:rsidRPr="003001C9">
        <w:rPr>
          <w:rFonts w:cs="Times New Roman"/>
        </w:rPr>
        <w:t>B</w:t>
      </w:r>
      <w:bookmarkEnd w:id="89"/>
    </w:p>
    <w:p w:rsidR="00665C0F" w:rsidRDefault="00665C0F" w:rsidP="00665C0F">
      <w:pPr>
        <w:spacing w:line="480" w:lineRule="auto"/>
        <w:ind w:firstLine="720"/>
        <w:rPr>
          <w:rFonts w:cs="Times New Roman"/>
        </w:rPr>
      </w:pPr>
      <w:r>
        <w:rPr>
          <w:rFonts w:cs="Times New Roman"/>
        </w:rPr>
        <w:t>Experiments CGB2 and CGB96 employed a single mixed isotopic source of boron from laboratory reagent boric acid. Though different batches of material, the starting glasses in both experiments were synthesized to match the minimum composition of hydrous haplogranite at 200 MPa H</w:t>
      </w:r>
      <w:r w:rsidRPr="001D6EAE">
        <w:rPr>
          <w:rFonts w:cs="Times New Roman"/>
          <w:vertAlign w:val="subscript"/>
        </w:rPr>
        <w:t>2</w:t>
      </w:r>
      <w:r>
        <w:rPr>
          <w:rFonts w:cs="Times New Roman"/>
        </w:rPr>
        <w:t>O (Ab</w:t>
      </w:r>
      <w:r w:rsidRPr="001D6EAE">
        <w:rPr>
          <w:rFonts w:cs="Times New Roman"/>
          <w:vertAlign w:val="subscript"/>
        </w:rPr>
        <w:t>38</w:t>
      </w:r>
      <w:r>
        <w:rPr>
          <w:rFonts w:cs="Times New Roman"/>
        </w:rPr>
        <w:t>Or</w:t>
      </w:r>
      <w:r w:rsidRPr="001D6EAE">
        <w:rPr>
          <w:rFonts w:cs="Times New Roman"/>
          <w:vertAlign w:val="subscript"/>
        </w:rPr>
        <w:t>29</w:t>
      </w:r>
      <w:r>
        <w:rPr>
          <w:rFonts w:cs="Times New Roman"/>
        </w:rPr>
        <w:t>Qtz</w:t>
      </w:r>
      <w:r w:rsidRPr="001D6EAE">
        <w:rPr>
          <w:rFonts w:cs="Times New Roman"/>
          <w:vertAlign w:val="subscript"/>
        </w:rPr>
        <w:t>33</w:t>
      </w:r>
      <w:r>
        <w:rPr>
          <w:rFonts w:cs="Times New Roman"/>
        </w:rPr>
        <w:t>). Both experiments were conducted at 800</w:t>
      </w:r>
      <w:r>
        <w:rPr>
          <w:rFonts w:cs="Times New Roman"/>
        </w:rPr>
        <w:sym w:font="Symbol" w:char="F0B0"/>
      </w:r>
      <w:r>
        <w:rPr>
          <w:rFonts w:cs="Times New Roman"/>
        </w:rPr>
        <w:t xml:space="preserve">C, 200 MPa.  </w:t>
      </w:r>
      <w:r w:rsidRPr="00FC7133">
        <w:rPr>
          <w:rFonts w:cs="Times New Roman"/>
        </w:rPr>
        <w:t>Experimen</w:t>
      </w:r>
      <w:r>
        <w:rPr>
          <w:rFonts w:cs="Times New Roman"/>
        </w:rPr>
        <w:t>t CGB2 was performed for 6 days, and the concentration of B</w:t>
      </w:r>
      <w:r>
        <w:rPr>
          <w:rFonts w:cs="Times New Roman"/>
          <w:vertAlign w:val="subscript"/>
        </w:rPr>
        <w:t>2</w:t>
      </w:r>
      <w:r>
        <w:rPr>
          <w:rFonts w:cs="Times New Roman"/>
        </w:rPr>
        <w:t>O</w:t>
      </w:r>
      <w:r>
        <w:rPr>
          <w:rFonts w:cs="Times New Roman"/>
          <w:vertAlign w:val="subscript"/>
        </w:rPr>
        <w:t>3</w:t>
      </w:r>
      <w:r>
        <w:rPr>
          <w:rFonts w:cs="Times New Roman"/>
        </w:rPr>
        <w:t xml:space="preserve"> in glass ranges from ~20 wt.% to 0 wt.% over ~ 1600 µm. Experiment CGB96 was held at temperature for 21 days; this is a diffusion-couple experiment, in which B diffuses from one glass wafer into a B-free glass wafer. The concentration of B</w:t>
      </w:r>
      <w:r>
        <w:rPr>
          <w:rFonts w:cs="Times New Roman"/>
          <w:vertAlign w:val="subscript"/>
        </w:rPr>
        <w:t>2</w:t>
      </w:r>
      <w:r>
        <w:rPr>
          <w:rFonts w:cs="Times New Roman"/>
        </w:rPr>
        <w:t>O</w:t>
      </w:r>
      <w:r>
        <w:rPr>
          <w:rFonts w:cs="Times New Roman"/>
          <w:vertAlign w:val="subscript"/>
        </w:rPr>
        <w:t>3</w:t>
      </w:r>
      <w:r>
        <w:rPr>
          <w:rFonts w:cs="Times New Roman"/>
        </w:rPr>
        <w:t xml:space="preserve"> in CGB96 ranges from ~3 wt.% to 0 wt.% over ~ 800 </w:t>
      </w:r>
      <w:r>
        <w:t>μ</w:t>
      </w:r>
      <w:r>
        <w:rPr>
          <w:rFonts w:cs="Times New Roman"/>
        </w:rPr>
        <w:t xml:space="preserve">m. </w:t>
      </w:r>
    </w:p>
    <w:p w:rsidR="00665C0F" w:rsidRPr="00CF2560" w:rsidRDefault="00665C0F" w:rsidP="00665C0F">
      <w:pPr>
        <w:spacing w:line="480" w:lineRule="auto"/>
        <w:ind w:firstLine="720"/>
        <w:rPr>
          <w:rFonts w:cs="Times New Roman"/>
        </w:rPr>
      </w:pPr>
      <w:r>
        <w:rPr>
          <w:rFonts w:cs="Times New Roman"/>
        </w:rPr>
        <w:t xml:space="preserve">Boron isotopic analyses of glasses from </w:t>
      </w:r>
      <w:r w:rsidRPr="00FC7133">
        <w:rPr>
          <w:rFonts w:cs="Times New Roman"/>
        </w:rPr>
        <w:t xml:space="preserve">CGB2 </w:t>
      </w:r>
      <w:r>
        <w:rPr>
          <w:rFonts w:cs="Times New Roman"/>
        </w:rPr>
        <w:t>and</w:t>
      </w:r>
      <w:r w:rsidRPr="00FC7133">
        <w:rPr>
          <w:rFonts w:cs="Times New Roman"/>
        </w:rPr>
        <w:t xml:space="preserve"> CGB96</w:t>
      </w:r>
      <w:r>
        <w:rPr>
          <w:rFonts w:cs="Times New Roman"/>
        </w:rPr>
        <w:t xml:space="preserve"> </w:t>
      </w:r>
      <w:r w:rsidRPr="00FC7133">
        <w:rPr>
          <w:rFonts w:cs="Times New Roman"/>
        </w:rPr>
        <w:t xml:space="preserve">reveal </w:t>
      </w:r>
      <w:r>
        <w:rPr>
          <w:rFonts w:cs="Times New Roman"/>
        </w:rPr>
        <w:t>an enrichment of</w:t>
      </w:r>
      <w:r w:rsidRPr="00FC7133">
        <w:rPr>
          <w:rFonts w:cs="Times New Roman"/>
        </w:rPr>
        <w:t xml:space="preserve"> </w:t>
      </w:r>
      <w:r w:rsidRPr="00FC7133">
        <w:rPr>
          <w:rFonts w:cs="Times New Roman"/>
          <w:vertAlign w:val="superscript"/>
        </w:rPr>
        <w:t>10</w:t>
      </w:r>
      <w:r>
        <w:rPr>
          <w:rFonts w:cs="Times New Roman"/>
        </w:rPr>
        <w:t xml:space="preserve">B </w:t>
      </w:r>
      <w:r w:rsidRPr="00FC7133">
        <w:rPr>
          <w:rFonts w:cs="Times New Roman"/>
        </w:rPr>
        <w:t xml:space="preserve">relative to </w:t>
      </w:r>
      <w:r w:rsidRPr="00FC7133">
        <w:rPr>
          <w:rFonts w:cs="Times New Roman"/>
          <w:vertAlign w:val="superscript"/>
        </w:rPr>
        <w:t>11</w:t>
      </w:r>
      <w:r w:rsidRPr="00FC7133">
        <w:rPr>
          <w:rFonts w:cs="Times New Roman"/>
        </w:rPr>
        <w:t xml:space="preserve">B in the direction of decreasing B </w:t>
      </w:r>
      <w:r w:rsidRPr="003001C9">
        <w:rPr>
          <w:rFonts w:cs="Times New Roman"/>
        </w:rPr>
        <w:t xml:space="preserve">concentration (Figs </w:t>
      </w:r>
      <w:r w:rsidR="00815F07">
        <w:rPr>
          <w:rFonts w:cs="Times New Roman"/>
        </w:rPr>
        <w:t>3-</w:t>
      </w:r>
      <w:r w:rsidRPr="003001C9">
        <w:rPr>
          <w:rFonts w:cs="Times New Roman"/>
        </w:rPr>
        <w:t xml:space="preserve">8 and </w:t>
      </w:r>
      <w:r w:rsidR="00815F07">
        <w:rPr>
          <w:rFonts w:cs="Times New Roman"/>
        </w:rPr>
        <w:t>3-</w:t>
      </w:r>
      <w:r w:rsidRPr="003001C9">
        <w:rPr>
          <w:rFonts w:cs="Times New Roman"/>
        </w:rPr>
        <w:t>9). The δ</w:t>
      </w:r>
      <w:r w:rsidRPr="003001C9">
        <w:rPr>
          <w:rFonts w:cs="Times New Roman"/>
          <w:vertAlign w:val="superscript"/>
        </w:rPr>
        <w:t>11</w:t>
      </w:r>
      <w:r w:rsidRPr="003001C9">
        <w:rPr>
          <w:rFonts w:cs="Times New Roman"/>
        </w:rPr>
        <w:t>B of</w:t>
      </w:r>
      <w:r w:rsidRPr="00FC7133">
        <w:rPr>
          <w:rFonts w:cs="Times New Roman"/>
        </w:rPr>
        <w:t xml:space="preserve"> melt</w:t>
      </w:r>
      <w:r>
        <w:rPr>
          <w:rFonts w:cs="Times New Roman"/>
        </w:rPr>
        <w:t xml:space="preserve"> (glass) decreases</w:t>
      </w:r>
      <w:r w:rsidRPr="00FC7133">
        <w:rPr>
          <w:rFonts w:cs="Times New Roman"/>
        </w:rPr>
        <w:t xml:space="preserve"> </w:t>
      </w:r>
      <w:r>
        <w:rPr>
          <w:rFonts w:cs="Times New Roman"/>
        </w:rPr>
        <w:t xml:space="preserve">~ 6‰ </w:t>
      </w:r>
      <w:r w:rsidRPr="00FC7133">
        <w:rPr>
          <w:rFonts w:cs="Times New Roman"/>
        </w:rPr>
        <w:t xml:space="preserve">in CGB2 </w:t>
      </w:r>
      <w:r>
        <w:rPr>
          <w:rFonts w:cs="Times New Roman"/>
        </w:rPr>
        <w:t xml:space="preserve">(Fig. </w:t>
      </w:r>
      <w:r w:rsidR="00815F07">
        <w:rPr>
          <w:rFonts w:cs="Times New Roman"/>
        </w:rPr>
        <w:t>3-</w:t>
      </w:r>
      <w:r>
        <w:rPr>
          <w:rFonts w:cs="Times New Roman"/>
        </w:rPr>
        <w:t xml:space="preserve">8) </w:t>
      </w:r>
      <w:r w:rsidRPr="00FC7133">
        <w:rPr>
          <w:rFonts w:cs="Times New Roman"/>
        </w:rPr>
        <w:t xml:space="preserve">and </w:t>
      </w:r>
      <w:r>
        <w:rPr>
          <w:rFonts w:cs="Times New Roman"/>
        </w:rPr>
        <w:t xml:space="preserve">~ 25‰ in CGB96 over 1600 µm (Fig. </w:t>
      </w:r>
      <w:r w:rsidR="00815F07">
        <w:rPr>
          <w:rFonts w:cs="Times New Roman"/>
        </w:rPr>
        <w:t>3-</w:t>
      </w:r>
      <w:r>
        <w:rPr>
          <w:rFonts w:cs="Times New Roman"/>
        </w:rPr>
        <w:t xml:space="preserve">9). Both experiments display slight undulations or plateaus in </w:t>
      </w:r>
      <w:r w:rsidRPr="001D6EAE">
        <w:rPr>
          <w:rFonts w:ascii="Symbol" w:hAnsi="Symbol" w:cs="Symbol"/>
        </w:rPr>
        <w:t></w:t>
      </w:r>
      <w:r w:rsidRPr="001D6EAE">
        <w:rPr>
          <w:rFonts w:cs="Times New Roman"/>
          <w:vertAlign w:val="superscript"/>
        </w:rPr>
        <w:t>11</w:t>
      </w:r>
      <w:r>
        <w:rPr>
          <w:rFonts w:cs="Times New Roman"/>
        </w:rPr>
        <w:t xml:space="preserve">B </w:t>
      </w:r>
      <w:r>
        <w:rPr>
          <w:rFonts w:cs="Times New Roman"/>
        </w:rPr>
        <w:lastRenderedPageBreak/>
        <w:t xml:space="preserve">along the length of the diffusion profile. These are not the result of experimental or analytical effects as far as can be known. However, they do not negate the principal observation that the rate of diffusion of </w:t>
      </w:r>
      <w:r w:rsidRPr="001D6EAE">
        <w:rPr>
          <w:rFonts w:cs="Times New Roman"/>
          <w:vertAlign w:val="superscript"/>
        </w:rPr>
        <w:t>10</w:t>
      </w:r>
      <w:r>
        <w:rPr>
          <w:rFonts w:cs="Times New Roman"/>
        </w:rPr>
        <w:t xml:space="preserve">B was substantially faster than was </w:t>
      </w:r>
      <w:r w:rsidRPr="001D6EAE">
        <w:rPr>
          <w:rFonts w:cs="Times New Roman"/>
          <w:vertAlign w:val="superscript"/>
        </w:rPr>
        <w:t>11</w:t>
      </w:r>
      <w:r>
        <w:rPr>
          <w:rFonts w:cs="Times New Roman"/>
        </w:rPr>
        <w:t>B in both experiments. Differences in diffusivity of the isotopes lead to very large fractionation effects along the diffusion profiles, even (or especially) at the relatively high temperatures of these experiments.</w:t>
      </w:r>
    </w:p>
    <w:p w:rsidR="00665C0F" w:rsidRPr="00A03F13" w:rsidRDefault="00665C0F" w:rsidP="00A03F13">
      <w:pPr>
        <w:pStyle w:val="Heading2"/>
        <w:spacing w:line="480" w:lineRule="auto"/>
        <w:rPr>
          <w:rFonts w:cs="Times New Roman"/>
          <w:sz w:val="24"/>
        </w:rPr>
      </w:pPr>
      <w:bookmarkStart w:id="90" w:name="_Toc491246024"/>
      <w:r w:rsidRPr="00A03F13">
        <w:rPr>
          <w:rFonts w:cs="Times New Roman"/>
          <w:sz w:val="24"/>
        </w:rPr>
        <w:t>5. Discussion</w:t>
      </w:r>
      <w:bookmarkEnd w:id="90"/>
      <w:r w:rsidRPr="00A03F13">
        <w:rPr>
          <w:rFonts w:cs="Times New Roman"/>
          <w:sz w:val="24"/>
        </w:rPr>
        <w:t xml:space="preserve"> </w:t>
      </w:r>
    </w:p>
    <w:p w:rsidR="00665C0F" w:rsidRPr="00546121" w:rsidRDefault="00665C0F" w:rsidP="00A03F13">
      <w:pPr>
        <w:pStyle w:val="Heading3"/>
        <w:spacing w:line="480" w:lineRule="auto"/>
        <w:rPr>
          <w:rFonts w:cs="Times New Roman"/>
        </w:rPr>
      </w:pPr>
      <w:bookmarkStart w:id="91" w:name="_Toc491246025"/>
      <w:r>
        <w:rPr>
          <w:rFonts w:cs="Times New Roman"/>
        </w:rPr>
        <w:t>5.1</w:t>
      </w:r>
      <w:r w:rsidR="00A03F13">
        <w:rPr>
          <w:rFonts w:cs="Times New Roman"/>
        </w:rPr>
        <w:t>.</w:t>
      </w:r>
      <w:r>
        <w:rPr>
          <w:rFonts w:cs="Times New Roman"/>
        </w:rPr>
        <w:t xml:space="preserve"> Low diffusivity of boron in hydrous granitic melts</w:t>
      </w:r>
      <w:bookmarkEnd w:id="91"/>
    </w:p>
    <w:p w:rsidR="00665C0F" w:rsidRDefault="00665C0F" w:rsidP="00A03F13">
      <w:pPr>
        <w:spacing w:line="480" w:lineRule="auto"/>
        <w:ind w:firstLine="720"/>
        <w:rPr>
          <w:rFonts w:cs="Times New Roman"/>
        </w:rPr>
      </w:pPr>
      <w:r>
        <w:rPr>
          <w:rFonts w:cs="Times New Roman"/>
        </w:rPr>
        <w:t>All measured diffusion coefficients for boron in these hydrous granitic melts at 800</w:t>
      </w:r>
      <w:r>
        <w:rPr>
          <w:rFonts w:cs="Times New Roman"/>
        </w:rPr>
        <w:sym w:font="Symbol" w:char="F0B0"/>
      </w:r>
      <w:r>
        <w:rPr>
          <w:rFonts w:cs="Times New Roman"/>
        </w:rPr>
        <w:t>C, 200 MPa H</w:t>
      </w:r>
      <w:r w:rsidRPr="001D6EAE">
        <w:rPr>
          <w:rFonts w:cs="Times New Roman"/>
          <w:vertAlign w:val="subscript"/>
        </w:rPr>
        <w:t>2</w:t>
      </w:r>
      <w:r>
        <w:rPr>
          <w:rFonts w:cs="Times New Roman"/>
        </w:rPr>
        <w:t>O, are in the range of 10</w:t>
      </w:r>
      <w:r w:rsidRPr="001D6EAE">
        <w:rPr>
          <w:rFonts w:cs="Times New Roman"/>
          <w:vertAlign w:val="superscript"/>
        </w:rPr>
        <w:t>-13</w:t>
      </w:r>
      <w:r>
        <w:rPr>
          <w:rFonts w:cs="Times New Roman"/>
        </w:rPr>
        <w:t xml:space="preserve"> to 10</w:t>
      </w:r>
      <w:r w:rsidRPr="001D6EAE">
        <w:rPr>
          <w:rFonts w:cs="Times New Roman"/>
          <w:vertAlign w:val="superscript"/>
        </w:rPr>
        <w:t>-14</w:t>
      </w:r>
      <w:r>
        <w:rPr>
          <w:rFonts w:cs="Times New Roman"/>
        </w:rPr>
        <w:t xml:space="preserve"> m</w:t>
      </w:r>
      <w:r w:rsidRPr="001D6EAE">
        <w:rPr>
          <w:rFonts w:cs="Times New Roman"/>
          <w:vertAlign w:val="superscript"/>
        </w:rPr>
        <w:t>2</w:t>
      </w:r>
      <w:r>
        <w:rPr>
          <w:rFonts w:cs="Times New Roman"/>
        </w:rPr>
        <w:t xml:space="preserve">/s. These include the coupled self-diffusion experiments (Table </w:t>
      </w:r>
      <w:r w:rsidR="0083401A">
        <w:rPr>
          <w:rFonts w:cs="Times New Roman"/>
        </w:rPr>
        <w:t>3-</w:t>
      </w:r>
      <w:r>
        <w:rPr>
          <w:rFonts w:cs="Times New Roman"/>
        </w:rPr>
        <w:t>4), which contained 10-11 wt% B</w:t>
      </w:r>
      <w:r w:rsidRPr="001D6EAE">
        <w:rPr>
          <w:rFonts w:cs="Times New Roman"/>
          <w:vertAlign w:val="subscript"/>
        </w:rPr>
        <w:t>2</w:t>
      </w:r>
      <w:r>
        <w:rPr>
          <w:rFonts w:cs="Times New Roman"/>
        </w:rPr>
        <w:t>O</w:t>
      </w:r>
      <w:r w:rsidRPr="001D6EAE">
        <w:rPr>
          <w:rFonts w:cs="Times New Roman"/>
          <w:vertAlign w:val="subscript"/>
        </w:rPr>
        <w:t>3</w:t>
      </w:r>
      <w:r>
        <w:rPr>
          <w:rFonts w:cs="Times New Roman"/>
        </w:rPr>
        <w:t xml:space="preserve"> added to hydrous haplogranite composition. The low diffusivity of boron in these experiments is surprising, considering that the addition of several weight percent of boron and other fluxes to hydrous granite liquids at comparable P-T conditions resulted in melt viscosities from 3 to 60 Pa˖s </w:t>
      </w:r>
      <w:r>
        <w:rPr>
          <w:rFonts w:cs="Times New Roman"/>
        </w:rPr>
        <w:fldChar w:fldCharType="begin" w:fldLock="1"/>
      </w:r>
      <w:r w:rsidR="00266290">
        <w:rPr>
          <w:rFonts w:cs="Times New Roman"/>
        </w:rPr>
        <w:instrText>ADDIN CSL_CITATION { "citationItems" : [ { "id" : "ITEM-1", "itemData" : { "DOI" : "10.1007/s00410-010-0582-3", "ISBN" : "0041001005823", "ISSN" : "00107999", "author" : [ { "dropping-particle" : "", "family" : "Bartels", "given" : "Alexander", "non-dropping-particle" : "", "parse-names" : false, "suffix" : "" }, { "dropping-particle" : "", "family" : "Vetere", "given" : "Francesco", "non-dropping-particle" : "", "parse-names" : false, "suffix" : "" }, { "dropping-particle" : "", "family" : "Holtz", "given" : "Francois", "non-dropping-particle" : "", "parse-names" : false, "suffix" : "" }, { "dropping-particle" : "", "family" : "Behrens", "given" : "Harald", "non-dropping-particle" : "", "parse-names" : false, "suffix" : "" }, { "dropping-particle" : "", "family" : "Linnen", "given" : "Robert L.", "non-dropping-particle" : "", "parse-names" : false, "suffix" : "" } ], "container-title" : "Contributions to Mineralogy and Petrology", "id" : "ITEM-1", "issue" : "1", "issued" : { "date-parts" : [ [ "2011" ] ] }, "page" : "51-60", "title" : "Viscosity of flux-rich pegmatitic melts", "type" : "article-journal", "volume" : "162" }, "uris" : [ "http://www.mendeley.com/documents/?uuid=5ea5ebb0-8a1e-4671-8206-085453b3f854" ] } ], "mendeley" : { "formattedCitation" : "(Bartels et al., 2011)", "plainTextFormattedCitation" : "(Bartels et al., 2011)", "previouslyFormattedCitation" : "(Bartels et al. 2011)" }, "properties" : { "noteIndex" : 0 }, "schema" : "https://github.com/citation-style-language/schema/raw/master/csl-citation.json" }</w:instrText>
      </w:r>
      <w:r>
        <w:rPr>
          <w:rFonts w:cs="Times New Roman"/>
        </w:rPr>
        <w:fldChar w:fldCharType="separate"/>
      </w:r>
      <w:r w:rsidR="00266290" w:rsidRPr="00266290">
        <w:rPr>
          <w:rFonts w:cs="Times New Roman"/>
          <w:noProof/>
        </w:rPr>
        <w:t>(Bartels et al., 2011)</w:t>
      </w:r>
      <w:r>
        <w:rPr>
          <w:rFonts w:cs="Times New Roman"/>
        </w:rPr>
        <w:fldChar w:fldCharType="end"/>
      </w:r>
      <w:r>
        <w:rPr>
          <w:rFonts w:cs="Times New Roman"/>
        </w:rPr>
        <w:t xml:space="preserve">. The measured diffusion coefficients for boron are similar to those of Al in hydrous haplogranite at the same P-T conditions </w:t>
      </w:r>
      <w:r>
        <w:rPr>
          <w:rFonts w:cs="Times New Roman"/>
        </w:rPr>
        <w:fldChar w:fldCharType="begin" w:fldLock="1"/>
      </w:r>
      <w:r w:rsidR="00266290">
        <w:rPr>
          <w:rFonts w:cs="Times New Roman"/>
        </w:rPr>
        <w:instrText>ADDIN CSL_CITATION { "citationItems" : [ { "id" : "ITEM-1", "itemData" : { "DOI" : "10.1093/petrology/43.10.1885", "ISBN" : "0022-3530", "ISSN" : "14602415", "abstract" : "The mechanisms and kinetics of equilibration between peraluminous minerals and granitic melt were investigated experimentally by the dissolution of corundum and andalusite into H2O-saturated metaluminous haplogranitic melt at 800\u00b0C and 200 MPa. Mineral and haplogranitic glass rods were juxtaposed inside platinum capsules, and then subjected to experimental conditions for times ranging from 12 to 2900 h. Upon melting, the mineral \u2013melt interface retreats with the square root of time. The composition of the melt at the interface changes with time, but its ASI [aluminum saturation index = molar Al2O3/(CaO + Na2O + K2O)] remains constant at \u223c1\u00b720 after 480 h. This value is close to the ASI of an H2O-saturated haplogranitic melt in equilibrium with corundum or andalusite, which may indicate that the composition of the melt at the interface follows the liquidus of these minerals in the system. Sodium and potassium diffuse rapidly uphill across the entire length of the charge towards the interface, resulting in a rapid and uniform increase in ASI throughout the entire melt column. This uphill diffusion of alkalis is due to coupling with excess aluminum entering the melt at the interface, and involves long-range communication in the melt via chemical potential gradients. The evolution of oxide concentration profiles with time suggests that sodium, potassium, and a combination of aluminum and alkalis constitute three directions in composition space along which diffusion is uncoupled (eigenvectors) this system. The aluminum\u2013alkali eigenvector has a molar Al/(Na + K) ratio of \u223c1\u00b720; its Na/K ratio, however, changes with the composition of the liquid and with time as the entire melt column approaches equilibrium. The solubility of H2O shows a positive correlation with the excess aluminum content of melt, but conclusions about the stoichiometry of H2O in the aluminum\u2013 alkali eigenvector could not be obtained from our results. We propose that some H2O may provide charge balance for excess aluminum. Multicomponent diffusion models yield eigenvalues for the corresponding aluminum\u2013alkali eigenvector of 0\u00b73 \u00d7 10\u221210 to 1\u00b79 \u00d7 10\u221210 cm2/s. Calculated effective binary diffusion coefficients for Al2O3 are higher, 1\u00b70 \u00d7 10\u22129 to 3\u00b76 \u00d7 10\u22129 cm2/s. These diffusion coefficients are used to calculate equilibration times between peraluminous minerals and granitic melts in a model system in which two grains of corundum or andalusite 1 cm apart are connected via a narrow melt column. \u2026", "author" : [ { "dropping-particle" : "", "family" : "Acosta-Vigil", "given" : "Antonio", "non-dropping-particle" : "", "parse-names" : false, "suffix" : "" }, { "dropping-particle" : "", "family" : "London", "given" : "David", "non-dropping-particle" : "", "parse-names" : false, "suffix" : "" }, { "dropping-particle" : "", "family" : "Dewers", "given" : "Thomas A", "non-dropping-particle" : "", "parse-names" : false, "suffix" : "" }, { "dropping-particle" : "", "family" : "Morgan", "given" : "George B", "non-dropping-particle" : "", "parse-names" : false, "suffix" : "" } ], "container-title" : "Journal of Petrology", "id" : "ITEM-1", "issue" : "10", "issued" : { "date-parts" : [ [ "2002" ] ] }, "page" : "1885-1908", "title" : "Dissolution of Corundum and Andalusite in H2O-Saturated Haplogranitic Melts at 800\u00b0C and 200 MPa: Constraints on Diffusivities and the Generation of Peraluminous Melts", "type" : "article-journal", "volume" : "43" }, "uris" : [ "http://www.mendeley.com/documents/?uuid=2325ff7c-d53f-45a5-a77c-1c2eace266ec" ] } ], "mendeley" : { "formattedCitation" : "(Acosta-Vigil et al., 2002)", "plainTextFormattedCitation" : "(Acosta-Vigil et al., 2002)", "previouslyFormattedCitation" : "(Acosta-Vigil et al. 2002)" }, "properties" : { "noteIndex" : 0 }, "schema" : "https://github.com/citation-style-language/schema/raw/master/csl-citation.json" }</w:instrText>
      </w:r>
      <w:r>
        <w:rPr>
          <w:rFonts w:cs="Times New Roman"/>
        </w:rPr>
        <w:fldChar w:fldCharType="separate"/>
      </w:r>
      <w:r w:rsidR="00266290" w:rsidRPr="00266290">
        <w:rPr>
          <w:rFonts w:cs="Times New Roman"/>
          <w:noProof/>
        </w:rPr>
        <w:t>(Acosta-Vigil et al., 2002)</w:t>
      </w:r>
      <w:r>
        <w:rPr>
          <w:rFonts w:cs="Times New Roman"/>
        </w:rPr>
        <w:fldChar w:fldCharType="end"/>
      </w:r>
      <w:r>
        <w:rPr>
          <w:rFonts w:cs="Times New Roman"/>
        </w:rPr>
        <w:t xml:space="preserve">, in which Al exists almost entirely in four-fold coordination </w:t>
      </w:r>
      <w:r>
        <w:rPr>
          <w:rFonts w:cs="Times New Roman"/>
        </w:rPr>
        <w:fldChar w:fldCharType="begin" w:fldLock="1"/>
      </w:r>
      <w:r w:rsidR="00266290">
        <w:rPr>
          <w:rFonts w:cs="Times New Roman"/>
        </w:rPr>
        <w:instrText>ADDIN CSL_CITATION { "citationItems" : [ { "id" : "ITEM-1", "itemData" : { "DOI" : "10.1016/j.ssnmr.2006.11.001", "ISSN" : "09262040", "PMID" : "17196798", "abstract" : "In order to shed light on the dissolution mechanisms of water in depolymerized aluminosilicate melts/glasses, a comprehensive one- (1D) and two-dimensional (2D) NMR study has been carried out on hydrous Ca- and Mg-aluminosilicate glasses of a haplobasaltic composition. The applied techniques include 1D 1H MAS NMR and 27Al???1H cross-polarization (CP) MAS NMR, and 2D 1H NOESY and double-quantum (DQ) MAS NMR, 27Al triple-quantum (3Q) MAS NMR and 27Al???1H heteronuclear correlation (HETCOR) and 3QMAS/HETCOR NMR. Ab initio calculations were also performed to place additional constraints on the 1H NMR characteristics of AlOH and Si(OH)Al groups. This study has revealed, for the first time, the presence of free OH (i.e. (Ca, Mg)OH), SiOH and AlOH species, in addition to molecular H2O, in hydrous glasses of a depolymerized aluminosilicate composition. The AlOH groups are mostly associated with four-coordinate Al, but some are associated with five- and six-coordinate Al. ?? 2006.", "author" : [ { "dropping-particle" : "", "family" : "Xue", "given" : "Xianyu", "non-dropping-particle" : "", "parse-names" : false, "suffix" : "" }, { "dropping-particle" : "", "family" : "Kanzaki", "given" : "Masami", "non-dropping-particle" : "", "parse-names" : false, "suffix" : "" } ], "container-title" : "Solid State Nuclear Magnetic Resonance", "id" : "ITEM-1", "issue" : "1", "issued" : { "date-parts" : [ [ "2007" ] ] }, "page" : "10-27", "title" : "Al coordination and water speciation in hydrous aluminosilicate glasses: Direct evidence from high-resolution heteronuclear 1H-27Al correlation NMR", "type" : "article-journal", "volume" : "31" }, "uris" : [ "http://www.mendeley.com/documents/?uuid=675f6468-42fa-4839-a3f6-3c1731ca9697" ] } ], "mendeley" : { "formattedCitation" : "(Xue and Kanzaki, 2007)", "plainTextFormattedCitation" : "(Xue and Kanzaki, 2007)", "previouslyFormattedCitation" : "(Xue and Kanzaki 2007)" }, "properties" : { "noteIndex" : 0 }, "schema" : "https://github.com/citation-style-language/schema/raw/master/csl-citation.json" }</w:instrText>
      </w:r>
      <w:r>
        <w:rPr>
          <w:rFonts w:cs="Times New Roman"/>
        </w:rPr>
        <w:fldChar w:fldCharType="separate"/>
      </w:r>
      <w:r w:rsidR="00266290" w:rsidRPr="00266290">
        <w:rPr>
          <w:rFonts w:cs="Times New Roman"/>
          <w:noProof/>
        </w:rPr>
        <w:t>(Xue and Kanzaki, 2007)</w:t>
      </w:r>
      <w:r>
        <w:rPr>
          <w:rFonts w:cs="Times New Roman"/>
        </w:rPr>
        <w:fldChar w:fldCharType="end"/>
      </w:r>
      <w:r>
        <w:rPr>
          <w:rFonts w:cs="Times New Roman"/>
        </w:rPr>
        <w:t xml:space="preserve">.  However, and for comparison, the calculated viscosity of the granitic melt in which </w:t>
      </w:r>
      <w:r>
        <w:rPr>
          <w:rFonts w:cs="Times New Roman"/>
        </w:rPr>
        <w:fldChar w:fldCharType="begin" w:fldLock="1"/>
      </w:r>
      <w:r w:rsidR="00266290">
        <w:rPr>
          <w:rFonts w:cs="Times New Roman"/>
        </w:rPr>
        <w:instrText>ADDIN CSL_CITATION { "citationItems" : [ { "id" : "ITEM-1", "itemData" : { "DOI" : "10.1093/petrology/43.10.1885", "ISBN" : "0022-3530", "ISSN" : "14602415", "abstract" : "The mechanisms and kinetics of equilibration between peraluminous minerals and granitic melt were investigated experimentally by the dissolution of corundum and andalusite into H2O-saturated metaluminous haplogranitic melt at 800\u00b0C and 200 MPa. Mineral and haplogranitic glass rods were juxtaposed inside platinum capsules, and then subjected to experimental conditions for times ranging from 12 to 2900 h. Upon melting, the mineral \u2013melt interface retreats with the square root of time. The composition of the melt at the interface changes with time, but its ASI [aluminum saturation index = molar Al2O3/(CaO + Na2O + K2O)] remains constant at \u223c1\u00b720 after 480 h. This value is close to the ASI of an H2O-saturated haplogranitic melt in equilibrium with corundum or andalusite, which may indicate that the composition of the melt at the interface follows the liquidus of these minerals in the system. Sodium and potassium diffuse rapidly uphill across the entire length of the charge towards the interface, resulting in a rapid and uniform increase in ASI throughout the entire melt column. This uphill diffusion of alkalis is due to coupling with excess aluminum entering the melt at the interface, and involves long-range communication in the melt via chemical potential gradients. The evolution of oxide concentration profiles with time suggests that sodium, potassium, and a combination of aluminum and alkalis constitute three directions in composition space along which diffusion is uncoupled (eigenvectors) this system. The aluminum\u2013alkali eigenvector has a molar Al/(Na + K) ratio of \u223c1\u00b720; its Na/K ratio, however, changes with the composition of the liquid and with time as the entire melt column approaches equilibrium. The solubility of H2O shows a positive correlation with the excess aluminum content of melt, but conclusions about the stoichiometry of H2O in the aluminum\u2013 alkali eigenvector could not be obtained from our results. We propose that some H2O may provide charge balance for excess aluminum. Multicomponent diffusion models yield eigenvalues for the corresponding aluminum\u2013alkali eigenvector of 0\u00b73 \u00d7 10\u221210 to 1\u00b79 \u00d7 10\u221210 cm2/s. Calculated effective binary diffusion coefficients for Al2O3 are higher, 1\u00b70 \u00d7 10\u22129 to 3\u00b76 \u00d7 10\u22129 cm2/s. These diffusion coefficients are used to calculate equilibration times between peraluminous minerals and granitic melts in a model system in which two grains of corundum or andalusite 1 cm apart are connected via a narrow melt column. \u2026", "author" : [ { "dropping-particle" : "", "family" : "Acosta-Vigil", "given" : "Antonio", "non-dropping-particle" : "", "parse-names" : false, "suffix" : "" }, { "dropping-particle" : "", "family" : "London", "given" : "David", "non-dropping-particle" : "", "parse-names" : false, "suffix" : "" }, { "dropping-particle" : "", "family" : "Dewers", "given" : "Thomas A", "non-dropping-particle" : "", "parse-names" : false, "suffix" : "" }, { "dropping-particle" : "", "family" : "Morgan", "given" : "George B", "non-dropping-particle" : "", "parse-names" : false, "suffix" : "" } ], "container-title" : "Journal of Petrology", "id" : "ITEM-1", "issue" : "10", "issued" : { "date-parts" : [ [ "2002" ] ] }, "page" : "1885-1908", "title" : "Dissolution of Corundum and Andalusite in H2O-Saturated Haplogranitic Melts at 800\u00b0C and 200 MPa: Constraints on Diffusivities and the Generation of Peraluminous Melts", "type" : "article-journal", "volume" : "43" }, "uris" : [ "http://www.mendeley.com/documents/?uuid=2325ff7c-d53f-45a5-a77c-1c2eace266ec" ] } ], "mendeley" : { "formattedCitation" : "(Acosta-Vigil et al., 2002)", "manualFormatting" : "Acosta-Vigil et al. (2002)", "plainTextFormattedCitation" : "(Acosta-Vigil et al., 2002)", "previouslyFormattedCitation" : "(Acosta-Vigil et al. 2002)" }, "properties" : { "noteIndex" : 0 }, "schema" : "https://github.com/citation-style-language/schema/raw/master/csl-citation.json" }</w:instrText>
      </w:r>
      <w:r>
        <w:rPr>
          <w:rFonts w:cs="Times New Roman"/>
        </w:rPr>
        <w:fldChar w:fldCharType="separate"/>
      </w:r>
      <w:r>
        <w:rPr>
          <w:rFonts w:cs="Times New Roman"/>
          <w:noProof/>
        </w:rPr>
        <w:t>Acosta-Vigil et al. (</w:t>
      </w:r>
      <w:r w:rsidRPr="00DC2AB1">
        <w:rPr>
          <w:rFonts w:cs="Times New Roman"/>
          <w:noProof/>
        </w:rPr>
        <w:t>2002)</w:t>
      </w:r>
      <w:r>
        <w:rPr>
          <w:rFonts w:cs="Times New Roman"/>
        </w:rPr>
        <w:fldChar w:fldCharType="end"/>
      </w:r>
      <w:r>
        <w:rPr>
          <w:rFonts w:cs="Times New Roman"/>
        </w:rPr>
        <w:t xml:space="preserve"> measured the diffusivity of Al is ~ 10</w:t>
      </w:r>
      <w:r>
        <w:rPr>
          <w:rFonts w:cs="Times New Roman"/>
          <w:vertAlign w:val="superscript"/>
        </w:rPr>
        <w:t>4</w:t>
      </w:r>
      <w:r>
        <w:rPr>
          <w:rFonts w:cs="Times New Roman"/>
        </w:rPr>
        <w:t xml:space="preserve"> Pa˖s (from </w:t>
      </w:r>
      <w:r>
        <w:rPr>
          <w:rFonts w:cs="Times New Roman"/>
        </w:rPr>
        <w:fldChar w:fldCharType="begin" w:fldLock="1"/>
      </w:r>
      <w:r w:rsidR="00266290">
        <w:rPr>
          <w:rFonts w:cs="Times New Roman"/>
        </w:rPr>
        <w:instrText>ADDIN CSL_CITATION { "citationItems" : [ { "id" : "ITEM-1", "itemData" : { "author" : [ { "dropping-particle" : "", "family" : "Baker", "given" : "Don R.", "non-dropping-particle" : "", "parse-names" : false, "suffix" : "" } ], "container-title" : "American Mineralogist", "id" : "ITEM-1", "issued" : { "date-parts" : [ [ "1996" ] ] }, "page" : "126-134", "title" : "Granitic melt viscosities: Empirical and configurational entropy models for their calculation", "type" : "article-journal", "volume" : "81" }, "uris" : [ "http://www.mendeley.com/documents/?uuid=bb54ed97-5ea1-4cde-813d-afc33847a0e4" ] } ], "mendeley" : { "formattedCitation" : "(Baker, 1996)", "manualFormatting" : "Baker, 1996)", "plainTextFormattedCitation" : "(Baker, 1996)", "previouslyFormattedCitation" : "(Baker 1996)" }, "properties" : { "noteIndex" : 0 }, "schema" : "https://github.com/citation-style-language/schema/raw/master/csl-citation.json" }</w:instrText>
      </w:r>
      <w:r>
        <w:rPr>
          <w:rFonts w:cs="Times New Roman"/>
        </w:rPr>
        <w:fldChar w:fldCharType="separate"/>
      </w:r>
      <w:r w:rsidRPr="00DC2AB1">
        <w:rPr>
          <w:rFonts w:cs="Times New Roman"/>
          <w:noProof/>
        </w:rPr>
        <w:t>Baker, 1996)</w:t>
      </w:r>
      <w:r>
        <w:rPr>
          <w:rFonts w:cs="Times New Roman"/>
        </w:rPr>
        <w:fldChar w:fldCharType="end"/>
      </w:r>
      <w:r>
        <w:rPr>
          <w:rFonts w:cs="Times New Roman"/>
        </w:rPr>
        <w:t>.</w:t>
      </w:r>
    </w:p>
    <w:p w:rsidR="00665C0F" w:rsidRDefault="00665C0F" w:rsidP="00A03F13">
      <w:pPr>
        <w:pStyle w:val="Heading3"/>
        <w:spacing w:line="480" w:lineRule="auto"/>
        <w:rPr>
          <w:rFonts w:cs="Times New Roman"/>
        </w:rPr>
      </w:pPr>
      <w:bookmarkStart w:id="92" w:name="_Toc491246026"/>
      <w:r>
        <w:rPr>
          <w:rFonts w:cs="Times New Roman"/>
        </w:rPr>
        <w:t>5.2</w:t>
      </w:r>
      <w:r w:rsidR="00A03F13">
        <w:rPr>
          <w:rFonts w:cs="Times New Roman"/>
        </w:rPr>
        <w:t>.</w:t>
      </w:r>
      <w:r>
        <w:rPr>
          <w:rFonts w:cs="Times New Roman"/>
        </w:rPr>
        <w:t xml:space="preserve"> Kinetic fractionation of isotopes via diffusion</w:t>
      </w:r>
      <w:bookmarkEnd w:id="92"/>
    </w:p>
    <w:p w:rsidR="00665C0F" w:rsidRDefault="00665C0F" w:rsidP="00665C0F">
      <w:pPr>
        <w:spacing w:line="480" w:lineRule="auto"/>
        <w:ind w:firstLine="720"/>
        <w:rPr>
          <w:rFonts w:cs="Times New Roman"/>
        </w:rPr>
      </w:pPr>
      <w:r>
        <w:rPr>
          <w:rFonts w:cs="Times New Roman"/>
        </w:rPr>
        <w:t xml:space="preserve">The two experiments reported here, CGB2 and CGB96, in which boron was added as a single mixed source, produced extensive fractionation of </w:t>
      </w:r>
      <w:r w:rsidRPr="001D6EAE">
        <w:rPr>
          <w:rFonts w:cs="Times New Roman"/>
          <w:vertAlign w:val="superscript"/>
        </w:rPr>
        <w:t>10</w:t>
      </w:r>
      <w:r>
        <w:rPr>
          <w:rFonts w:cs="Times New Roman"/>
        </w:rPr>
        <w:t xml:space="preserve">B and </w:t>
      </w:r>
      <w:r w:rsidRPr="001D6EAE">
        <w:rPr>
          <w:rFonts w:cs="Times New Roman"/>
          <w:vertAlign w:val="superscript"/>
        </w:rPr>
        <w:t>11</w:t>
      </w:r>
      <w:r>
        <w:rPr>
          <w:rFonts w:cs="Times New Roman"/>
        </w:rPr>
        <w:t xml:space="preserve">B along </w:t>
      </w:r>
      <w:r>
        <w:rPr>
          <w:rFonts w:cs="Times New Roman"/>
        </w:rPr>
        <w:lastRenderedPageBreak/>
        <w:t xml:space="preserve">the diffusion profile, with the lighter </w:t>
      </w:r>
      <w:r w:rsidRPr="001D6EAE">
        <w:rPr>
          <w:rFonts w:cs="Times New Roman"/>
          <w:vertAlign w:val="superscript"/>
        </w:rPr>
        <w:t>10</w:t>
      </w:r>
      <w:r>
        <w:rPr>
          <w:rFonts w:cs="Times New Roman"/>
        </w:rPr>
        <w:t xml:space="preserve">B diffusing at a faster rate. The higher diffusivity of </w:t>
      </w:r>
      <w:r w:rsidRPr="001D6EAE">
        <w:rPr>
          <w:rFonts w:cs="Times New Roman"/>
          <w:vertAlign w:val="superscript"/>
        </w:rPr>
        <w:t>10</w:t>
      </w:r>
      <w:r>
        <w:rPr>
          <w:rFonts w:cs="Times New Roman"/>
        </w:rPr>
        <w:t xml:space="preserve">B conforms to theoretical and experimental expectations as observed in other light isotope systems (e.g., Li: </w:t>
      </w:r>
      <w:r>
        <w:rPr>
          <w:rFonts w:cs="Times New Roman"/>
        </w:rPr>
        <w:fldChar w:fldCharType="begin" w:fldLock="1"/>
      </w:r>
      <w:r w:rsidR="00266290">
        <w:rPr>
          <w:rFonts w:cs="Times New Roman"/>
        </w:rPr>
        <w:instrText>ADDIN CSL_CITATION { "citationItems" : [ { "id" : "ITEM-1", "itemData" : { "author" : [ { "dropping-particle" : "", "family" : "Richter", "given" : "F.M.", "non-dropping-particle" : "", "parse-names" : false, "suffix" : "" }, { "dropping-particle" : "", "family" : "Davis", "given" : "A.M.", "non-dropping-particle" : "", "parse-names" : false, "suffix" : "" }, { "dropping-particle" : "", "family" : "DePaolo", "given" : "D.J.", "non-dropping-particle" : "", "parse-names" : false, "suffix" : "" }, { "dropping-particle" : "", "family" : "Watson", "given" : "E.B.", "non-dropping-particle" : "", "parse-names" : false, "suffix" : "" } ], "container-title" : "Geochimica et Cosmochimica Acta", "id" : "ITEM-1", "issued" : { "date-parts" : [ [ "2003" ] ] }, "page" : "3905-3923", "title" : "Isotopic fractionation by chemical diffusion between molten basalt and rhyolite", "type" : "article-journal", "volume" : "20" }, "uris" : [ "http://www.mendeley.com/documents/?uuid=cfcd162c-f63b-4924-9b92-d8efc2f41ad1" ] } ], "mendeley" : { "formattedCitation" : "(Richter et al., 2003)", "manualFormatting" : "Richter et al., 2003)", "plainTextFormattedCitation" : "(Richter et al., 2003)", "previouslyFormattedCitation" : "(Richter et al. 2003)" }, "properties" : { "noteIndex" : 0 }, "schema" : "https://github.com/citation-style-language/schema/raw/master/csl-citation.json" }</w:instrText>
      </w:r>
      <w:r>
        <w:rPr>
          <w:rFonts w:cs="Times New Roman"/>
        </w:rPr>
        <w:fldChar w:fldCharType="separate"/>
      </w:r>
      <w:r w:rsidRPr="00CF59C5">
        <w:rPr>
          <w:rFonts w:cs="Times New Roman"/>
          <w:noProof/>
        </w:rPr>
        <w:t>Richter et al., 2003)</w:t>
      </w:r>
      <w:r>
        <w:rPr>
          <w:rFonts w:cs="Times New Roman"/>
        </w:rPr>
        <w:fldChar w:fldCharType="end"/>
      </w:r>
      <w:r>
        <w:rPr>
          <w:rFonts w:cs="Times New Roman"/>
        </w:rPr>
        <w:t xml:space="preserve">. These results with Li </w:t>
      </w:r>
      <w:r>
        <w:rPr>
          <w:rFonts w:cs="Times New Roman"/>
        </w:rPr>
        <w:fldChar w:fldCharType="begin" w:fldLock="1"/>
      </w:r>
      <w:r w:rsidR="00266290">
        <w:rPr>
          <w:rFonts w:cs="Times New Roman"/>
        </w:rPr>
        <w:instrText>ADDIN CSL_CITATION { "citationItems" : [ { "id" : "ITEM-1", "itemData" : { "author" : [ { "dropping-particle" : "", "family" : "Richter", "given" : "F.M.", "non-dropping-particle" : "", "parse-names" : false, "suffix" : "" }, { "dropping-particle" : "", "family" : "Davis", "given" : "A.M.", "non-dropping-particle" : "", "parse-names" : false, "suffix" : "" }, { "dropping-particle" : "", "family" : "DePaolo", "given" : "D.J.", "non-dropping-particle" : "", "parse-names" : false, "suffix" : "" }, { "dropping-particle" : "", "family" : "Watson", "given" : "E.B.", "non-dropping-particle" : "", "parse-names" : false, "suffix" : "" } ], "container-title" : "Geochimica et Cosmochimica Acta", "id" : "ITEM-1", "issued" : { "date-parts" : [ [ "2003" ] ] }, "page" : "3905-3923", "title" : "Isotopic fractionation by chemical diffusion between molten basalt and rhyolite", "type" : "article-journal", "volume" : "20" }, "uris" : [ "http://www.mendeley.com/documents/?uuid=cfcd162c-f63b-4924-9b92-d8efc2f41ad1" ] } ], "mendeley" : { "formattedCitation" : "(Richter et al., 2003)", "plainTextFormattedCitation" : "(Richter et al., 2003)", "previouslyFormattedCitation" : "(Richter et al. 2003)" }, "properties" : { "noteIndex" : 0 }, "schema" : "https://github.com/citation-style-language/schema/raw/master/csl-citation.json" }</w:instrText>
      </w:r>
      <w:r>
        <w:rPr>
          <w:rFonts w:cs="Times New Roman"/>
        </w:rPr>
        <w:fldChar w:fldCharType="separate"/>
      </w:r>
      <w:r w:rsidR="00266290" w:rsidRPr="00266290">
        <w:rPr>
          <w:rFonts w:cs="Times New Roman"/>
          <w:noProof/>
        </w:rPr>
        <w:t>(Richter et al., 2003)</w:t>
      </w:r>
      <w:r>
        <w:rPr>
          <w:rFonts w:cs="Times New Roman"/>
        </w:rPr>
        <w:fldChar w:fldCharType="end"/>
      </w:r>
      <w:r>
        <w:rPr>
          <w:rFonts w:cs="Times New Roman"/>
        </w:rPr>
        <w:t xml:space="preserve"> and B (this study) are consistent with a model for diffusive fractionation of light isotopes </w:t>
      </w:r>
      <w:r>
        <w:rPr>
          <w:rFonts w:cs="Times New Roman"/>
        </w:rPr>
        <w:fldChar w:fldCharType="begin" w:fldLock="1"/>
      </w:r>
      <w:r w:rsidR="00266290">
        <w:rPr>
          <w:rFonts w:cs="Times New Roman"/>
        </w:rPr>
        <w:instrText>ADDIN CSL_CITATION { "citationItems" : [ { "id" : "ITEM-1", "itemData" : { "author" : [ { "dropping-particle" : "", "family" : "Watson", "given" : "E. Bruce", "non-dropping-particle" : "", "parse-names" : false, "suffix" : "" }, { "dropping-particle" : "", "family" : "M\u00fcller", "given" : "Thomas", "non-dropping-particle" : "", "parse-names" : false, "suffix" : "" } ], "container-title" : "Chemical Geology", "id" : "ITEM-1", "issued" : { "date-parts" : [ [ "2009" ] ] }, "page" : "111-124", "title" : "Non-equilibrium isotopic and elemental fractionation during diffusion-controlled crystal growth under static and dynamic conditions", "type" : "article-journal", "volume" : "267" }, "uris" : [ "http://www.mendeley.com/documents/?uuid=3d8448b7-3ef1-46e7-8299-d8586cfb3439" ] } ], "mendeley" : { "formattedCitation" : "(Watson and M\u00fcller, 2009)", "plainTextFormattedCitation" : "(Watson and M\u00fcller, 2009)", "previouslyFormattedCitation" : "(Watson and M\u00fcller 2009)" }, "properties" : { "noteIndex" : 0 }, "schema" : "https://github.com/citation-style-language/schema/raw/master/csl-citation.json" }</w:instrText>
      </w:r>
      <w:r>
        <w:rPr>
          <w:rFonts w:cs="Times New Roman"/>
        </w:rPr>
        <w:fldChar w:fldCharType="separate"/>
      </w:r>
      <w:r w:rsidR="00266290" w:rsidRPr="00266290">
        <w:rPr>
          <w:rFonts w:cs="Times New Roman"/>
          <w:noProof/>
        </w:rPr>
        <w:t>(Watson and Müller, 2009)</w:t>
      </w:r>
      <w:r>
        <w:rPr>
          <w:rFonts w:cs="Times New Roman"/>
        </w:rPr>
        <w:fldChar w:fldCharType="end"/>
      </w:r>
      <w:r>
        <w:rPr>
          <w:rFonts w:cs="Times New Roman"/>
        </w:rPr>
        <w:t xml:space="preserve">. In their model, </w:t>
      </w:r>
      <w:r>
        <w:rPr>
          <w:rFonts w:cs="Times New Roman"/>
        </w:rPr>
        <w:fldChar w:fldCharType="begin" w:fldLock="1"/>
      </w:r>
      <w:r w:rsidR="00266290">
        <w:rPr>
          <w:rFonts w:cs="Times New Roman"/>
        </w:rPr>
        <w:instrText>ADDIN CSL_CITATION { "citationItems" : [ { "id" : "ITEM-1", "itemData" : { "author" : [ { "dropping-particle" : "", "family" : "Watson", "given" : "E. Bruce", "non-dropping-particle" : "", "parse-names" : false, "suffix" : "" }, { "dropping-particle" : "", "family" : "M\u00fcller", "given" : "Thomas", "non-dropping-particle" : "", "parse-names" : false, "suffix" : "" } ], "container-title" : "Chemical Geology", "id" : "ITEM-1", "issued" : { "date-parts" : [ [ "2009" ] ] }, "page" : "111-124", "title" : "Non-equilibrium isotopic and elemental fractionation during diffusion-controlled crystal growth under static and dynamic conditions", "type" : "article-journal", "volume" : "267" }, "uris" : [ "http://www.mendeley.com/documents/?uuid=3d8448b7-3ef1-46e7-8299-d8586cfb3439" ] } ], "mendeley" : { "formattedCitation" : "(Watson and M\u00fcller, 2009)", "manualFormatting" : "Watson and M\u00fcller (2009)", "plainTextFormattedCitation" : "(Watson and M\u00fcller, 2009)", "previouslyFormattedCitation" : "(Watson and M\u00fcller 2009)" }, "properties" : { "noteIndex" : 0 }, "schema" : "https://github.com/citation-style-language/schema/raw/master/csl-citation.json" }</w:instrText>
      </w:r>
      <w:r>
        <w:rPr>
          <w:rFonts w:cs="Times New Roman"/>
        </w:rPr>
        <w:fldChar w:fldCharType="separate"/>
      </w:r>
      <w:r>
        <w:rPr>
          <w:rFonts w:cs="Times New Roman"/>
          <w:noProof/>
        </w:rPr>
        <w:t>Watson and Müller (</w:t>
      </w:r>
      <w:r w:rsidRPr="00DC2AB1">
        <w:rPr>
          <w:rFonts w:cs="Times New Roman"/>
          <w:noProof/>
        </w:rPr>
        <w:t>2009)</w:t>
      </w:r>
      <w:r>
        <w:rPr>
          <w:rFonts w:cs="Times New Roman"/>
        </w:rPr>
        <w:fldChar w:fldCharType="end"/>
      </w:r>
      <w:r>
        <w:rPr>
          <w:rFonts w:cs="Times New Roman"/>
        </w:rPr>
        <w:t xml:space="preserve"> show that the compositions of crystals and their growth media differ from an equilibrium composition as determined by </w:t>
      </w:r>
    </w:p>
    <w:p w:rsidR="00665C0F" w:rsidRDefault="00665C0F" w:rsidP="00665C0F">
      <w:pPr>
        <w:spacing w:line="480" w:lineRule="auto"/>
        <w:ind w:firstLine="720"/>
        <w:rPr>
          <w:rFonts w:cs="Times New Roman"/>
        </w:rPr>
      </w:pPr>
      <w:r>
        <w:rPr>
          <w:rFonts w:cs="Times New Roman"/>
        </w:rPr>
        <w:t xml:space="preserve">(1) the rate of crystallization relative to the diffusivity of the isotopes (R/D), </w:t>
      </w:r>
    </w:p>
    <w:p w:rsidR="00665C0F" w:rsidRDefault="00665C0F" w:rsidP="00665C0F">
      <w:pPr>
        <w:spacing w:line="480" w:lineRule="auto"/>
        <w:ind w:firstLine="720"/>
        <w:rPr>
          <w:rFonts w:cs="Times New Roman"/>
        </w:rPr>
      </w:pPr>
      <w:r>
        <w:rPr>
          <w:rFonts w:cs="Times New Roman"/>
        </w:rPr>
        <w:t xml:space="preserve">(2) the relative diffusivities of the isotopes, </w:t>
      </w:r>
    </w:p>
    <w:p w:rsidR="00665C0F" w:rsidRDefault="00665C0F" w:rsidP="00A03F13">
      <w:pPr>
        <w:spacing w:line="480" w:lineRule="auto"/>
        <w:ind w:left="720"/>
        <w:rPr>
          <w:rFonts w:cs="Times New Roman"/>
        </w:rPr>
      </w:pPr>
      <w:r>
        <w:rPr>
          <w:rFonts w:cs="Times New Roman"/>
        </w:rPr>
        <w:t xml:space="preserve">(3) the thickness of a boundary-layer liquid at the interface of the growing crystal, and </w:t>
      </w:r>
    </w:p>
    <w:p w:rsidR="00665C0F" w:rsidRDefault="00665C0F" w:rsidP="00665C0F">
      <w:pPr>
        <w:spacing w:line="480" w:lineRule="auto"/>
        <w:ind w:firstLine="720"/>
        <w:rPr>
          <w:rFonts w:cs="Times New Roman"/>
        </w:rPr>
      </w:pPr>
      <w:r>
        <w:rPr>
          <w:rFonts w:cs="Times New Roman"/>
        </w:rPr>
        <w:t xml:space="preserve">(4) the elemental partition coefficient between crystal and melt. </w:t>
      </w:r>
    </w:p>
    <w:p w:rsidR="00665C0F" w:rsidRDefault="00665C0F" w:rsidP="00665C0F">
      <w:pPr>
        <w:spacing w:line="480" w:lineRule="auto"/>
        <w:rPr>
          <w:rFonts w:cs="Times New Roman"/>
        </w:rPr>
      </w:pPr>
      <w:r>
        <w:rPr>
          <w:rFonts w:cs="Times New Roman"/>
        </w:rPr>
        <w:t>Their model predicts that diffusion-limited kinetics dictates the distribution of isotopes between a crystal and its growth medium when the crystal growth rate, R, is fast in relation to the diffusivity of the isotopes in question, D, and especially when the elemental partition coefficient deviates significantly from unity. Moreover, the kinetic fractionation and boundary-layer effects are greater for unidirectional (1-dimensional) crystal growth than for spherical (2-dimensional) crystallization, because the interfacial surface area remains constant in the first case but increases in the second case. In granites and pegmatites, tourmaline exhibits strongly 1-dimensional and unidirectional (base to tip) growth habits in highly undercooled and viscous granitic systems.</w:t>
      </w:r>
    </w:p>
    <w:p w:rsidR="00665C0F" w:rsidRPr="00A03F13" w:rsidRDefault="00665C0F" w:rsidP="00A03F13">
      <w:pPr>
        <w:pStyle w:val="Heading2"/>
        <w:spacing w:line="480" w:lineRule="auto"/>
        <w:rPr>
          <w:rFonts w:cs="Times New Roman"/>
          <w:sz w:val="24"/>
        </w:rPr>
      </w:pPr>
      <w:bookmarkStart w:id="93" w:name="_Toc491246027"/>
      <w:r w:rsidRPr="00A03F13">
        <w:rPr>
          <w:rFonts w:cs="Times New Roman"/>
          <w:sz w:val="24"/>
        </w:rPr>
        <w:lastRenderedPageBreak/>
        <w:t>6. Applications to geologic systems: Degassing of granitic liquid and crystallization of tourmaline</w:t>
      </w:r>
      <w:bookmarkEnd w:id="93"/>
    </w:p>
    <w:p w:rsidR="00665C0F" w:rsidRDefault="00665C0F" w:rsidP="00665C0F">
      <w:pPr>
        <w:spacing w:line="480" w:lineRule="auto"/>
        <w:ind w:firstLine="720"/>
        <w:rPr>
          <w:rFonts w:cs="Times New Roman"/>
        </w:rPr>
      </w:pPr>
      <w:r>
        <w:rPr>
          <w:rFonts w:cs="Times New Roman"/>
        </w:rPr>
        <w:t xml:space="preserve">Boron isotopic fractionation factors in the system tourmaline-aqueous solution were reported by </w:t>
      </w:r>
      <w:r>
        <w:rPr>
          <w:rFonts w:cs="Times New Roman"/>
        </w:rPr>
        <w:fldChar w:fldCharType="begin" w:fldLock="1"/>
      </w:r>
      <w:r w:rsidR="00266290">
        <w:rPr>
          <w:rFonts w:cs="Times New Roman"/>
        </w:rPr>
        <w:instrText>ADDIN CSL_CITATION { "citationItems" : [ { "id" : "ITEM-1", "itemData" : { "DOI" : "http://dx.doi.org/10.1016/0009-2541(92)90209-N", "ISBN" : "0168-9622", "ISSN" : "00092541", "abstract" : "The extent of boron isotope fractionation between tourmaline and aqueous vapor has been determined over theP-T range 50-200 MPa and 350-750\u00b0C. The results show that the extent of fractionation is inversely dependent on temperature. An unusual feature of the reaction is that the isotope fractionation is less of extensive at higher pressures for an equivalent temperature. Due to its refractory nature the experiments involved synthesis of tourmaline from constituents rather than equilibration of the preformed mineral with an isotopically distinct aqueous phase. For this reason we cannot, as yet, be certain whether the pressure effect is the result of equilibrium or kinetic processes.", "author" : [ { "dropping-particle" : "", "family" : "Palmer", "given" : "MR", "non-dropping-particle" : "", "parse-names" : false, "suffix" : "" }, { "dropping-particle" : "", "family" : "London", "given" : "D", "non-dropping-particle" : "", "parse-names" : false, "suffix" : "" }, { "dropping-particle" : "", "family" : "Morgan VI", "given" : "GB", "non-dropping-particle" : "", "parse-names" : false, "suffix" : "" }, { "dropping-particle" : "", "family" : "Babb", "given" : "HA", "non-dropping-particle" : "", "parse-names" : false, "suffix" : "" } ], "container-title" : "Chemical Geology", "id" : "ITEM-1", "issued" : { "date-parts" : [ [ "1992" ] ] }, "page" : "123-129", "title" : "Experimental determination of fractionation of 11B/10B between tourmaline and aqueous vapor: A temperature- and pressure-dependent isotopic system", "type" : "article-journal", "volume" : "101" }, "uris" : [ "http://www.mendeley.com/documents/?uuid=551614f3-36a5-485e-9b7a-dec99baa6926" ] }, { "id" : "ITEM-2", "itemData" : { "DOI" : "10.1007/s00410-008-0285-1", "ISBN" : "0010-7999", "ISSN" : "00107999", "abstract" : "The fractionation of boron isotopes between synthetic dravitic tourmaline and fluid was determined by hydrothermal experiments between 400 and 700 degrees C at 200 MPa and at 500 degrees C, 500 MPa. Tourmaline was crystallized from an oxide mix in presence of water that contained boron in excess. In one series of experiments, [B](fluid)/[B](tour) was 9 after the run; in another series it was 0.1. All experiments produced tourmaline as the sole boron-bearing solid, along with traces of quartz and talc. Powder XRD and Rietveld refinements revealed no significant amounts of tetrahedrally coordinated boron in tourmaline. B-11 always preferentially fractionated into the fluid. For experiments where [B](fluid)/[B](tour) was 9, a consistent temperature-dependent boron isotope fractionation curve resulted, approximated by Delta B-11((tour-fluid)) = -4.20 . [1,000/T (K)] + 3.52; R-2 = 0.77, and valid from 400 to 700 degrees C. No pressure dependence was observed. The fractionation (-2.7 +/- 0.5 parts per thousand at 400 degrees C; and -0.8 +/- 0.5 parts per thousand at 700 degrees C) is much lower than that previously presented by Palmer et al. (1992). Experiments where [B](fluid)/[B](tour) was 0.1 showed a significant larger apparent fractionation of up to -4.7 parts per thousand. In one of these runs, the isotopic composition of handpicked tourmaline crystals of different size varied by 1.3%. This is interpreted as resulting from fractional crystallization of boron isotopes during tourmaline growth due to the small boron reservoir of the fluid relative to tourmaline, thus indicating larger fractionation than observed at equilibrium. The effect is eliminated or minimized in experiments with very high boron excess in the fluid. We therefore suggest that values given by the above relation represent the true equilibrium fractionations.", "author" : [ { "dropping-particle" : "", "family" : "Meyer", "given" : "Christian", "non-dropping-particle" : "", "parse-names" : false, "suffix" : "" }, { "dropping-particle" : "", "family" : "Wunder", "given" : "Bernd", "non-dropping-particle" : "", "parse-names" : false, "suffix" : "" }, { "dropping-particle" : "", "family" : "Meixner", "given" : "Anette", "non-dropping-particle" : "", "parse-names" : false, "suffix" : "" }, { "dropping-particle" : "", "family" : "Romer", "given" : "Rolf L.", "non-dropping-particle" : "", "parse-names" : false, "suffix" : "" }, { "dropping-particle" : "", "family" : "Heinrich", "given" : "Wilhelm", "non-dropping-particle" : "", "parse-names" : false, "suffix" : "" } ], "container-title" : "Contributions to Mineralogy and Petrology", "id" : "ITEM-2", "issue" : "2", "issued" : { "date-parts" : [ [ "2008" ] ] }, "page" : "259-267", "title" : "Boron-isotope fractionation between tourmaline and fluid: An experimental re-investigation", "type" : "article-journal", "volume" : "156" }, "uris" : [ "http://www.mendeley.com/documents/?uuid=02c37c62-9b3e-4dfe-99ce-a807defc9a6f" ] } ], "mendeley" : { "formattedCitation" : "(Meyer et al., 2008; Palmer et al., 1992)", "manualFormatting" : "Meyer et al. (2008) and Palmer et al. (1992)", "plainTextFormattedCitation" : "(Meyer et al., 2008; Palmer et al., 1992)", "previouslyFormattedCitation" : "(Palmer et al. 1992; Meyer et al. 2008)" }, "properties" : { "noteIndex" : 0 }, "schema" : "https://github.com/citation-style-language/schema/raw/master/csl-citation.json" }</w:instrText>
      </w:r>
      <w:r>
        <w:rPr>
          <w:rFonts w:cs="Times New Roman"/>
        </w:rPr>
        <w:fldChar w:fldCharType="separate"/>
      </w:r>
      <w:r>
        <w:rPr>
          <w:rFonts w:cs="Times New Roman"/>
          <w:noProof/>
        </w:rPr>
        <w:t>Meyer et al. (</w:t>
      </w:r>
      <w:r w:rsidRPr="00823D0A">
        <w:rPr>
          <w:rFonts w:cs="Times New Roman"/>
          <w:noProof/>
        </w:rPr>
        <w:t>2008</w:t>
      </w:r>
      <w:r>
        <w:rPr>
          <w:rFonts w:cs="Times New Roman"/>
          <w:noProof/>
        </w:rPr>
        <w:t>) and Palmer et al. (</w:t>
      </w:r>
      <w:r w:rsidRPr="00823D0A">
        <w:rPr>
          <w:rFonts w:cs="Times New Roman"/>
          <w:noProof/>
        </w:rPr>
        <w:t>1992)</w:t>
      </w:r>
      <w:r>
        <w:rPr>
          <w:rFonts w:cs="Times New Roman"/>
        </w:rPr>
        <w:fldChar w:fldCharType="end"/>
      </w:r>
      <w:r>
        <w:rPr>
          <w:rFonts w:cs="Times New Roman"/>
        </w:rPr>
        <w:t xml:space="preserve">. Results of both studies indicate that tourmaline is isotopically lighter than the aqueous solution from which it crystallizes. </w:t>
      </w:r>
      <w:r>
        <w:rPr>
          <w:rFonts w:cs="Times New Roman"/>
        </w:rPr>
        <w:fldChar w:fldCharType="begin" w:fldLock="1"/>
      </w:r>
      <w:r w:rsidR="00266290">
        <w:rPr>
          <w:rFonts w:cs="Times New Roman"/>
        </w:rPr>
        <w:instrText>ADDIN CSL_CITATION { "citationItems" : [ { "id" : "ITEM-1",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"ITEM-1", "issue" : "5-6", "issued" : { "date-parts" : [ [ "2002" ] ] }, "page" : "769-774", "title" : "Isotopic and elemental partitioning of boron between hydrous fluid and silicate melt", "type" : "article-journal", "volume" : "87" }, "uris" : [ "http://www.mendeley.com/documents/?uuid=6b1d0590-ae63-44d0-990b-7cd3b5a05b06" ] } ], "mendeley" : { "formattedCitation" : "(Hervig et al., 2002)", "manualFormatting" : "Hervig et al. (2002)", "plainTextFormattedCitation" : "(Hervig et al., 2002)", "previouslyFormattedCitation" : "(Hervig et al. 2002)" }, "properties" : { "noteIndex" : 0 }, "schema" : "https://github.com/citation-style-language/schema/raw/master/csl-citation.json" }</w:instrText>
      </w:r>
      <w:r>
        <w:rPr>
          <w:rFonts w:cs="Times New Roman"/>
        </w:rPr>
        <w:fldChar w:fldCharType="separate"/>
      </w:r>
      <w:r w:rsidRPr="00823D0A">
        <w:rPr>
          <w:rFonts w:cs="Times New Roman"/>
          <w:noProof/>
        </w:rPr>
        <w:t xml:space="preserve">Hervig et </w:t>
      </w:r>
      <w:r>
        <w:rPr>
          <w:rFonts w:cs="Times New Roman"/>
          <w:noProof/>
        </w:rPr>
        <w:t>al. (</w:t>
      </w:r>
      <w:r w:rsidRPr="00823D0A">
        <w:rPr>
          <w:rFonts w:cs="Times New Roman"/>
          <w:noProof/>
        </w:rPr>
        <w:t>2002)</w:t>
      </w:r>
      <w:r>
        <w:rPr>
          <w:rFonts w:cs="Times New Roman"/>
        </w:rPr>
        <w:fldChar w:fldCharType="end"/>
      </w:r>
      <w:r>
        <w:rPr>
          <w:rFonts w:cs="Times New Roman"/>
        </w:rPr>
        <w:t xml:space="preserve"> indicate that an aqueous solution will be isotopically heavier than its coexisting granitic melt. Based on these data, and an assumption of equilibrium distributions of the isotopes in all cases, tourmaline that crystallizes from melt should be isotopically heavier than melt. </w:t>
      </w:r>
      <w:r w:rsidRPr="004E7966">
        <w:rPr>
          <w:rFonts w:cs="Times New Roman"/>
        </w:rPr>
        <w:t>The result is two populations of δ</w:t>
      </w:r>
      <w:r w:rsidRPr="004E7966">
        <w:rPr>
          <w:rFonts w:cs="Times New Roman"/>
          <w:vertAlign w:val="superscript"/>
        </w:rPr>
        <w:t>11</w:t>
      </w:r>
      <w:r w:rsidRPr="004E7966">
        <w:rPr>
          <w:rFonts w:cs="Times New Roman"/>
        </w:rPr>
        <w:t>B values for tourmaline</w:t>
      </w:r>
      <w:r>
        <w:rPr>
          <w:rFonts w:cs="Times New Roman"/>
        </w:rPr>
        <w:t xml:space="preserve">, such </w:t>
      </w:r>
      <w:r w:rsidRPr="004E7966">
        <w:rPr>
          <w:rFonts w:cs="Times New Roman"/>
        </w:rPr>
        <w:t xml:space="preserve">those that crystallize from aqueous solution </w:t>
      </w:r>
      <w:r>
        <w:rPr>
          <w:rFonts w:cs="Times New Roman"/>
        </w:rPr>
        <w:t>should be</w:t>
      </w:r>
      <w:r w:rsidRPr="004E7966">
        <w:rPr>
          <w:rFonts w:cs="Times New Roman"/>
        </w:rPr>
        <w:t xml:space="preserve"> heavier than those that crystallize from melt.</w:t>
      </w:r>
      <w:r>
        <w:rPr>
          <w:rFonts w:cs="Times New Roman"/>
        </w:rPr>
        <w:t xml:space="preserve"> </w:t>
      </w:r>
      <w:r>
        <w:rPr>
          <w:rFonts w:cs="Times New Roman"/>
        </w:rPr>
        <w:fldChar w:fldCharType="begin" w:fldLock="1"/>
      </w:r>
      <w:r w:rsidR="00266290">
        <w:rPr>
          <w:rFonts w:cs="Times New Roman"/>
        </w:rPr>
        <w:instrText>ADDIN CSL_CITATION { "citationItems" : [ { "id" : "ITEM-1", "itemData" : { "DOI" : "10.1016/j.chemgeo.2015.11.025", "ISSN" : "00092541", "abstract" : "The internal evolution of the Varutr\u00e4sk rare-element pegmatite (Skellefte District, Northern Sweden) has been investigated using stable isotope (B, H, O) geochemistry of tourmaline and coexisting micas, feldspar and quartz. Varutr\u00e4sk is a classic and typical example of highly fractionated LCT-type pegmatites, with a pronounced concentric zoning pattern composed of well-developed border, wall and intermediate zones and a quartz core. The pegmatite displays considerable rare-element enrichment, culminating in the formation of albite-lepidolite and pollucite units in the innermost zones. Major and trace element variations in tourmaline from the main pegmatite zones correlate well with the internal zoning pattern. Mineral compositions record an abrupt change in fractionation trends between the barren outer and intermediate zones and the inner, late-stage assemblages that carry rare-element mineralization. This change is also shown by the B-isotope variations of tourmaline. Early and mid-stage tourmalines record a systematic increase in \u03b411B from -14.6\u2030 to -6.2\u2030 which can be explained by closed-system melt-mineral isotope fractionation whereby crystallization of large amounts of muscovite preferentially removes 10B from the residual melt. In contrast, tourmaline from late-stage assemblages in the inner zones and cross-cutting veinlets shows a reversal in the B isotope trend, with a decrease in \u03b411B from -8\u2030 to -14.1\u2030. This reversal cannot be explained by mineral-melt isotope fractionation, but requires fluid-melt partitioning and partial fluid loss. Hydrogen isotope variations in mica support this model. The systematic increase in \u03b4D from -75\u2030 in the outer zones (muscovite) to -63\u2030 and -53\u2030 in the inner zones (Li-micas) cannot be explained by closed-system variations in temperature or melt-mica fractionation, but it is consistent with late fluid exsolution. Oxygen isotope compositions of tourmaline (\u03b418O from 9.7\u2030 to 11.6\u2030), quartz (13.3\u2030 to 14\u2030) and mica (10.3\u2030 to 11.3\u2030) show good agreement with equilibrium partitioning and yield temperatures in the range 450\u00b0C to 600\u00b0C. Combining this with the stability fields of Li-aluminosilicates petalite and spodumene indicates crystallization pressures of 2-3kbar. Taken together, the stable isotope and mineral chemistry data demonstrate that rare-element enrichment in the innermost fractionated assemblages in the Varutr\u00e4sk pegmatite was associated with the transition from purely magmatic crystallization to conditions \u2026", "author" : [ { "dropping-particle" : "", "family" : "Siegel", "given" : "Karin", "non-dropping-particle" : "", "parse-names" : false, "suffix" : "" }, { "dropping-particle" : "", "family" : "Wagner", "given" : "Thomas", "non-dropping-particle" : "", "parse-names" : false, "suffix" : "" }, { "dropping-particle" : "", "family" : "Trumbull", "given" : "Robert B.", "non-dropping-particle" : "", "parse-names" : false, "suffix" : "" }, { "dropping-particle" : "", "family" : "Jonsson", "given" : "Erik", "non-dropping-particle" : "", "parse-names" : false, "suffix" : "" }, { "dropping-particle" : "", "family" : "Matalin", "given" : "Gabriella", "non-dropping-particle" : "", "parse-names" : false, "suffix" : "" }, { "dropping-particle" : "", "family" : "W\u00e4lle", "given" : "Markus", "non-dropping-particle" : "", "parse-names" : false, "suffix" : "" }, { "dropping-particle" : "", "family" : "Heinrich", "given" : "Christoph A.", "non-dropping-particle" : "", "parse-names" : false, "suffix" : "" } ], "container-title" : "Chemical Geology", "id" : "ITEM-1", "issued" : { "date-parts" : [ [ "2016" ] ] }, "page" : "1-16", "publisher" : "Elsevier B.V.", "title" : "Stable isotope (B, H, O) and mineral-chemistry constraints on the magmatic to hydrothermal evolution of the Varutr\u00e4sk rare-element pegmatite (Northern Sweden)", "type" : "article-journal", "volume" : "421" }, "uris" : [ "http://www.mendeley.com/documents/?uuid=86c56466-e0c4-4297-83f2-ada62f7f82f2" ] }, { "id" : "ITEM-2", "itemData" : { "DOI" : "10.1016/j.chemgeo.2013.05.021", "ISSN" : "0009-2541", "author" : [ { "dropping-particle" : "", "family" : "Trumbull", "given" : "Robert B", "non-dropping-particle" : "", "parse-names" : false, "suffix" : "" }, { "dropping-particle" : "", "family" : "Beurlen", "given" : "Hartmut", "non-dropping-particle" : "", "parse-names" : false, "suffix" : "" }, { "dropping-particle" : "", "family" : "Wiedenbeck", "given" : "Michael", "non-dropping-particle" : "", "parse-names" : false, "suffix" : "" }, { "dropping-particle" : "", "family" : "Soares", "given" : "Dwight R", "non-dropping-particle" : "", "parse-names" : false, "suffix" : "" } ], "container-title" : "Chemical Geology", "id" : "ITEM-2", "issued" : { "date-parts" : [ [ "2013" ] ] }, "page" : "47-62", "publisher" : "Elsevier B.V.", "title" : "The diversity of B-isotope variations in tourmaline from rare-element pegmatites in the Borborema Province of Brazil", "type" : "article-journal", "volume" : "352" }, "uris" : [ "http://www.mendeley.com/documents/?uuid=42e5d20c-a3f5-4b24-9b2e-8f7ffb58d592" ] } ], "mendeley" : { "formattedCitation" : "(Siegel et al., 2016; Trumbull et al., 2013)", "manualFormatting" : "Siegel et al. (2016) and Trumbull et al. (2013", "plainTextFormattedCitation" : "(Siegel et al., 2016; Trumbull et al., 2013)", "previouslyFormattedCitation" : "(Trumbull et al. 2013; Siegel et al. 2016)" }, "properties" : { "noteIndex" : 0 }, "schema" : "https://github.com/citation-style-language/schema/raw/master/csl-citation.json" }</w:instrText>
      </w:r>
      <w:r>
        <w:rPr>
          <w:rFonts w:cs="Times New Roman"/>
        </w:rPr>
        <w:fldChar w:fldCharType="separate"/>
      </w:r>
      <w:r>
        <w:rPr>
          <w:rFonts w:cs="Times New Roman"/>
          <w:noProof/>
        </w:rPr>
        <w:t>Siegel et al. (</w:t>
      </w:r>
      <w:r w:rsidRPr="00C058F1">
        <w:rPr>
          <w:rFonts w:cs="Times New Roman"/>
          <w:noProof/>
        </w:rPr>
        <w:t>2016</w:t>
      </w:r>
      <w:r>
        <w:rPr>
          <w:rFonts w:cs="Times New Roman"/>
          <w:noProof/>
        </w:rPr>
        <w:t>) and</w:t>
      </w:r>
      <w:r w:rsidRPr="00C058F1">
        <w:rPr>
          <w:rFonts w:cs="Times New Roman"/>
          <w:noProof/>
        </w:rPr>
        <w:t xml:space="preserve"> Trumbull et al. </w:t>
      </w:r>
      <w:r>
        <w:rPr>
          <w:rFonts w:cs="Times New Roman"/>
          <w:noProof/>
        </w:rPr>
        <w:t>(</w:t>
      </w:r>
      <w:r w:rsidRPr="00C058F1">
        <w:rPr>
          <w:rFonts w:cs="Times New Roman"/>
          <w:noProof/>
        </w:rPr>
        <w:t>2013</w:t>
      </w:r>
      <w:r>
        <w:rPr>
          <w:rFonts w:cs="Times New Roman"/>
        </w:rPr>
        <w:fldChar w:fldCharType="end"/>
      </w:r>
      <w:r>
        <w:rPr>
          <w:rFonts w:cs="Times New Roman"/>
        </w:rPr>
        <w:t xml:space="preserve">) interpreted a decrease in the </w:t>
      </w:r>
      <w:r w:rsidRPr="00B16556">
        <w:rPr>
          <w:rFonts w:cs="Times New Roman"/>
        </w:rPr>
        <w:t>δ</w:t>
      </w:r>
      <w:r w:rsidRPr="00B16556">
        <w:rPr>
          <w:rFonts w:cs="Times New Roman"/>
          <w:vertAlign w:val="superscript"/>
        </w:rPr>
        <w:t>11</w:t>
      </w:r>
      <w:r w:rsidRPr="00B16556">
        <w:rPr>
          <w:rFonts w:cs="Times New Roman"/>
        </w:rPr>
        <w:t>B</w:t>
      </w:r>
      <w:r>
        <w:rPr>
          <w:rFonts w:cs="Times New Roman"/>
          <w:vertAlign w:val="subscript"/>
        </w:rPr>
        <w:t xml:space="preserve"> </w:t>
      </w:r>
      <w:r>
        <w:rPr>
          <w:rFonts w:cs="Times New Roman"/>
        </w:rPr>
        <w:t>of tourmaline from core to rim of single crystals to result from exsolution of H</w:t>
      </w:r>
      <w:r w:rsidRPr="0071299F">
        <w:rPr>
          <w:rFonts w:cs="Times New Roman"/>
          <w:vertAlign w:val="subscript"/>
        </w:rPr>
        <w:t>2</w:t>
      </w:r>
      <w:r>
        <w:rPr>
          <w:rFonts w:cs="Times New Roman"/>
        </w:rPr>
        <w:t xml:space="preserve">O from melt and loss of </w:t>
      </w:r>
      <w:r>
        <w:rPr>
          <w:rFonts w:cs="Times New Roman"/>
          <w:vertAlign w:val="superscript"/>
        </w:rPr>
        <w:t>11</w:t>
      </w:r>
      <w:r>
        <w:rPr>
          <w:rFonts w:cs="Times New Roman"/>
        </w:rPr>
        <w:t xml:space="preserve">B from melt to aqueous solution. Alternatively, if </w:t>
      </w:r>
      <w:r w:rsidRPr="001D6EAE">
        <w:rPr>
          <w:rFonts w:ascii="Symbol" w:hAnsi="Symbol" w:cs="Symbol"/>
        </w:rPr>
        <w:t></w:t>
      </w:r>
      <w:r w:rsidRPr="001D6EAE">
        <w:rPr>
          <w:rFonts w:cs="Times New Roman"/>
          <w:vertAlign w:val="superscript"/>
        </w:rPr>
        <w:t>11</w:t>
      </w:r>
      <w:r>
        <w:rPr>
          <w:rFonts w:cs="Times New Roman"/>
        </w:rPr>
        <w:t xml:space="preserve">B for tourmaline-melt is positive, then the continuous crystallization of tourmaline from melt should also result in a decrease of </w:t>
      </w:r>
      <w:r w:rsidRPr="004672B5">
        <w:rPr>
          <w:rFonts w:cs="Times New Roman"/>
        </w:rPr>
        <w:t>δ</w:t>
      </w:r>
      <w:r w:rsidRPr="004672B5">
        <w:rPr>
          <w:rFonts w:cs="Times New Roman"/>
          <w:vertAlign w:val="superscript"/>
        </w:rPr>
        <w:t>11</w:t>
      </w:r>
      <w:r w:rsidRPr="004672B5">
        <w:rPr>
          <w:rFonts w:cs="Times New Roman"/>
        </w:rPr>
        <w:t>B</w:t>
      </w:r>
      <w:r>
        <w:rPr>
          <w:rFonts w:cs="Times New Roman"/>
        </w:rPr>
        <w:t xml:space="preserve"> from core to rim, irrespective of the exsolution of aqueous solution from melt. </w:t>
      </w:r>
    </w:p>
    <w:p w:rsidR="00665C0F" w:rsidRDefault="00665C0F" w:rsidP="00665C0F">
      <w:pPr>
        <w:spacing w:line="480" w:lineRule="auto"/>
        <w:ind w:firstLine="720"/>
        <w:rPr>
          <w:rFonts w:cs="Times New Roman"/>
        </w:rPr>
      </w:pPr>
      <w:r>
        <w:rPr>
          <w:rFonts w:cs="Times New Roman"/>
        </w:rPr>
        <w:t xml:space="preserve">Though equilibrium between tourmaline and aqueous solution is likely due to the rapid diffusivity of B in solution </w:t>
      </w:r>
      <w:r>
        <w:rPr>
          <w:rFonts w:cs="Times New Roman"/>
        </w:rPr>
        <w:fldChar w:fldCharType="begin" w:fldLock="1"/>
      </w:r>
      <w:r w:rsidR="00266290">
        <w:rPr>
          <w:rFonts w:cs="Times New Roman"/>
        </w:rPr>
        <w:instrText>ADDIN CSL_CITATION { "citationItems" : [ { "id" : "ITEM-1", "itemData" : { "author" : [ { "dropping-particle" : "", "family" : "Ildefonse", "given" : "J.P.", "non-dropping-particle" : "", "parse-names" : false, "suffix" : "" }, { "dropping-particle" : "", "family" : "Jambon", "given" : "A.", "non-dropping-particle" : "", "parse-names" : false, "suffix" : "" }, { "dropping-particle" : "", "family" : "Carron", "given" : "J.P.", "non-dropping-particle" : "", "parse-names" : false, "suffix" : "" }, { "dropping-particle" : "", "family" : "Delbove", "given" : "F.", "non-dropping-particle" : "", "parse-names" : false, "suffix" : "" }, { "dropping-particle" : "", "family" : "Gabis", "given" : "V.", "non-dropping-particle" : "", "parse-names" : false, "suffix" : "" } ], "container-title" : "Sciences Geologiques, Mem", "id" : "ITEM-1", "issued" : { "date-parts" : [ [ "1979" ] ] }, "page" : "81-85", "title" : "La diffusion chimique dans les solutions hydrothermales et dans les verres et magmas silicates", "type" : "article-journal", "volume" : "53" }, "uris" : [ "http://www.mendeley.com/documents/?uuid=a06200a4-a82d-487b-a6b9-be24e9ea4387" ] } ], "mendeley" : { "formattedCitation" : "(Ildefonse et al., 1979)", "plainTextFormattedCitation" : "(Ildefonse et al., 1979)", "previouslyFormattedCitation" : "(Ildefonse et al. 1979)" }, "properties" : { "noteIndex" : 0 }, "schema" : "https://github.com/citation-style-language/schema/raw/master/csl-citation.json" }</w:instrText>
      </w:r>
      <w:r>
        <w:rPr>
          <w:rFonts w:cs="Times New Roman"/>
        </w:rPr>
        <w:fldChar w:fldCharType="separate"/>
      </w:r>
      <w:r w:rsidR="00266290" w:rsidRPr="00266290">
        <w:rPr>
          <w:rFonts w:cs="Times New Roman"/>
          <w:noProof/>
        </w:rPr>
        <w:t>(Ildefonse et al., 1979)</w:t>
      </w:r>
      <w:r>
        <w:rPr>
          <w:rFonts w:cs="Times New Roman"/>
        </w:rPr>
        <w:fldChar w:fldCharType="end"/>
      </w:r>
      <w:r>
        <w:rPr>
          <w:rFonts w:cs="Times New Roman"/>
        </w:rPr>
        <w:t xml:space="preserve">, </w:t>
      </w:r>
      <w:r w:rsidR="00715932">
        <w:rPr>
          <w:rFonts w:cs="Times New Roman"/>
        </w:rPr>
        <w:t xml:space="preserve">equilibrium between tourmaline and melt is unlikely based on </w:t>
      </w:r>
      <w:r>
        <w:rPr>
          <w:rFonts w:cs="Times New Roman"/>
        </w:rPr>
        <w:t>the results reported in this study for the diffusivity of B and its isotopes in hydrous granitic melt.</w:t>
      </w:r>
      <w:r w:rsidRPr="003A2AF0">
        <w:rPr>
          <w:rFonts w:cs="Times New Roman"/>
        </w:rPr>
        <w:t xml:space="preserve"> </w:t>
      </w:r>
      <w:r>
        <w:rPr>
          <w:rFonts w:cs="Times New Roman"/>
        </w:rPr>
        <w:t xml:space="preserve">For example, </w:t>
      </w:r>
      <w:r>
        <w:rPr>
          <w:rFonts w:cs="Times New Roman"/>
        </w:rPr>
        <w:fldChar w:fldCharType="begin" w:fldLock="1"/>
      </w:r>
      <w:r w:rsidR="00266290">
        <w:rPr>
          <w:rFonts w:cs="Times New Roman"/>
        </w:rPr>
        <w:instrText>ADDIN CSL_CITATION { "citationItems" : [ { "id" : "ITEM-1", "itemData" : { "DOI" : "10.3749/canmin.50.4.1025", "ISSN" : "00084476", "abstract" : "Miarolitic granitic pegmatites at the Little Three mine property near Ramona, San Diego County, California, USA, possess a bulk composition that closely matches that of a hydrous peraluminous granitic liquid that is saturated with respect to tourmaline at a temperature of \u223c450\u00b0C. As such, the pegmatites appear to represent the compositions of the silicate liquid from which they crystallized, which contained &lt;1 wt% B2O3 and minor amounts of Li and F. They do not appear to have contained phenocrysts upon emplacement, and they are neither partially cumulate nor hydrothermal in nature. The Little Three pegmatites are, however, sharply zoned. Chemical zonation across one small dike matches the patterns expected from crystallization of undercooled granitic liquids, in which the far-field diffusion of alkalis and local constitutional zone refining of fluxing and incompatible elements contribute to the chemical and textural changes from the margins inward. Feldspar thermometry records nearly isothermal crystallization at \u223c420\u00b0\u2013430\u00b0C for dikes from 1 to 2.5 m in thickness. Temperatures recorded by feldspars fall toward the miarolitic center of the thicker (Main) dike, but increase to \u223c500\u00b0C in the thinner (Swamp) dike. Fluid inclusions within quartz and topaz from miarolitic cavities of the Main dike contain cryolite, arsenides, arsenates, pollucite, and borates, including Cs borate, the latter of which indicates a higher degree of chemical fractionation than is present in the minerals that line the cavities. Extrapolation along isochores based on the homogenization (200\u00b0\u2013225\u00b0C) of the low-salinity aqueous fluid (&lt;1 equivalent wt% NaCl) to the temperature of feldspar equilibration (240\u00b0\u2013270\u00b0C) with the miarolitic cavity points to hydrostatic entrapment pressures of \u223c50 to 100 MPa, which are unrealistically low. If the isochores are extrapolated to 370\u00b0 \u00b1 20\u00b0C, the temperatures recorded by feldspars in the pegmatite that surrounds the miarolitic pockets, then the entrapment pressure would be \u223c200\u2013250 MPa. Formation of the miarolitic cavities at \u223c370\u00b0C and 200\u2013250 MPa is plausible, as the cavities contain zeolites; therefore, the feldspars within the pockets have recrystallized (re-equilibrated) to an extent that they no longer preserve their original compositions. ", "author" : [ { "dropping-particle" : "", "family" : "London", "given" : "David", "non-dropping-particle" : "", "parse-names" : false, "suffix" : "" }, { "dropping-particle" : "", "family" : "Morganvi", "given" : "George B.", "non-dropping-particle" : "", "parse-names" : false, "suffix" : "" }, { "dropping-particle" : "", "family" : "Paul", "given" : "Kerry A.", "non-dropping-particle" : "", "parse-names" : false, "suffix" : "" }, { "dropping-particle" : "", "family" : "Guttery", "given" : "Brandon M.", "non-dropping-particle" : "", "parse-names" : false, "suffix" : "" } ], "container-title" : "Canadian Mineralogist", "id" : "ITEM-1", "issue" : "4", "issued" : { "date-parts" : [ [ "2012" ] ] }, "page" : "1025-1054", "title" : "Internal evolution of miarolitic granitic pegmatites at the little three Mine, Ramona, California, USA", "type" : "article-journal", "volume" : "50" }, "uris" : [ "http://www.mendeley.com/documents/?uuid=a213218b-05b1-4ed6-8346-161a0a5501f1" ] } ], "mendeley" : { "formattedCitation" : "(London et al., 2012)", "manualFormatting" : "London et al. (2012)", "plainTextFormattedCitation" : "(London et al., 2012)", "previouslyFormattedCitation" : "(London et al. 2012)" }, "properties" : { "noteIndex" : 0 }, "schema" : "https://github.com/citation-style-language/schema/raw/master/csl-citation.json" }</w:instrText>
      </w:r>
      <w:r>
        <w:rPr>
          <w:rFonts w:cs="Times New Roman"/>
        </w:rPr>
        <w:fldChar w:fldCharType="separate"/>
      </w:r>
      <w:r>
        <w:rPr>
          <w:rFonts w:cs="Times New Roman"/>
          <w:noProof/>
        </w:rPr>
        <w:t>London et al. (</w:t>
      </w:r>
      <w:r w:rsidRPr="00DC2AB1">
        <w:rPr>
          <w:rFonts w:cs="Times New Roman"/>
          <w:noProof/>
        </w:rPr>
        <w:t>2012)</w:t>
      </w:r>
      <w:r>
        <w:rPr>
          <w:rFonts w:cs="Times New Roman"/>
        </w:rPr>
        <w:fldChar w:fldCharType="end"/>
      </w:r>
      <w:r>
        <w:rPr>
          <w:rFonts w:cs="Times New Roman"/>
        </w:rPr>
        <w:t xml:space="preserve"> calculated a rate of cooling for a tourmaline-rich pegmatite near Ramona, California, that required the crystallization front to advance into melt at the rate of a few centimeters per day. At the low temperature of crystallization of this dike, ~ 450</w:t>
      </w:r>
      <w:r>
        <w:rPr>
          <w:rFonts w:cs="Times New Roman"/>
        </w:rPr>
        <w:sym w:font="Symbol" w:char="F0B0"/>
      </w:r>
      <w:r>
        <w:rPr>
          <w:rFonts w:cs="Times New Roman"/>
        </w:rPr>
        <w:t xml:space="preserve">C, the </w:t>
      </w:r>
      <w:r>
        <w:rPr>
          <w:rFonts w:cs="Times New Roman"/>
        </w:rPr>
        <w:lastRenderedPageBreak/>
        <w:t xml:space="preserve">diffusivity of B through melt should be approximately zero. </w:t>
      </w:r>
      <w:r>
        <w:rPr>
          <w:rFonts w:cs="Times New Roman"/>
        </w:rPr>
        <w:fldChar w:fldCharType="begin" w:fldLock="1"/>
      </w:r>
      <w:r w:rsidR="00266290">
        <w:rPr>
          <w:rFonts w:cs="Times New Roman"/>
        </w:rPr>
        <w:instrText>ADDIN CSL_CITATION { "citationItems" : [ { "id" : "ITEM-1", "itemData" : { "author" : [ { "dropping-particle" : "", "family" : "Maner", "given" : "James L.", "non-dropping-particle" : "", "parse-names" : false, "suffix" : "" }, { "dropping-particle" : "", "family" : "London", "given" : "David", "non-dropping-particle" : "", "parse-names" : false, "suffix" : "" } ], "container-title" : "Chemical Geology", "id" : "ITEM-1", "issued" : { "date-parts" : [ [ "2017" ] ] }, "page" : "70-83", "title" : "The boron isotopic evolution of the Little Three pegmatites, Ramona, CA", "type" : "article-journal", "volume" : "460" }, "uris" : [ "http://www.mendeley.com/documents/?uuid=11cc18a9-0371-405e-94da-26e69fba70f0" ] } ], "mendeley" : { "formattedCitation" : "(Maner and London, 2017)", "manualFormatting" : "Maner and London (2017)", "plainTextFormattedCitation" : "(Maner and London, 2017)", "previouslyFormattedCitation" : "(Maner and London 2017)" }, "properties" : { "noteIndex" : 0 }, "schema" : "https://github.com/citation-style-language/schema/raw/master/csl-citation.json" }</w:instrText>
      </w:r>
      <w:r>
        <w:rPr>
          <w:rFonts w:cs="Times New Roman"/>
        </w:rPr>
        <w:fldChar w:fldCharType="separate"/>
      </w:r>
      <w:r>
        <w:rPr>
          <w:rFonts w:cs="Times New Roman"/>
          <w:noProof/>
        </w:rPr>
        <w:t>Maner and London (</w:t>
      </w:r>
      <w:r w:rsidRPr="00DC2AB1">
        <w:rPr>
          <w:rFonts w:cs="Times New Roman"/>
          <w:noProof/>
        </w:rPr>
        <w:t>2017)</w:t>
      </w:r>
      <w:r>
        <w:rPr>
          <w:rFonts w:cs="Times New Roman"/>
        </w:rPr>
        <w:fldChar w:fldCharType="end"/>
      </w:r>
      <w:r>
        <w:rPr>
          <w:rFonts w:cs="Times New Roman"/>
        </w:rPr>
        <w:t xml:space="preserve"> observed little to no variation in the average values of δ</w:t>
      </w:r>
      <w:r w:rsidRPr="00F50282">
        <w:rPr>
          <w:rFonts w:cs="Times New Roman"/>
          <w:vertAlign w:val="superscript"/>
        </w:rPr>
        <w:t>11</w:t>
      </w:r>
      <w:r>
        <w:rPr>
          <w:rFonts w:cs="Times New Roman"/>
        </w:rPr>
        <w:t>B</w:t>
      </w:r>
      <w:r w:rsidRPr="00F50282">
        <w:rPr>
          <w:rFonts w:cs="Times New Roman"/>
          <w:vertAlign w:val="subscript"/>
        </w:rPr>
        <w:t>Tur</w:t>
      </w:r>
      <w:r>
        <w:rPr>
          <w:rFonts w:cs="Times New Roman"/>
        </w:rPr>
        <w:t xml:space="preserve"> from an aplitic unit into a miarolitic cavity. For this reason, </w:t>
      </w:r>
      <w:r>
        <w:rPr>
          <w:rFonts w:cs="Times New Roman"/>
        </w:rPr>
        <w:fldChar w:fldCharType="begin" w:fldLock="1"/>
      </w:r>
      <w:r w:rsidR="00266290">
        <w:rPr>
          <w:rFonts w:cs="Times New Roman"/>
        </w:rPr>
        <w:instrText>ADDIN CSL_CITATION { "citationItems" : [ { "id" : "ITEM-1", "itemData" : { "author" : [ { "dropping-particle" : "", "family" : "Maner", "given" : "James L.", "non-dropping-particle" : "", "parse-names" : false, "suffix" : "" }, { "dropping-particle" : "", "family" : "London", "given" : "David", "non-dropping-particle" : "", "parse-names" : false, "suffix" : "" } ], "container-title" : "Chemical Geology", "id" : "ITEM-1", "issued" : { "date-parts" : [ [ "2017" ] ] }, "page" : "70-83", "title" : "The boron isotopic evolution of the Little Three pegmatites, Ramona, CA", "type" : "article-journal", "volume" : "460" }, "uris" : [ "http://www.mendeley.com/documents/?uuid=11cc18a9-0371-405e-94da-26e69fba70f0" ] } ], "mendeley" : { "formattedCitation" : "(Maner and London, 2017)", "manualFormatting" : "Maner and London (2017)", "plainTextFormattedCitation" : "(Maner and London, 2017)", "previouslyFormattedCitation" : "(Maner and London 2017)" }, "properties" : { "noteIndex" : 0 }, "schema" : "https://github.com/citation-style-language/schema/raw/master/csl-citation.json" }</w:instrText>
      </w:r>
      <w:r>
        <w:rPr>
          <w:rFonts w:cs="Times New Roman"/>
        </w:rPr>
        <w:fldChar w:fldCharType="separate"/>
      </w:r>
      <w:r>
        <w:rPr>
          <w:rFonts w:cs="Times New Roman"/>
          <w:noProof/>
        </w:rPr>
        <w:t>Maner and London (</w:t>
      </w:r>
      <w:r w:rsidRPr="00DC2AB1">
        <w:rPr>
          <w:rFonts w:cs="Times New Roman"/>
          <w:noProof/>
        </w:rPr>
        <w:t>2017)</w:t>
      </w:r>
      <w:r>
        <w:rPr>
          <w:rFonts w:cs="Times New Roman"/>
        </w:rPr>
        <w:fldChar w:fldCharType="end"/>
      </w:r>
      <w:r>
        <w:rPr>
          <w:rFonts w:cs="Times New Roman"/>
        </w:rPr>
        <w:t xml:space="preserve"> concluded that the isotopic composition of tourmaline in the massive portion of the pegmatite was that of the bulk melt, and that essentially no fractionation had occurred across the tourmaline-melt and melt-aqueous solution interfaces. </w:t>
      </w:r>
      <w:r>
        <w:rPr>
          <w:rFonts w:cs="Times New Roman"/>
        </w:rPr>
        <w:fldChar w:fldCharType="begin" w:fldLock="1"/>
      </w:r>
      <w:r w:rsidR="00266290">
        <w:rPr>
          <w:rFonts w:cs="Times New Roman"/>
        </w:rPr>
        <w:instrText>ADDIN CSL_CITATION { "citationItems" : [ { "id" : "ITEM-1", "itemData" : { "ISBN" : "0935-1221", "ISSN" : "09351221", "abstract" : "Baron isotopic compositions are found to be nearly uniform within progressive growth sectors of three zoned tourmaline samples, each from a different miarolitic pegmatite on Elba Island. Chemistry (schorl to elbaite) and textures of these samples indicate that they formed from an evolving medium that varied from melt, through melt + vapor, to vapor only assemblages (here designated simply as \"melt/fluid\") with decreasing temperature (ca. 650-300 degrees C). Closed-system crystallization conditions are inferred in two cases whereas, in one case, late fracturing and open-system conditions resulted in development of fibrous schorl overgrowths. The negligible variation in tourmaline isotopic composition (delta(11)B from -9.6 to -8.5 parts per thousand) is tentatively explained in two different ways. In the first case, the isotopic fractionation factor between tourmaline and either fluid-unsaturated melt, fluid-saturated melt, or aqueous fluids is near-constant near Delta(fluid-tour) = 0 (i.e., no isotopic fractionation occurs). In the second case, \"melt/fluid\" composition was increasingly enriched in B-11 due to increasing \"melt/fluid\"-tourmaline isotopic fractionation as temperature dropped. The latter scenario is more consistent with the few presently available experimental data on tourmaline-fluid isotopic fractionation at high temperatures, and implies that evolving magmatic fluids will be relatively enriched in B-11 compared to associated crystalline assemblages.", "author" : [ { "dropping-particle" : "", "family" : "Tonarini", "given" : "Sonia", "non-dropping-particle" : "", "parse-names" : false, "suffix" : "" }, { "dropping-particle" : "", "family" : "Dini", "given" : "A", "non-dropping-particle" : "", "parse-names" : false, "suffix" : "" }, { "dropping-particle" : "", "family" : "Pezzotta", "given" : "Federico", "non-dropping-particle" : "", "parse-names" : false, "suffix" : "" }, { "dropping-particle" : "", "family" : "Leeman", "given" : "William P", "non-dropping-particle" : "", "parse-names" : false, "suffix" : "" } ], "container-title" : "European Journal Of Mineralogy", "id" : "ITEM-1", "issue" : "5", "issued" : { "date-parts" : [ [ "1998" ] ] }, "page" : "941-951", "title" : "Boron isotopic composition of zoned (schorl-elbaite) tourmalines, Mt. Capanne Li-Cs pegmatites, Elba (Italy)", "type" : "article-journal", "volume" : "10" }, "uris" : [ "http://www.mendeley.com/documents/?uuid=fa8ed009-9b16-4d69-9a79-2e39519f39a0" ] } ], "mendeley" : { "formattedCitation" : "(Tonarini et al., 1998)", "manualFormatting" : "Tonarini et al. (1998)", "plainTextFormattedCitation" : "(Tonarini et al., 1998)", "previouslyFormattedCitation" : "(Tonarini et al. 1998)" }, "properties" : { "noteIndex" : 0 }, "schema" : "https://github.com/citation-style-language/schema/raw/master/csl-citation.json" }</w:instrText>
      </w:r>
      <w:r>
        <w:rPr>
          <w:rFonts w:cs="Times New Roman"/>
        </w:rPr>
        <w:fldChar w:fldCharType="separate"/>
      </w:r>
      <w:r>
        <w:rPr>
          <w:rFonts w:cs="Times New Roman"/>
          <w:noProof/>
        </w:rPr>
        <w:t>Tonarini et al. (</w:t>
      </w:r>
      <w:r w:rsidRPr="00DC2AB1">
        <w:rPr>
          <w:rFonts w:cs="Times New Roman"/>
          <w:noProof/>
        </w:rPr>
        <w:t>1998)</w:t>
      </w:r>
      <w:r>
        <w:rPr>
          <w:rFonts w:cs="Times New Roman"/>
        </w:rPr>
        <w:fldChar w:fldCharType="end"/>
      </w:r>
      <w:r>
        <w:rPr>
          <w:rFonts w:cs="Times New Roman"/>
        </w:rPr>
        <w:t xml:space="preserve"> found the same constancy of </w:t>
      </w:r>
      <w:r w:rsidRPr="0071299F">
        <w:rPr>
          <w:rFonts w:ascii="Symbol" w:hAnsi="Symbol" w:cs="Symbol"/>
        </w:rPr>
        <w:t></w:t>
      </w:r>
      <w:r w:rsidRPr="0071299F">
        <w:rPr>
          <w:rFonts w:cs="Times New Roman"/>
          <w:vertAlign w:val="superscript"/>
        </w:rPr>
        <w:t>11</w:t>
      </w:r>
      <w:r>
        <w:rPr>
          <w:rFonts w:cs="Times New Roman"/>
        </w:rPr>
        <w:t xml:space="preserve">B from massive pegmatite into a miarolitic cavity across a narrow pegmatite dike from Elba, Italy. However, they construed this as an equilibrium distribution of isotopes, and on that basis proposed that the equilibrium value of </w:t>
      </w:r>
      <w:r w:rsidRPr="0071299F">
        <w:rPr>
          <w:rFonts w:ascii="Symbol" w:hAnsi="Symbol" w:cs="Symbol"/>
        </w:rPr>
        <w:t></w:t>
      </w:r>
      <w:r w:rsidRPr="0071299F">
        <w:rPr>
          <w:rFonts w:cs="Times New Roman"/>
          <w:vertAlign w:val="superscript"/>
        </w:rPr>
        <w:t>11</w:t>
      </w:r>
      <w:r>
        <w:rPr>
          <w:rFonts w:cs="Times New Roman"/>
        </w:rPr>
        <w:t>B</w:t>
      </w:r>
      <w:r w:rsidRPr="0071299F">
        <w:rPr>
          <w:rFonts w:cs="Times New Roman"/>
          <w:vertAlign w:val="subscript"/>
        </w:rPr>
        <w:t>Tur-melt</w:t>
      </w:r>
      <w:r>
        <w:rPr>
          <w:rFonts w:cs="Times New Roman"/>
        </w:rPr>
        <w:t xml:space="preserve"> is zero.</w:t>
      </w:r>
    </w:p>
    <w:p w:rsidR="00665C0F" w:rsidRDefault="00665C0F" w:rsidP="00665C0F">
      <w:pPr>
        <w:spacing w:line="480" w:lineRule="auto"/>
        <w:ind w:firstLine="720"/>
        <w:rPr>
          <w:rFonts w:cs="Times New Roman"/>
        </w:rPr>
      </w:pPr>
      <w:r>
        <w:rPr>
          <w:rFonts w:cs="Times New Roman"/>
        </w:rPr>
        <w:t xml:space="preserve">The isotopic separation of </w:t>
      </w:r>
      <w:r w:rsidRPr="00F50282">
        <w:rPr>
          <w:rFonts w:cs="Times New Roman"/>
          <w:vertAlign w:val="superscript"/>
        </w:rPr>
        <w:t>10</w:t>
      </w:r>
      <w:r>
        <w:rPr>
          <w:rFonts w:cs="Times New Roman"/>
        </w:rPr>
        <w:t xml:space="preserve">B from </w:t>
      </w:r>
      <w:r w:rsidRPr="00F50282">
        <w:rPr>
          <w:rFonts w:cs="Times New Roman"/>
          <w:vertAlign w:val="superscript"/>
        </w:rPr>
        <w:t>11</w:t>
      </w:r>
      <w:r>
        <w:rPr>
          <w:rFonts w:cs="Times New Roman"/>
        </w:rPr>
        <w:t>B via diffusion as reported here is applicable when a large chemical gradient in B is suddenly imposed on the melt. In the event</w:t>
      </w:r>
      <w:r w:rsidRPr="0083399B">
        <w:rPr>
          <w:rFonts w:cs="Times New Roman"/>
        </w:rPr>
        <w:t xml:space="preserve"> that an aqueous solution rapidly exsolves from melt</w:t>
      </w:r>
      <w:r>
        <w:rPr>
          <w:rFonts w:cs="Times New Roman"/>
        </w:rPr>
        <w:t xml:space="preserve">, we would expect the melt adjoining the aqueous fluid to become enriched in </w:t>
      </w:r>
      <w:r w:rsidRPr="00F50282">
        <w:rPr>
          <w:rFonts w:cs="Times New Roman"/>
          <w:vertAlign w:val="superscript"/>
        </w:rPr>
        <w:t>11</w:t>
      </w:r>
      <w:r>
        <w:rPr>
          <w:rFonts w:cs="Times New Roman"/>
        </w:rPr>
        <w:t xml:space="preserve">B, as the greater diffusivity of </w:t>
      </w:r>
      <w:r w:rsidRPr="00F50282">
        <w:rPr>
          <w:rFonts w:cs="Times New Roman"/>
          <w:vertAlign w:val="superscript"/>
        </w:rPr>
        <w:t>10</w:t>
      </w:r>
      <w:r>
        <w:rPr>
          <w:rFonts w:cs="Times New Roman"/>
        </w:rPr>
        <w:t xml:space="preserve">B depletes its concentration in the melt. </w:t>
      </w:r>
      <w:r w:rsidRPr="0083399B">
        <w:rPr>
          <w:rFonts w:cs="Times New Roman"/>
        </w:rPr>
        <w:t xml:space="preserve"> </w:t>
      </w:r>
      <w:r>
        <w:rPr>
          <w:rFonts w:cs="Times New Roman"/>
        </w:rPr>
        <w:fldChar w:fldCharType="begin" w:fldLock="1"/>
      </w:r>
      <w:r w:rsidR="00266290">
        <w:rPr>
          <w:rFonts w:cs="Times New Roman"/>
        </w:rPr>
        <w:instrText>ADDIN CSL_CITATION { "citationItems" : [ { "id" : "ITEM-1", "itemData" : { "author" : [ { "dropping-particle" : "", "family" : "Koga", "given" : "K.T", "non-dropping-particle" : "", "parse-names" : false, "suffix" : "" }, { "dropping-particle" : "", "family" : "Rose-Koga", "given" : "E. F.", "non-dropping-particle" : "", "parse-names" : false, "suffix" : "" }, { "dropping-particle" : "", "family" : "Laporte", "given" : "D.", "non-dropping-particle" : "", "parse-names" : false, "suffix" : "" }, { "dropping-particle" : "", "family" : "Cluzel", "given" : "N.", "non-dropping-particle" : "", "parse-names" : false, "suffix" : "" }, { "dropping-particle" : "", "family" : "Shimizu", "given" : "N.", "non-dropping-particle" : "", "parse-names" : false, "suffix" : "" }, { "dropping-particle" : "", "family" : "Deloule", "given" : "E.", "non-dropping-particle" : "", "parse-names" : false, "suffix" : "" } ], "container-title" : "Goldscmidt Conference Abstracts", "id" : "ITEM-1", "issued" : { "date-parts" : [ [ "2011" ] ] }, "page" : "1211", "title" : "Lithium-Boron isotope fractionation during degassing of rhyolitic melt", "type" : "article-journal" }, "uris" : [ "http://www.mendeley.com/documents/?uuid=e4d11149-5e08-4665-adb7-fe7004aa328c" ] } ], "mendeley" : { "formattedCitation" : "(Koga et al., 2011)", "manualFormatting" : "Koga et al. (2011)", "plainTextFormattedCitation" : "(Koga et al., 2011)", "previouslyFormattedCitation" : "(Koga et al. 2011)" }, "properties" : { "noteIndex" : 0 }, "schema" : "https://github.com/citation-style-language/schema/raw/master/csl-citation.json" }</w:instrText>
      </w:r>
      <w:r>
        <w:rPr>
          <w:rFonts w:cs="Times New Roman"/>
        </w:rPr>
        <w:fldChar w:fldCharType="separate"/>
      </w:r>
      <w:r>
        <w:rPr>
          <w:rFonts w:cs="Times New Roman"/>
          <w:noProof/>
        </w:rPr>
        <w:t>Koga et al. (</w:t>
      </w:r>
      <w:r w:rsidRPr="00DC2AB1">
        <w:rPr>
          <w:rFonts w:cs="Times New Roman"/>
          <w:noProof/>
        </w:rPr>
        <w:t>2011)</w:t>
      </w:r>
      <w:r>
        <w:rPr>
          <w:rFonts w:cs="Times New Roman"/>
        </w:rPr>
        <w:fldChar w:fldCharType="end"/>
      </w:r>
      <w:r w:rsidRPr="0083399B">
        <w:rPr>
          <w:rFonts w:cs="Times New Roman"/>
        </w:rPr>
        <w:t xml:space="preserve"> reported </w:t>
      </w:r>
      <w:r>
        <w:rPr>
          <w:rFonts w:cs="Times New Roman"/>
        </w:rPr>
        <w:t>precisely these</w:t>
      </w:r>
      <w:r w:rsidRPr="0083399B">
        <w:rPr>
          <w:rFonts w:cs="Times New Roman"/>
        </w:rPr>
        <w:t xml:space="preserve"> results from experiments that entailed the rapid degassing of rhyolitic magma. They noted a strong depletion of </w:t>
      </w:r>
      <w:r w:rsidRPr="0083399B">
        <w:rPr>
          <w:rFonts w:cs="Times New Roman"/>
          <w:vertAlign w:val="superscript"/>
        </w:rPr>
        <w:t>10</w:t>
      </w:r>
      <w:r w:rsidRPr="0083399B">
        <w:rPr>
          <w:rFonts w:cs="Times New Roman"/>
        </w:rPr>
        <w:t xml:space="preserve">B in glass along interfaces with bubbles, much greater than any plausible equilibrium value. Therefore, they appear to have described the same kinetic fractionation as has been demonstrated here, wherein </w:t>
      </w:r>
      <w:r w:rsidRPr="0083399B">
        <w:rPr>
          <w:rFonts w:cs="Times New Roman"/>
          <w:vertAlign w:val="superscript"/>
        </w:rPr>
        <w:t>10</w:t>
      </w:r>
      <w:r w:rsidRPr="0083399B">
        <w:rPr>
          <w:rFonts w:cs="Times New Roman"/>
        </w:rPr>
        <w:t xml:space="preserve">B diffuses faster than </w:t>
      </w:r>
      <w:r w:rsidRPr="0083399B">
        <w:rPr>
          <w:rFonts w:cs="Times New Roman"/>
          <w:vertAlign w:val="superscript"/>
        </w:rPr>
        <w:t>11</w:t>
      </w:r>
      <w:r w:rsidRPr="0083399B">
        <w:rPr>
          <w:rFonts w:cs="Times New Roman"/>
        </w:rPr>
        <w:t>B through granitic melt.</w:t>
      </w:r>
    </w:p>
    <w:p w:rsidR="00665C0F" w:rsidRPr="00A03F13" w:rsidRDefault="00665C0F" w:rsidP="00A03F13">
      <w:pPr>
        <w:pStyle w:val="Heading2"/>
        <w:spacing w:line="480" w:lineRule="auto"/>
        <w:rPr>
          <w:rFonts w:cs="Times New Roman"/>
          <w:sz w:val="24"/>
        </w:rPr>
      </w:pPr>
      <w:bookmarkStart w:id="94" w:name="_Toc491246028"/>
      <w:r w:rsidRPr="00A03F13">
        <w:rPr>
          <w:rFonts w:cs="Times New Roman"/>
          <w:sz w:val="24"/>
        </w:rPr>
        <w:t>7. Concluding Remarks</w:t>
      </w:r>
      <w:bookmarkEnd w:id="94"/>
    </w:p>
    <w:p w:rsidR="00665C0F" w:rsidRPr="0083399B" w:rsidRDefault="00665C0F" w:rsidP="00665C0F">
      <w:pPr>
        <w:spacing w:line="480" w:lineRule="auto"/>
        <w:ind w:firstLine="720"/>
        <w:rPr>
          <w:rFonts w:cs="Times New Roman"/>
        </w:rPr>
      </w:pPr>
      <w:r w:rsidRPr="0083399B">
        <w:rPr>
          <w:rFonts w:cs="Times New Roman"/>
        </w:rPr>
        <w:t xml:space="preserve">Based on the experimental calibrations to date, and these are incomplete at present, the utilization of the </w:t>
      </w:r>
      <w:r>
        <w:rPr>
          <w:rFonts w:cs="Times New Roman"/>
        </w:rPr>
        <w:t>δ</w:t>
      </w:r>
      <w:r w:rsidRPr="0064291A">
        <w:rPr>
          <w:rFonts w:cs="Times New Roman"/>
          <w:vertAlign w:val="superscript"/>
        </w:rPr>
        <w:t>11</w:t>
      </w:r>
      <w:r w:rsidRPr="0064291A">
        <w:rPr>
          <w:rFonts w:cs="Times New Roman"/>
        </w:rPr>
        <w:t>B</w:t>
      </w:r>
      <w:r w:rsidRPr="0083399B">
        <w:rPr>
          <w:rFonts w:cs="Times New Roman"/>
        </w:rPr>
        <w:t xml:space="preserve"> signature of tourmaline in granite-pegmatite systems is fraught with complexity. From an initial </w:t>
      </w:r>
      <w:r>
        <w:rPr>
          <w:rFonts w:cs="Times New Roman"/>
        </w:rPr>
        <w:t>δ</w:t>
      </w:r>
      <w:r w:rsidRPr="0064291A">
        <w:rPr>
          <w:rFonts w:cs="Times New Roman"/>
          <w:vertAlign w:val="superscript"/>
        </w:rPr>
        <w:t>11</w:t>
      </w:r>
      <w:r w:rsidRPr="0064291A">
        <w:rPr>
          <w:rFonts w:cs="Times New Roman"/>
        </w:rPr>
        <w:t>B</w:t>
      </w:r>
      <w:r w:rsidRPr="0083399B">
        <w:rPr>
          <w:rFonts w:cs="Times New Roman"/>
        </w:rPr>
        <w:t xml:space="preserve"> value for granitic melt, tourmaline </w:t>
      </w:r>
      <w:r w:rsidRPr="0083399B">
        <w:rPr>
          <w:rFonts w:cs="Times New Roman"/>
        </w:rPr>
        <w:lastRenderedPageBreak/>
        <w:t xml:space="preserve">should be heavier than the melt from which it crystallizes, but get lighter with the progress of crystallization from melt alone. Aqueous fluid that exsolves from granitic melt should be isotopically heavier than melt </w:t>
      </w:r>
      <w:r>
        <w:rPr>
          <w:rFonts w:cs="Times New Roman"/>
        </w:rPr>
        <w:fldChar w:fldCharType="begin" w:fldLock="1"/>
      </w:r>
      <w:r w:rsidR="00266290">
        <w:rPr>
          <w:rFonts w:cs="Times New Roman"/>
        </w:rPr>
        <w:instrText>ADDIN CSL_CITATION { "citationItems" : [ { "id" : "ITEM-1",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"ITEM-1", "issue" : "5-6", "issued" : { "date-parts" : [ [ "2002" ] ] }, "page" : "769-774", "title" : "Isotopic and elemental partitioning of boron between hydrous fluid and silicate melt", "type" : "article-journal", "volume" : "87" }, "uris" : [ "http://www.mendeley.com/documents/?uuid=6b1d0590-ae63-44d0-990b-7cd3b5a05b06" ] } ], "mendeley" : { "formattedCitation" : "(Hervig et al., 2002)", "plainTextFormattedCitation" : "(Hervig et al., 2002)", "previouslyFormattedCitation" : "(Hervig et al. 2002)" }, "properties" : { "noteIndex" : 0 }, "schema" : "https://github.com/citation-style-language/schema/raw/master/csl-citation.json" }</w:instrText>
      </w:r>
      <w:r>
        <w:rPr>
          <w:rFonts w:cs="Times New Roman"/>
        </w:rPr>
        <w:fldChar w:fldCharType="separate"/>
      </w:r>
      <w:r w:rsidR="00266290" w:rsidRPr="00266290">
        <w:rPr>
          <w:rFonts w:cs="Times New Roman"/>
          <w:noProof/>
        </w:rPr>
        <w:t>(Hervig et al., 2002)</w:t>
      </w:r>
      <w:r>
        <w:rPr>
          <w:rFonts w:cs="Times New Roman"/>
        </w:rPr>
        <w:fldChar w:fldCharType="end"/>
      </w:r>
      <w:r w:rsidRPr="0083399B">
        <w:rPr>
          <w:rFonts w:cs="Times New Roman"/>
        </w:rPr>
        <w:t xml:space="preserve">, but the magnitude of that fractionation remains in doubt (e.g., </w:t>
      </w:r>
      <w:r>
        <w:rPr>
          <w:rFonts w:cs="Times New Roman"/>
        </w:rPr>
        <w:fldChar w:fldCharType="begin" w:fldLock="1"/>
      </w:r>
      <w:r w:rsidR="00266290">
        <w:rPr>
          <w:rFonts w:cs="Times New Roman"/>
        </w:rPr>
        <w:instrText>ADDIN CSL_CITATION { "citationItems" : [ { "id" : "ITEM-1", "itemData" : { "DOI" : "10.1016/j.chemgeo.2013.05.021", "ISSN" : "0009-2541", "author" : [ { "dropping-particle" : "", "family" : "Trumbull", "given" : "Robert B", "non-dropping-particle" : "", "parse-names" : false, "suffix" : "" }, { "dropping-particle" : "", "family" : "Beurlen", "given" : "Hartmut", "non-dropping-particle" : "", "parse-names" : false, "suffix" : "" }, { "dropping-particle" : "", "family" : "Wiedenbeck", "given" : "Michael", "non-dropping-particle" : "", "parse-names" : false, "suffix" : "" }, { "dropping-particle" : "", "family" : "Soares", "given" : "Dwight R", "non-dropping-particle" : "", "parse-names" : false, "suffix" : "" } ], "container-title" : "Chemical Geology", "id" : "ITEM-1", "issued" : { "date-parts" : [ [ "2013" ] ] }, "page" : "47-62", "publisher" : "Elsevier B.V.", "title" : "The diversity of B-isotope variations in tourmaline from rare-element pegmatites in the Borborema Province of Brazil", "type" : "article-journal", "volume" : "352" }, "uris" : [ "http://www.mendeley.com/documents/?uuid=42e5d20c-a3f5-4b24-9b2e-8f7ffb58d592" ] }, { "id" : "ITEM-2", "itemData" : { "DOI" : "10.1016/j.chemgeo.2015.11.025", "ISSN" : "00092541", "abstract" : "The internal evolution of the Varutr\u00e4sk rare-element pegmatite (Skellefte District, Northern Sweden) has been investigated using stable isotope (B, H, O) geochemistry of tourmaline and coexisting micas, feldspar and quartz. Varutr\u00e4sk is a classic and typical example of highly fractionated LCT-type pegmatites, with a pronounced concentric zoning pattern composed of well-developed border, wall and intermediate zones and a quartz core. The pegmatite displays considerable rare-element enrichment, culminating in the formation of albite-lepidolite and pollucite units in the innermost zones. Major and trace element variations in tourmaline from the main pegmatite zones correlate well with the internal zoning pattern. Mineral compositions record an abrupt change in fractionation trends between the barren outer and intermediate zones and the inner, late-stage assemblages that carry rare-element mineralization. This change is also shown by the B-isotope variations of tourmaline. Early and mid-stage tourmalines record a systematic increase in \u03b411B from -14.6\u2030 to -6.2\u2030 which can be explained by closed-system melt-mineral isotope fractionation whereby crystallization of large amounts of muscovite preferentially removes 10B from the residual melt. In contrast, tourmaline from late-stage assemblages in the inner zones and cross-cutting veinlets shows a reversal in the B isotope trend, with a decrease in \u03b411B from -8\u2030 to -14.1\u2030. This reversal cannot be explained by mineral-melt isotope fractionation, but requires fluid-melt partitioning and partial fluid loss. Hydrogen isotope variations in mica support this model. The systematic increase in \u03b4D from -75\u2030 in the outer zones (muscovite) to -63\u2030 and -53\u2030 in the inner zones (Li-micas) cannot be explained by closed-system variations in temperature or melt-mica fractionation, but it is consistent with late fluid exsolution. Oxygen isotope compositions of tourmaline (\u03b418O from 9.7\u2030 to 11.6\u2030), quartz (13.3\u2030 to 14\u2030) and mica (10.3\u2030 to 11.3\u2030) show good agreement with equilibrium partitioning and yield temperatures in the range 450\u00b0C to 600\u00b0C. Combining this with the stability fields of Li-aluminosilicates petalite and spodumene indicates crystallization pressures of 2-3kbar. Taken together, the stable isotope and mineral chemistry data demonstrate that rare-element enrichment in the innermost fractionated assemblages in the Varutr\u00e4sk pegmatite was associated with the transition from purely magmatic crystallization to conditions \u2026", "author" : [ { "dropping-particle" : "", "family" : "Siegel", "given" : "Karin", "non-dropping-particle" : "", "parse-names" : false, "suffix" : "" }, { "dropping-particle" : "", "family" : "Wagner", "given" : "Thomas", "non-dropping-particle" : "", "parse-names" : false, "suffix" : "" }, { "dropping-particle" : "", "family" : "Trumbull", "given" : "Robert B.", "non-dropping-particle" : "", "parse-names" : false, "suffix" : "" }, { "dropping-particle" : "", "family" : "Jonsson", "given" : "Erik", "non-dropping-particle" : "", "parse-names" : false, "suffix" : "" }, { "dropping-particle" : "", "family" : "Matalin", "given" : "Gabriella", "non-dropping-particle" : "", "parse-names" : false, "suffix" : "" }, { "dropping-particle" : "", "family" : "W\u00e4lle", "given" : "Markus", "non-dropping-particle" : "", "parse-names" : false, "suffix" : "" }, { "dropping-particle" : "", "family" : "Heinrich", "given" : "Christoph A.", "non-dropping-particle" : "", "parse-names" : false, "suffix" : "" } ], "container-title" : "Chemical Geology", "id" : "ITEM-2", "issued" : { "date-parts" : [ [ "2016" ] ] }, "page" : "1-16", "publisher" : "Elsevier B.V.", "title" : "Stable isotope (B, H, O) and mineral-chemistry constraints on the magmatic to hydrothermal evolution of the Varutr\u00e4sk rare-element pegmatite (Northern Sweden)", "type" : "article-journal", "volume" : "421" }, "uris" : [ "http://www.mendeley.com/documents/?uuid=86c56466-e0c4-4297-83f2-ada62f7f82f2" ] }, { "id" : "ITEM-3", "itemData" : { "author" : [ { "dropping-particle" : "", "family" : "Maner", "given" : "James L.", "non-dropping-particle" : "", "parse-names" : false, "suffix" : "" }, { "dropping-particle" : "", "family" : "London", "given" : "David", "non-dropping-particle" : "", "parse-names" : false, "suffix" : "" } ], "container-title" : "Chemical Geology", "id" : "ITEM-3", "issued" : { "date-parts" : [ [ "2017" ] ] }, "page" : "70-83", "title" : "The boron isotopic evolution of the Little Three pegmatites, Ramona, CA", "type" : "article-journal", "volume" : "460" }, "uris" : [ "http://www.mendeley.com/documents/?uuid=11cc18a9-0371-405e-94da-26e69fba70f0" ] } ], "mendeley" : { "formattedCitation" : "(Maner and London, 2017; Siegel et al., 2016; Trumbull et al., 2013)", "plainTextFormattedCitation" : "(Maner and London, 2017; Siegel et al., 2016; Trumbull et al., 2013)", "previouslyFormattedCitation" : "(Trumbull et al. 2013; Siegel et al. 2016; Maner and London 2017)" }, "properties" : { "noteIndex" : 0 }, "schema" : "https://github.com/citation-style-language/schema/raw/master/csl-citation.json" }</w:instrText>
      </w:r>
      <w:r>
        <w:rPr>
          <w:rFonts w:cs="Times New Roman"/>
        </w:rPr>
        <w:fldChar w:fldCharType="separate"/>
      </w:r>
      <w:r w:rsidR="00266290" w:rsidRPr="00266290">
        <w:rPr>
          <w:rFonts w:cs="Times New Roman"/>
          <w:noProof/>
        </w:rPr>
        <w:t>Maner and London, 2017; Siegel et al., 2016; Trumbull et al., 2013)</w:t>
      </w:r>
      <w:r>
        <w:rPr>
          <w:rFonts w:cs="Times New Roman"/>
        </w:rPr>
        <w:fldChar w:fldCharType="end"/>
      </w:r>
      <w:r w:rsidRPr="0083399B">
        <w:rPr>
          <w:rFonts w:cs="Times New Roman"/>
        </w:rPr>
        <w:t xml:space="preserve">. Tourmaline that crystallizes from aqueous solution will be lighter than that solution </w:t>
      </w:r>
      <w:r>
        <w:rPr>
          <w:rFonts w:cs="Times New Roman"/>
        </w:rPr>
        <w:fldChar w:fldCharType="begin" w:fldLock="1"/>
      </w:r>
      <w:r w:rsidR="00266290">
        <w:rPr>
          <w:rFonts w:cs="Times New Roman"/>
        </w:rPr>
        <w:instrText>ADDIN CSL_CITATION { "citationItems" : [ { "id" : "ITEM-1", "itemData" : { "DOI" : "http://dx.doi.org/10.1016/0009-2541(92)90209-N", "ISBN" : "0168-9622", "ISSN" : "00092541", "abstract" : "The extent of boron isotope fractionation between tourmaline and aqueous vapor has been determined over theP-T range 50-200 MPa and 350-750\u00b0C. The results show that the extent of fractionation is inversely dependent on temperature. An unusual feature of the reaction is that the isotope fractionation is less of extensive at higher pressures for an equivalent temperature. Due to its refractory nature the experiments involved synthesis of tourmaline from constituents rather than equilibration of the preformed mineral with an isotopically distinct aqueous phase. For this reason we cannot, as yet, be certain whether the pressure effect is the result of equilibrium or kinetic processes.", "author" : [ { "dropping-particle" : "", "family" : "Palmer", "given" : "MR", "non-dropping-particle" : "", "parse-names" : false, "suffix" : "" }, { "dropping-particle" : "", "family" : "London", "given" : "D", "non-dropping-particle" : "", "parse-names" : false, "suffix" : "" }, { "dropping-particle" : "", "family" : "Morgan VI", "given" : "GB", "non-dropping-particle" : "", "parse-names" : false, "suffix" : "" }, { "dropping-particle" : "", "family" : "Babb", "given" : "HA", "non-dropping-particle" : "", "parse-names" : false, "suffix" : "" } ], "container-title" : "Chemical Geology", "id" : "ITEM-1", "issued" : { "date-parts" : [ [ "1992" ] ] }, "page" : "123-129", "title" : "Experimental determination of fractionation of 11B/10B between tourmaline and aqueous vapor: A temperature- and pressure-dependent isotopic system", "type" : "article-journal", "volume" : "101" }, "uris" : [ "http://www.mendeley.com/documents/?uuid=551614f3-36a5-485e-9b7a-dec99baa6926" ] }, { "id" : "ITEM-2", "itemData" : { "DOI" : "10.1007/s00410-008-0285-1", "ISBN" : "0010-7999", "ISSN" : "00107999", "abstract" : "The fractionation of boron isotopes between synthetic dravitic tourmaline and fluid was determined by hydrothermal experiments between 400 and 700 degrees C at 200 MPa and at 500 degrees C, 500 MPa. Tourmaline was crystallized from an oxide mix in presence of water that contained boron in excess. In one series of experiments, [B](fluid)/[B](tour) was 9 after the run; in another series it was 0.1. All experiments produced tourmaline as the sole boron-bearing solid, along with traces of quartz and talc. Powder XRD and Rietveld refinements revealed no significant amounts of tetrahedrally coordinated boron in tourmaline. B-11 always preferentially fractionated into the fluid. For experiments where [B](fluid)/[B](tour) was 9, a consistent temperature-dependent boron isotope fractionation curve resulted, approximated by Delta B-11((tour-fluid)) = -4.20 . [1,000/T (K)] + 3.52; R-2 = 0.77, and valid from 400 to 700 degrees C. No pressure dependence was observed. The fractionation (-2.7 +/- 0.5 parts per thousand at 400 degrees C; and -0.8 +/- 0.5 parts per thousand at 700 degrees C) is much lower than that previously presented by Palmer et al. (1992). Experiments where [B](fluid)/[B](tour) was 0.1 showed a significant larger apparent fractionation of up to -4.7 parts per thousand. In one of these runs, the isotopic composition of handpicked tourmaline crystals of different size varied by 1.3%. This is interpreted as resulting from fractional crystallization of boron isotopes during tourmaline growth due to the small boron reservoir of the fluid relative to tourmaline, thus indicating larger fractionation than observed at equilibrium. The effect is eliminated or minimized in experiments with very high boron excess in the fluid. We therefore suggest that values given by the above relation represent the true equilibrium fractionations.", "author" : [ { "dropping-particle" : "", "family" : "Meyer", "given" : "Christian", "non-dropping-particle" : "", "parse-names" : false, "suffix" : "" }, { "dropping-particle" : "", "family" : "Wunder", "given" : "Bernd", "non-dropping-particle" : "", "parse-names" : false, "suffix" : "" }, { "dropping-particle" : "", "family" : "Meixner", "given" : "Anette", "non-dropping-particle" : "", "parse-names" : false, "suffix" : "" }, { "dropping-particle" : "", "family" : "Romer", "given" : "Rolf L.", "non-dropping-particle" : "", "parse-names" : false, "suffix" : "" }, { "dropping-particle" : "", "family" : "Heinrich", "given" : "Wilhelm", "non-dropping-particle" : "", "parse-names" : false, "suffix" : "" } ], "container-title" : "Contributions to Mineralogy and Petrology", "id" : "ITEM-2", "issue" : "2", "issued" : { "date-parts" : [ [ "2008" ] ] }, "page" : "259-267", "title" : "Boron-isotope fractionation between tourmaline and fluid: An experimental re-investigation", "type" : "article-journal", "volume" : "156" }, "uris" : [ "http://www.mendeley.com/documents/?uuid=02c37c62-9b3e-4dfe-99ce-a807defc9a6f" ] } ], "mendeley" : { "formattedCitation" : "(Meyer et al., 2008; Palmer et al., 1992)", "plainTextFormattedCitation" : "(Meyer et al., 2008; Palmer et al., 1992)", "previouslyFormattedCitation" : "(Palmer et al. 1992; Meyer et al. 2008)" }, "properties" : { "noteIndex" : 0 }, "schema" : "https://github.com/citation-style-language/schema/raw/master/csl-citation.json" }</w:instrText>
      </w:r>
      <w:r>
        <w:rPr>
          <w:rFonts w:cs="Times New Roman"/>
        </w:rPr>
        <w:fldChar w:fldCharType="separate"/>
      </w:r>
      <w:r w:rsidR="00266290" w:rsidRPr="00266290">
        <w:rPr>
          <w:rFonts w:cs="Times New Roman"/>
          <w:noProof/>
        </w:rPr>
        <w:t>(Meyer et al., 2008; Palmer et al., 1992)</w:t>
      </w:r>
      <w:r>
        <w:rPr>
          <w:rFonts w:cs="Times New Roman"/>
        </w:rPr>
        <w:fldChar w:fldCharType="end"/>
      </w:r>
      <w:r w:rsidRPr="0083399B">
        <w:rPr>
          <w:rFonts w:cs="Times New Roman"/>
        </w:rPr>
        <w:t xml:space="preserve"> and get heavier with continued </w:t>
      </w:r>
      <w:r w:rsidRPr="00DC2AB1">
        <w:rPr>
          <w:rFonts w:cs="Times New Roman"/>
        </w:rPr>
        <w:t xml:space="preserve">crystallization </w:t>
      </w:r>
      <w:r w:rsidRPr="00DC2AB1">
        <w:rPr>
          <w:rFonts w:cs="Times New Roman"/>
        </w:rPr>
        <w:fldChar w:fldCharType="begin" w:fldLock="1"/>
      </w:r>
      <w:r w:rsidR="00266290">
        <w:rPr>
          <w:rFonts w:cs="Times New Roman"/>
        </w:rPr>
        <w:instrText>ADDIN CSL_CITATION { "citationItems" : [ { "id" : "ITEM-1", "itemData" : { "DOI" : "10.1007/s00410-009-0403-8", "ISBN" : "0010-7999\\n1432-0967", "ISSN" : "00107999", "author" : [ { "dropping-particle" : "", "family" : "Marschall", "given" : "Horst R.", "non-dropping-particle" : "", "parse-names" : false, "suffix" : "" }, { "dropping-particle" : "", "family" : "Meyer", "given" : "Christian", "non-dropping-particle" : "", "parse-names" : false, "suffix" : "" }, { "dropping-particle" : "", "family" : "Wunder", "given" : "Bernd", "non-dropping-particle" : "", "parse-names" : false, "suffix" : "" }, { "dropping-particle" : "", "family" : "Ludwig", "given" : "Thomas", "non-dropping-particle" : "", "parse-names" : false, "suffix" : "" }, { "dropping-particle" : "", "family" : "Heinrich", "given" : "Wilhelm", "non-dropping-particle" : "", "parse-names" : false, "suffix" : "" } ], "container-title" : "Contributions to Mineralogy and Petrology", "id" : "ITEM-1", "issue" : "5", "issued" : { "date-parts" : [ [ "2009" ] ] }, "page" : "675-681", "title" : "Experimental boron isotope fractionation between tourmaline and fluid: Confirmation from in situ analyses by secondary ion mass spectrometry and from Rayleigh fractionation modelling", "type" : "article-journal", "volume" : "158" }, "uris" : [ "http://www.mendeley.com/documents/?uuid=ae26e15d-88a6-4e75-a669-02751a20d281" ] } ], "mendeley" : { "formattedCitation" : "(Marschall et al., 2009)", "plainTextFormattedCitation" : "(Marschall et al., 2009)", "previouslyFormattedCitation" : "(Marschall et al. 2009)" }, "properties" : { "noteIndex" : 0 }, "schema" : "https://github.com/citation-style-language/schema/raw/master/csl-citation.json" }</w:instrText>
      </w:r>
      <w:r w:rsidRPr="00DC2AB1">
        <w:rPr>
          <w:rFonts w:cs="Times New Roman"/>
        </w:rPr>
        <w:fldChar w:fldCharType="separate"/>
      </w:r>
      <w:r w:rsidR="00266290" w:rsidRPr="00266290">
        <w:rPr>
          <w:rFonts w:cs="Times New Roman"/>
          <w:noProof/>
        </w:rPr>
        <w:t>(Marschall et al., 2009)</w:t>
      </w:r>
      <w:r w:rsidRPr="00DC2AB1">
        <w:rPr>
          <w:rFonts w:cs="Times New Roman"/>
        </w:rPr>
        <w:fldChar w:fldCharType="end"/>
      </w:r>
      <w:r w:rsidRPr="00DC2AB1">
        <w:rPr>
          <w:rFonts w:cs="Times New Roman"/>
        </w:rPr>
        <w:t>.</w:t>
      </w:r>
      <w:r w:rsidRPr="0083399B">
        <w:rPr>
          <w:rFonts w:cs="Times New Roman"/>
        </w:rPr>
        <w:t xml:space="preserve"> Thus, the isotopic compositions of tourmaline that crystallizes from melt and from aqueous solution should </w:t>
      </w:r>
      <w:r>
        <w:rPr>
          <w:rFonts w:cs="Times New Roman"/>
        </w:rPr>
        <w:t>diverge away from</w:t>
      </w:r>
      <w:r w:rsidRPr="0083399B">
        <w:rPr>
          <w:rFonts w:cs="Times New Roman"/>
        </w:rPr>
        <w:t xml:space="preserve"> one another with the progress of crystallization. The kinetic fractionation of </w:t>
      </w:r>
      <w:r w:rsidRPr="0083399B">
        <w:rPr>
          <w:rFonts w:cs="Times New Roman"/>
          <w:vertAlign w:val="superscript"/>
        </w:rPr>
        <w:t>10</w:t>
      </w:r>
      <w:r w:rsidRPr="0083399B">
        <w:rPr>
          <w:rFonts w:cs="Times New Roman"/>
        </w:rPr>
        <w:t xml:space="preserve">B from </w:t>
      </w:r>
      <w:r w:rsidRPr="0083399B">
        <w:rPr>
          <w:rFonts w:cs="Times New Roman"/>
          <w:vertAlign w:val="superscript"/>
        </w:rPr>
        <w:t>11</w:t>
      </w:r>
      <w:r w:rsidRPr="0083399B">
        <w:rPr>
          <w:rFonts w:cs="Times New Roman"/>
        </w:rPr>
        <w:t xml:space="preserve">B as reported here and in the degassing experiments by </w:t>
      </w:r>
      <w:r>
        <w:rPr>
          <w:rFonts w:cs="Times New Roman"/>
        </w:rPr>
        <w:fldChar w:fldCharType="begin" w:fldLock="1"/>
      </w:r>
      <w:r w:rsidR="00266290">
        <w:rPr>
          <w:rFonts w:cs="Times New Roman"/>
        </w:rPr>
        <w:instrText>ADDIN CSL_CITATION { "citationItems" : [ { "id" : "ITEM-1", "itemData" : { "author" : [ { "dropping-particle" : "", "family" : "Koga", "given" : "K.T", "non-dropping-particle" : "", "parse-names" : false, "suffix" : "" }, { "dropping-particle" : "", "family" : "Rose-Koga", "given" : "E. F.", "non-dropping-particle" : "", "parse-names" : false, "suffix" : "" }, { "dropping-particle" : "", "family" : "Laporte", "given" : "D.", "non-dropping-particle" : "", "parse-names" : false, "suffix" : "" }, { "dropping-particle" : "", "family" : "Cluzel", "given" : "N.", "non-dropping-particle" : "", "parse-names" : false, "suffix" : "" }, { "dropping-particle" : "", "family" : "Shimizu", "given" : "N.", "non-dropping-particle" : "", "parse-names" : false, "suffix" : "" }, { "dropping-particle" : "", "family" : "Deloule", "given" : "E.", "non-dropping-particle" : "", "parse-names" : false, "suffix" : "" } ], "container-title" : "Goldscmidt Conference Abstracts", "id" : "ITEM-1", "issued" : { "date-parts" : [ [ "2011" ] ] }, "page" : "1211", "title" : "Lithium-Boron isotope fractionation during degassing of rhyolitic melt", "type" : "article-journal" }, "uris" : [ "http://www.mendeley.com/documents/?uuid=e4d11149-5e08-4665-adb7-fe7004aa328c" ] } ], "mendeley" : { "formattedCitation" : "(Koga et al., 2011)", "manualFormatting" : "Koga et al. (2011)", "plainTextFormattedCitation" : "(Koga et al., 2011)", "previouslyFormattedCitation" : "(Koga et al. 2011)" }, "properties" : { "noteIndex" : 0 }, "schema" : "https://github.com/citation-style-language/schema/raw/master/csl-citation.json" }</w:instrText>
      </w:r>
      <w:r>
        <w:rPr>
          <w:rFonts w:cs="Times New Roman"/>
        </w:rPr>
        <w:fldChar w:fldCharType="separate"/>
      </w:r>
      <w:r>
        <w:rPr>
          <w:rFonts w:cs="Times New Roman"/>
          <w:noProof/>
        </w:rPr>
        <w:t>Koga et al. (</w:t>
      </w:r>
      <w:r w:rsidRPr="00DC2AB1">
        <w:rPr>
          <w:rFonts w:cs="Times New Roman"/>
          <w:noProof/>
        </w:rPr>
        <w:t>2011)</w:t>
      </w:r>
      <w:r>
        <w:rPr>
          <w:rFonts w:cs="Times New Roman"/>
        </w:rPr>
        <w:fldChar w:fldCharType="end"/>
      </w:r>
      <w:r w:rsidRPr="0083399B">
        <w:rPr>
          <w:rFonts w:cs="Times New Roman"/>
        </w:rPr>
        <w:t xml:space="preserve"> have the opposite ef</w:t>
      </w:r>
      <w:r>
        <w:rPr>
          <w:rFonts w:cs="Times New Roman"/>
        </w:rPr>
        <w:t>fect, leading to an isotopicall</w:t>
      </w:r>
      <w:r w:rsidRPr="0083399B">
        <w:rPr>
          <w:rFonts w:cs="Times New Roman"/>
        </w:rPr>
        <w:t xml:space="preserve">y lighter fluid and heavier melt. </w:t>
      </w:r>
    </w:p>
    <w:p w:rsidR="00665C0F" w:rsidRPr="0083399B" w:rsidRDefault="00665C0F" w:rsidP="00665C0F">
      <w:pPr>
        <w:spacing w:line="480" w:lineRule="auto"/>
        <w:ind w:firstLine="720"/>
        <w:rPr>
          <w:rFonts w:cs="Times New Roman"/>
        </w:rPr>
      </w:pPr>
      <w:r w:rsidRPr="0083399B">
        <w:rPr>
          <w:rFonts w:cs="Times New Roman"/>
        </w:rPr>
        <w:t>At the pegmatit</w:t>
      </w:r>
      <w:r>
        <w:rPr>
          <w:rFonts w:cs="Times New Roman"/>
        </w:rPr>
        <w:t>e-forming temperature of ~ 450°</w:t>
      </w:r>
      <w:r w:rsidRPr="0083399B">
        <w:rPr>
          <w:rFonts w:cs="Times New Roman"/>
        </w:rPr>
        <w:t xml:space="preserve">C, the value of </w:t>
      </w:r>
      <w:r w:rsidRPr="0071299F">
        <w:rPr>
          <w:rFonts w:ascii="Symbol" w:hAnsi="Symbol" w:cs="Symbol"/>
        </w:rPr>
        <w:t></w:t>
      </w:r>
      <w:r w:rsidRPr="0071299F">
        <w:rPr>
          <w:rFonts w:cs="Times New Roman"/>
          <w:vertAlign w:val="superscript"/>
        </w:rPr>
        <w:t>11</w:t>
      </w:r>
      <w:r>
        <w:rPr>
          <w:rFonts w:cs="Times New Roman"/>
        </w:rPr>
        <w:t>B</w:t>
      </w:r>
      <w:r w:rsidRPr="0083399B">
        <w:rPr>
          <w:rFonts w:cs="Times New Roman"/>
          <w:vertAlign w:val="subscript"/>
        </w:rPr>
        <w:t>melt-aqueous solution</w:t>
      </w:r>
      <w:r w:rsidRPr="0083399B">
        <w:rPr>
          <w:rFonts w:cs="Times New Roman"/>
        </w:rPr>
        <w:t xml:space="preserve"> is -15.2‰ based on the results of </w:t>
      </w:r>
      <w:r>
        <w:rPr>
          <w:rFonts w:cs="Times New Roman"/>
        </w:rPr>
        <w:fldChar w:fldCharType="begin" w:fldLock="1"/>
      </w:r>
      <w:r w:rsidR="00266290">
        <w:rPr>
          <w:rFonts w:cs="Times New Roman"/>
        </w:rPr>
        <w:instrText>ADDIN CSL_CITATION { "citationItems" : [ { "id" : "ITEM-1",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"ITEM-1", "issue" : "5-6", "issued" : { "date-parts" : [ [ "2002" ] ] }, "page" : "769-774", "title" : "Isotopic and elemental partitioning of boron between hydrous fluid and silicate melt", "type" : "article-journal", "volume" : "87" }, "uris" : [ "http://www.mendeley.com/documents/?uuid=6b1d0590-ae63-44d0-990b-7cd3b5a05b06" ] } ], "mendeley" : { "formattedCitation" : "(Hervig et al., 2002)", "manualFormatting" : "Hervig et al. (2002)", "plainTextFormattedCitation" : "(Hervig et al., 2002)", "previouslyFormattedCitation" : "(Hervig et al. 2002)" }, "properties" : { "noteIndex" : 0 }, "schema" : "https://github.com/citation-style-language/schema/raw/master/csl-citation.json" }</w:instrText>
      </w:r>
      <w:r>
        <w:rPr>
          <w:rFonts w:cs="Times New Roman"/>
        </w:rPr>
        <w:fldChar w:fldCharType="separate"/>
      </w:r>
      <w:r>
        <w:rPr>
          <w:rFonts w:cs="Times New Roman"/>
          <w:noProof/>
        </w:rPr>
        <w:t>Hervig et al. (</w:t>
      </w:r>
      <w:r w:rsidRPr="00DC2AB1">
        <w:rPr>
          <w:rFonts w:cs="Times New Roman"/>
          <w:noProof/>
        </w:rPr>
        <w:t>2002)</w:t>
      </w:r>
      <w:r>
        <w:rPr>
          <w:rFonts w:cs="Times New Roman"/>
        </w:rPr>
        <w:fldChar w:fldCharType="end"/>
      </w:r>
      <w:r w:rsidRPr="0083399B">
        <w:rPr>
          <w:rFonts w:cs="Times New Roman"/>
        </w:rPr>
        <w:t xml:space="preserve">, and </w:t>
      </w:r>
      <w:r w:rsidRPr="0071299F">
        <w:rPr>
          <w:rFonts w:ascii="Symbol" w:hAnsi="Symbol" w:cs="Symbol"/>
        </w:rPr>
        <w:t></w:t>
      </w:r>
      <w:r w:rsidRPr="0071299F">
        <w:rPr>
          <w:rFonts w:cs="Times New Roman"/>
          <w:vertAlign w:val="superscript"/>
        </w:rPr>
        <w:t>11</w:t>
      </w:r>
      <w:r>
        <w:rPr>
          <w:rFonts w:cs="Times New Roman"/>
        </w:rPr>
        <w:t>B</w:t>
      </w:r>
      <w:r w:rsidRPr="0083399B">
        <w:rPr>
          <w:rFonts w:cs="Times New Roman"/>
          <w:vertAlign w:val="subscript"/>
        </w:rPr>
        <w:t>Tur-aqueous solution</w:t>
      </w:r>
      <w:r w:rsidRPr="0083399B">
        <w:rPr>
          <w:rFonts w:cs="Times New Roman"/>
        </w:rPr>
        <w:t xml:space="preserve"> is -2.4‰ </w:t>
      </w:r>
      <w:r>
        <w:rPr>
          <w:rFonts w:cs="Times New Roman"/>
        </w:rPr>
        <w:fldChar w:fldCharType="begin" w:fldLock="1"/>
      </w:r>
      <w:r w:rsidR="00266290">
        <w:rPr>
          <w:rFonts w:cs="Times New Roman"/>
        </w:rPr>
        <w:instrText>ADDIN CSL_CITATION { "citationItems" : [ { "id" : "ITEM-1", "itemData" : { "DOI" : "10.1007/s00410-008-0285-1", "ISBN" : "0010-7999", "ISSN" : "00107999", "abstract" : "The fractionation of boron isotopes between synthetic dravitic tourmaline and fluid was determined by hydrothermal experiments between 400 and 700 degrees C at 200 MPa and at 500 degrees C, 500 MPa. Tourmaline was crystallized from an oxide mix in presence of water that contained boron in excess. In one series of experiments, [B](fluid)/[B](tour) was 9 after the run; in another series it was 0.1. All experiments produced tourmaline as the sole boron-bearing solid, along with traces of quartz and talc. Powder XRD and Rietveld refinements revealed no significant amounts of tetrahedrally coordinated boron in tourmaline. B-11 always preferentially fractionated into the fluid. For experiments where [B](fluid)/[B](tour) was 9, a consistent temperature-dependent boron isotope fractionation curve resulted, approximated by Delta B-11((tour-fluid)) = -4.20 . [1,000/T (K)] + 3.52; R-2 = 0.77, and valid from 400 to 700 degrees C. No pressure dependence was observed. The fractionation (-2.7 +/- 0.5 parts per thousand at 400 degrees C; and -0.8 +/- 0.5 parts per thousand at 700 degrees C) is much lower than that previously presented by Palmer et al. (1992). Experiments where [B](fluid)/[B](tour) was 0.1 showed a significant larger apparent fractionation of up to -4.7 parts per thousand. In one of these runs, the isotopic composition of handpicked tourmaline crystals of different size varied by 1.3%. This is interpreted as resulting from fractional crystallization of boron isotopes during tourmaline growth due to the small boron reservoir of the fluid relative to tourmaline, thus indicating larger fractionation than observed at equilibrium. The effect is eliminated or minimized in experiments with very high boron excess in the fluid. We therefore suggest that values given by the above relation represent the true equilibrium fractionations.", "author" : [ { "dropping-particle" : "", "family" : "Meyer", "given" : "Christian", "non-dropping-particle" : "", "parse-names" : false, "suffix" : "" }, { "dropping-particle" : "", "family" : "Wunder", "given" : "Bernd", "non-dropping-particle" : "", "parse-names" : false, "suffix" : "" }, { "dropping-particle" : "", "family" : "Meixner", "given" : "Anette", "non-dropping-particle" : "", "parse-names" : false, "suffix" : "" }, { "dropping-particle" : "", "family" : "Romer", "given" : "Rolf L.", "non-dropping-particle" : "", "parse-names" : false, "suffix" : "" }, { "dropping-particle" : "", "family" : "Heinrich", "given" : "Wilhelm", "non-dropping-particle" : "", "parse-names" : false, "suffix" : "" } ], "container-title" : "Contributions to Mineralogy and Petrology", "id" : "ITEM-1", "issue" : "2", "issued" : { "date-parts" : [ [ "2008" ] ] }, "page" : "259-267", "title" : "Boron-isotope fractionation between tourmaline and fluid: An experimental re-investigation", "type" : "article-journal", "volume" : "156" }, "uris" : [ "http://www.mendeley.com/documents/?uuid=02c37c62-9b3e-4dfe-99ce-a807defc9a6f" ] } ], "mendeley" : { "formattedCitation" : "(Meyer et al., 2008)", "plainTextFormattedCitation" : "(Meyer et al., 2008)", "previouslyFormattedCitation" : "(Meyer et al. 2008)" }, "properties" : { "noteIndex" : 0 }, "schema" : "https://github.com/citation-style-language/schema/raw/master/csl-citation.json" }</w:instrText>
      </w:r>
      <w:r>
        <w:rPr>
          <w:rFonts w:cs="Times New Roman"/>
        </w:rPr>
        <w:fldChar w:fldCharType="separate"/>
      </w:r>
      <w:r w:rsidR="00266290" w:rsidRPr="00266290">
        <w:rPr>
          <w:rFonts w:cs="Times New Roman"/>
          <w:noProof/>
        </w:rPr>
        <w:t>(Meyer et al., 2008)</w:t>
      </w:r>
      <w:r>
        <w:rPr>
          <w:rFonts w:cs="Times New Roman"/>
        </w:rPr>
        <w:fldChar w:fldCharType="end"/>
      </w:r>
      <w:r w:rsidRPr="0083399B">
        <w:rPr>
          <w:rFonts w:cs="Times New Roman"/>
        </w:rPr>
        <w:t xml:space="preserve"> to -4.9 </w:t>
      </w:r>
      <w:r>
        <w:rPr>
          <w:rFonts w:cs="Times New Roman"/>
        </w:rPr>
        <w:fldChar w:fldCharType="begin" w:fldLock="1"/>
      </w:r>
      <w:r w:rsidR="00266290">
        <w:rPr>
          <w:rFonts w:cs="Times New Roman"/>
        </w:rPr>
        <w:instrText>ADDIN CSL_CITATION { "citationItems" : [ { "id" : "ITEM-1", "itemData" : { "DOI" : "http://dx.doi.org/10.1016/0009-2541(92)90209-N", "ISBN" : "0168-9622", "ISSN" : "00092541", "abstract" : "The extent of boron isotope fractionation between tourmaline and aqueous vapor has been determined over theP-T range 50-200 MPa and 350-750\u00b0C. The results show that the extent of fractionation is inversely dependent on temperature. An unusual feature of the reaction is that the isotope fractionation is less of extensive at higher pressures for an equivalent temperature. Due to its refractory nature the experiments involved synthesis of tourmaline from constituents rather than equilibration of the preformed mineral with an isotopically distinct aqueous phase. For this reason we cannot, as yet, be certain whether the pressure effect is the result of equilibrium or kinetic processes.", "author" : [ { "dropping-particle" : "", "family" : "Palmer", "given" : "MR", "non-dropping-particle" : "", "parse-names" : false, "suffix" : "" }, { "dropping-particle" : "", "family" : "London", "given" : "D", "non-dropping-particle" : "", "parse-names" : false, "suffix" : "" }, { "dropping-particle" : "", "family" : "Morgan VI", "given" : "GB", "non-dropping-particle" : "", "parse-names" : false, "suffix" : "" }, { "dropping-particle" : "", "family" : "Babb", "given" : "HA", "non-dropping-particle" : "", "parse-names" : false, "suffix" : "" } ], "container-title" : "Chemical Geology", "id" : "ITEM-1", "issued" : { "date-parts" : [ [ "1992" ] ] }, "page" : "123-129", "title" : "Experimental determination of fractionation of 11B/10B between tourmaline and aqueous vapor: A temperature- and pressure-dependent isotopic system", "type" : "article-journal", "volume" : "101" }, "uris" : [ "http://www.mendeley.com/documents/?uuid=551614f3-36a5-485e-9b7a-dec99baa6926" ] } ], "mendeley" : { "formattedCitation" : "(Palmer et al., 1992)", "plainTextFormattedCitation" : "(Palmer et al., 1992)", "previouslyFormattedCitation" : "(Palmer et al. 1992)" }, "properties" : { "noteIndex" : 0 }, "schema" : "https://github.com/citation-style-language/schema/raw/master/csl-citation.json" }</w:instrText>
      </w:r>
      <w:r>
        <w:rPr>
          <w:rFonts w:cs="Times New Roman"/>
        </w:rPr>
        <w:fldChar w:fldCharType="separate"/>
      </w:r>
      <w:r w:rsidR="00266290" w:rsidRPr="00266290">
        <w:rPr>
          <w:rFonts w:cs="Times New Roman"/>
          <w:noProof/>
        </w:rPr>
        <w:t>(Palmer et al., 1992)</w:t>
      </w:r>
      <w:r>
        <w:rPr>
          <w:rFonts w:cs="Times New Roman"/>
        </w:rPr>
        <w:fldChar w:fldCharType="end"/>
      </w:r>
      <w:r w:rsidRPr="0083399B">
        <w:rPr>
          <w:rFonts w:cs="Times New Roman"/>
        </w:rPr>
        <w:t xml:space="preserve">. In this case, the values of </w:t>
      </w:r>
      <w:r>
        <w:rPr>
          <w:rFonts w:cs="Times New Roman"/>
        </w:rPr>
        <w:t>δ</w:t>
      </w:r>
      <w:r w:rsidRPr="0064291A">
        <w:rPr>
          <w:rFonts w:cs="Times New Roman"/>
          <w:vertAlign w:val="superscript"/>
        </w:rPr>
        <w:t>11</w:t>
      </w:r>
      <w:r w:rsidRPr="0064291A">
        <w:rPr>
          <w:rFonts w:cs="Times New Roman"/>
        </w:rPr>
        <w:t>B</w:t>
      </w:r>
      <w:r w:rsidRPr="0083399B">
        <w:rPr>
          <w:rFonts w:cs="Times New Roman"/>
        </w:rPr>
        <w:t xml:space="preserve"> in tourmaline crystallized from aqueous solution should be significantly heavier than for tourma</w:t>
      </w:r>
      <w:r w:rsidR="00715932">
        <w:rPr>
          <w:rFonts w:cs="Times New Roman"/>
        </w:rPr>
        <w:t>line crystallized from melt if</w:t>
      </w:r>
      <w:r w:rsidRPr="0083399B">
        <w:rPr>
          <w:rFonts w:cs="Times New Roman"/>
        </w:rPr>
        <w:t xml:space="preserve"> isotopic equilibrium prevails. In contrast, if the fractionation of boron isotopes between melt and aqueous fluid is diffusion-controlled, as shown here and by </w:t>
      </w:r>
      <w:r>
        <w:rPr>
          <w:rFonts w:cs="Times New Roman"/>
        </w:rPr>
        <w:fldChar w:fldCharType="begin" w:fldLock="1"/>
      </w:r>
      <w:r w:rsidR="00266290">
        <w:rPr>
          <w:rFonts w:cs="Times New Roman"/>
        </w:rPr>
        <w:instrText>ADDIN CSL_CITATION { "citationItems" : [ { "id" : "ITEM-1", "itemData" : { "author" : [ { "dropping-particle" : "", "family" : "Koga", "given" : "K.T", "non-dropping-particle" : "", "parse-names" : false, "suffix" : "" }, { "dropping-particle" : "", "family" : "Rose-Koga", "given" : "E. F.", "non-dropping-particle" : "", "parse-names" : false, "suffix" : "" }, { "dropping-particle" : "", "family" : "Laporte", "given" : "D.", "non-dropping-particle" : "", "parse-names" : false, "suffix" : "" }, { "dropping-particle" : "", "family" : "Cluzel", "given" : "N.", "non-dropping-particle" : "", "parse-names" : false, "suffix" : "" }, { "dropping-particle" : "", "family" : "Shimizu", "given" : "N.", "non-dropping-particle" : "", "parse-names" : false, "suffix" : "" }, { "dropping-particle" : "", "family" : "Deloule", "given" : "E.", "non-dropping-particle" : "", "parse-names" : false, "suffix" : "" } ], "container-title" : "Goldscmidt Conference Abstracts", "id" : "ITEM-1", "issued" : { "date-parts" : [ [ "2011" ] ] }, "page" : "1211", "title" : "Lithium-Boron isotope fractionation during degassing of rhyolitic melt", "type" : "article-journal" }, "uris" : [ "http://www.mendeley.com/documents/?uuid=e4d11149-5e08-4665-adb7-fe7004aa328c" ] } ], "mendeley" : { "formattedCitation" : "(Koga et al., 2011)", "manualFormatting" : "Koga et al. (2011)", "plainTextFormattedCitation" : "(Koga et al., 2011)", "previouslyFormattedCitation" : "(Koga et al. 2011)" }, "properties" : { "noteIndex" : 0 }, "schema" : "https://github.com/citation-style-language/schema/raw/master/csl-citation.json" }</w:instrText>
      </w:r>
      <w:r>
        <w:rPr>
          <w:rFonts w:cs="Times New Roman"/>
        </w:rPr>
        <w:fldChar w:fldCharType="separate"/>
      </w:r>
      <w:r>
        <w:rPr>
          <w:rFonts w:cs="Times New Roman"/>
          <w:noProof/>
        </w:rPr>
        <w:t>Koga et al. (</w:t>
      </w:r>
      <w:r w:rsidRPr="00DC2AB1">
        <w:rPr>
          <w:rFonts w:cs="Times New Roman"/>
          <w:noProof/>
        </w:rPr>
        <w:t>2011)</w:t>
      </w:r>
      <w:r>
        <w:rPr>
          <w:rFonts w:cs="Times New Roman"/>
        </w:rPr>
        <w:fldChar w:fldCharType="end"/>
      </w:r>
      <w:r w:rsidRPr="0083399B">
        <w:rPr>
          <w:rFonts w:cs="Times New Roman"/>
        </w:rPr>
        <w:t xml:space="preserve">, then </w:t>
      </w:r>
      <w:r w:rsidRPr="0071299F">
        <w:rPr>
          <w:rFonts w:ascii="Symbol" w:hAnsi="Symbol" w:cs="Symbol"/>
        </w:rPr>
        <w:t></w:t>
      </w:r>
      <w:r w:rsidRPr="0071299F">
        <w:rPr>
          <w:rFonts w:cs="Times New Roman"/>
          <w:vertAlign w:val="superscript"/>
        </w:rPr>
        <w:t>11</w:t>
      </w:r>
      <w:r>
        <w:rPr>
          <w:rFonts w:cs="Times New Roman"/>
        </w:rPr>
        <w:t>B</w:t>
      </w:r>
      <w:r>
        <w:rPr>
          <w:rFonts w:cs="Times New Roman"/>
          <w:vertAlign w:val="subscript"/>
        </w:rPr>
        <w:t>melt-aqueous solution</w:t>
      </w:r>
      <w:r w:rsidRPr="0083399B">
        <w:rPr>
          <w:rFonts w:cs="Times New Roman"/>
        </w:rPr>
        <w:t xml:space="preserve"> will initial</w:t>
      </w:r>
      <w:r>
        <w:rPr>
          <w:rFonts w:cs="Times New Roman"/>
        </w:rPr>
        <w:t>ly</w:t>
      </w:r>
      <w:r w:rsidRPr="0083399B">
        <w:rPr>
          <w:rFonts w:cs="Times New Roman"/>
        </w:rPr>
        <w:t xml:space="preserve"> possess a positive value. Thus, the two fractionation trends, one kinetic and one toward equilibrium, might offset to the extent that little isotopic fractionation occurs between melt and aqueous solution. It is notable, then, that three studies of </w:t>
      </w:r>
      <w:r>
        <w:rPr>
          <w:rFonts w:cs="Times New Roman"/>
        </w:rPr>
        <w:t>δ</w:t>
      </w:r>
      <w:r w:rsidRPr="0064291A">
        <w:rPr>
          <w:rFonts w:cs="Times New Roman"/>
          <w:vertAlign w:val="superscript"/>
        </w:rPr>
        <w:t>11</w:t>
      </w:r>
      <w:r w:rsidRPr="0064291A">
        <w:rPr>
          <w:rFonts w:cs="Times New Roman"/>
        </w:rPr>
        <w:t>B</w:t>
      </w:r>
      <w:r w:rsidRPr="0083399B">
        <w:rPr>
          <w:rFonts w:cs="Times New Roman"/>
        </w:rPr>
        <w:t xml:space="preserve"> of tourmaline show no significant change in isotopic values from tourmaline in massive pegmatite to </w:t>
      </w:r>
      <w:r w:rsidRPr="0083399B">
        <w:rPr>
          <w:rFonts w:cs="Times New Roman"/>
        </w:rPr>
        <w:lastRenderedPageBreak/>
        <w:t xml:space="preserve">tourmaline that crystallized in miarolitic cavities </w:t>
      </w:r>
      <w:r>
        <w:rPr>
          <w:rFonts w:cs="Times New Roman"/>
        </w:rPr>
        <w:fldChar w:fldCharType="begin" w:fldLock="1"/>
      </w:r>
      <w:r w:rsidR="00266290">
        <w:rPr>
          <w:rFonts w:cs="Times New Roman"/>
        </w:rPr>
        <w:instrText>ADDIN CSL_CITATION { "citationItems" : [ { "id" : "ITEM-1", "itemData" : { "ISBN" : "0935-1221", "ISSN" : "09351221", "abstract" : "Baron isotopic compositions are found to be nearly uniform within progressive growth sectors of three zoned tourmaline samples, each from a different miarolitic pegmatite on Elba Island. Chemistry (schorl to elbaite) and textures of these samples indicate that they formed from an evolving medium that varied from melt, through melt + vapor, to vapor only assemblages (here designated simply as \"melt/fluid\") with decreasing temperature (ca. 650-300 degrees C). Closed-system crystallization conditions are inferred in two cases whereas, in one case, late fracturing and open-system conditions resulted in development of fibrous schorl overgrowths. The negligible variation in tourmaline isotopic composition (delta(11)B from -9.6 to -8.5 parts per thousand) is tentatively explained in two different ways. In the first case, the isotopic fractionation factor between tourmaline and either fluid-unsaturated melt, fluid-saturated melt, or aqueous fluids is near-constant near Delta(fluid-tour) = 0 (i.e., no isotopic fractionation occurs). In the second case, \"melt/fluid\" composition was increasingly enriched in B-11 due to increasing \"melt/fluid\"-tourmaline isotopic fractionation as temperature dropped. The latter scenario is more consistent with the few presently available experimental data on tourmaline-fluid isotopic fractionation at high temperatures, and implies that evolving magmatic fluids will be relatively enriched in B-11 compared to associated crystalline assemblages.", "author" : [ { "dropping-particle" : "", "family" : "Tonarini", "given" : "Sonia", "non-dropping-particle" : "", "parse-names" : false, "suffix" : "" }, { "dropping-particle" : "", "family" : "Dini", "given" : "A", "non-dropping-particle" : "", "parse-names" : false, "suffix" : "" }, { "dropping-particle" : "", "family" : "Pezzotta", "given" : "Federico", "non-dropping-particle" : "", "parse-names" : false, "suffix" : "" }, { "dropping-particle" : "", "family" : "Leeman", "given" : "William P", "non-dropping-particle" : "", "parse-names" : false, "suffix" : "" } ], "container-title" : "European Journal Of Mineralogy", "id" : "ITEM-1", "issue" : "5", "issued" : { "date-parts" : [ [ "1998" ] ] }, "page" : "941-951", "title" : "Boron isotopic composition of zoned (schorl-elbaite) tourmalines, Mt. Capanne Li-Cs pegmatites, Elba (Italy)", "type" : "article-journal", "volume" : "10" }, "uris" : [ "http://www.mendeley.com/documents/?uuid=fa8ed009-9b16-4d69-9a79-2e39519f39a0" ] }, { "id" : "ITEM-2", "itemData" : { "DOI" : "10.1016/j.chemgeo.2013.05.021", "ISSN" : "0009-2541", "author" : [ { "dropping-particle" : "", "family" : "Trumbull", "given" : "Robert B", "non-dropping-particle" : "", "parse-names" : false, "suffix" : "" }, { "dropping-particle" : "", "family" : "Beurlen", "given" : "Hartmut", "non-dropping-particle" : "", "parse-names" : false, "suffix" : "" }, { "dropping-particle" : "", "family" : "Wiedenbeck", "given" : "Michael", "non-dropping-particle" : "", "parse-names" : false, "suffix" : "" }, { "dropping-particle" : "", "family" : "Soares", "given" : "Dwight R", "non-dropping-particle" : "", "parse-names" : false, "suffix" : "" } ], "container-title" : "Chemical Geology", "id" : "ITEM-2", "issued" : { "date-parts" : [ [ "2013" ] ] }, "page" : "47-62", "publisher" : "Elsevier B.V.", "title" : "The diversity of B-isotope variations in tourmaline from rare-element pegmatites in the Borborema Province of Brazil", "type" : "article-journal", "volume" : "352" }, "uris" : [ "http://www.mendeley.com/documents/?uuid=42e5d20c-a3f5-4b24-9b2e-8f7ffb58d592" ] }, { "id" : "ITEM-3", "itemData" : { "author" : [ { "dropping-particle" : "", "family" : "Maner", "given" : "James L.", "non-dropping-particle" : "", "parse-names" : false, "suffix" : "" }, { "dropping-particle" : "", "family" : "London", "given" : "David", "non-dropping-particle" : "", "parse-names" : false, "suffix" : "" } ], "container-title" : "Chemical Geology", "id" : "ITEM-3", "issued" : { "date-parts" : [ [ "2017" ] ] }, "page" : "70-83", "title" : "The boron isotopic evolution of the Little Three pegmatites, Ramona, CA", "type" : "article-journal", "volume" : "460" }, "uris" : [ "http://www.mendeley.com/documents/?uuid=11cc18a9-0371-405e-94da-26e69fba70f0" ] } ], "mendeley" : { "formattedCitation" : "(Maner and London, 2017; Tonarini et al., 1998; Trumbull et al., 2013)", "plainTextFormattedCitation" : "(Maner and London, 2017; Tonarini et al., 1998; Trumbull et al., 2013)", "previouslyFormattedCitation" : "(Tonarini et al. 1998; Trumbull et al. 2013; Maner and London 2017)" }, "properties" : { "noteIndex" : 0 }, "schema" : "https://github.com/citation-style-language/schema/raw/master/csl-citation.json" }</w:instrText>
      </w:r>
      <w:r>
        <w:rPr>
          <w:rFonts w:cs="Times New Roman"/>
        </w:rPr>
        <w:fldChar w:fldCharType="separate"/>
      </w:r>
      <w:r w:rsidR="00266290" w:rsidRPr="00266290">
        <w:rPr>
          <w:rFonts w:cs="Times New Roman"/>
          <w:noProof/>
        </w:rPr>
        <w:t>(Maner and London, 2017; Tonarini et al., 1998; Trumbull et al., 2013)</w:t>
      </w:r>
      <w:r>
        <w:rPr>
          <w:rFonts w:cs="Times New Roman"/>
        </w:rPr>
        <w:fldChar w:fldCharType="end"/>
      </w:r>
      <w:r w:rsidRPr="0083399B">
        <w:rPr>
          <w:rFonts w:cs="Times New Roman"/>
        </w:rPr>
        <w:t>.</w:t>
      </w:r>
    </w:p>
    <w:p w:rsidR="00665C0F" w:rsidRDefault="00665C0F" w:rsidP="00A03F13">
      <w:pPr>
        <w:spacing w:line="480" w:lineRule="auto"/>
        <w:ind w:firstLine="720"/>
        <w:rPr>
          <w:rFonts w:cs="Times New Roman"/>
        </w:rPr>
      </w:pPr>
      <w:r w:rsidRPr="0083399B">
        <w:rPr>
          <w:rFonts w:cs="Times New Roman"/>
        </w:rPr>
        <w:t xml:space="preserve">Add to this complexity the exceedingly low chemical diffusivity of boron through melt, and the large fractionation of </w:t>
      </w:r>
      <w:r w:rsidRPr="0083399B">
        <w:rPr>
          <w:rFonts w:cs="Times New Roman"/>
          <w:vertAlign w:val="superscript"/>
        </w:rPr>
        <w:t>10</w:t>
      </w:r>
      <w:r w:rsidRPr="0083399B">
        <w:rPr>
          <w:rFonts w:cs="Times New Roman"/>
        </w:rPr>
        <w:t xml:space="preserve">B from </w:t>
      </w:r>
      <w:r w:rsidRPr="0083399B">
        <w:rPr>
          <w:rFonts w:cs="Times New Roman"/>
          <w:vertAlign w:val="superscript"/>
        </w:rPr>
        <w:t>11</w:t>
      </w:r>
      <w:r w:rsidRPr="0083399B">
        <w:rPr>
          <w:rFonts w:cs="Times New Roman"/>
        </w:rPr>
        <w:t xml:space="preserve">B along boron concentration gradients in melt (e.g., between B-rich boundary layer liquids and a B-poorer bulk melt: </w:t>
      </w:r>
      <w:r>
        <w:rPr>
          <w:rFonts w:cs="Times New Roman"/>
        </w:rPr>
        <w:fldChar w:fldCharType="begin" w:fldLock="1"/>
      </w:r>
      <w:r w:rsidR="00266290">
        <w:rPr>
          <w:rFonts w:cs="Times New Roman"/>
        </w:rPr>
        <w:instrText>ADDIN CSL_CITATION { "citationItems" : [ { "id" : "ITEM-1", "itemData" : { "ISBN" : "978-0-921294-47-4", "author" : [ { "dropping-particle" : "", "family" : "London", "given" : "D.", "non-dropping-particle" : "", "parse-names" : false, "suffix" : "" } ], "container-title" : "Canadian Mineralogist", "id" : "ITEM-1", "issued" : { "date-parts" : [ [ "2008" ] ] }, "number-of-pages" : "347", "title" : "Pegmatites", "type" : "book", "volume" : "10" }, "uris" : [ "http://www.mendeley.com/documents/?uuid=2df88fb7-6317-4eed-a606-ad41cf6dbe95" ] } ], "mendeley" : { "formattedCitation" : "(London, 2008)", "manualFormatting" : "London, 2008)", "plainTextFormattedCitation" : "(London, 2008)", "previouslyFormattedCitation" : "(London 2008)" }, "properties" : { "noteIndex" : 0 }, "schema" : "https://github.com/citation-style-language/schema/raw/master/csl-citation.json" }</w:instrText>
      </w:r>
      <w:r>
        <w:rPr>
          <w:rFonts w:cs="Times New Roman"/>
        </w:rPr>
        <w:fldChar w:fldCharType="separate"/>
      </w:r>
      <w:r w:rsidRPr="00DC2AB1">
        <w:rPr>
          <w:rFonts w:cs="Times New Roman"/>
          <w:noProof/>
        </w:rPr>
        <w:t>London, 2008)</w:t>
      </w:r>
      <w:r>
        <w:rPr>
          <w:rFonts w:cs="Times New Roman"/>
        </w:rPr>
        <w:fldChar w:fldCharType="end"/>
      </w:r>
      <w:r w:rsidRPr="0083399B">
        <w:rPr>
          <w:rFonts w:cs="Times New Roman"/>
        </w:rPr>
        <w:t xml:space="preserve"> and at melt-vapor interfaces </w:t>
      </w:r>
      <w:r>
        <w:rPr>
          <w:rFonts w:cs="Times New Roman"/>
        </w:rPr>
        <w:fldChar w:fldCharType="begin" w:fldLock="1"/>
      </w:r>
      <w:r w:rsidR="00266290">
        <w:rPr>
          <w:rFonts w:cs="Times New Roman"/>
        </w:rPr>
        <w:instrText>ADDIN CSL_CITATION { "citationItems" : [ { "id" : "ITEM-1", "itemData" : { "author" : [ { "dropping-particle" : "", "family" : "Koga", "given" : "K.T", "non-dropping-particle" : "", "parse-names" : false, "suffix" : "" }, { "dropping-particle" : "", "family" : "Rose-Koga", "given" : "E. F.", "non-dropping-particle" : "", "parse-names" : false, "suffix" : "" }, { "dropping-particle" : "", "family" : "Laporte", "given" : "D.", "non-dropping-particle" : "", "parse-names" : false, "suffix" : "" }, { "dropping-particle" : "", "family" : "Cluzel", "given" : "N.", "non-dropping-particle" : "", "parse-names" : false, "suffix" : "" }, { "dropping-particle" : "", "family" : "Shimizu", "given" : "N.", "non-dropping-particle" : "", "parse-names" : false, "suffix" : "" }, { "dropping-particle" : "", "family" : "Deloule", "given" : "E.", "non-dropping-particle" : "", "parse-names" : false, "suffix" : "" } ], "container-title" : "Goldscmidt Conference Abstracts", "id" : "ITEM-1", "issued" : { "date-parts" : [ [ "2011" ] ] }, "page" : "1211", "title" : "Lithium-Boron isotope fractionation during degassing of rhyolitic melt", "type" : "article-journal" }, "uris" : [ "http://www.mendeley.com/documents/?uuid=e4d11149-5e08-4665-adb7-fe7004aa328c" ] } ], "mendeley" : { "formattedCitation" : "(Koga et al., 2011)", "plainTextFormattedCitation" : "(Koga et al., 2011)", "previouslyFormattedCitation" : "(Koga et al. 2011)" }, "properties" : { "noteIndex" : 0 }, "schema" : "https://github.com/citation-style-language/schema/raw/master/csl-citation.json" }</w:instrText>
      </w:r>
      <w:r>
        <w:rPr>
          <w:rFonts w:cs="Times New Roman"/>
        </w:rPr>
        <w:fldChar w:fldCharType="separate"/>
      </w:r>
      <w:r w:rsidR="00266290" w:rsidRPr="00266290">
        <w:rPr>
          <w:rFonts w:cs="Times New Roman"/>
          <w:noProof/>
        </w:rPr>
        <w:t>(Koga et al., 2011)</w:t>
      </w:r>
      <w:r>
        <w:rPr>
          <w:rFonts w:cs="Times New Roman"/>
        </w:rPr>
        <w:fldChar w:fldCharType="end"/>
      </w:r>
      <w:r w:rsidRPr="0083399B">
        <w:rPr>
          <w:rFonts w:cs="Times New Roman"/>
        </w:rPr>
        <w:t xml:space="preserve">. The cumulative results are those of no fractionation due to low diffusivity of B, and opposing trends in isotopic fractionation between kinetic effects and equilibrium trends. In their comprehensive survey, </w:t>
      </w:r>
      <w:r>
        <w:rPr>
          <w:rFonts w:cs="Times New Roman"/>
        </w:rPr>
        <w:fldChar w:fldCharType="begin" w:fldLock="1"/>
      </w:r>
      <w:r w:rsidR="00266290">
        <w:rPr>
          <w:rFonts w:cs="Times New Roman"/>
        </w:rPr>
        <w:instrText>ADDIN CSL_CITATION { "citationItems" : [ { "id" : "ITEM-1", "itemData" : { "DOI" : "10.1016/j.chemgeo.2013.05.021", "ISSN" : "0009-2541", "author" : [ { "dropping-particle" : "", "family" : "Trumbull", "given" : "Robert B", "non-dropping-particle" : "", "parse-names" : false, "suffix" : "" }, { "dropping-particle" : "", "family" : "Beurlen", "given" : "Hartmut", "non-dropping-particle" : "", "parse-names" : false, "suffix" : "" }, { "dropping-particle" : "", "family" : "Wiedenbeck", "given" : "Michael", "non-dropping-particle" : "", "parse-names" : false, "suffix" : "" }, { "dropping-particle" : "", "family" : "Soares", "given" : "Dwight R", "non-dropping-particle" : "", "parse-names" : false, "suffix" : "" } ], "container-title" : "Chemical Geology", "id" : "ITEM-1", "issued" : { "date-parts" : [ [ "2013" ] ] }, "page" : "47-62", "publisher" : "Elsevier B.V.", "title" : "The diversity of B-isotope variations in tourmaline from rare-element pegmatites in the Borborema Province of Brazil", "type" : "article-journal", "volume" : "352" }, "uris" : [ "http://www.mendeley.com/documents/?uuid=42e5d20c-a3f5-4b24-9b2e-8f7ffb58d592" ] } ], "mendeley" : { "formattedCitation" : "(Trumbull et al., 2013)", "manualFormatting" : "Trumbull et al. (2013)", "plainTextFormattedCitation" : "(Trumbull et al., 2013)", "previouslyFormattedCitation" : "(Trumbull et al. 2013)" }, "properties" : { "noteIndex" : 0 }, "schema" : "https://github.com/citation-style-language/schema/raw/master/csl-citation.json" }</w:instrText>
      </w:r>
      <w:r>
        <w:rPr>
          <w:rFonts w:cs="Times New Roman"/>
        </w:rPr>
        <w:fldChar w:fldCharType="separate"/>
      </w:r>
      <w:r>
        <w:rPr>
          <w:rFonts w:cs="Times New Roman"/>
          <w:noProof/>
        </w:rPr>
        <w:t>Trumbull et al. (</w:t>
      </w:r>
      <w:r w:rsidRPr="00DC2AB1">
        <w:rPr>
          <w:rFonts w:cs="Times New Roman"/>
          <w:noProof/>
        </w:rPr>
        <w:t>2013)</w:t>
      </w:r>
      <w:r>
        <w:rPr>
          <w:rFonts w:cs="Times New Roman"/>
        </w:rPr>
        <w:fldChar w:fldCharType="end"/>
      </w:r>
      <w:r w:rsidRPr="0083399B">
        <w:rPr>
          <w:rFonts w:cs="Times New Roman"/>
        </w:rPr>
        <w:t xml:space="preserve"> observed that mean values of </w:t>
      </w:r>
      <w:r>
        <w:rPr>
          <w:rFonts w:cs="Times New Roman"/>
        </w:rPr>
        <w:t>δ</w:t>
      </w:r>
      <w:r w:rsidRPr="0064291A">
        <w:rPr>
          <w:rFonts w:cs="Times New Roman"/>
          <w:vertAlign w:val="superscript"/>
        </w:rPr>
        <w:t>11</w:t>
      </w:r>
      <w:r w:rsidRPr="0064291A">
        <w:rPr>
          <w:rFonts w:cs="Times New Roman"/>
        </w:rPr>
        <w:t>B</w:t>
      </w:r>
      <w:r w:rsidRPr="0083399B">
        <w:rPr>
          <w:rFonts w:cs="Times New Roman"/>
          <w:vertAlign w:val="subscript"/>
        </w:rPr>
        <w:t>Tur</w:t>
      </w:r>
      <w:r w:rsidRPr="0083399B">
        <w:rPr>
          <w:rFonts w:cs="Times New Roman"/>
        </w:rPr>
        <w:t xml:space="preserve"> did not vary from the source granitic plutons to the miarolitic stage of the most fractionated pegmatite dikes of their study region in northeastern Brazil, yet </w:t>
      </w:r>
      <w:r>
        <w:rPr>
          <w:rFonts w:cs="Times New Roman"/>
        </w:rPr>
        <w:t>δ</w:t>
      </w:r>
      <w:r w:rsidRPr="0064291A">
        <w:rPr>
          <w:rFonts w:cs="Times New Roman"/>
          <w:vertAlign w:val="superscript"/>
        </w:rPr>
        <w:t>11</w:t>
      </w:r>
      <w:r w:rsidRPr="0064291A">
        <w:rPr>
          <w:rFonts w:cs="Times New Roman"/>
        </w:rPr>
        <w:t>B</w:t>
      </w:r>
      <w:r w:rsidRPr="0083399B">
        <w:rPr>
          <w:rFonts w:cs="Times New Roman"/>
          <w:vertAlign w:val="subscript"/>
        </w:rPr>
        <w:t>Tur</w:t>
      </w:r>
      <w:r w:rsidRPr="0083399B">
        <w:rPr>
          <w:rFonts w:cs="Times New Roman"/>
        </w:rPr>
        <w:t xml:space="preserve"> varied by as much as 20‰ within a single body. Based on the study of diffusivity presented here, we suggest that neither of these results is expected or accountable as an equilibrium distribution of boron isotopes among granitic melt, aqueous solution, and tourmaline.</w:t>
      </w:r>
    </w:p>
    <w:p w:rsidR="00DC1C38" w:rsidRDefault="00DC1C38" w:rsidP="00A03F13">
      <w:pPr>
        <w:spacing w:line="480" w:lineRule="auto"/>
        <w:ind w:firstLine="720"/>
        <w:rPr>
          <w:rFonts w:cs="Times New Roman"/>
        </w:rPr>
      </w:pPr>
    </w:p>
    <w:p w:rsidR="00DC1C38" w:rsidRDefault="00DC1C38" w:rsidP="00DC1C38">
      <w:r>
        <w:br w:type="page"/>
      </w:r>
    </w:p>
    <w:p w:rsidR="00DC1C38" w:rsidRDefault="00DC19DC" w:rsidP="00A03F13">
      <w:pPr>
        <w:spacing w:line="480" w:lineRule="auto"/>
        <w:ind w:firstLine="720"/>
        <w:rPr>
          <w:rFonts w:cs="Times New Roman"/>
        </w:rPr>
      </w:pPr>
      <w:r>
        <w:rPr>
          <w:noProof/>
        </w:rPr>
        <w:lastRenderedPageBreak/>
        <mc:AlternateContent>
          <mc:Choice Requires="wps">
            <w:drawing>
              <wp:anchor distT="0" distB="0" distL="114300" distR="114300" simplePos="0" relativeHeight="251692032" behindDoc="0" locked="0" layoutInCell="1" allowOverlap="1" wp14:anchorId="49209134" wp14:editId="016F472B">
                <wp:simplePos x="0" y="0"/>
                <wp:positionH relativeFrom="column">
                  <wp:posOffset>0</wp:posOffset>
                </wp:positionH>
                <wp:positionV relativeFrom="paragraph">
                  <wp:posOffset>4225925</wp:posOffset>
                </wp:positionV>
                <wp:extent cx="5394960" cy="635"/>
                <wp:effectExtent l="0" t="0" r="0" b="0"/>
                <wp:wrapSquare wrapText="bothSides"/>
                <wp:docPr id="24" name="Text Box 24"/>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rsidR="006D3B9B" w:rsidRPr="00DC19DC" w:rsidRDefault="006D3B9B" w:rsidP="00DC19DC">
                            <w:pPr>
                              <w:pStyle w:val="Caption"/>
                              <w:rPr>
                                <w:rFonts w:cs="Times New Roman"/>
                                <w:i w:val="0"/>
                                <w:noProof/>
                                <w:sz w:val="24"/>
                                <w:szCs w:val="24"/>
                              </w:rPr>
                            </w:pPr>
                            <w:bookmarkStart w:id="95" w:name="_Toc490130643"/>
                            <w:r w:rsidRPr="00DC19DC">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3</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1</w:t>
                            </w:r>
                            <w:r>
                              <w:rPr>
                                <w:b/>
                                <w:sz w:val="24"/>
                                <w:szCs w:val="24"/>
                              </w:rPr>
                              <w:fldChar w:fldCharType="end"/>
                            </w:r>
                            <w:r w:rsidRPr="00DC19DC">
                              <w:rPr>
                                <w:rFonts w:cs="Times New Roman"/>
                                <w:i w:val="0"/>
                                <w:sz w:val="24"/>
                                <w:szCs w:val="24"/>
                              </w:rPr>
                              <w:t xml:space="preserve"> Calibration curve for calculating B content. See section 2.5 in text for details.</w:t>
                            </w:r>
                            <w:bookmarkEnd w:id="9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9209134" id="Text Box 24" o:spid="_x0000_s1040" type="#_x0000_t202" style="position:absolute;left:0;text-align:left;margin-left:0;margin-top:332.75pt;width:424.8pt;height:.0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" stroked="f">
                <v:textbox style="mso-fit-shape-to-text:t" inset="0,0,0,0">
                  <w:txbxContent>
                    <w:p w:rsidR="006D3B9B" w:rsidRPr="00DC19DC" w:rsidRDefault="006D3B9B" w:rsidP="00DC19DC">
                      <w:pPr>
                        <w:pStyle w:val="Caption"/>
                        <w:rPr>
                          <w:rFonts w:cs="Times New Roman"/>
                          <w:i w:val="0"/>
                          <w:noProof/>
                          <w:sz w:val="24"/>
                          <w:szCs w:val="24"/>
                        </w:rPr>
                      </w:pPr>
                      <w:bookmarkStart w:id="96" w:name="_Toc490130643"/>
                      <w:r w:rsidRPr="00DC19DC">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3</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1</w:t>
                      </w:r>
                      <w:r>
                        <w:rPr>
                          <w:b/>
                          <w:sz w:val="24"/>
                          <w:szCs w:val="24"/>
                        </w:rPr>
                        <w:fldChar w:fldCharType="end"/>
                      </w:r>
                      <w:r w:rsidRPr="00DC19DC">
                        <w:rPr>
                          <w:rFonts w:cs="Times New Roman"/>
                          <w:i w:val="0"/>
                          <w:sz w:val="24"/>
                          <w:szCs w:val="24"/>
                        </w:rPr>
                        <w:t xml:space="preserve"> Calibration curve for calculating B content. See section 2.5 in text for details.</w:t>
                      </w:r>
                      <w:bookmarkEnd w:id="96"/>
                    </w:p>
                  </w:txbxContent>
                </v:textbox>
                <w10:wrap type="square"/>
              </v:shape>
            </w:pict>
          </mc:Fallback>
        </mc:AlternateContent>
      </w:r>
      <w:r>
        <w:rPr>
          <w:rFonts w:cs="Times New Roman"/>
          <w:noProof/>
        </w:rPr>
        <w:drawing>
          <wp:anchor distT="0" distB="0" distL="114300" distR="114300" simplePos="0" relativeHeight="251689984" behindDoc="0" locked="0" layoutInCell="1" allowOverlap="1">
            <wp:simplePos x="1924050" y="914400"/>
            <wp:positionH relativeFrom="margin">
              <wp:align>center</wp:align>
            </wp:positionH>
            <wp:positionV relativeFrom="margin">
              <wp:align>top</wp:align>
            </wp:positionV>
            <wp:extent cx="5394960" cy="4168775"/>
            <wp:effectExtent l="0" t="0" r="0" b="3175"/>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ig 1.tif"/>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394960" cy="4168775"/>
                    </a:xfrm>
                    <a:prstGeom prst="rect">
                      <a:avLst/>
                    </a:prstGeom>
                  </pic:spPr>
                </pic:pic>
              </a:graphicData>
            </a:graphic>
          </wp:anchor>
        </w:drawing>
      </w:r>
    </w:p>
    <w:p w:rsidR="00DC1C38" w:rsidRDefault="00DC1C38" w:rsidP="00DC1C38">
      <w:r>
        <w:br w:type="page"/>
      </w:r>
    </w:p>
    <w:p w:rsidR="00DC1C38" w:rsidRDefault="00D175FA" w:rsidP="00A03F13">
      <w:pPr>
        <w:spacing w:line="480" w:lineRule="auto"/>
        <w:ind w:firstLine="720"/>
        <w:rPr>
          <w:rFonts w:cs="Times New Roman"/>
        </w:rPr>
      </w:pPr>
      <w:r>
        <w:rPr>
          <w:rFonts w:cs="Times New Roman"/>
          <w:noProof/>
        </w:rPr>
        <w:lastRenderedPageBreak/>
        <w:drawing>
          <wp:anchor distT="0" distB="0" distL="114300" distR="114300" simplePos="0" relativeHeight="251693056" behindDoc="0" locked="0" layoutInCell="1" allowOverlap="1">
            <wp:simplePos x="1917700" y="914400"/>
            <wp:positionH relativeFrom="margin">
              <wp:align>center</wp:align>
            </wp:positionH>
            <wp:positionV relativeFrom="margin">
              <wp:align>top</wp:align>
            </wp:positionV>
            <wp:extent cx="5394325" cy="4168775"/>
            <wp:effectExtent l="0" t="0" r="0" b="317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 2.tif"/>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394885" cy="4168775"/>
                    </a:xfrm>
                    <a:prstGeom prst="rect">
                      <a:avLst/>
                    </a:prstGeom>
                  </pic:spPr>
                </pic:pic>
              </a:graphicData>
            </a:graphic>
          </wp:anchor>
        </w:drawing>
      </w:r>
      <w:r w:rsidR="00C106CD">
        <w:rPr>
          <w:noProof/>
        </w:rPr>
        <mc:AlternateContent>
          <mc:Choice Requires="wps">
            <w:drawing>
              <wp:anchor distT="0" distB="0" distL="114300" distR="114300" simplePos="0" relativeHeight="251695104" behindDoc="0" locked="0" layoutInCell="1" allowOverlap="1" wp14:anchorId="34488048" wp14:editId="5C6E068C">
                <wp:simplePos x="0" y="0"/>
                <wp:positionH relativeFrom="column">
                  <wp:posOffset>0</wp:posOffset>
                </wp:positionH>
                <wp:positionV relativeFrom="paragraph">
                  <wp:posOffset>4225925</wp:posOffset>
                </wp:positionV>
                <wp:extent cx="5394960" cy="635"/>
                <wp:effectExtent l="0" t="0" r="0" b="0"/>
                <wp:wrapSquare wrapText="bothSides"/>
                <wp:docPr id="22" name="Text Box 22"/>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rsidR="006D3B9B" w:rsidRPr="00921163" w:rsidRDefault="006D3B9B" w:rsidP="00C106CD">
                            <w:pPr>
                              <w:pStyle w:val="Caption"/>
                              <w:rPr>
                                <w:rFonts w:cs="Times New Roman"/>
                                <w:i w:val="0"/>
                                <w:noProof/>
                                <w:sz w:val="24"/>
                                <w:szCs w:val="24"/>
                              </w:rPr>
                            </w:pPr>
                            <w:bookmarkStart w:id="97" w:name="_Toc490130644"/>
                            <w:r w:rsidRPr="00921163">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3</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2</w:t>
                            </w:r>
                            <w:r>
                              <w:rPr>
                                <w:b/>
                                <w:sz w:val="24"/>
                                <w:szCs w:val="24"/>
                              </w:rPr>
                              <w:fldChar w:fldCharType="end"/>
                            </w:r>
                            <w:r w:rsidRPr="00921163">
                              <w:rPr>
                                <w:rFonts w:cs="Times New Roman"/>
                                <w:i w:val="0"/>
                                <w:sz w:val="24"/>
                                <w:szCs w:val="24"/>
                              </w:rPr>
                              <w:t xml:space="preserve"> Chemical composition (wt% oxides) of glass from experiment CGB91 as a function of distance (m) across the glass. Experiment CGB91 was held at 800°C for 14 days. The starting glasses differ in that one is B-free and the other contains ~ 5 wt% B</w:t>
                            </w:r>
                            <w:r w:rsidRPr="00921163">
                              <w:rPr>
                                <w:rFonts w:cs="Times New Roman"/>
                                <w:i w:val="0"/>
                                <w:sz w:val="24"/>
                                <w:szCs w:val="24"/>
                                <w:vertAlign w:val="subscript"/>
                              </w:rPr>
                              <w:t>2</w:t>
                            </w:r>
                            <w:r w:rsidRPr="00921163">
                              <w:rPr>
                                <w:rFonts w:cs="Times New Roman"/>
                                <w:i w:val="0"/>
                                <w:sz w:val="24"/>
                                <w:szCs w:val="24"/>
                              </w:rPr>
                              <w:t>O</w:t>
                            </w:r>
                            <w:r w:rsidRPr="00921163">
                              <w:rPr>
                                <w:rFonts w:cs="Times New Roman"/>
                                <w:i w:val="0"/>
                                <w:sz w:val="24"/>
                                <w:szCs w:val="24"/>
                                <w:vertAlign w:val="subscript"/>
                              </w:rPr>
                              <w:t>3</w:t>
                            </w:r>
                            <w:r w:rsidRPr="00921163">
                              <w:rPr>
                                <w:rFonts w:cs="Times New Roman"/>
                                <w:i w:val="0"/>
                                <w:sz w:val="24"/>
                                <w:szCs w:val="24"/>
                              </w:rPr>
                              <w:t xml:space="preserve"> (HGB5: Table 1). The concentrations of Al</w:t>
                            </w:r>
                            <w:r w:rsidRPr="00921163">
                              <w:rPr>
                                <w:rFonts w:cs="Times New Roman"/>
                                <w:i w:val="0"/>
                                <w:sz w:val="24"/>
                                <w:szCs w:val="24"/>
                                <w:vertAlign w:val="subscript"/>
                              </w:rPr>
                              <w:t>2</w:t>
                            </w:r>
                            <w:r w:rsidRPr="00921163">
                              <w:rPr>
                                <w:rFonts w:cs="Times New Roman"/>
                                <w:i w:val="0"/>
                                <w:sz w:val="24"/>
                                <w:szCs w:val="24"/>
                              </w:rPr>
                              <w:t>O</w:t>
                            </w:r>
                            <w:r w:rsidRPr="00921163">
                              <w:rPr>
                                <w:rFonts w:cs="Times New Roman"/>
                                <w:i w:val="0"/>
                                <w:sz w:val="24"/>
                                <w:szCs w:val="24"/>
                                <w:vertAlign w:val="subscript"/>
                              </w:rPr>
                              <w:t>3</w:t>
                            </w:r>
                            <w:r w:rsidRPr="00921163">
                              <w:rPr>
                                <w:rFonts w:cs="Times New Roman"/>
                                <w:i w:val="0"/>
                                <w:sz w:val="24"/>
                                <w:szCs w:val="24"/>
                              </w:rPr>
                              <w:t>, Na</w:t>
                            </w:r>
                            <w:r w:rsidRPr="00921163">
                              <w:rPr>
                                <w:rFonts w:cs="Times New Roman"/>
                                <w:i w:val="0"/>
                                <w:sz w:val="24"/>
                                <w:szCs w:val="24"/>
                                <w:vertAlign w:val="subscript"/>
                              </w:rPr>
                              <w:t>2</w:t>
                            </w:r>
                            <w:r w:rsidRPr="00921163">
                              <w:rPr>
                                <w:rFonts w:cs="Times New Roman"/>
                                <w:i w:val="0"/>
                                <w:sz w:val="24"/>
                                <w:szCs w:val="24"/>
                              </w:rPr>
                              <w:t>O, K</w:t>
                            </w:r>
                            <w:r w:rsidRPr="00921163">
                              <w:rPr>
                                <w:rFonts w:cs="Times New Roman"/>
                                <w:i w:val="0"/>
                                <w:sz w:val="24"/>
                                <w:szCs w:val="24"/>
                                <w:vertAlign w:val="subscript"/>
                              </w:rPr>
                              <w:t>2</w:t>
                            </w:r>
                            <w:r w:rsidRPr="00921163">
                              <w:rPr>
                                <w:rFonts w:cs="Times New Roman"/>
                                <w:i w:val="0"/>
                                <w:sz w:val="24"/>
                                <w:szCs w:val="24"/>
                              </w:rPr>
                              <w:t>O, and H</w:t>
                            </w:r>
                            <w:r w:rsidRPr="00921163">
                              <w:rPr>
                                <w:rFonts w:cs="Times New Roman"/>
                                <w:i w:val="0"/>
                                <w:sz w:val="24"/>
                                <w:szCs w:val="24"/>
                                <w:vertAlign w:val="subscript"/>
                              </w:rPr>
                              <w:t>2</w:t>
                            </w:r>
                            <w:r w:rsidRPr="00921163">
                              <w:rPr>
                                <w:rFonts w:cs="Times New Roman"/>
                                <w:i w:val="0"/>
                                <w:sz w:val="24"/>
                                <w:szCs w:val="24"/>
                              </w:rPr>
                              <w:t>O do not vary across the glass. Where the concentration of B</w:t>
                            </w:r>
                            <w:r w:rsidRPr="00921163">
                              <w:rPr>
                                <w:rFonts w:cs="Times New Roman"/>
                                <w:i w:val="0"/>
                                <w:sz w:val="24"/>
                                <w:szCs w:val="24"/>
                                <w:vertAlign w:val="subscript"/>
                              </w:rPr>
                              <w:t>2</w:t>
                            </w:r>
                            <w:r w:rsidRPr="00921163">
                              <w:rPr>
                                <w:rFonts w:cs="Times New Roman"/>
                                <w:i w:val="0"/>
                                <w:sz w:val="24"/>
                                <w:szCs w:val="24"/>
                              </w:rPr>
                              <w:t>O</w:t>
                            </w:r>
                            <w:r w:rsidRPr="00921163">
                              <w:rPr>
                                <w:rFonts w:cs="Times New Roman"/>
                                <w:i w:val="0"/>
                                <w:sz w:val="24"/>
                                <w:szCs w:val="24"/>
                                <w:vertAlign w:val="subscript"/>
                              </w:rPr>
                              <w:t xml:space="preserve">3 </w:t>
                            </w:r>
                            <w:r w:rsidRPr="00921163">
                              <w:rPr>
                                <w:rFonts w:cs="Times New Roman"/>
                                <w:i w:val="0"/>
                                <w:sz w:val="24"/>
                                <w:szCs w:val="24"/>
                              </w:rPr>
                              <w:t>is highest (left-hand side), the concentration of SiO</w:t>
                            </w:r>
                            <w:r w:rsidRPr="00921163">
                              <w:rPr>
                                <w:rFonts w:cs="Times New Roman"/>
                                <w:i w:val="0"/>
                                <w:sz w:val="24"/>
                                <w:szCs w:val="24"/>
                                <w:vertAlign w:val="subscript"/>
                              </w:rPr>
                              <w:t>2</w:t>
                            </w:r>
                            <w:r w:rsidRPr="00921163">
                              <w:rPr>
                                <w:rFonts w:cs="Times New Roman"/>
                                <w:i w:val="0"/>
                                <w:sz w:val="24"/>
                                <w:szCs w:val="24"/>
                              </w:rPr>
                              <w:t xml:space="preserve"> is lowest, and vice versa.</w:t>
                            </w:r>
                            <w:bookmarkEnd w:id="9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4488048" id="Text Box 22" o:spid="_x0000_s1041" type="#_x0000_t202" style="position:absolute;left:0;text-align:left;margin-left:0;margin-top:332.75pt;width:424.8pt;height:.0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" stroked="f">
                <v:textbox style="mso-fit-shape-to-text:t" inset="0,0,0,0">
                  <w:txbxContent>
                    <w:p w:rsidR="006D3B9B" w:rsidRPr="00921163" w:rsidRDefault="006D3B9B" w:rsidP="00C106CD">
                      <w:pPr>
                        <w:pStyle w:val="Caption"/>
                        <w:rPr>
                          <w:rFonts w:cs="Times New Roman"/>
                          <w:i w:val="0"/>
                          <w:noProof/>
                          <w:sz w:val="24"/>
                          <w:szCs w:val="24"/>
                        </w:rPr>
                      </w:pPr>
                      <w:bookmarkStart w:id="98" w:name="_Toc490130644"/>
                      <w:r w:rsidRPr="00921163">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3</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2</w:t>
                      </w:r>
                      <w:r>
                        <w:rPr>
                          <w:b/>
                          <w:sz w:val="24"/>
                          <w:szCs w:val="24"/>
                        </w:rPr>
                        <w:fldChar w:fldCharType="end"/>
                      </w:r>
                      <w:r w:rsidRPr="00921163">
                        <w:rPr>
                          <w:rFonts w:cs="Times New Roman"/>
                          <w:i w:val="0"/>
                          <w:sz w:val="24"/>
                          <w:szCs w:val="24"/>
                        </w:rPr>
                        <w:t xml:space="preserve"> Chemical composition (wt% oxides) of glass from experiment CGB91 as a function of distance (m) across the glass. Experiment CGB91 was held at 800°C for 14 days. The starting glasses differ in that one is B-free and the other contains ~ 5 wt% B</w:t>
                      </w:r>
                      <w:r w:rsidRPr="00921163">
                        <w:rPr>
                          <w:rFonts w:cs="Times New Roman"/>
                          <w:i w:val="0"/>
                          <w:sz w:val="24"/>
                          <w:szCs w:val="24"/>
                          <w:vertAlign w:val="subscript"/>
                        </w:rPr>
                        <w:t>2</w:t>
                      </w:r>
                      <w:r w:rsidRPr="00921163">
                        <w:rPr>
                          <w:rFonts w:cs="Times New Roman"/>
                          <w:i w:val="0"/>
                          <w:sz w:val="24"/>
                          <w:szCs w:val="24"/>
                        </w:rPr>
                        <w:t>O</w:t>
                      </w:r>
                      <w:r w:rsidRPr="00921163">
                        <w:rPr>
                          <w:rFonts w:cs="Times New Roman"/>
                          <w:i w:val="0"/>
                          <w:sz w:val="24"/>
                          <w:szCs w:val="24"/>
                          <w:vertAlign w:val="subscript"/>
                        </w:rPr>
                        <w:t>3</w:t>
                      </w:r>
                      <w:r w:rsidRPr="00921163">
                        <w:rPr>
                          <w:rFonts w:cs="Times New Roman"/>
                          <w:i w:val="0"/>
                          <w:sz w:val="24"/>
                          <w:szCs w:val="24"/>
                        </w:rPr>
                        <w:t xml:space="preserve"> (HGB5: Table 1). The concentrations of Al</w:t>
                      </w:r>
                      <w:r w:rsidRPr="00921163">
                        <w:rPr>
                          <w:rFonts w:cs="Times New Roman"/>
                          <w:i w:val="0"/>
                          <w:sz w:val="24"/>
                          <w:szCs w:val="24"/>
                          <w:vertAlign w:val="subscript"/>
                        </w:rPr>
                        <w:t>2</w:t>
                      </w:r>
                      <w:r w:rsidRPr="00921163">
                        <w:rPr>
                          <w:rFonts w:cs="Times New Roman"/>
                          <w:i w:val="0"/>
                          <w:sz w:val="24"/>
                          <w:szCs w:val="24"/>
                        </w:rPr>
                        <w:t>O</w:t>
                      </w:r>
                      <w:r w:rsidRPr="00921163">
                        <w:rPr>
                          <w:rFonts w:cs="Times New Roman"/>
                          <w:i w:val="0"/>
                          <w:sz w:val="24"/>
                          <w:szCs w:val="24"/>
                          <w:vertAlign w:val="subscript"/>
                        </w:rPr>
                        <w:t>3</w:t>
                      </w:r>
                      <w:r w:rsidRPr="00921163">
                        <w:rPr>
                          <w:rFonts w:cs="Times New Roman"/>
                          <w:i w:val="0"/>
                          <w:sz w:val="24"/>
                          <w:szCs w:val="24"/>
                        </w:rPr>
                        <w:t>, Na</w:t>
                      </w:r>
                      <w:r w:rsidRPr="00921163">
                        <w:rPr>
                          <w:rFonts w:cs="Times New Roman"/>
                          <w:i w:val="0"/>
                          <w:sz w:val="24"/>
                          <w:szCs w:val="24"/>
                          <w:vertAlign w:val="subscript"/>
                        </w:rPr>
                        <w:t>2</w:t>
                      </w:r>
                      <w:r w:rsidRPr="00921163">
                        <w:rPr>
                          <w:rFonts w:cs="Times New Roman"/>
                          <w:i w:val="0"/>
                          <w:sz w:val="24"/>
                          <w:szCs w:val="24"/>
                        </w:rPr>
                        <w:t>O, K</w:t>
                      </w:r>
                      <w:r w:rsidRPr="00921163">
                        <w:rPr>
                          <w:rFonts w:cs="Times New Roman"/>
                          <w:i w:val="0"/>
                          <w:sz w:val="24"/>
                          <w:szCs w:val="24"/>
                          <w:vertAlign w:val="subscript"/>
                        </w:rPr>
                        <w:t>2</w:t>
                      </w:r>
                      <w:r w:rsidRPr="00921163">
                        <w:rPr>
                          <w:rFonts w:cs="Times New Roman"/>
                          <w:i w:val="0"/>
                          <w:sz w:val="24"/>
                          <w:szCs w:val="24"/>
                        </w:rPr>
                        <w:t>O, and H</w:t>
                      </w:r>
                      <w:r w:rsidRPr="00921163">
                        <w:rPr>
                          <w:rFonts w:cs="Times New Roman"/>
                          <w:i w:val="0"/>
                          <w:sz w:val="24"/>
                          <w:szCs w:val="24"/>
                          <w:vertAlign w:val="subscript"/>
                        </w:rPr>
                        <w:t>2</w:t>
                      </w:r>
                      <w:r w:rsidRPr="00921163">
                        <w:rPr>
                          <w:rFonts w:cs="Times New Roman"/>
                          <w:i w:val="0"/>
                          <w:sz w:val="24"/>
                          <w:szCs w:val="24"/>
                        </w:rPr>
                        <w:t>O do not vary across the glass. Where the concentration of B</w:t>
                      </w:r>
                      <w:r w:rsidRPr="00921163">
                        <w:rPr>
                          <w:rFonts w:cs="Times New Roman"/>
                          <w:i w:val="0"/>
                          <w:sz w:val="24"/>
                          <w:szCs w:val="24"/>
                          <w:vertAlign w:val="subscript"/>
                        </w:rPr>
                        <w:t>2</w:t>
                      </w:r>
                      <w:r w:rsidRPr="00921163">
                        <w:rPr>
                          <w:rFonts w:cs="Times New Roman"/>
                          <w:i w:val="0"/>
                          <w:sz w:val="24"/>
                          <w:szCs w:val="24"/>
                        </w:rPr>
                        <w:t>O</w:t>
                      </w:r>
                      <w:r w:rsidRPr="00921163">
                        <w:rPr>
                          <w:rFonts w:cs="Times New Roman"/>
                          <w:i w:val="0"/>
                          <w:sz w:val="24"/>
                          <w:szCs w:val="24"/>
                          <w:vertAlign w:val="subscript"/>
                        </w:rPr>
                        <w:t xml:space="preserve">3 </w:t>
                      </w:r>
                      <w:r w:rsidRPr="00921163">
                        <w:rPr>
                          <w:rFonts w:cs="Times New Roman"/>
                          <w:i w:val="0"/>
                          <w:sz w:val="24"/>
                          <w:szCs w:val="24"/>
                        </w:rPr>
                        <w:t>is highest (left-hand side), the concentration of SiO</w:t>
                      </w:r>
                      <w:r w:rsidRPr="00921163">
                        <w:rPr>
                          <w:rFonts w:cs="Times New Roman"/>
                          <w:i w:val="0"/>
                          <w:sz w:val="24"/>
                          <w:szCs w:val="24"/>
                          <w:vertAlign w:val="subscript"/>
                        </w:rPr>
                        <w:t>2</w:t>
                      </w:r>
                      <w:r w:rsidRPr="00921163">
                        <w:rPr>
                          <w:rFonts w:cs="Times New Roman"/>
                          <w:i w:val="0"/>
                          <w:sz w:val="24"/>
                          <w:szCs w:val="24"/>
                        </w:rPr>
                        <w:t xml:space="preserve"> is lowest, and vice versa.</w:t>
                      </w:r>
                      <w:bookmarkEnd w:id="98"/>
                    </w:p>
                  </w:txbxContent>
                </v:textbox>
                <w10:wrap type="square"/>
              </v:shape>
            </w:pict>
          </mc:Fallback>
        </mc:AlternateContent>
      </w:r>
    </w:p>
    <w:p w:rsidR="00DC1C38" w:rsidRDefault="00DC1C38" w:rsidP="00DC1C38">
      <w:r>
        <w:br w:type="page"/>
      </w:r>
    </w:p>
    <w:p w:rsidR="00DC1C38" w:rsidRDefault="00DE04C3" w:rsidP="00A03F13">
      <w:pPr>
        <w:spacing w:line="480" w:lineRule="auto"/>
        <w:ind w:firstLine="720"/>
        <w:rPr>
          <w:rFonts w:cs="Times New Roman"/>
        </w:rPr>
      </w:pPr>
      <w:r>
        <w:rPr>
          <w:noProof/>
        </w:rPr>
        <w:lastRenderedPageBreak/>
        <mc:AlternateContent>
          <mc:Choice Requires="wps">
            <w:drawing>
              <wp:anchor distT="0" distB="0" distL="114300" distR="114300" simplePos="0" relativeHeight="251706368" behindDoc="0" locked="0" layoutInCell="1" allowOverlap="1" wp14:anchorId="42A43B76" wp14:editId="3189F190">
                <wp:simplePos x="0" y="0"/>
                <wp:positionH relativeFrom="column">
                  <wp:posOffset>173355</wp:posOffset>
                </wp:positionH>
                <wp:positionV relativeFrom="paragraph">
                  <wp:posOffset>3950970</wp:posOffset>
                </wp:positionV>
                <wp:extent cx="5039360" cy="635"/>
                <wp:effectExtent l="0" t="0" r="0" b="0"/>
                <wp:wrapSquare wrapText="bothSides"/>
                <wp:docPr id="33" name="Text Box 33"/>
                <wp:cNvGraphicFramePr/>
                <a:graphic xmlns:a="http://schemas.openxmlformats.org/drawingml/2006/main">
                  <a:graphicData uri="http://schemas.microsoft.com/office/word/2010/wordprocessingShape">
                    <wps:wsp>
                      <wps:cNvSpPr txBox="1"/>
                      <wps:spPr>
                        <a:xfrm>
                          <a:off x="0" y="0"/>
                          <a:ext cx="5039360" cy="635"/>
                        </a:xfrm>
                        <a:prstGeom prst="rect">
                          <a:avLst/>
                        </a:prstGeom>
                        <a:solidFill>
                          <a:prstClr val="white"/>
                        </a:solidFill>
                        <a:ln>
                          <a:noFill/>
                        </a:ln>
                      </wps:spPr>
                      <wps:txbx>
                        <w:txbxContent>
                          <w:p w:rsidR="006D3B9B" w:rsidRPr="00DE04C3" w:rsidRDefault="006D3B9B" w:rsidP="00DE04C3">
                            <w:pPr>
                              <w:pStyle w:val="Caption"/>
                              <w:rPr>
                                <w:rFonts w:cs="Times New Roman"/>
                                <w:i w:val="0"/>
                                <w:noProof/>
                                <w:sz w:val="24"/>
                                <w:szCs w:val="24"/>
                              </w:rPr>
                            </w:pPr>
                            <w:bookmarkStart w:id="99" w:name="_Toc490130645"/>
                            <w:r w:rsidRPr="00DE04C3">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3</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3</w:t>
                            </w:r>
                            <w:r>
                              <w:rPr>
                                <w:b/>
                                <w:sz w:val="24"/>
                                <w:szCs w:val="24"/>
                              </w:rPr>
                              <w:fldChar w:fldCharType="end"/>
                            </w:r>
                            <w:r w:rsidRPr="00DE04C3">
                              <w:rPr>
                                <w:rFonts w:cs="Times New Roman"/>
                                <w:i w:val="0"/>
                                <w:sz w:val="24"/>
                                <w:szCs w:val="24"/>
                              </w:rPr>
                              <w:t xml:space="preserve"> Chemical composition (wt% oxides) of glass from experiment CGB49 as a function of distance (m) across the glass. Experiment CGB49 was held at 800°C for 10 days. The starting glasses differ in that one is B-free and the other contains ~ 10 wt% B</w:t>
                            </w:r>
                            <w:r w:rsidRPr="00DE04C3">
                              <w:rPr>
                                <w:rFonts w:cs="Times New Roman"/>
                                <w:i w:val="0"/>
                                <w:sz w:val="24"/>
                                <w:szCs w:val="24"/>
                                <w:vertAlign w:val="subscript"/>
                              </w:rPr>
                              <w:t>2</w:t>
                            </w:r>
                            <w:r w:rsidRPr="00DE04C3">
                              <w:rPr>
                                <w:rFonts w:cs="Times New Roman"/>
                                <w:i w:val="0"/>
                                <w:sz w:val="24"/>
                                <w:szCs w:val="24"/>
                              </w:rPr>
                              <w:t>O</w:t>
                            </w:r>
                            <w:r w:rsidRPr="00DE04C3">
                              <w:rPr>
                                <w:rFonts w:cs="Times New Roman"/>
                                <w:i w:val="0"/>
                                <w:sz w:val="24"/>
                                <w:szCs w:val="24"/>
                                <w:vertAlign w:val="subscript"/>
                              </w:rPr>
                              <w:t>3</w:t>
                            </w:r>
                            <w:r w:rsidRPr="00DE04C3">
                              <w:rPr>
                                <w:rFonts w:cs="Times New Roman"/>
                                <w:i w:val="0"/>
                                <w:sz w:val="24"/>
                                <w:szCs w:val="24"/>
                              </w:rPr>
                              <w:t xml:space="preserve"> (11BHG: Table 1). The concentrations of Al</w:t>
                            </w:r>
                            <w:r w:rsidRPr="00DE04C3">
                              <w:rPr>
                                <w:rFonts w:cs="Times New Roman"/>
                                <w:i w:val="0"/>
                                <w:sz w:val="24"/>
                                <w:szCs w:val="24"/>
                                <w:vertAlign w:val="subscript"/>
                              </w:rPr>
                              <w:t>2</w:t>
                            </w:r>
                            <w:r w:rsidRPr="00DE04C3">
                              <w:rPr>
                                <w:rFonts w:cs="Times New Roman"/>
                                <w:i w:val="0"/>
                                <w:sz w:val="24"/>
                                <w:szCs w:val="24"/>
                              </w:rPr>
                              <w:t>O</w:t>
                            </w:r>
                            <w:r w:rsidRPr="00DE04C3">
                              <w:rPr>
                                <w:rFonts w:cs="Times New Roman"/>
                                <w:i w:val="0"/>
                                <w:sz w:val="24"/>
                                <w:szCs w:val="24"/>
                                <w:vertAlign w:val="subscript"/>
                              </w:rPr>
                              <w:t>3</w:t>
                            </w:r>
                            <w:r w:rsidRPr="00DE04C3">
                              <w:rPr>
                                <w:rFonts w:cs="Times New Roman"/>
                                <w:i w:val="0"/>
                                <w:sz w:val="24"/>
                                <w:szCs w:val="24"/>
                              </w:rPr>
                              <w:t>, Na</w:t>
                            </w:r>
                            <w:r w:rsidRPr="00DE04C3">
                              <w:rPr>
                                <w:rFonts w:cs="Times New Roman"/>
                                <w:i w:val="0"/>
                                <w:sz w:val="24"/>
                                <w:szCs w:val="24"/>
                                <w:vertAlign w:val="subscript"/>
                              </w:rPr>
                              <w:t>2</w:t>
                            </w:r>
                            <w:r w:rsidRPr="00DE04C3">
                              <w:rPr>
                                <w:rFonts w:cs="Times New Roman"/>
                                <w:i w:val="0"/>
                                <w:sz w:val="24"/>
                                <w:szCs w:val="24"/>
                              </w:rPr>
                              <w:t>O, K</w:t>
                            </w:r>
                            <w:r w:rsidRPr="00DE04C3">
                              <w:rPr>
                                <w:rFonts w:cs="Times New Roman"/>
                                <w:i w:val="0"/>
                                <w:sz w:val="24"/>
                                <w:szCs w:val="24"/>
                                <w:vertAlign w:val="subscript"/>
                              </w:rPr>
                              <w:t>2</w:t>
                            </w:r>
                            <w:r w:rsidRPr="00DE04C3">
                              <w:rPr>
                                <w:rFonts w:cs="Times New Roman"/>
                                <w:i w:val="0"/>
                                <w:sz w:val="24"/>
                                <w:szCs w:val="24"/>
                              </w:rPr>
                              <w:t>O, and H</w:t>
                            </w:r>
                            <w:r w:rsidRPr="00DE04C3">
                              <w:rPr>
                                <w:rFonts w:cs="Times New Roman"/>
                                <w:i w:val="0"/>
                                <w:sz w:val="24"/>
                                <w:szCs w:val="24"/>
                                <w:vertAlign w:val="subscript"/>
                              </w:rPr>
                              <w:t>2</w:t>
                            </w:r>
                            <w:r w:rsidRPr="00DE04C3">
                              <w:rPr>
                                <w:rFonts w:cs="Times New Roman"/>
                                <w:i w:val="0"/>
                                <w:sz w:val="24"/>
                                <w:szCs w:val="24"/>
                              </w:rPr>
                              <w:t>O do not vary across the glass. Where the concentration of B</w:t>
                            </w:r>
                            <w:r w:rsidRPr="00DE04C3">
                              <w:rPr>
                                <w:rFonts w:cs="Times New Roman"/>
                                <w:i w:val="0"/>
                                <w:sz w:val="24"/>
                                <w:szCs w:val="24"/>
                                <w:vertAlign w:val="subscript"/>
                              </w:rPr>
                              <w:t>2</w:t>
                            </w:r>
                            <w:r w:rsidRPr="00DE04C3">
                              <w:rPr>
                                <w:rFonts w:cs="Times New Roman"/>
                                <w:i w:val="0"/>
                                <w:sz w:val="24"/>
                                <w:szCs w:val="24"/>
                              </w:rPr>
                              <w:t>O</w:t>
                            </w:r>
                            <w:r w:rsidRPr="00DE04C3">
                              <w:rPr>
                                <w:rFonts w:cs="Times New Roman"/>
                                <w:i w:val="0"/>
                                <w:sz w:val="24"/>
                                <w:szCs w:val="24"/>
                                <w:vertAlign w:val="subscript"/>
                              </w:rPr>
                              <w:t xml:space="preserve">3 </w:t>
                            </w:r>
                            <w:r w:rsidRPr="00DE04C3">
                              <w:rPr>
                                <w:rFonts w:cs="Times New Roman"/>
                                <w:i w:val="0"/>
                                <w:sz w:val="24"/>
                                <w:szCs w:val="24"/>
                              </w:rPr>
                              <w:t>is highest (left-hand side), the concentration of SiO</w:t>
                            </w:r>
                            <w:r w:rsidRPr="00DE04C3">
                              <w:rPr>
                                <w:rFonts w:cs="Times New Roman"/>
                                <w:i w:val="0"/>
                                <w:sz w:val="24"/>
                                <w:szCs w:val="24"/>
                                <w:vertAlign w:val="subscript"/>
                              </w:rPr>
                              <w:t>2</w:t>
                            </w:r>
                            <w:r w:rsidRPr="00DE04C3">
                              <w:rPr>
                                <w:rFonts w:cs="Times New Roman"/>
                                <w:i w:val="0"/>
                                <w:sz w:val="24"/>
                                <w:szCs w:val="24"/>
                              </w:rPr>
                              <w:t xml:space="preserve"> is lowest, and vice versa.</w:t>
                            </w:r>
                            <w:bookmarkEnd w:id="9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2A43B76" id="Text Box 33" o:spid="_x0000_s1042" type="#_x0000_t202" style="position:absolute;left:0;text-align:left;margin-left:13.65pt;margin-top:311.1pt;width:396.8pt;height:.0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" stroked="f">
                <v:textbox style="mso-fit-shape-to-text:t" inset="0,0,0,0">
                  <w:txbxContent>
                    <w:p w:rsidR="006D3B9B" w:rsidRPr="00DE04C3" w:rsidRDefault="006D3B9B" w:rsidP="00DE04C3">
                      <w:pPr>
                        <w:pStyle w:val="Caption"/>
                        <w:rPr>
                          <w:rFonts w:cs="Times New Roman"/>
                          <w:i w:val="0"/>
                          <w:noProof/>
                          <w:sz w:val="24"/>
                          <w:szCs w:val="24"/>
                        </w:rPr>
                      </w:pPr>
                      <w:bookmarkStart w:id="100" w:name="_Toc490130645"/>
                      <w:r w:rsidRPr="00DE04C3">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3</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3</w:t>
                      </w:r>
                      <w:r>
                        <w:rPr>
                          <w:b/>
                          <w:sz w:val="24"/>
                          <w:szCs w:val="24"/>
                        </w:rPr>
                        <w:fldChar w:fldCharType="end"/>
                      </w:r>
                      <w:r w:rsidRPr="00DE04C3">
                        <w:rPr>
                          <w:rFonts w:cs="Times New Roman"/>
                          <w:i w:val="0"/>
                          <w:sz w:val="24"/>
                          <w:szCs w:val="24"/>
                        </w:rPr>
                        <w:t xml:space="preserve"> Chemical composition (wt% oxides) of glass from experiment CGB49 as a function of distance (m) across the glass. Experiment CGB49 was held at 800°C for 10 days. The starting glasses differ in that one is B-free and the other contains ~ 10 wt% B</w:t>
                      </w:r>
                      <w:r w:rsidRPr="00DE04C3">
                        <w:rPr>
                          <w:rFonts w:cs="Times New Roman"/>
                          <w:i w:val="0"/>
                          <w:sz w:val="24"/>
                          <w:szCs w:val="24"/>
                          <w:vertAlign w:val="subscript"/>
                        </w:rPr>
                        <w:t>2</w:t>
                      </w:r>
                      <w:r w:rsidRPr="00DE04C3">
                        <w:rPr>
                          <w:rFonts w:cs="Times New Roman"/>
                          <w:i w:val="0"/>
                          <w:sz w:val="24"/>
                          <w:szCs w:val="24"/>
                        </w:rPr>
                        <w:t>O</w:t>
                      </w:r>
                      <w:r w:rsidRPr="00DE04C3">
                        <w:rPr>
                          <w:rFonts w:cs="Times New Roman"/>
                          <w:i w:val="0"/>
                          <w:sz w:val="24"/>
                          <w:szCs w:val="24"/>
                          <w:vertAlign w:val="subscript"/>
                        </w:rPr>
                        <w:t>3</w:t>
                      </w:r>
                      <w:r w:rsidRPr="00DE04C3">
                        <w:rPr>
                          <w:rFonts w:cs="Times New Roman"/>
                          <w:i w:val="0"/>
                          <w:sz w:val="24"/>
                          <w:szCs w:val="24"/>
                        </w:rPr>
                        <w:t xml:space="preserve"> (11BHG: Table 1). The concentrations of Al</w:t>
                      </w:r>
                      <w:r w:rsidRPr="00DE04C3">
                        <w:rPr>
                          <w:rFonts w:cs="Times New Roman"/>
                          <w:i w:val="0"/>
                          <w:sz w:val="24"/>
                          <w:szCs w:val="24"/>
                          <w:vertAlign w:val="subscript"/>
                        </w:rPr>
                        <w:t>2</w:t>
                      </w:r>
                      <w:r w:rsidRPr="00DE04C3">
                        <w:rPr>
                          <w:rFonts w:cs="Times New Roman"/>
                          <w:i w:val="0"/>
                          <w:sz w:val="24"/>
                          <w:szCs w:val="24"/>
                        </w:rPr>
                        <w:t>O</w:t>
                      </w:r>
                      <w:r w:rsidRPr="00DE04C3">
                        <w:rPr>
                          <w:rFonts w:cs="Times New Roman"/>
                          <w:i w:val="0"/>
                          <w:sz w:val="24"/>
                          <w:szCs w:val="24"/>
                          <w:vertAlign w:val="subscript"/>
                        </w:rPr>
                        <w:t>3</w:t>
                      </w:r>
                      <w:r w:rsidRPr="00DE04C3">
                        <w:rPr>
                          <w:rFonts w:cs="Times New Roman"/>
                          <w:i w:val="0"/>
                          <w:sz w:val="24"/>
                          <w:szCs w:val="24"/>
                        </w:rPr>
                        <w:t>, Na</w:t>
                      </w:r>
                      <w:r w:rsidRPr="00DE04C3">
                        <w:rPr>
                          <w:rFonts w:cs="Times New Roman"/>
                          <w:i w:val="0"/>
                          <w:sz w:val="24"/>
                          <w:szCs w:val="24"/>
                          <w:vertAlign w:val="subscript"/>
                        </w:rPr>
                        <w:t>2</w:t>
                      </w:r>
                      <w:r w:rsidRPr="00DE04C3">
                        <w:rPr>
                          <w:rFonts w:cs="Times New Roman"/>
                          <w:i w:val="0"/>
                          <w:sz w:val="24"/>
                          <w:szCs w:val="24"/>
                        </w:rPr>
                        <w:t>O, K</w:t>
                      </w:r>
                      <w:r w:rsidRPr="00DE04C3">
                        <w:rPr>
                          <w:rFonts w:cs="Times New Roman"/>
                          <w:i w:val="0"/>
                          <w:sz w:val="24"/>
                          <w:szCs w:val="24"/>
                          <w:vertAlign w:val="subscript"/>
                        </w:rPr>
                        <w:t>2</w:t>
                      </w:r>
                      <w:r w:rsidRPr="00DE04C3">
                        <w:rPr>
                          <w:rFonts w:cs="Times New Roman"/>
                          <w:i w:val="0"/>
                          <w:sz w:val="24"/>
                          <w:szCs w:val="24"/>
                        </w:rPr>
                        <w:t>O, and H</w:t>
                      </w:r>
                      <w:r w:rsidRPr="00DE04C3">
                        <w:rPr>
                          <w:rFonts w:cs="Times New Roman"/>
                          <w:i w:val="0"/>
                          <w:sz w:val="24"/>
                          <w:szCs w:val="24"/>
                          <w:vertAlign w:val="subscript"/>
                        </w:rPr>
                        <w:t>2</w:t>
                      </w:r>
                      <w:r w:rsidRPr="00DE04C3">
                        <w:rPr>
                          <w:rFonts w:cs="Times New Roman"/>
                          <w:i w:val="0"/>
                          <w:sz w:val="24"/>
                          <w:szCs w:val="24"/>
                        </w:rPr>
                        <w:t>O do not vary across the glass. Where the concentration of B</w:t>
                      </w:r>
                      <w:r w:rsidRPr="00DE04C3">
                        <w:rPr>
                          <w:rFonts w:cs="Times New Roman"/>
                          <w:i w:val="0"/>
                          <w:sz w:val="24"/>
                          <w:szCs w:val="24"/>
                          <w:vertAlign w:val="subscript"/>
                        </w:rPr>
                        <w:t>2</w:t>
                      </w:r>
                      <w:r w:rsidRPr="00DE04C3">
                        <w:rPr>
                          <w:rFonts w:cs="Times New Roman"/>
                          <w:i w:val="0"/>
                          <w:sz w:val="24"/>
                          <w:szCs w:val="24"/>
                        </w:rPr>
                        <w:t>O</w:t>
                      </w:r>
                      <w:r w:rsidRPr="00DE04C3">
                        <w:rPr>
                          <w:rFonts w:cs="Times New Roman"/>
                          <w:i w:val="0"/>
                          <w:sz w:val="24"/>
                          <w:szCs w:val="24"/>
                          <w:vertAlign w:val="subscript"/>
                        </w:rPr>
                        <w:t xml:space="preserve">3 </w:t>
                      </w:r>
                      <w:r w:rsidRPr="00DE04C3">
                        <w:rPr>
                          <w:rFonts w:cs="Times New Roman"/>
                          <w:i w:val="0"/>
                          <w:sz w:val="24"/>
                          <w:szCs w:val="24"/>
                        </w:rPr>
                        <w:t>is highest (left-hand side), the concentration of SiO</w:t>
                      </w:r>
                      <w:r w:rsidRPr="00DE04C3">
                        <w:rPr>
                          <w:rFonts w:cs="Times New Roman"/>
                          <w:i w:val="0"/>
                          <w:sz w:val="24"/>
                          <w:szCs w:val="24"/>
                          <w:vertAlign w:val="subscript"/>
                        </w:rPr>
                        <w:t>2</w:t>
                      </w:r>
                      <w:r w:rsidRPr="00DE04C3">
                        <w:rPr>
                          <w:rFonts w:cs="Times New Roman"/>
                          <w:i w:val="0"/>
                          <w:sz w:val="24"/>
                          <w:szCs w:val="24"/>
                        </w:rPr>
                        <w:t xml:space="preserve"> is lowest, and vice versa.</w:t>
                      </w:r>
                      <w:bookmarkEnd w:id="100"/>
                    </w:p>
                  </w:txbxContent>
                </v:textbox>
                <w10:wrap type="square"/>
              </v:shape>
            </w:pict>
          </mc:Fallback>
        </mc:AlternateContent>
      </w:r>
      <w:r>
        <w:rPr>
          <w:rFonts w:cs="Times New Roman"/>
          <w:noProof/>
        </w:rPr>
        <w:drawing>
          <wp:anchor distT="0" distB="0" distL="114300" distR="114300" simplePos="0" relativeHeight="251696128" behindDoc="0" locked="0" layoutInCell="1" allowOverlap="1">
            <wp:simplePos x="0" y="0"/>
            <wp:positionH relativeFrom="margin">
              <wp:align>center</wp:align>
            </wp:positionH>
            <wp:positionV relativeFrom="margin">
              <wp:align>top</wp:align>
            </wp:positionV>
            <wp:extent cx="5039360" cy="3893820"/>
            <wp:effectExtent l="0" t="0" r="889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GB 3d 140mm.TIF"/>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039360" cy="3893820"/>
                    </a:xfrm>
                    <a:prstGeom prst="rect">
                      <a:avLst/>
                    </a:prstGeom>
                  </pic:spPr>
                </pic:pic>
              </a:graphicData>
            </a:graphic>
            <wp14:sizeRelV relativeFrom="margin">
              <wp14:pctHeight>0</wp14:pctHeight>
            </wp14:sizeRelV>
          </wp:anchor>
        </w:drawing>
      </w:r>
    </w:p>
    <w:p w:rsidR="00DC1C38" w:rsidRDefault="00DC1C38" w:rsidP="00DC1C38">
      <w:r>
        <w:br w:type="page"/>
      </w:r>
    </w:p>
    <w:p w:rsidR="00DC1C38" w:rsidRDefault="00DE04C3" w:rsidP="00A03F13">
      <w:pPr>
        <w:spacing w:line="480" w:lineRule="auto"/>
        <w:ind w:firstLine="720"/>
        <w:rPr>
          <w:rFonts w:cs="Times New Roman"/>
        </w:rPr>
      </w:pPr>
      <w:r>
        <w:rPr>
          <w:rFonts w:cs="Times New Roman"/>
          <w:noProof/>
        </w:rPr>
        <w:lastRenderedPageBreak/>
        <w:drawing>
          <wp:anchor distT="0" distB="0" distL="114300" distR="114300" simplePos="0" relativeHeight="251699200" behindDoc="0" locked="0" layoutInCell="1" allowOverlap="1">
            <wp:simplePos x="0" y="0"/>
            <wp:positionH relativeFrom="margin">
              <wp:align>center</wp:align>
            </wp:positionH>
            <wp:positionV relativeFrom="margin">
              <wp:align>top</wp:align>
            </wp:positionV>
            <wp:extent cx="4388485" cy="4168775"/>
            <wp:effectExtent l="0" t="0" r="0" b="3175"/>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ig 5.tif"/>
                    <pic:cNvPicPr/>
                  </pic:nvPicPr>
                  <pic:blipFill>
                    <a:blip r:embed="rId56" cstate="print">
                      <a:extLst>
                        <a:ext uri="{28A0092B-C50C-407E-A947-70E740481C1C}">
                          <a14:useLocalDpi xmlns:a14="http://schemas.microsoft.com/office/drawing/2010/main" val="0"/>
                        </a:ext>
                      </a:extLst>
                    </a:blip>
                    <a:stretch>
                      <a:fillRect/>
                    </a:stretch>
                  </pic:blipFill>
                  <pic:spPr>
                    <a:xfrm>
                      <a:off x="0" y="0"/>
                      <a:ext cx="4388485" cy="4168775"/>
                    </a:xfrm>
                    <a:prstGeom prst="rect">
                      <a:avLst/>
                    </a:prstGeom>
                  </pic:spPr>
                </pic:pic>
              </a:graphicData>
            </a:graphic>
            <wp14:sizeRelH relativeFrom="margin">
              <wp14:pctWidth>0</wp14:pctWidth>
            </wp14:sizeRelH>
          </wp:anchor>
        </w:drawing>
      </w:r>
      <w:r w:rsidR="002535B2">
        <w:rPr>
          <w:noProof/>
        </w:rPr>
        <mc:AlternateContent>
          <mc:Choice Requires="wps">
            <w:drawing>
              <wp:anchor distT="0" distB="0" distL="114300" distR="114300" simplePos="0" relativeHeight="251701248" behindDoc="0" locked="0" layoutInCell="1" allowOverlap="1" wp14:anchorId="78363195" wp14:editId="52191D0F">
                <wp:simplePos x="0" y="0"/>
                <wp:positionH relativeFrom="column">
                  <wp:posOffset>0</wp:posOffset>
                </wp:positionH>
                <wp:positionV relativeFrom="paragraph">
                  <wp:posOffset>4225925</wp:posOffset>
                </wp:positionV>
                <wp:extent cx="5394960" cy="635"/>
                <wp:effectExtent l="0" t="0" r="0" b="0"/>
                <wp:wrapSquare wrapText="bothSides"/>
                <wp:docPr id="28" name="Text Box 28"/>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rsidR="006D3B9B" w:rsidRPr="00DE04C3" w:rsidRDefault="006D3B9B" w:rsidP="002535B2">
                            <w:pPr>
                              <w:pStyle w:val="Caption"/>
                              <w:rPr>
                                <w:rFonts w:cs="Times New Roman"/>
                                <w:i w:val="0"/>
                                <w:noProof/>
                                <w:sz w:val="24"/>
                                <w:szCs w:val="24"/>
                              </w:rPr>
                            </w:pPr>
                            <w:bookmarkStart w:id="101" w:name="_Toc490130646"/>
                            <w:r w:rsidRPr="00D175FA">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3</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4</w:t>
                            </w:r>
                            <w:r>
                              <w:rPr>
                                <w:b/>
                                <w:sz w:val="24"/>
                                <w:szCs w:val="24"/>
                              </w:rPr>
                              <w:fldChar w:fldCharType="end"/>
                            </w:r>
                            <w:r w:rsidRPr="00D175FA">
                              <w:rPr>
                                <w:rFonts w:cs="Times New Roman"/>
                                <w:i w:val="0"/>
                                <w:sz w:val="24"/>
                                <w:szCs w:val="24"/>
                              </w:rPr>
                              <w:t xml:space="preserve"> </w:t>
                            </w:r>
                            <w:r w:rsidRPr="00DE04C3">
                              <w:rPr>
                                <w:rFonts w:cs="Times New Roman"/>
                                <w:i w:val="0"/>
                                <w:sz w:val="24"/>
                                <w:szCs w:val="24"/>
                              </w:rPr>
                              <w:t>3-D plot of B concentration in glass from experiment CGB2 (Table 3). Plots represents a collection of over 500 EMPA data points that were smoothed using a loess based algorithm in SigmaPlot 13.0 (Systat Software). Units for the z-axis are weight percent (wt.%) and micrometers (</w:t>
                            </w:r>
                            <w:r w:rsidRPr="00DE04C3">
                              <w:rPr>
                                <w:i w:val="0"/>
                                <w:sz w:val="24"/>
                                <w:szCs w:val="24"/>
                              </w:rPr>
                              <w:t>μ</w:t>
                            </w:r>
                            <w:r w:rsidRPr="00DE04C3">
                              <w:rPr>
                                <w:rFonts w:cs="Times New Roman"/>
                                <w:i w:val="0"/>
                                <w:sz w:val="24"/>
                                <w:szCs w:val="24"/>
                              </w:rPr>
                              <w:t>m) for the x- and y-axes. The illustration clearly shows that B diffused from the sides and end of the glass cylinder.</w:t>
                            </w:r>
                            <w:bookmarkEnd w:id="10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8363195" id="Text Box 28" o:spid="_x0000_s1043" type="#_x0000_t202" style="position:absolute;left:0;text-align:left;margin-left:0;margin-top:332.75pt;width:424.8pt;height:.05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" stroked="f">
                <v:textbox style="mso-fit-shape-to-text:t" inset="0,0,0,0">
                  <w:txbxContent>
                    <w:p w:rsidR="006D3B9B" w:rsidRPr="00DE04C3" w:rsidRDefault="006D3B9B" w:rsidP="002535B2">
                      <w:pPr>
                        <w:pStyle w:val="Caption"/>
                        <w:rPr>
                          <w:rFonts w:cs="Times New Roman"/>
                          <w:i w:val="0"/>
                          <w:noProof/>
                          <w:sz w:val="24"/>
                          <w:szCs w:val="24"/>
                        </w:rPr>
                      </w:pPr>
                      <w:bookmarkStart w:id="102" w:name="_Toc490130646"/>
                      <w:r w:rsidRPr="00D175FA">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3</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4</w:t>
                      </w:r>
                      <w:r>
                        <w:rPr>
                          <w:b/>
                          <w:sz w:val="24"/>
                          <w:szCs w:val="24"/>
                        </w:rPr>
                        <w:fldChar w:fldCharType="end"/>
                      </w:r>
                      <w:r w:rsidRPr="00D175FA">
                        <w:rPr>
                          <w:rFonts w:cs="Times New Roman"/>
                          <w:i w:val="0"/>
                          <w:sz w:val="24"/>
                          <w:szCs w:val="24"/>
                        </w:rPr>
                        <w:t xml:space="preserve"> </w:t>
                      </w:r>
                      <w:r w:rsidRPr="00DE04C3">
                        <w:rPr>
                          <w:rFonts w:cs="Times New Roman"/>
                          <w:i w:val="0"/>
                          <w:sz w:val="24"/>
                          <w:szCs w:val="24"/>
                        </w:rPr>
                        <w:t>3-D plot of B concentration in glass from experiment CGB2 (Table 3). Plots represents a collection of over 500 EMPA data points that were smoothed using a loess based algorithm in SigmaPlot 13.0 (Systat Software). Units for the z-axis are weight percent (wt.%) and micrometers (</w:t>
                      </w:r>
                      <w:r w:rsidRPr="00DE04C3">
                        <w:rPr>
                          <w:i w:val="0"/>
                          <w:sz w:val="24"/>
                          <w:szCs w:val="24"/>
                        </w:rPr>
                        <w:t>μ</w:t>
                      </w:r>
                      <w:r w:rsidRPr="00DE04C3">
                        <w:rPr>
                          <w:rFonts w:cs="Times New Roman"/>
                          <w:i w:val="0"/>
                          <w:sz w:val="24"/>
                          <w:szCs w:val="24"/>
                        </w:rPr>
                        <w:t>m) for the x- and y-axes. The illustration clearly shows that B diffused from the sides and end of the glass cylinder.</w:t>
                      </w:r>
                      <w:bookmarkEnd w:id="102"/>
                    </w:p>
                  </w:txbxContent>
                </v:textbox>
                <w10:wrap type="square"/>
              </v:shape>
            </w:pict>
          </mc:Fallback>
        </mc:AlternateContent>
      </w:r>
    </w:p>
    <w:p w:rsidR="00DC1C38" w:rsidRDefault="00DC1C38" w:rsidP="00DC1C38">
      <w:r>
        <w:br w:type="page"/>
      </w:r>
    </w:p>
    <w:p w:rsidR="00DC1C38" w:rsidRDefault="00DE04C3" w:rsidP="00A03F13">
      <w:pPr>
        <w:spacing w:line="480" w:lineRule="auto"/>
        <w:ind w:firstLine="720"/>
        <w:rPr>
          <w:rFonts w:cs="Times New Roman"/>
        </w:rPr>
      </w:pPr>
      <w:r>
        <w:rPr>
          <w:rFonts w:cs="Times New Roman"/>
          <w:noProof/>
        </w:rPr>
        <w:lastRenderedPageBreak/>
        <w:drawing>
          <wp:anchor distT="0" distB="0" distL="114300" distR="114300" simplePos="0" relativeHeight="251702272" behindDoc="0" locked="0" layoutInCell="1" allowOverlap="1">
            <wp:simplePos x="1917700" y="914400"/>
            <wp:positionH relativeFrom="margin">
              <wp:align>center</wp:align>
            </wp:positionH>
            <wp:positionV relativeFrom="margin">
              <wp:align>top</wp:align>
            </wp:positionV>
            <wp:extent cx="5394325" cy="4168775"/>
            <wp:effectExtent l="0" t="0" r="0" b="317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ig 6.tif"/>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394885" cy="4168775"/>
                    </a:xfrm>
                    <a:prstGeom prst="rect">
                      <a:avLst/>
                    </a:prstGeom>
                  </pic:spPr>
                </pic:pic>
              </a:graphicData>
            </a:graphic>
          </wp:anchor>
        </w:drawing>
      </w:r>
      <w:r w:rsidR="00D175FA">
        <w:rPr>
          <w:noProof/>
        </w:rPr>
        <mc:AlternateContent>
          <mc:Choice Requires="wps">
            <w:drawing>
              <wp:anchor distT="0" distB="0" distL="114300" distR="114300" simplePos="0" relativeHeight="251704320" behindDoc="0" locked="0" layoutInCell="1" allowOverlap="1" wp14:anchorId="10BBE5A6" wp14:editId="1365BA5E">
                <wp:simplePos x="0" y="0"/>
                <wp:positionH relativeFrom="column">
                  <wp:posOffset>0</wp:posOffset>
                </wp:positionH>
                <wp:positionV relativeFrom="paragraph">
                  <wp:posOffset>4225925</wp:posOffset>
                </wp:positionV>
                <wp:extent cx="5394960" cy="635"/>
                <wp:effectExtent l="0" t="0" r="0" b="0"/>
                <wp:wrapSquare wrapText="bothSides"/>
                <wp:docPr id="30" name="Text Box 30"/>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rsidR="006D3B9B" w:rsidRPr="00D175FA" w:rsidRDefault="006D3B9B" w:rsidP="00D175FA">
                            <w:pPr>
                              <w:pStyle w:val="Caption"/>
                              <w:rPr>
                                <w:rFonts w:cs="Times New Roman"/>
                                <w:i w:val="0"/>
                                <w:noProof/>
                                <w:sz w:val="24"/>
                                <w:szCs w:val="24"/>
                              </w:rPr>
                            </w:pPr>
                            <w:bookmarkStart w:id="103" w:name="_Toc490130647"/>
                            <w:r w:rsidRPr="00D175FA">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3</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5</w:t>
                            </w:r>
                            <w:r>
                              <w:rPr>
                                <w:b/>
                                <w:sz w:val="24"/>
                                <w:szCs w:val="24"/>
                              </w:rPr>
                              <w:fldChar w:fldCharType="end"/>
                            </w:r>
                            <w:r w:rsidRPr="00D175FA">
                              <w:rPr>
                                <w:rFonts w:cs="Times New Roman"/>
                                <w:i w:val="0"/>
                                <w:sz w:val="24"/>
                                <w:szCs w:val="24"/>
                              </w:rPr>
                              <w:t xml:space="preserve"> </w:t>
                            </w:r>
                            <w:r w:rsidRPr="00DE04C3">
                              <w:rPr>
                                <w:rFonts w:cs="Times New Roman"/>
                                <w:i w:val="0"/>
                                <w:sz w:val="24"/>
                                <w:szCs w:val="24"/>
                              </w:rPr>
                              <w:t>Normalized B content of glass in experiment CGB2 against distance (meters) relative to the Matano surface. Circles are EMPA data. Solid line represents a solution to the inverse error function using a diffusion coefficient for B of 10</w:t>
                            </w:r>
                            <w:r w:rsidRPr="00DE04C3">
                              <w:rPr>
                                <w:rFonts w:cs="Times New Roman"/>
                                <w:i w:val="0"/>
                                <w:sz w:val="24"/>
                                <w:szCs w:val="24"/>
                                <w:vertAlign w:val="superscript"/>
                              </w:rPr>
                              <w:t>-13</w:t>
                            </w:r>
                            <w:r w:rsidRPr="00DE04C3">
                              <w:rPr>
                                <w:rFonts w:cs="Times New Roman"/>
                                <w:i w:val="0"/>
                                <w:sz w:val="24"/>
                                <w:szCs w:val="24"/>
                              </w:rPr>
                              <w:t xml:space="preserve"> m</w:t>
                            </w:r>
                            <w:r w:rsidRPr="00DE04C3">
                              <w:rPr>
                                <w:rFonts w:cs="Times New Roman"/>
                                <w:i w:val="0"/>
                                <w:sz w:val="24"/>
                                <w:szCs w:val="24"/>
                                <w:vertAlign w:val="superscript"/>
                              </w:rPr>
                              <w:t>2</w:t>
                            </w:r>
                            <w:r w:rsidRPr="00DE04C3">
                              <w:rPr>
                                <w:rFonts w:cs="Times New Roman"/>
                                <w:i w:val="0"/>
                                <w:sz w:val="24"/>
                                <w:szCs w:val="24"/>
                              </w:rPr>
                              <w:t>/s. Dotted line represents 3</w:t>
                            </w:r>
                            <w:r w:rsidRPr="00DE04C3">
                              <w:rPr>
                                <w:rFonts w:cs="Times New Roman"/>
                                <w:i w:val="0"/>
                                <w:sz w:val="24"/>
                                <w:szCs w:val="24"/>
                                <w:vertAlign w:val="superscript"/>
                              </w:rPr>
                              <w:t>rd</w:t>
                            </w:r>
                            <w:r w:rsidRPr="00DE04C3">
                              <w:rPr>
                                <w:rFonts w:cs="Times New Roman"/>
                                <w:i w:val="0"/>
                                <w:sz w:val="24"/>
                                <w:szCs w:val="24"/>
                              </w:rPr>
                              <w:t>-order polynomial expression fit to the EMPA data. Diffusion coefficients were calculated using the Boltzman-Matano equation from the 3</w:t>
                            </w:r>
                            <w:r w:rsidRPr="00DE04C3">
                              <w:rPr>
                                <w:rFonts w:cs="Times New Roman"/>
                                <w:i w:val="0"/>
                                <w:sz w:val="24"/>
                                <w:szCs w:val="24"/>
                                <w:vertAlign w:val="superscript"/>
                              </w:rPr>
                              <w:t>rd</w:t>
                            </w:r>
                            <w:r w:rsidRPr="00DE04C3">
                              <w:rPr>
                                <w:rFonts w:cs="Times New Roman"/>
                                <w:i w:val="0"/>
                                <w:sz w:val="24"/>
                                <w:szCs w:val="24"/>
                              </w:rPr>
                              <w:t>-order polynomial expression. Diffusion coefficients calculated using both equations are similar for the high concentration end (higher y-axis values). At lower concentrations, the diffusion coefficient calculated using the Boltzman-Matano equation is an order of magnitude smaller (faster) than the coefficient used in the inverse error function equation.</w:t>
                            </w:r>
                            <w:bookmarkEnd w:id="10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0BBE5A6" id="Text Box 30" o:spid="_x0000_s1044" type="#_x0000_t202" style="position:absolute;left:0;text-align:left;margin-left:0;margin-top:332.75pt;width:424.8pt;height:.0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" stroked="f">
                <v:textbox style="mso-fit-shape-to-text:t" inset="0,0,0,0">
                  <w:txbxContent>
                    <w:p w:rsidR="006D3B9B" w:rsidRPr="00D175FA" w:rsidRDefault="006D3B9B" w:rsidP="00D175FA">
                      <w:pPr>
                        <w:pStyle w:val="Caption"/>
                        <w:rPr>
                          <w:rFonts w:cs="Times New Roman"/>
                          <w:i w:val="0"/>
                          <w:noProof/>
                          <w:sz w:val="24"/>
                          <w:szCs w:val="24"/>
                        </w:rPr>
                      </w:pPr>
                      <w:bookmarkStart w:id="104" w:name="_Toc490130647"/>
                      <w:r w:rsidRPr="00D175FA">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3</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5</w:t>
                      </w:r>
                      <w:r>
                        <w:rPr>
                          <w:b/>
                          <w:sz w:val="24"/>
                          <w:szCs w:val="24"/>
                        </w:rPr>
                        <w:fldChar w:fldCharType="end"/>
                      </w:r>
                      <w:r w:rsidRPr="00D175FA">
                        <w:rPr>
                          <w:rFonts w:cs="Times New Roman"/>
                          <w:i w:val="0"/>
                          <w:sz w:val="24"/>
                          <w:szCs w:val="24"/>
                        </w:rPr>
                        <w:t xml:space="preserve"> </w:t>
                      </w:r>
                      <w:r w:rsidRPr="00DE04C3">
                        <w:rPr>
                          <w:rFonts w:cs="Times New Roman"/>
                          <w:i w:val="0"/>
                          <w:sz w:val="24"/>
                          <w:szCs w:val="24"/>
                        </w:rPr>
                        <w:t>Normalized B content of glass in experiment CGB2 against distance (meters) relative to the Matano surface. Circles are EMPA data. Solid line represents a solution to the inverse error function using a diffusion coefficient for B of 10</w:t>
                      </w:r>
                      <w:r w:rsidRPr="00DE04C3">
                        <w:rPr>
                          <w:rFonts w:cs="Times New Roman"/>
                          <w:i w:val="0"/>
                          <w:sz w:val="24"/>
                          <w:szCs w:val="24"/>
                          <w:vertAlign w:val="superscript"/>
                        </w:rPr>
                        <w:t>-13</w:t>
                      </w:r>
                      <w:r w:rsidRPr="00DE04C3">
                        <w:rPr>
                          <w:rFonts w:cs="Times New Roman"/>
                          <w:i w:val="0"/>
                          <w:sz w:val="24"/>
                          <w:szCs w:val="24"/>
                        </w:rPr>
                        <w:t xml:space="preserve"> m</w:t>
                      </w:r>
                      <w:r w:rsidRPr="00DE04C3">
                        <w:rPr>
                          <w:rFonts w:cs="Times New Roman"/>
                          <w:i w:val="0"/>
                          <w:sz w:val="24"/>
                          <w:szCs w:val="24"/>
                          <w:vertAlign w:val="superscript"/>
                        </w:rPr>
                        <w:t>2</w:t>
                      </w:r>
                      <w:r w:rsidRPr="00DE04C3">
                        <w:rPr>
                          <w:rFonts w:cs="Times New Roman"/>
                          <w:i w:val="0"/>
                          <w:sz w:val="24"/>
                          <w:szCs w:val="24"/>
                        </w:rPr>
                        <w:t>/s. Dotted line represents 3</w:t>
                      </w:r>
                      <w:r w:rsidRPr="00DE04C3">
                        <w:rPr>
                          <w:rFonts w:cs="Times New Roman"/>
                          <w:i w:val="0"/>
                          <w:sz w:val="24"/>
                          <w:szCs w:val="24"/>
                          <w:vertAlign w:val="superscript"/>
                        </w:rPr>
                        <w:t>rd</w:t>
                      </w:r>
                      <w:r w:rsidRPr="00DE04C3">
                        <w:rPr>
                          <w:rFonts w:cs="Times New Roman"/>
                          <w:i w:val="0"/>
                          <w:sz w:val="24"/>
                          <w:szCs w:val="24"/>
                        </w:rPr>
                        <w:t>-order polynomial expression fit to the EMPA data. Diffusion coefficients were calculated using the Boltzman-Matano equation from the 3</w:t>
                      </w:r>
                      <w:r w:rsidRPr="00DE04C3">
                        <w:rPr>
                          <w:rFonts w:cs="Times New Roman"/>
                          <w:i w:val="0"/>
                          <w:sz w:val="24"/>
                          <w:szCs w:val="24"/>
                          <w:vertAlign w:val="superscript"/>
                        </w:rPr>
                        <w:t>rd</w:t>
                      </w:r>
                      <w:r w:rsidRPr="00DE04C3">
                        <w:rPr>
                          <w:rFonts w:cs="Times New Roman"/>
                          <w:i w:val="0"/>
                          <w:sz w:val="24"/>
                          <w:szCs w:val="24"/>
                        </w:rPr>
                        <w:t>-order polynomial expression. Diffusion coefficients calculated using both equations are similar for the high concentration end (higher y-axis values). At lower concentrations, the diffusion coefficient calculated using the Boltzman-Matano equation is an order of magnitude smaller (faster) than the coefficient used in the inverse error function equation.</w:t>
                      </w:r>
                      <w:bookmarkEnd w:id="104"/>
                    </w:p>
                  </w:txbxContent>
                </v:textbox>
                <w10:wrap type="square"/>
              </v:shape>
            </w:pict>
          </mc:Fallback>
        </mc:AlternateContent>
      </w:r>
    </w:p>
    <w:p w:rsidR="00DC1C38" w:rsidRDefault="00DC1C38" w:rsidP="00DC1C38">
      <w:r>
        <w:br w:type="page"/>
      </w:r>
    </w:p>
    <w:p w:rsidR="00DC1C38" w:rsidRDefault="00881DA2" w:rsidP="00A03F13">
      <w:pPr>
        <w:spacing w:line="480" w:lineRule="auto"/>
        <w:ind w:firstLine="720"/>
        <w:rPr>
          <w:rFonts w:cs="Times New Roman"/>
        </w:rPr>
      </w:pPr>
      <w:r>
        <w:rPr>
          <w:noProof/>
        </w:rPr>
        <w:lastRenderedPageBreak/>
        <mc:AlternateContent>
          <mc:Choice Requires="wps">
            <w:drawing>
              <wp:anchor distT="0" distB="0" distL="114300" distR="114300" simplePos="0" relativeHeight="251709440" behindDoc="0" locked="0" layoutInCell="1" allowOverlap="1" wp14:anchorId="6B9C1710" wp14:editId="5E2DB686">
                <wp:simplePos x="0" y="0"/>
                <wp:positionH relativeFrom="column">
                  <wp:posOffset>0</wp:posOffset>
                </wp:positionH>
                <wp:positionV relativeFrom="paragraph">
                  <wp:posOffset>4225925</wp:posOffset>
                </wp:positionV>
                <wp:extent cx="5394960" cy="635"/>
                <wp:effectExtent l="0" t="0" r="0" b="0"/>
                <wp:wrapSquare wrapText="bothSides"/>
                <wp:docPr id="35" name="Text Box 35"/>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rsidR="006D3B9B" w:rsidRPr="00881DA2" w:rsidRDefault="006D3B9B" w:rsidP="00881DA2">
                            <w:pPr>
                              <w:pStyle w:val="Caption"/>
                              <w:rPr>
                                <w:rFonts w:cs="Times New Roman"/>
                                <w:i w:val="0"/>
                                <w:noProof/>
                                <w:sz w:val="24"/>
                                <w:szCs w:val="24"/>
                              </w:rPr>
                            </w:pPr>
                            <w:bookmarkStart w:id="105" w:name="_Toc490130648"/>
                            <w:r w:rsidRPr="00881DA2">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3</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6</w:t>
                            </w:r>
                            <w:r>
                              <w:rPr>
                                <w:b/>
                                <w:sz w:val="24"/>
                                <w:szCs w:val="24"/>
                              </w:rPr>
                              <w:fldChar w:fldCharType="end"/>
                            </w:r>
                            <w:r w:rsidRPr="00881DA2">
                              <w:rPr>
                                <w:rFonts w:cs="Times New Roman"/>
                                <w:i w:val="0"/>
                                <w:sz w:val="24"/>
                                <w:szCs w:val="24"/>
                              </w:rPr>
                              <w:t xml:space="preserve"> Concentration-distance profile representative of experiments that were designed to assess the chemical diffusivity of individual B isotopes. Shown in this diagram is data from experiment CGB49 which used a </w:t>
                            </w:r>
                            <w:r w:rsidRPr="00881DA2">
                              <w:rPr>
                                <w:rFonts w:cs="Times New Roman"/>
                                <w:i w:val="0"/>
                                <w:sz w:val="24"/>
                                <w:szCs w:val="24"/>
                                <w:vertAlign w:val="superscript"/>
                              </w:rPr>
                              <w:t>11</w:t>
                            </w:r>
                            <w:r w:rsidRPr="00881DA2">
                              <w:rPr>
                                <w:rFonts w:cs="Times New Roman"/>
                                <w:i w:val="0"/>
                                <w:sz w:val="24"/>
                                <w:szCs w:val="24"/>
                              </w:rPr>
                              <w:t>B enriched glass as a source of B. Y-axis is normalized B content of glass, X-axis is distance (meters) relative to the Matano surface. Circles are EMPA data. Solid line represents a solution to the inverse error function using a diffusion coefficient of 10</w:t>
                            </w:r>
                            <w:r w:rsidRPr="00881DA2">
                              <w:rPr>
                                <w:rFonts w:cs="Times New Roman"/>
                                <w:i w:val="0"/>
                                <w:sz w:val="24"/>
                                <w:szCs w:val="24"/>
                                <w:vertAlign w:val="superscript"/>
                              </w:rPr>
                              <w:t>-13</w:t>
                            </w:r>
                            <w:r w:rsidRPr="00881DA2">
                              <w:rPr>
                                <w:rFonts w:cs="Times New Roman"/>
                                <w:i w:val="0"/>
                                <w:sz w:val="24"/>
                                <w:szCs w:val="24"/>
                              </w:rPr>
                              <w:t xml:space="preserve"> m</w:t>
                            </w:r>
                            <w:r w:rsidRPr="00881DA2">
                              <w:rPr>
                                <w:rFonts w:cs="Times New Roman"/>
                                <w:i w:val="0"/>
                                <w:sz w:val="24"/>
                                <w:szCs w:val="24"/>
                                <w:vertAlign w:val="superscript"/>
                              </w:rPr>
                              <w:t>2</w:t>
                            </w:r>
                            <w:r w:rsidRPr="00881DA2">
                              <w:rPr>
                                <w:rFonts w:cs="Times New Roman"/>
                                <w:i w:val="0"/>
                                <w:sz w:val="24"/>
                                <w:szCs w:val="24"/>
                              </w:rPr>
                              <w:t>/s (Table 3).</w:t>
                            </w:r>
                            <w:bookmarkEnd w:id="10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B9C1710" id="Text Box 35" o:spid="_x0000_s1045" type="#_x0000_t202" style="position:absolute;left:0;text-align:left;margin-left:0;margin-top:332.75pt;width:424.8pt;height:.05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" stroked="f">
                <v:textbox style="mso-fit-shape-to-text:t" inset="0,0,0,0">
                  <w:txbxContent>
                    <w:p w:rsidR="006D3B9B" w:rsidRPr="00881DA2" w:rsidRDefault="006D3B9B" w:rsidP="00881DA2">
                      <w:pPr>
                        <w:pStyle w:val="Caption"/>
                        <w:rPr>
                          <w:rFonts w:cs="Times New Roman"/>
                          <w:i w:val="0"/>
                          <w:noProof/>
                          <w:sz w:val="24"/>
                          <w:szCs w:val="24"/>
                        </w:rPr>
                      </w:pPr>
                      <w:bookmarkStart w:id="106" w:name="_Toc490130648"/>
                      <w:r w:rsidRPr="00881DA2">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3</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6</w:t>
                      </w:r>
                      <w:r>
                        <w:rPr>
                          <w:b/>
                          <w:sz w:val="24"/>
                          <w:szCs w:val="24"/>
                        </w:rPr>
                        <w:fldChar w:fldCharType="end"/>
                      </w:r>
                      <w:r w:rsidRPr="00881DA2">
                        <w:rPr>
                          <w:rFonts w:cs="Times New Roman"/>
                          <w:i w:val="0"/>
                          <w:sz w:val="24"/>
                          <w:szCs w:val="24"/>
                        </w:rPr>
                        <w:t xml:space="preserve"> Concentration-distance profile representative of experiments that were designed to assess the chemical diffusivity of individual B isotopes. Shown in this diagram is data from experiment CGB49 which used a </w:t>
                      </w:r>
                      <w:r w:rsidRPr="00881DA2">
                        <w:rPr>
                          <w:rFonts w:cs="Times New Roman"/>
                          <w:i w:val="0"/>
                          <w:sz w:val="24"/>
                          <w:szCs w:val="24"/>
                          <w:vertAlign w:val="superscript"/>
                        </w:rPr>
                        <w:t>11</w:t>
                      </w:r>
                      <w:r w:rsidRPr="00881DA2">
                        <w:rPr>
                          <w:rFonts w:cs="Times New Roman"/>
                          <w:i w:val="0"/>
                          <w:sz w:val="24"/>
                          <w:szCs w:val="24"/>
                        </w:rPr>
                        <w:t>B enriched glass as a source of B. Y-axis is normalized B content of glass, X-axis is distance (meters) relative to the Matano surface. Circles are EMPA data. Solid line represents a solution to the inverse error function using a diffusion coefficient of 10</w:t>
                      </w:r>
                      <w:r w:rsidRPr="00881DA2">
                        <w:rPr>
                          <w:rFonts w:cs="Times New Roman"/>
                          <w:i w:val="0"/>
                          <w:sz w:val="24"/>
                          <w:szCs w:val="24"/>
                          <w:vertAlign w:val="superscript"/>
                        </w:rPr>
                        <w:t>-13</w:t>
                      </w:r>
                      <w:r w:rsidRPr="00881DA2">
                        <w:rPr>
                          <w:rFonts w:cs="Times New Roman"/>
                          <w:i w:val="0"/>
                          <w:sz w:val="24"/>
                          <w:szCs w:val="24"/>
                        </w:rPr>
                        <w:t xml:space="preserve"> m</w:t>
                      </w:r>
                      <w:r w:rsidRPr="00881DA2">
                        <w:rPr>
                          <w:rFonts w:cs="Times New Roman"/>
                          <w:i w:val="0"/>
                          <w:sz w:val="24"/>
                          <w:szCs w:val="24"/>
                          <w:vertAlign w:val="superscript"/>
                        </w:rPr>
                        <w:t>2</w:t>
                      </w:r>
                      <w:r w:rsidRPr="00881DA2">
                        <w:rPr>
                          <w:rFonts w:cs="Times New Roman"/>
                          <w:i w:val="0"/>
                          <w:sz w:val="24"/>
                          <w:szCs w:val="24"/>
                        </w:rPr>
                        <w:t>/s (Table 3).</w:t>
                      </w:r>
                      <w:bookmarkEnd w:id="106"/>
                    </w:p>
                  </w:txbxContent>
                </v:textbox>
                <w10:wrap type="square"/>
              </v:shape>
            </w:pict>
          </mc:Fallback>
        </mc:AlternateContent>
      </w:r>
      <w:r w:rsidR="001D3536">
        <w:rPr>
          <w:rFonts w:cs="Times New Roman"/>
          <w:noProof/>
        </w:rPr>
        <w:drawing>
          <wp:anchor distT="0" distB="0" distL="114300" distR="114300" simplePos="0" relativeHeight="251707392" behindDoc="0" locked="0" layoutInCell="1" allowOverlap="1">
            <wp:simplePos x="1917700" y="914400"/>
            <wp:positionH relativeFrom="margin">
              <wp:align>center</wp:align>
            </wp:positionH>
            <wp:positionV relativeFrom="margin">
              <wp:align>top</wp:align>
            </wp:positionV>
            <wp:extent cx="5394960" cy="4168775"/>
            <wp:effectExtent l="0" t="0" r="0" b="3175"/>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Fig 6.tif"/>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394960" cy="4168775"/>
                    </a:xfrm>
                    <a:prstGeom prst="rect">
                      <a:avLst/>
                    </a:prstGeom>
                  </pic:spPr>
                </pic:pic>
              </a:graphicData>
            </a:graphic>
          </wp:anchor>
        </w:drawing>
      </w:r>
    </w:p>
    <w:p w:rsidR="00DC1C38" w:rsidRDefault="00DC1C38" w:rsidP="00DC1C38">
      <w:r>
        <w:br w:type="page"/>
      </w:r>
    </w:p>
    <w:p w:rsidR="00DC1C38" w:rsidRDefault="00881DA2" w:rsidP="00A03F13">
      <w:pPr>
        <w:spacing w:line="480" w:lineRule="auto"/>
        <w:ind w:firstLine="720"/>
        <w:rPr>
          <w:rFonts w:cs="Times New Roman"/>
        </w:rPr>
      </w:pPr>
      <w:r>
        <w:rPr>
          <w:noProof/>
        </w:rPr>
        <w:lastRenderedPageBreak/>
        <mc:AlternateContent>
          <mc:Choice Requires="wps">
            <w:drawing>
              <wp:anchor distT="0" distB="0" distL="114300" distR="114300" simplePos="0" relativeHeight="251712512" behindDoc="0" locked="0" layoutInCell="1" allowOverlap="1" wp14:anchorId="69EE8664" wp14:editId="7EA69732">
                <wp:simplePos x="0" y="0"/>
                <wp:positionH relativeFrom="margin">
                  <wp:align>center</wp:align>
                </wp:positionH>
                <wp:positionV relativeFrom="margin">
                  <wp:align>bottom</wp:align>
                </wp:positionV>
                <wp:extent cx="5394960" cy="635"/>
                <wp:effectExtent l="0" t="0" r="0" b="2540"/>
                <wp:wrapSquare wrapText="bothSides"/>
                <wp:docPr id="37" name="Text Box 37"/>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rsidR="006D3B9B" w:rsidRPr="00881DA2" w:rsidRDefault="006D3B9B" w:rsidP="00881DA2">
                            <w:pPr>
                              <w:pStyle w:val="Caption"/>
                              <w:rPr>
                                <w:rFonts w:cs="Times New Roman"/>
                                <w:i w:val="0"/>
                                <w:noProof/>
                                <w:sz w:val="24"/>
                                <w:szCs w:val="24"/>
                              </w:rPr>
                            </w:pPr>
                            <w:bookmarkStart w:id="107" w:name="_Toc490130649"/>
                            <w:r w:rsidRPr="00881DA2">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3</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7</w:t>
                            </w:r>
                            <w:r>
                              <w:rPr>
                                <w:b/>
                                <w:sz w:val="24"/>
                                <w:szCs w:val="24"/>
                              </w:rPr>
                              <w:fldChar w:fldCharType="end"/>
                            </w:r>
                            <w:r w:rsidRPr="00881DA2">
                              <w:rPr>
                                <w:rFonts w:cs="Times New Roman"/>
                                <w:i w:val="0"/>
                                <w:sz w:val="24"/>
                                <w:szCs w:val="24"/>
                              </w:rPr>
                              <w:t xml:space="preserve"> Time-series of hydrous experiments involving the inter-diffusion of </w:t>
                            </w:r>
                            <w:r w:rsidRPr="00881DA2">
                              <w:rPr>
                                <w:rFonts w:cs="Times New Roman"/>
                                <w:i w:val="0"/>
                                <w:sz w:val="24"/>
                                <w:szCs w:val="24"/>
                                <w:vertAlign w:val="superscript"/>
                              </w:rPr>
                              <w:t>11</w:t>
                            </w:r>
                            <w:r w:rsidRPr="00881DA2">
                              <w:rPr>
                                <w:rFonts w:cs="Times New Roman"/>
                                <w:i w:val="0"/>
                                <w:sz w:val="24"/>
                                <w:szCs w:val="24"/>
                              </w:rPr>
                              <w:t xml:space="preserve">B (a) and </w:t>
                            </w:r>
                            <w:r w:rsidRPr="00881DA2">
                              <w:rPr>
                                <w:rFonts w:cs="Times New Roman"/>
                                <w:i w:val="0"/>
                                <w:sz w:val="24"/>
                                <w:szCs w:val="24"/>
                                <w:vertAlign w:val="superscript"/>
                              </w:rPr>
                              <w:t>10</w:t>
                            </w:r>
                            <w:r w:rsidRPr="00881DA2">
                              <w:rPr>
                                <w:rFonts w:cs="Times New Roman"/>
                                <w:i w:val="0"/>
                                <w:sz w:val="24"/>
                                <w:szCs w:val="24"/>
                              </w:rPr>
                              <w:t xml:space="preserve">B (b). Y-axis is the normalized </w:t>
                            </w:r>
                            <w:r w:rsidRPr="00881DA2">
                              <w:rPr>
                                <w:rFonts w:cs="Times New Roman"/>
                                <w:i w:val="0"/>
                                <w:sz w:val="24"/>
                                <w:szCs w:val="24"/>
                                <w:vertAlign w:val="superscript"/>
                              </w:rPr>
                              <w:t>11</w:t>
                            </w:r>
                            <w:r w:rsidRPr="00881DA2">
                              <w:rPr>
                                <w:rFonts w:cs="Times New Roman"/>
                                <w:i w:val="0"/>
                                <w:sz w:val="24"/>
                                <w:szCs w:val="24"/>
                              </w:rPr>
                              <w:t>B/</w:t>
                            </w:r>
                            <w:r w:rsidRPr="00881DA2">
                              <w:rPr>
                                <w:rFonts w:cs="Times New Roman"/>
                                <w:i w:val="0"/>
                                <w:sz w:val="24"/>
                                <w:szCs w:val="24"/>
                                <w:vertAlign w:val="superscript"/>
                              </w:rPr>
                              <w:t>30</w:t>
                            </w:r>
                            <w:r w:rsidRPr="00881DA2">
                              <w:rPr>
                                <w:rFonts w:cs="Times New Roman"/>
                                <w:i w:val="0"/>
                                <w:sz w:val="24"/>
                                <w:szCs w:val="24"/>
                              </w:rPr>
                              <w:t xml:space="preserve">Si (a) or </w:t>
                            </w:r>
                            <w:r w:rsidRPr="00881DA2">
                              <w:rPr>
                                <w:rFonts w:cs="Times New Roman"/>
                                <w:i w:val="0"/>
                                <w:sz w:val="24"/>
                                <w:szCs w:val="24"/>
                                <w:vertAlign w:val="superscript"/>
                              </w:rPr>
                              <w:t>10</w:t>
                            </w:r>
                            <w:r w:rsidRPr="00881DA2">
                              <w:rPr>
                                <w:rFonts w:cs="Times New Roman"/>
                                <w:i w:val="0"/>
                                <w:sz w:val="24"/>
                                <w:szCs w:val="24"/>
                              </w:rPr>
                              <w:t>B/</w:t>
                            </w:r>
                            <w:r w:rsidRPr="00881DA2">
                              <w:rPr>
                                <w:rFonts w:cs="Times New Roman"/>
                                <w:i w:val="0"/>
                                <w:sz w:val="24"/>
                                <w:szCs w:val="24"/>
                                <w:vertAlign w:val="superscript"/>
                              </w:rPr>
                              <w:t>30</w:t>
                            </w:r>
                            <w:r w:rsidRPr="00881DA2">
                              <w:rPr>
                                <w:rFonts w:cs="Times New Roman"/>
                                <w:i w:val="0"/>
                                <w:sz w:val="24"/>
                                <w:szCs w:val="24"/>
                              </w:rPr>
                              <w:t>Si (b) ratios measured using SIMS. X-axis is distance, relative to the Matano surface, across the glass (in meters). Lines represent solutions to the inverse error function equation. Long, dashed line is for a 1-day experiments; short, dashed line is for a 3-day experiment; solid line is for a 5-day experiment.</w:t>
                            </w:r>
                            <w:bookmarkEnd w:id="10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9EE8664" id="Text Box 37" o:spid="_x0000_s1046" type="#_x0000_t202" style="position:absolute;left:0;text-align:left;margin-left:0;margin-top:0;width:424.8pt;height:.05pt;z-index:251712512;visibility:visible;mso-wrap-style:square;mso-wrap-distance-left:9pt;mso-wrap-distance-top:0;mso-wrap-distance-right:9pt;mso-wrap-distance-bottom:0;mso-position-horizontal:center;mso-position-horizontal-relative:margin;mso-position-vertical:bottom;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" stroked="f">
                <v:textbox style="mso-fit-shape-to-text:t" inset="0,0,0,0">
                  <w:txbxContent>
                    <w:p w:rsidR="006D3B9B" w:rsidRPr="00881DA2" w:rsidRDefault="006D3B9B" w:rsidP="00881DA2">
                      <w:pPr>
                        <w:pStyle w:val="Caption"/>
                        <w:rPr>
                          <w:rFonts w:cs="Times New Roman"/>
                          <w:i w:val="0"/>
                          <w:noProof/>
                          <w:sz w:val="24"/>
                          <w:szCs w:val="24"/>
                        </w:rPr>
                      </w:pPr>
                      <w:bookmarkStart w:id="108" w:name="_Toc490130649"/>
                      <w:r w:rsidRPr="00881DA2">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3</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7</w:t>
                      </w:r>
                      <w:r>
                        <w:rPr>
                          <w:b/>
                          <w:sz w:val="24"/>
                          <w:szCs w:val="24"/>
                        </w:rPr>
                        <w:fldChar w:fldCharType="end"/>
                      </w:r>
                      <w:r w:rsidRPr="00881DA2">
                        <w:rPr>
                          <w:rFonts w:cs="Times New Roman"/>
                          <w:i w:val="0"/>
                          <w:sz w:val="24"/>
                          <w:szCs w:val="24"/>
                        </w:rPr>
                        <w:t xml:space="preserve"> Time-series of hydrous experiments involving the inter-diffusion of </w:t>
                      </w:r>
                      <w:r w:rsidRPr="00881DA2">
                        <w:rPr>
                          <w:rFonts w:cs="Times New Roman"/>
                          <w:i w:val="0"/>
                          <w:sz w:val="24"/>
                          <w:szCs w:val="24"/>
                          <w:vertAlign w:val="superscript"/>
                        </w:rPr>
                        <w:t>11</w:t>
                      </w:r>
                      <w:r w:rsidRPr="00881DA2">
                        <w:rPr>
                          <w:rFonts w:cs="Times New Roman"/>
                          <w:i w:val="0"/>
                          <w:sz w:val="24"/>
                          <w:szCs w:val="24"/>
                        </w:rPr>
                        <w:t xml:space="preserve">B (a) and </w:t>
                      </w:r>
                      <w:r w:rsidRPr="00881DA2">
                        <w:rPr>
                          <w:rFonts w:cs="Times New Roman"/>
                          <w:i w:val="0"/>
                          <w:sz w:val="24"/>
                          <w:szCs w:val="24"/>
                          <w:vertAlign w:val="superscript"/>
                        </w:rPr>
                        <w:t>10</w:t>
                      </w:r>
                      <w:r w:rsidRPr="00881DA2">
                        <w:rPr>
                          <w:rFonts w:cs="Times New Roman"/>
                          <w:i w:val="0"/>
                          <w:sz w:val="24"/>
                          <w:szCs w:val="24"/>
                        </w:rPr>
                        <w:t xml:space="preserve">B (b). Y-axis is the normalized </w:t>
                      </w:r>
                      <w:r w:rsidRPr="00881DA2">
                        <w:rPr>
                          <w:rFonts w:cs="Times New Roman"/>
                          <w:i w:val="0"/>
                          <w:sz w:val="24"/>
                          <w:szCs w:val="24"/>
                          <w:vertAlign w:val="superscript"/>
                        </w:rPr>
                        <w:t>11</w:t>
                      </w:r>
                      <w:r w:rsidRPr="00881DA2">
                        <w:rPr>
                          <w:rFonts w:cs="Times New Roman"/>
                          <w:i w:val="0"/>
                          <w:sz w:val="24"/>
                          <w:szCs w:val="24"/>
                        </w:rPr>
                        <w:t>B/</w:t>
                      </w:r>
                      <w:r w:rsidRPr="00881DA2">
                        <w:rPr>
                          <w:rFonts w:cs="Times New Roman"/>
                          <w:i w:val="0"/>
                          <w:sz w:val="24"/>
                          <w:szCs w:val="24"/>
                          <w:vertAlign w:val="superscript"/>
                        </w:rPr>
                        <w:t>30</w:t>
                      </w:r>
                      <w:r w:rsidRPr="00881DA2">
                        <w:rPr>
                          <w:rFonts w:cs="Times New Roman"/>
                          <w:i w:val="0"/>
                          <w:sz w:val="24"/>
                          <w:szCs w:val="24"/>
                        </w:rPr>
                        <w:t xml:space="preserve">Si (a) or </w:t>
                      </w:r>
                      <w:r w:rsidRPr="00881DA2">
                        <w:rPr>
                          <w:rFonts w:cs="Times New Roman"/>
                          <w:i w:val="0"/>
                          <w:sz w:val="24"/>
                          <w:szCs w:val="24"/>
                          <w:vertAlign w:val="superscript"/>
                        </w:rPr>
                        <w:t>10</w:t>
                      </w:r>
                      <w:r w:rsidRPr="00881DA2">
                        <w:rPr>
                          <w:rFonts w:cs="Times New Roman"/>
                          <w:i w:val="0"/>
                          <w:sz w:val="24"/>
                          <w:szCs w:val="24"/>
                        </w:rPr>
                        <w:t>B/</w:t>
                      </w:r>
                      <w:r w:rsidRPr="00881DA2">
                        <w:rPr>
                          <w:rFonts w:cs="Times New Roman"/>
                          <w:i w:val="0"/>
                          <w:sz w:val="24"/>
                          <w:szCs w:val="24"/>
                          <w:vertAlign w:val="superscript"/>
                        </w:rPr>
                        <w:t>30</w:t>
                      </w:r>
                      <w:r w:rsidRPr="00881DA2">
                        <w:rPr>
                          <w:rFonts w:cs="Times New Roman"/>
                          <w:i w:val="0"/>
                          <w:sz w:val="24"/>
                          <w:szCs w:val="24"/>
                        </w:rPr>
                        <w:t>Si (b) ratios measured using SIMS. X-axis is distance, relative to the Matano surface, across the glass (in meters). Lines represent solutions to the inverse error function equation. Long, dashed line is for a 1-day experiments; short, dashed line is for a 3-day experiment; solid line is for a 5-day experiment.</w:t>
                      </w:r>
                      <w:bookmarkEnd w:id="108"/>
                    </w:p>
                  </w:txbxContent>
                </v:textbox>
                <w10:wrap type="square" anchorx="margin" anchory="margin"/>
              </v:shape>
            </w:pict>
          </mc:Fallback>
        </mc:AlternateContent>
      </w:r>
      <w:r>
        <w:rPr>
          <w:rFonts w:cs="Times New Roman"/>
          <w:noProof/>
        </w:rPr>
        <w:drawing>
          <wp:anchor distT="0" distB="0" distL="114300" distR="114300" simplePos="0" relativeHeight="251710464" behindDoc="0" locked="0" layoutInCell="1" allowOverlap="1">
            <wp:simplePos x="1917700" y="914400"/>
            <wp:positionH relativeFrom="margin">
              <wp:align>center</wp:align>
            </wp:positionH>
            <wp:positionV relativeFrom="margin">
              <wp:align>top</wp:align>
            </wp:positionV>
            <wp:extent cx="4141752" cy="320040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ig 7a.tif"/>
                    <pic:cNvPicPr/>
                  </pic:nvPicPr>
                  <pic:blipFill>
                    <a:blip r:embed="rId59" cstate="print">
                      <a:extLst>
                        <a:ext uri="{28A0092B-C50C-407E-A947-70E740481C1C}">
                          <a14:useLocalDpi xmlns:a14="http://schemas.microsoft.com/office/drawing/2010/main" val="0"/>
                        </a:ext>
                      </a:extLst>
                    </a:blip>
                    <a:stretch>
                      <a:fillRect/>
                    </a:stretch>
                  </pic:blipFill>
                  <pic:spPr>
                    <a:xfrm>
                      <a:off x="0" y="0"/>
                      <a:ext cx="4141752" cy="3200400"/>
                    </a:xfrm>
                    <a:prstGeom prst="rect">
                      <a:avLst/>
                    </a:prstGeom>
                  </pic:spPr>
                </pic:pic>
              </a:graphicData>
            </a:graphic>
            <wp14:sizeRelH relativeFrom="margin">
              <wp14:pctWidth>0</wp14:pctWidth>
            </wp14:sizeRelH>
            <wp14:sizeRelV relativeFrom="margin">
              <wp14:pctHeight>0</wp14:pctHeight>
            </wp14:sizeRelV>
          </wp:anchor>
        </w:drawing>
      </w:r>
    </w:p>
    <w:p w:rsidR="00DC1C38" w:rsidRDefault="00881DA2" w:rsidP="00DC1C38">
      <w:r>
        <w:rPr>
          <w:noProof/>
        </w:rPr>
        <w:drawing>
          <wp:anchor distT="0" distB="0" distL="114300" distR="114300" simplePos="0" relativeHeight="251713536" behindDoc="0" locked="0" layoutInCell="1" allowOverlap="1">
            <wp:simplePos x="0" y="0"/>
            <wp:positionH relativeFrom="margin">
              <wp:align>center</wp:align>
            </wp:positionH>
            <wp:positionV relativeFrom="margin">
              <wp:posOffset>2889250</wp:posOffset>
            </wp:positionV>
            <wp:extent cx="4141752" cy="3200400"/>
            <wp:effectExtent l="0" t="0" r="0" b="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ig 7b.tif"/>
                    <pic:cNvPicPr/>
                  </pic:nvPicPr>
                  <pic:blipFill>
                    <a:blip r:embed="rId60" cstate="print">
                      <a:extLst>
                        <a:ext uri="{28A0092B-C50C-407E-A947-70E740481C1C}">
                          <a14:useLocalDpi xmlns:a14="http://schemas.microsoft.com/office/drawing/2010/main" val="0"/>
                        </a:ext>
                      </a:extLst>
                    </a:blip>
                    <a:stretch>
                      <a:fillRect/>
                    </a:stretch>
                  </pic:blipFill>
                  <pic:spPr>
                    <a:xfrm>
                      <a:off x="0" y="0"/>
                      <a:ext cx="4141752" cy="3200400"/>
                    </a:xfrm>
                    <a:prstGeom prst="rect">
                      <a:avLst/>
                    </a:prstGeom>
                  </pic:spPr>
                </pic:pic>
              </a:graphicData>
            </a:graphic>
            <wp14:sizeRelH relativeFrom="margin">
              <wp14:pctWidth>0</wp14:pctWidth>
            </wp14:sizeRelH>
            <wp14:sizeRelV relativeFrom="margin">
              <wp14:pctHeight>0</wp14:pctHeight>
            </wp14:sizeRelV>
          </wp:anchor>
        </w:drawing>
      </w:r>
      <w:r w:rsidR="00DC1C38">
        <w:br w:type="page"/>
      </w:r>
    </w:p>
    <w:p w:rsidR="00DC1C38" w:rsidRDefault="00897A0B" w:rsidP="00A03F13">
      <w:pPr>
        <w:spacing w:line="480" w:lineRule="auto"/>
        <w:ind w:firstLine="720"/>
        <w:rPr>
          <w:rFonts w:cs="Times New Roman"/>
        </w:rPr>
      </w:pPr>
      <w:r>
        <w:rPr>
          <w:noProof/>
        </w:rPr>
        <w:lastRenderedPageBreak/>
        <mc:AlternateContent>
          <mc:Choice Requires="wps">
            <w:drawing>
              <wp:anchor distT="0" distB="0" distL="114300" distR="114300" simplePos="0" relativeHeight="251716608" behindDoc="0" locked="0" layoutInCell="1" allowOverlap="1" wp14:anchorId="224F7B6B" wp14:editId="5E3E6A39">
                <wp:simplePos x="0" y="0"/>
                <wp:positionH relativeFrom="column">
                  <wp:posOffset>0</wp:posOffset>
                </wp:positionH>
                <wp:positionV relativeFrom="paragraph">
                  <wp:posOffset>4225925</wp:posOffset>
                </wp:positionV>
                <wp:extent cx="5394960" cy="635"/>
                <wp:effectExtent l="0" t="0" r="0" b="0"/>
                <wp:wrapSquare wrapText="bothSides"/>
                <wp:docPr id="40" name="Text Box 40"/>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rsidR="006D3B9B" w:rsidRPr="00897A0B" w:rsidRDefault="006D3B9B" w:rsidP="00897A0B">
                            <w:pPr>
                              <w:pStyle w:val="Caption"/>
                              <w:rPr>
                                <w:rFonts w:cs="Times New Roman"/>
                                <w:i w:val="0"/>
                                <w:noProof/>
                                <w:sz w:val="24"/>
                                <w:szCs w:val="24"/>
                              </w:rPr>
                            </w:pPr>
                            <w:bookmarkStart w:id="109" w:name="_Toc490130650"/>
                            <w:r w:rsidRPr="00897A0B">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3</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8</w:t>
                            </w:r>
                            <w:r>
                              <w:rPr>
                                <w:b/>
                                <w:sz w:val="24"/>
                                <w:szCs w:val="24"/>
                              </w:rPr>
                              <w:fldChar w:fldCharType="end"/>
                            </w:r>
                            <w:r w:rsidRPr="00897A0B">
                              <w:rPr>
                                <w:rFonts w:cs="Times New Roman"/>
                                <w:i w:val="0"/>
                                <w:sz w:val="24"/>
                                <w:szCs w:val="24"/>
                              </w:rPr>
                              <w:t xml:space="preserve"> Boron and boron isotopic profile across glass in experiment CGB2. Y-axis on left-hand side is the concentration (wt.%) of B</w:t>
                            </w:r>
                            <w:r w:rsidRPr="00897A0B">
                              <w:rPr>
                                <w:rFonts w:cs="Times New Roman"/>
                                <w:i w:val="0"/>
                                <w:sz w:val="24"/>
                                <w:szCs w:val="24"/>
                                <w:vertAlign w:val="subscript"/>
                              </w:rPr>
                              <w:t>2</w:t>
                            </w:r>
                            <w:r w:rsidRPr="00897A0B">
                              <w:rPr>
                                <w:rFonts w:cs="Times New Roman"/>
                                <w:i w:val="0"/>
                                <w:sz w:val="24"/>
                                <w:szCs w:val="24"/>
                              </w:rPr>
                              <w:t>O</w:t>
                            </w:r>
                            <w:r w:rsidRPr="00897A0B">
                              <w:rPr>
                                <w:rFonts w:cs="Times New Roman"/>
                                <w:i w:val="0"/>
                                <w:sz w:val="24"/>
                                <w:szCs w:val="24"/>
                                <w:vertAlign w:val="subscript"/>
                              </w:rPr>
                              <w:t>3</w:t>
                            </w:r>
                            <w:r w:rsidRPr="00897A0B">
                              <w:rPr>
                                <w:rFonts w:cs="Times New Roman"/>
                                <w:i w:val="0"/>
                                <w:sz w:val="24"/>
                                <w:szCs w:val="24"/>
                              </w:rPr>
                              <w:t xml:space="preserve"> and, on the right-hand side, the boron isotopic composition. X-axis is distance (in meters) from the edge of the glass. The boron isotopic composition of the glass decreases by ~ 5‰ over ~ 500 </w:t>
                            </w:r>
                            <w:r w:rsidRPr="00897A0B">
                              <w:rPr>
                                <w:i w:val="0"/>
                                <w:sz w:val="24"/>
                                <w:szCs w:val="24"/>
                              </w:rPr>
                              <w:t>μ</w:t>
                            </w:r>
                            <w:r w:rsidRPr="00897A0B">
                              <w:rPr>
                                <w:rFonts w:cs="Times New Roman"/>
                                <w:i w:val="0"/>
                                <w:sz w:val="24"/>
                                <w:szCs w:val="24"/>
                              </w:rPr>
                              <w:t>m, then plateaus across the remainder of the B diffusion profile.</w:t>
                            </w:r>
                            <w:bookmarkEnd w:id="10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24F7B6B" id="Text Box 40" o:spid="_x0000_s1047" type="#_x0000_t202" style="position:absolute;left:0;text-align:left;margin-left:0;margin-top:332.75pt;width:424.8pt;height:.0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" stroked="f">
                <v:textbox style="mso-fit-shape-to-text:t" inset="0,0,0,0">
                  <w:txbxContent>
                    <w:p w:rsidR="006D3B9B" w:rsidRPr="00897A0B" w:rsidRDefault="006D3B9B" w:rsidP="00897A0B">
                      <w:pPr>
                        <w:pStyle w:val="Caption"/>
                        <w:rPr>
                          <w:rFonts w:cs="Times New Roman"/>
                          <w:i w:val="0"/>
                          <w:noProof/>
                          <w:sz w:val="24"/>
                          <w:szCs w:val="24"/>
                        </w:rPr>
                      </w:pPr>
                      <w:bookmarkStart w:id="110" w:name="_Toc490130650"/>
                      <w:r w:rsidRPr="00897A0B">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3</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8</w:t>
                      </w:r>
                      <w:r>
                        <w:rPr>
                          <w:b/>
                          <w:sz w:val="24"/>
                          <w:szCs w:val="24"/>
                        </w:rPr>
                        <w:fldChar w:fldCharType="end"/>
                      </w:r>
                      <w:r w:rsidRPr="00897A0B">
                        <w:rPr>
                          <w:rFonts w:cs="Times New Roman"/>
                          <w:i w:val="0"/>
                          <w:sz w:val="24"/>
                          <w:szCs w:val="24"/>
                        </w:rPr>
                        <w:t xml:space="preserve"> Boron and boron isotopic profile across glass in experiment CGB2. Y-axis on left-hand side is the concentration (wt.%) of B</w:t>
                      </w:r>
                      <w:r w:rsidRPr="00897A0B">
                        <w:rPr>
                          <w:rFonts w:cs="Times New Roman"/>
                          <w:i w:val="0"/>
                          <w:sz w:val="24"/>
                          <w:szCs w:val="24"/>
                          <w:vertAlign w:val="subscript"/>
                        </w:rPr>
                        <w:t>2</w:t>
                      </w:r>
                      <w:r w:rsidRPr="00897A0B">
                        <w:rPr>
                          <w:rFonts w:cs="Times New Roman"/>
                          <w:i w:val="0"/>
                          <w:sz w:val="24"/>
                          <w:szCs w:val="24"/>
                        </w:rPr>
                        <w:t>O</w:t>
                      </w:r>
                      <w:r w:rsidRPr="00897A0B">
                        <w:rPr>
                          <w:rFonts w:cs="Times New Roman"/>
                          <w:i w:val="0"/>
                          <w:sz w:val="24"/>
                          <w:szCs w:val="24"/>
                          <w:vertAlign w:val="subscript"/>
                        </w:rPr>
                        <w:t>3</w:t>
                      </w:r>
                      <w:r w:rsidRPr="00897A0B">
                        <w:rPr>
                          <w:rFonts w:cs="Times New Roman"/>
                          <w:i w:val="0"/>
                          <w:sz w:val="24"/>
                          <w:szCs w:val="24"/>
                        </w:rPr>
                        <w:t xml:space="preserve"> and, on the right-hand side, the boron isotopic composition. X-axis is distance (in meters) from the edge of the glass. The boron isotopic composition of the glass decreases by ~ 5‰ over ~ 500 </w:t>
                      </w:r>
                      <w:r w:rsidRPr="00897A0B">
                        <w:rPr>
                          <w:i w:val="0"/>
                          <w:sz w:val="24"/>
                          <w:szCs w:val="24"/>
                        </w:rPr>
                        <w:t>μ</w:t>
                      </w:r>
                      <w:r w:rsidRPr="00897A0B">
                        <w:rPr>
                          <w:rFonts w:cs="Times New Roman"/>
                          <w:i w:val="0"/>
                          <w:sz w:val="24"/>
                          <w:szCs w:val="24"/>
                        </w:rPr>
                        <w:t>m, then plateaus across the remainder of the B diffusion profile.</w:t>
                      </w:r>
                      <w:bookmarkEnd w:id="110"/>
                    </w:p>
                  </w:txbxContent>
                </v:textbox>
                <w10:wrap type="square"/>
              </v:shape>
            </w:pict>
          </mc:Fallback>
        </mc:AlternateContent>
      </w:r>
      <w:r>
        <w:rPr>
          <w:rFonts w:cs="Times New Roman"/>
          <w:noProof/>
        </w:rPr>
        <w:drawing>
          <wp:anchor distT="0" distB="0" distL="114300" distR="114300" simplePos="0" relativeHeight="251714560" behindDoc="0" locked="0" layoutInCell="1" allowOverlap="1">
            <wp:simplePos x="1917700" y="914400"/>
            <wp:positionH relativeFrom="margin">
              <wp:align>center</wp:align>
            </wp:positionH>
            <wp:positionV relativeFrom="margin">
              <wp:align>top</wp:align>
            </wp:positionV>
            <wp:extent cx="5394960" cy="4168775"/>
            <wp:effectExtent l="0" t="0" r="0" b="3175"/>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Fig 8.tif"/>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394960" cy="4168775"/>
                    </a:xfrm>
                    <a:prstGeom prst="rect">
                      <a:avLst/>
                    </a:prstGeom>
                  </pic:spPr>
                </pic:pic>
              </a:graphicData>
            </a:graphic>
          </wp:anchor>
        </w:drawing>
      </w:r>
    </w:p>
    <w:p w:rsidR="00DC1C38" w:rsidRDefault="00DC1C38" w:rsidP="00DC1C38">
      <w:r>
        <w:br w:type="page"/>
      </w:r>
    </w:p>
    <w:p w:rsidR="00DC1C38" w:rsidRDefault="00897A0B" w:rsidP="00A03F13">
      <w:pPr>
        <w:spacing w:line="480" w:lineRule="auto"/>
        <w:ind w:firstLine="720"/>
        <w:rPr>
          <w:rFonts w:cs="Times New Roman"/>
        </w:rPr>
      </w:pPr>
      <w:r>
        <w:rPr>
          <w:noProof/>
        </w:rPr>
        <w:lastRenderedPageBreak/>
        <mc:AlternateContent>
          <mc:Choice Requires="wps">
            <w:drawing>
              <wp:anchor distT="0" distB="0" distL="114300" distR="114300" simplePos="0" relativeHeight="251719680" behindDoc="0" locked="0" layoutInCell="1" allowOverlap="1" wp14:anchorId="0D6009B6" wp14:editId="38613F91">
                <wp:simplePos x="0" y="0"/>
                <wp:positionH relativeFrom="column">
                  <wp:posOffset>0</wp:posOffset>
                </wp:positionH>
                <wp:positionV relativeFrom="paragraph">
                  <wp:posOffset>4225925</wp:posOffset>
                </wp:positionV>
                <wp:extent cx="5394960" cy="635"/>
                <wp:effectExtent l="0" t="0" r="0" b="0"/>
                <wp:wrapSquare wrapText="bothSides"/>
                <wp:docPr id="42" name="Text Box 42"/>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rsidR="006D3B9B" w:rsidRPr="00897A0B" w:rsidRDefault="006D3B9B" w:rsidP="00897A0B">
                            <w:pPr>
                              <w:pStyle w:val="Caption"/>
                              <w:rPr>
                                <w:rFonts w:cs="Times New Roman"/>
                                <w:i w:val="0"/>
                                <w:noProof/>
                                <w:sz w:val="24"/>
                                <w:szCs w:val="24"/>
                              </w:rPr>
                            </w:pPr>
                            <w:bookmarkStart w:id="111" w:name="_Toc490130651"/>
                            <w:r w:rsidRPr="00897A0B">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3</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9</w:t>
                            </w:r>
                            <w:r>
                              <w:rPr>
                                <w:b/>
                                <w:sz w:val="24"/>
                                <w:szCs w:val="24"/>
                              </w:rPr>
                              <w:fldChar w:fldCharType="end"/>
                            </w:r>
                            <w:r w:rsidRPr="00897A0B">
                              <w:rPr>
                                <w:rFonts w:cs="Times New Roman"/>
                                <w:i w:val="0"/>
                                <w:sz w:val="24"/>
                                <w:szCs w:val="24"/>
                              </w:rPr>
                              <w:t xml:space="preserve"> Boron and boron isotopic profile across glass in experiment CGB96. Y-axis on left-hand side is the concentration (wt.%) of B</w:t>
                            </w:r>
                            <w:r w:rsidRPr="00897A0B">
                              <w:rPr>
                                <w:rFonts w:cs="Times New Roman"/>
                                <w:i w:val="0"/>
                                <w:sz w:val="24"/>
                                <w:szCs w:val="24"/>
                                <w:vertAlign w:val="subscript"/>
                              </w:rPr>
                              <w:t>2</w:t>
                            </w:r>
                            <w:r w:rsidRPr="00897A0B">
                              <w:rPr>
                                <w:rFonts w:cs="Times New Roman"/>
                                <w:i w:val="0"/>
                                <w:sz w:val="24"/>
                                <w:szCs w:val="24"/>
                              </w:rPr>
                              <w:t>O</w:t>
                            </w:r>
                            <w:r w:rsidRPr="00897A0B">
                              <w:rPr>
                                <w:rFonts w:cs="Times New Roman"/>
                                <w:i w:val="0"/>
                                <w:sz w:val="24"/>
                                <w:szCs w:val="24"/>
                                <w:vertAlign w:val="subscript"/>
                              </w:rPr>
                              <w:t>3</w:t>
                            </w:r>
                            <w:r w:rsidRPr="00897A0B">
                              <w:rPr>
                                <w:rFonts w:cs="Times New Roman"/>
                                <w:i w:val="0"/>
                                <w:sz w:val="24"/>
                                <w:szCs w:val="24"/>
                              </w:rPr>
                              <w:t xml:space="preserve"> and, on the right-hand side, the boron isotopic composition. X-axis is distance (in meters) from the edge of the glass. The boron isotopic composition of the glass decreases by ~ 10‰ over the first ~ 500 </w:t>
                            </w:r>
                            <w:r w:rsidRPr="00897A0B">
                              <w:rPr>
                                <w:i w:val="0"/>
                                <w:sz w:val="24"/>
                                <w:szCs w:val="24"/>
                              </w:rPr>
                              <w:t>μ</w:t>
                            </w:r>
                            <w:r w:rsidRPr="00897A0B">
                              <w:rPr>
                                <w:rFonts w:cs="Times New Roman"/>
                                <w:i w:val="0"/>
                                <w:sz w:val="24"/>
                                <w:szCs w:val="24"/>
                              </w:rPr>
                              <w:t>m, plateaus across the center of the experiment (at the contact of the starting material glasses), then decreases ~ 10‰ at the right-hand side of the diffusion profile.</w:t>
                            </w:r>
                            <w:bookmarkEnd w:id="11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D6009B6" id="Text Box 42" o:spid="_x0000_s1048" type="#_x0000_t202" style="position:absolute;left:0;text-align:left;margin-left:0;margin-top:332.75pt;width:424.8pt;height:.05pt;z-index:25171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" stroked="f">
                <v:textbox style="mso-fit-shape-to-text:t" inset="0,0,0,0">
                  <w:txbxContent>
                    <w:p w:rsidR="006D3B9B" w:rsidRPr="00897A0B" w:rsidRDefault="006D3B9B" w:rsidP="00897A0B">
                      <w:pPr>
                        <w:pStyle w:val="Caption"/>
                        <w:rPr>
                          <w:rFonts w:cs="Times New Roman"/>
                          <w:i w:val="0"/>
                          <w:noProof/>
                          <w:sz w:val="24"/>
                          <w:szCs w:val="24"/>
                        </w:rPr>
                      </w:pPr>
                      <w:bookmarkStart w:id="112" w:name="_Toc490130651"/>
                      <w:r w:rsidRPr="00897A0B">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3</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9</w:t>
                      </w:r>
                      <w:r>
                        <w:rPr>
                          <w:b/>
                          <w:sz w:val="24"/>
                          <w:szCs w:val="24"/>
                        </w:rPr>
                        <w:fldChar w:fldCharType="end"/>
                      </w:r>
                      <w:r w:rsidRPr="00897A0B">
                        <w:rPr>
                          <w:rFonts w:cs="Times New Roman"/>
                          <w:i w:val="0"/>
                          <w:sz w:val="24"/>
                          <w:szCs w:val="24"/>
                        </w:rPr>
                        <w:t xml:space="preserve"> Boron and boron isotopic profile across glass in experiment CGB96. Y-axis on left-hand side is the concentration (wt.%) of B</w:t>
                      </w:r>
                      <w:r w:rsidRPr="00897A0B">
                        <w:rPr>
                          <w:rFonts w:cs="Times New Roman"/>
                          <w:i w:val="0"/>
                          <w:sz w:val="24"/>
                          <w:szCs w:val="24"/>
                          <w:vertAlign w:val="subscript"/>
                        </w:rPr>
                        <w:t>2</w:t>
                      </w:r>
                      <w:r w:rsidRPr="00897A0B">
                        <w:rPr>
                          <w:rFonts w:cs="Times New Roman"/>
                          <w:i w:val="0"/>
                          <w:sz w:val="24"/>
                          <w:szCs w:val="24"/>
                        </w:rPr>
                        <w:t>O</w:t>
                      </w:r>
                      <w:r w:rsidRPr="00897A0B">
                        <w:rPr>
                          <w:rFonts w:cs="Times New Roman"/>
                          <w:i w:val="0"/>
                          <w:sz w:val="24"/>
                          <w:szCs w:val="24"/>
                          <w:vertAlign w:val="subscript"/>
                        </w:rPr>
                        <w:t>3</w:t>
                      </w:r>
                      <w:r w:rsidRPr="00897A0B">
                        <w:rPr>
                          <w:rFonts w:cs="Times New Roman"/>
                          <w:i w:val="0"/>
                          <w:sz w:val="24"/>
                          <w:szCs w:val="24"/>
                        </w:rPr>
                        <w:t xml:space="preserve"> and, on the right-hand side, the boron isotopic composition. X-axis is distance (in meters) from the edge of the glass. The boron isotopic composition of the glass decreases by ~ 10‰ over the first ~ 500 </w:t>
                      </w:r>
                      <w:r w:rsidRPr="00897A0B">
                        <w:rPr>
                          <w:i w:val="0"/>
                          <w:sz w:val="24"/>
                          <w:szCs w:val="24"/>
                        </w:rPr>
                        <w:t>μ</w:t>
                      </w:r>
                      <w:r w:rsidRPr="00897A0B">
                        <w:rPr>
                          <w:rFonts w:cs="Times New Roman"/>
                          <w:i w:val="0"/>
                          <w:sz w:val="24"/>
                          <w:szCs w:val="24"/>
                        </w:rPr>
                        <w:t>m, plateaus across the center of the experiment (at the contact of the starting material glasses), then decreases ~ 10‰ at the right-hand side of the diffusion profile.</w:t>
                      </w:r>
                      <w:bookmarkEnd w:id="112"/>
                    </w:p>
                  </w:txbxContent>
                </v:textbox>
                <w10:wrap type="square"/>
              </v:shape>
            </w:pict>
          </mc:Fallback>
        </mc:AlternateContent>
      </w:r>
      <w:r>
        <w:rPr>
          <w:rFonts w:cs="Times New Roman"/>
          <w:noProof/>
        </w:rPr>
        <w:drawing>
          <wp:anchor distT="0" distB="0" distL="114300" distR="114300" simplePos="0" relativeHeight="251717632" behindDoc="0" locked="0" layoutInCell="1" allowOverlap="1">
            <wp:simplePos x="1917700" y="914400"/>
            <wp:positionH relativeFrom="margin">
              <wp:align>center</wp:align>
            </wp:positionH>
            <wp:positionV relativeFrom="margin">
              <wp:align>top</wp:align>
            </wp:positionV>
            <wp:extent cx="5394960" cy="4168775"/>
            <wp:effectExtent l="0" t="0" r="0" b="3175"/>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Fig 9.tif"/>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394960" cy="4168775"/>
                    </a:xfrm>
                    <a:prstGeom prst="rect">
                      <a:avLst/>
                    </a:prstGeom>
                  </pic:spPr>
                </pic:pic>
              </a:graphicData>
            </a:graphic>
          </wp:anchor>
        </w:drawing>
      </w:r>
    </w:p>
    <w:p w:rsidR="00DC1C38" w:rsidRDefault="00DC1C38" w:rsidP="00DC1C38">
      <w:r>
        <w:br w:type="page"/>
      </w:r>
    </w:p>
    <w:p w:rsidR="00897A0B" w:rsidRPr="00897A0B" w:rsidRDefault="00897A0B" w:rsidP="00897A0B">
      <w:pPr>
        <w:pStyle w:val="Caption"/>
        <w:keepNext/>
        <w:jc w:val="center"/>
        <w:rPr>
          <w:sz w:val="24"/>
          <w:szCs w:val="24"/>
        </w:rPr>
      </w:pPr>
      <w:bookmarkStart w:id="113" w:name="_Toc490131685"/>
      <w:r w:rsidRPr="00897A0B">
        <w:rPr>
          <w:sz w:val="24"/>
          <w:szCs w:val="24"/>
        </w:rPr>
        <w:lastRenderedPageBreak/>
        <w:t xml:space="preserve">Table </w:t>
      </w:r>
      <w:r w:rsidR="00B23FDA">
        <w:rPr>
          <w:sz w:val="24"/>
          <w:szCs w:val="24"/>
        </w:rPr>
        <w:fldChar w:fldCharType="begin"/>
      </w:r>
      <w:r w:rsidR="00B23FDA">
        <w:rPr>
          <w:sz w:val="24"/>
          <w:szCs w:val="24"/>
        </w:rPr>
        <w:instrText xml:space="preserve"> STYLEREF 1 \s </w:instrText>
      </w:r>
      <w:r w:rsidR="00B23FDA">
        <w:rPr>
          <w:sz w:val="24"/>
          <w:szCs w:val="24"/>
        </w:rPr>
        <w:fldChar w:fldCharType="separate"/>
      </w:r>
      <w:r w:rsidR="000C5FC3">
        <w:rPr>
          <w:noProof/>
          <w:sz w:val="24"/>
          <w:szCs w:val="24"/>
        </w:rPr>
        <w:t>3</w:t>
      </w:r>
      <w:r w:rsidR="00B23FDA">
        <w:rPr>
          <w:sz w:val="24"/>
          <w:szCs w:val="24"/>
        </w:rPr>
        <w:fldChar w:fldCharType="end"/>
      </w:r>
      <w:r w:rsidR="00B23FDA">
        <w:rPr>
          <w:sz w:val="24"/>
          <w:szCs w:val="24"/>
        </w:rPr>
        <w:noBreakHyphen/>
      </w:r>
      <w:r w:rsidR="00B23FDA">
        <w:rPr>
          <w:sz w:val="24"/>
          <w:szCs w:val="24"/>
        </w:rPr>
        <w:fldChar w:fldCharType="begin"/>
      </w:r>
      <w:r w:rsidR="00B23FDA">
        <w:rPr>
          <w:sz w:val="24"/>
          <w:szCs w:val="24"/>
        </w:rPr>
        <w:instrText xml:space="preserve"> SEQ Table \* ARABIC \s 1 </w:instrText>
      </w:r>
      <w:r w:rsidR="00B23FDA">
        <w:rPr>
          <w:sz w:val="24"/>
          <w:szCs w:val="24"/>
        </w:rPr>
        <w:fldChar w:fldCharType="separate"/>
      </w:r>
      <w:r w:rsidR="000C5FC3">
        <w:rPr>
          <w:noProof/>
          <w:sz w:val="24"/>
          <w:szCs w:val="24"/>
        </w:rPr>
        <w:t>1</w:t>
      </w:r>
      <w:r w:rsidR="00B23FDA">
        <w:rPr>
          <w:sz w:val="24"/>
          <w:szCs w:val="24"/>
        </w:rPr>
        <w:fldChar w:fldCharType="end"/>
      </w:r>
      <w:r w:rsidRPr="00897A0B">
        <w:rPr>
          <w:rFonts w:eastAsia="Times New Roman" w:cs="Times New Roman"/>
          <w:color w:val="000000"/>
          <w:sz w:val="24"/>
          <w:szCs w:val="24"/>
        </w:rPr>
        <w:t xml:space="preserve"> Compositions of starting material glasses</w:t>
      </w:r>
      <w:bookmarkEnd w:id="113"/>
    </w:p>
    <w:tbl>
      <w:tblPr>
        <w:tblW w:w="8328" w:type="dxa"/>
        <w:jc w:val="center"/>
        <w:tblCellMar>
          <w:top w:w="15" w:type="dxa"/>
          <w:bottom w:w="15" w:type="dxa"/>
        </w:tblCellMar>
        <w:tblLook w:val="04A0" w:firstRow="1" w:lastRow="0" w:firstColumn="1" w:lastColumn="0" w:noHBand="0" w:noVBand="1"/>
      </w:tblPr>
      <w:tblGrid>
        <w:gridCol w:w="1020"/>
        <w:gridCol w:w="1010"/>
        <w:gridCol w:w="1010"/>
        <w:gridCol w:w="906"/>
        <w:gridCol w:w="1171"/>
        <w:gridCol w:w="1171"/>
        <w:gridCol w:w="1020"/>
        <w:gridCol w:w="1020"/>
      </w:tblGrid>
      <w:tr w:rsidR="00897A0B" w:rsidRPr="002E5C0E" w:rsidTr="00897A0B">
        <w:trPr>
          <w:trHeight w:val="370"/>
          <w:jc w:val="center"/>
        </w:trPr>
        <w:tc>
          <w:tcPr>
            <w:tcW w:w="1020" w:type="dxa"/>
            <w:tcBorders>
              <w:top w:val="nil"/>
              <w:left w:val="nil"/>
              <w:bottom w:val="nil"/>
              <w:right w:val="nil"/>
            </w:tcBorders>
            <w:noWrap/>
            <w:vAlign w:val="bottom"/>
            <w:hideMark/>
          </w:tcPr>
          <w:p w:rsidR="00897A0B" w:rsidRPr="002E5C0E" w:rsidRDefault="00897A0B" w:rsidP="00FC1DA8">
            <w:pPr>
              <w:spacing w:after="0"/>
              <w:rPr>
                <w:rFonts w:eastAsia="Times New Roman" w:cs="Times New Roman"/>
                <w:sz w:val="18"/>
                <w:szCs w:val="18"/>
              </w:rPr>
            </w:pPr>
          </w:p>
        </w:tc>
        <w:tc>
          <w:tcPr>
            <w:tcW w:w="1010" w:type="dxa"/>
            <w:tcBorders>
              <w:top w:val="single" w:sz="4" w:space="0" w:color="auto"/>
              <w:left w:val="nil"/>
              <w:bottom w:val="single" w:sz="4" w:space="0" w:color="auto"/>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CG</w:t>
            </w:r>
          </w:p>
        </w:tc>
        <w:tc>
          <w:tcPr>
            <w:tcW w:w="1010" w:type="dxa"/>
            <w:tcBorders>
              <w:top w:val="single" w:sz="4" w:space="0" w:color="auto"/>
              <w:left w:val="nil"/>
              <w:bottom w:val="single" w:sz="4" w:space="0" w:color="auto"/>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HG</w:t>
            </w:r>
            <w:r w:rsidRPr="002E5C0E">
              <w:rPr>
                <w:rFonts w:eastAsia="Times New Roman" w:cs="Times New Roman"/>
                <w:color w:val="000000"/>
                <w:sz w:val="18"/>
                <w:szCs w:val="18"/>
                <w:vertAlign w:val="superscript"/>
              </w:rPr>
              <w:t>1</w:t>
            </w:r>
          </w:p>
        </w:tc>
        <w:tc>
          <w:tcPr>
            <w:tcW w:w="906" w:type="dxa"/>
            <w:tcBorders>
              <w:top w:val="single" w:sz="4" w:space="0" w:color="auto"/>
              <w:left w:val="nil"/>
              <w:bottom w:val="single" w:sz="4" w:space="0" w:color="auto"/>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HG</w:t>
            </w:r>
          </w:p>
        </w:tc>
        <w:tc>
          <w:tcPr>
            <w:tcW w:w="1171" w:type="dxa"/>
            <w:tcBorders>
              <w:top w:val="single" w:sz="4" w:space="0" w:color="auto"/>
              <w:left w:val="nil"/>
              <w:bottom w:val="single" w:sz="4" w:space="0" w:color="auto"/>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HGB5</w:t>
            </w:r>
            <w:r w:rsidRPr="002E5C0E">
              <w:rPr>
                <w:rFonts w:eastAsia="Times New Roman" w:cs="Times New Roman"/>
                <w:color w:val="000000"/>
                <w:sz w:val="18"/>
                <w:szCs w:val="18"/>
                <w:vertAlign w:val="superscript"/>
              </w:rPr>
              <w:t>1</w:t>
            </w:r>
          </w:p>
        </w:tc>
        <w:tc>
          <w:tcPr>
            <w:tcW w:w="1171" w:type="dxa"/>
            <w:tcBorders>
              <w:top w:val="single" w:sz="4" w:space="0" w:color="auto"/>
              <w:left w:val="nil"/>
              <w:bottom w:val="single" w:sz="4" w:space="0" w:color="auto"/>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HGB5</w:t>
            </w:r>
            <w:r w:rsidRPr="002E5C0E">
              <w:rPr>
                <w:rFonts w:eastAsia="Times New Roman" w:cs="Times New Roman"/>
                <w:color w:val="000000"/>
                <w:sz w:val="18"/>
                <w:szCs w:val="18"/>
                <w:vertAlign w:val="superscript"/>
              </w:rPr>
              <w:t>2</w:t>
            </w:r>
          </w:p>
        </w:tc>
        <w:tc>
          <w:tcPr>
            <w:tcW w:w="1020" w:type="dxa"/>
            <w:tcBorders>
              <w:top w:val="single" w:sz="4" w:space="0" w:color="auto"/>
              <w:left w:val="nil"/>
              <w:bottom w:val="single" w:sz="4" w:space="0" w:color="auto"/>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vertAlign w:val="superscript"/>
              </w:rPr>
              <w:t>11</w:t>
            </w:r>
            <w:r w:rsidRPr="002E5C0E">
              <w:rPr>
                <w:rFonts w:eastAsia="Times New Roman" w:cs="Times New Roman"/>
                <w:color w:val="000000"/>
                <w:sz w:val="18"/>
                <w:szCs w:val="18"/>
              </w:rPr>
              <w:t>BHG</w:t>
            </w:r>
          </w:p>
        </w:tc>
        <w:tc>
          <w:tcPr>
            <w:tcW w:w="1020" w:type="dxa"/>
            <w:tcBorders>
              <w:top w:val="single" w:sz="4" w:space="0" w:color="auto"/>
              <w:left w:val="nil"/>
              <w:bottom w:val="single" w:sz="4" w:space="0" w:color="auto"/>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vertAlign w:val="superscript"/>
              </w:rPr>
              <w:t>10</w:t>
            </w:r>
            <w:r w:rsidRPr="002E5C0E">
              <w:rPr>
                <w:rFonts w:eastAsia="Times New Roman" w:cs="Times New Roman"/>
                <w:color w:val="000000"/>
                <w:sz w:val="18"/>
                <w:szCs w:val="18"/>
              </w:rPr>
              <w:t>BHG</w:t>
            </w:r>
          </w:p>
        </w:tc>
      </w:tr>
      <w:tr w:rsidR="00897A0B" w:rsidRPr="002E5C0E" w:rsidTr="00897A0B">
        <w:trPr>
          <w:trHeight w:val="350"/>
          <w:jc w:val="center"/>
        </w:trPr>
        <w:tc>
          <w:tcPr>
            <w:tcW w:w="1020" w:type="dxa"/>
            <w:tcBorders>
              <w:top w:val="nil"/>
              <w:left w:val="nil"/>
              <w:bottom w:val="nil"/>
              <w:right w:val="nil"/>
            </w:tcBorders>
            <w:noWrap/>
            <w:vAlign w:val="bottom"/>
            <w:hideMark/>
          </w:tcPr>
          <w:p w:rsidR="00897A0B" w:rsidRPr="002E5C0E" w:rsidRDefault="00897A0B" w:rsidP="00FC1DA8">
            <w:pPr>
              <w:spacing w:after="0"/>
              <w:jc w:val="right"/>
              <w:rPr>
                <w:rFonts w:eastAsia="Times New Roman" w:cs="Times New Roman"/>
                <w:color w:val="000000"/>
                <w:sz w:val="18"/>
                <w:szCs w:val="18"/>
              </w:rPr>
            </w:pPr>
            <w:r w:rsidRPr="002E5C0E">
              <w:rPr>
                <w:rFonts w:eastAsia="Times New Roman" w:cs="Times New Roman"/>
                <w:color w:val="000000"/>
                <w:sz w:val="18"/>
                <w:szCs w:val="18"/>
              </w:rPr>
              <w:t xml:space="preserve">    SiO</w:t>
            </w:r>
            <w:r w:rsidRPr="002E5C0E">
              <w:rPr>
                <w:rFonts w:eastAsia="Times New Roman" w:cs="Times New Roman"/>
                <w:color w:val="000000"/>
                <w:sz w:val="18"/>
                <w:szCs w:val="18"/>
                <w:vertAlign w:val="subscript"/>
              </w:rPr>
              <w:t>2</w:t>
            </w:r>
          </w:p>
        </w:tc>
        <w:tc>
          <w:tcPr>
            <w:tcW w:w="1010"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77.68</w:t>
            </w:r>
          </w:p>
        </w:tc>
        <w:tc>
          <w:tcPr>
            <w:tcW w:w="1010"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73.43</w:t>
            </w:r>
          </w:p>
        </w:tc>
        <w:tc>
          <w:tcPr>
            <w:tcW w:w="906"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78.01</w:t>
            </w:r>
          </w:p>
        </w:tc>
        <w:tc>
          <w:tcPr>
            <w:tcW w:w="1171"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68.37</w:t>
            </w:r>
          </w:p>
        </w:tc>
        <w:tc>
          <w:tcPr>
            <w:tcW w:w="1171"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73.20</w:t>
            </w:r>
          </w:p>
        </w:tc>
        <w:tc>
          <w:tcPr>
            <w:tcW w:w="1020"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69.98</w:t>
            </w:r>
          </w:p>
        </w:tc>
        <w:tc>
          <w:tcPr>
            <w:tcW w:w="1020"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70.17</w:t>
            </w:r>
          </w:p>
        </w:tc>
      </w:tr>
      <w:tr w:rsidR="00897A0B" w:rsidRPr="002E5C0E" w:rsidTr="00897A0B">
        <w:trPr>
          <w:trHeight w:val="350"/>
          <w:jc w:val="center"/>
        </w:trPr>
        <w:tc>
          <w:tcPr>
            <w:tcW w:w="1020" w:type="dxa"/>
            <w:tcBorders>
              <w:top w:val="nil"/>
              <w:left w:val="nil"/>
              <w:bottom w:val="nil"/>
              <w:right w:val="nil"/>
            </w:tcBorders>
            <w:noWrap/>
            <w:vAlign w:val="bottom"/>
            <w:hideMark/>
          </w:tcPr>
          <w:p w:rsidR="00897A0B" w:rsidRPr="002E5C0E" w:rsidRDefault="00897A0B" w:rsidP="00FC1DA8">
            <w:pPr>
              <w:spacing w:after="0"/>
              <w:jc w:val="right"/>
              <w:rPr>
                <w:rFonts w:eastAsia="Times New Roman" w:cs="Times New Roman"/>
                <w:color w:val="000000"/>
                <w:sz w:val="18"/>
                <w:szCs w:val="18"/>
              </w:rPr>
            </w:pPr>
            <w:r w:rsidRPr="002E5C0E">
              <w:rPr>
                <w:rFonts w:eastAsia="Times New Roman" w:cs="Times New Roman"/>
                <w:color w:val="000000"/>
                <w:sz w:val="18"/>
                <w:szCs w:val="18"/>
              </w:rPr>
              <w:t xml:space="preserve">    B</w:t>
            </w:r>
            <w:r w:rsidRPr="002E5C0E">
              <w:rPr>
                <w:rFonts w:eastAsia="Times New Roman" w:cs="Times New Roman"/>
                <w:color w:val="000000"/>
                <w:sz w:val="18"/>
                <w:szCs w:val="18"/>
                <w:vertAlign w:val="subscript"/>
              </w:rPr>
              <w:t>2</w:t>
            </w:r>
            <w:r w:rsidRPr="002E5C0E">
              <w:rPr>
                <w:rFonts w:eastAsia="Times New Roman" w:cs="Times New Roman"/>
                <w:color w:val="000000"/>
                <w:sz w:val="18"/>
                <w:szCs w:val="18"/>
              </w:rPr>
              <w:t>O</w:t>
            </w:r>
            <w:r w:rsidRPr="002E5C0E">
              <w:rPr>
                <w:rFonts w:eastAsia="Times New Roman" w:cs="Times New Roman"/>
                <w:color w:val="000000"/>
                <w:sz w:val="18"/>
                <w:szCs w:val="18"/>
                <w:vertAlign w:val="subscript"/>
              </w:rPr>
              <w:t>3</w:t>
            </w:r>
          </w:p>
        </w:tc>
        <w:tc>
          <w:tcPr>
            <w:tcW w:w="1010"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w:t>
            </w:r>
          </w:p>
        </w:tc>
        <w:tc>
          <w:tcPr>
            <w:tcW w:w="1010"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w:t>
            </w:r>
          </w:p>
        </w:tc>
        <w:tc>
          <w:tcPr>
            <w:tcW w:w="906"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w:t>
            </w:r>
          </w:p>
        </w:tc>
        <w:tc>
          <w:tcPr>
            <w:tcW w:w="1171"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4.32</w:t>
            </w:r>
          </w:p>
        </w:tc>
        <w:tc>
          <w:tcPr>
            <w:tcW w:w="1171"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4.63</w:t>
            </w:r>
          </w:p>
        </w:tc>
        <w:tc>
          <w:tcPr>
            <w:tcW w:w="1020"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10.45</w:t>
            </w:r>
          </w:p>
        </w:tc>
        <w:tc>
          <w:tcPr>
            <w:tcW w:w="1020"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11.13</w:t>
            </w:r>
          </w:p>
        </w:tc>
      </w:tr>
      <w:tr w:rsidR="00897A0B" w:rsidRPr="002E5C0E" w:rsidTr="00897A0B">
        <w:trPr>
          <w:trHeight w:val="350"/>
          <w:jc w:val="center"/>
        </w:trPr>
        <w:tc>
          <w:tcPr>
            <w:tcW w:w="1020" w:type="dxa"/>
            <w:tcBorders>
              <w:top w:val="nil"/>
              <w:left w:val="nil"/>
              <w:bottom w:val="nil"/>
              <w:right w:val="nil"/>
            </w:tcBorders>
            <w:noWrap/>
            <w:vAlign w:val="bottom"/>
            <w:hideMark/>
          </w:tcPr>
          <w:p w:rsidR="00897A0B" w:rsidRPr="002E5C0E" w:rsidRDefault="00897A0B" w:rsidP="00FC1DA8">
            <w:pPr>
              <w:spacing w:after="0"/>
              <w:jc w:val="right"/>
              <w:rPr>
                <w:rFonts w:eastAsia="Times New Roman" w:cs="Times New Roman"/>
                <w:color w:val="000000"/>
                <w:sz w:val="18"/>
                <w:szCs w:val="18"/>
              </w:rPr>
            </w:pPr>
            <w:r w:rsidRPr="002E5C0E">
              <w:rPr>
                <w:rFonts w:eastAsia="Times New Roman" w:cs="Times New Roman"/>
                <w:color w:val="000000"/>
                <w:sz w:val="18"/>
                <w:szCs w:val="18"/>
              </w:rPr>
              <w:t xml:space="preserve">   Al</w:t>
            </w:r>
            <w:r w:rsidRPr="002E5C0E">
              <w:rPr>
                <w:rFonts w:eastAsia="Times New Roman" w:cs="Times New Roman"/>
                <w:color w:val="000000"/>
                <w:sz w:val="18"/>
                <w:szCs w:val="18"/>
                <w:vertAlign w:val="subscript"/>
              </w:rPr>
              <w:t>2</w:t>
            </w:r>
            <w:r w:rsidRPr="002E5C0E">
              <w:rPr>
                <w:rFonts w:eastAsia="Times New Roman" w:cs="Times New Roman"/>
                <w:color w:val="000000"/>
                <w:sz w:val="18"/>
                <w:szCs w:val="18"/>
              </w:rPr>
              <w:t>O</w:t>
            </w:r>
            <w:r w:rsidRPr="002E5C0E">
              <w:rPr>
                <w:rFonts w:eastAsia="Times New Roman" w:cs="Times New Roman"/>
                <w:color w:val="000000"/>
                <w:sz w:val="18"/>
                <w:szCs w:val="18"/>
                <w:vertAlign w:val="subscript"/>
              </w:rPr>
              <w:t>3</w:t>
            </w:r>
          </w:p>
        </w:tc>
        <w:tc>
          <w:tcPr>
            <w:tcW w:w="1010"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12.70</w:t>
            </w:r>
          </w:p>
        </w:tc>
        <w:tc>
          <w:tcPr>
            <w:tcW w:w="1010"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11.74</w:t>
            </w:r>
          </w:p>
        </w:tc>
        <w:tc>
          <w:tcPr>
            <w:tcW w:w="906"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12.51</w:t>
            </w:r>
          </w:p>
        </w:tc>
        <w:tc>
          <w:tcPr>
            <w:tcW w:w="1171"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12.38</w:t>
            </w:r>
          </w:p>
        </w:tc>
        <w:tc>
          <w:tcPr>
            <w:tcW w:w="1171"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13.25</w:t>
            </w:r>
          </w:p>
        </w:tc>
        <w:tc>
          <w:tcPr>
            <w:tcW w:w="1020"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11.30</w:t>
            </w:r>
          </w:p>
        </w:tc>
        <w:tc>
          <w:tcPr>
            <w:tcW w:w="1020"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11.20</w:t>
            </w:r>
          </w:p>
        </w:tc>
      </w:tr>
      <w:tr w:rsidR="00897A0B" w:rsidRPr="002E5C0E" w:rsidTr="00897A0B">
        <w:trPr>
          <w:trHeight w:val="350"/>
          <w:jc w:val="center"/>
        </w:trPr>
        <w:tc>
          <w:tcPr>
            <w:tcW w:w="1020" w:type="dxa"/>
            <w:tcBorders>
              <w:top w:val="nil"/>
              <w:left w:val="nil"/>
              <w:bottom w:val="nil"/>
              <w:right w:val="nil"/>
            </w:tcBorders>
            <w:noWrap/>
            <w:vAlign w:val="bottom"/>
            <w:hideMark/>
          </w:tcPr>
          <w:p w:rsidR="00897A0B" w:rsidRPr="002E5C0E" w:rsidRDefault="00897A0B" w:rsidP="00FC1DA8">
            <w:pPr>
              <w:spacing w:after="0"/>
              <w:jc w:val="right"/>
              <w:rPr>
                <w:rFonts w:eastAsia="Times New Roman" w:cs="Times New Roman"/>
                <w:color w:val="000000"/>
                <w:sz w:val="18"/>
                <w:szCs w:val="18"/>
              </w:rPr>
            </w:pPr>
            <w:r w:rsidRPr="002E5C0E">
              <w:rPr>
                <w:rFonts w:eastAsia="Times New Roman" w:cs="Times New Roman"/>
                <w:color w:val="000000"/>
                <w:sz w:val="18"/>
                <w:szCs w:val="18"/>
              </w:rPr>
              <w:t xml:space="preserve">    Na</w:t>
            </w:r>
            <w:r w:rsidRPr="002E5C0E">
              <w:rPr>
                <w:rFonts w:eastAsia="Times New Roman" w:cs="Times New Roman"/>
                <w:color w:val="000000"/>
                <w:sz w:val="18"/>
                <w:szCs w:val="18"/>
                <w:vertAlign w:val="subscript"/>
              </w:rPr>
              <w:t>2</w:t>
            </w:r>
            <w:r w:rsidRPr="002E5C0E">
              <w:rPr>
                <w:rFonts w:eastAsia="Times New Roman" w:cs="Times New Roman"/>
                <w:color w:val="000000"/>
                <w:sz w:val="18"/>
                <w:szCs w:val="18"/>
              </w:rPr>
              <w:t>O</w:t>
            </w:r>
          </w:p>
        </w:tc>
        <w:tc>
          <w:tcPr>
            <w:tcW w:w="1010"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4.49</w:t>
            </w:r>
          </w:p>
        </w:tc>
        <w:tc>
          <w:tcPr>
            <w:tcW w:w="1010"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3.86</w:t>
            </w:r>
          </w:p>
        </w:tc>
        <w:tc>
          <w:tcPr>
            <w:tcW w:w="906"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4.21</w:t>
            </w:r>
          </w:p>
        </w:tc>
        <w:tc>
          <w:tcPr>
            <w:tcW w:w="1171"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3.96</w:t>
            </w:r>
          </w:p>
        </w:tc>
        <w:tc>
          <w:tcPr>
            <w:tcW w:w="1171"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4.24</w:t>
            </w:r>
          </w:p>
        </w:tc>
        <w:tc>
          <w:tcPr>
            <w:tcW w:w="1020"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3.78</w:t>
            </w:r>
          </w:p>
        </w:tc>
        <w:tc>
          <w:tcPr>
            <w:tcW w:w="1020"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3.76</w:t>
            </w:r>
          </w:p>
        </w:tc>
      </w:tr>
      <w:tr w:rsidR="00897A0B" w:rsidRPr="002E5C0E" w:rsidTr="00897A0B">
        <w:trPr>
          <w:trHeight w:val="350"/>
          <w:jc w:val="center"/>
        </w:trPr>
        <w:tc>
          <w:tcPr>
            <w:tcW w:w="1020" w:type="dxa"/>
            <w:tcBorders>
              <w:top w:val="nil"/>
              <w:left w:val="nil"/>
              <w:bottom w:val="nil"/>
              <w:right w:val="nil"/>
            </w:tcBorders>
            <w:noWrap/>
            <w:vAlign w:val="bottom"/>
            <w:hideMark/>
          </w:tcPr>
          <w:p w:rsidR="00897A0B" w:rsidRPr="002E5C0E" w:rsidRDefault="00897A0B" w:rsidP="00FC1DA8">
            <w:pPr>
              <w:spacing w:after="0"/>
              <w:jc w:val="right"/>
              <w:rPr>
                <w:rFonts w:eastAsia="Times New Roman" w:cs="Times New Roman"/>
                <w:color w:val="000000"/>
                <w:sz w:val="18"/>
                <w:szCs w:val="18"/>
              </w:rPr>
            </w:pPr>
            <w:r w:rsidRPr="002E5C0E">
              <w:rPr>
                <w:rFonts w:eastAsia="Times New Roman" w:cs="Times New Roman"/>
                <w:color w:val="000000"/>
                <w:sz w:val="18"/>
                <w:szCs w:val="18"/>
              </w:rPr>
              <w:t xml:space="preserve">     K</w:t>
            </w:r>
            <w:r w:rsidRPr="002E5C0E">
              <w:rPr>
                <w:rFonts w:eastAsia="Times New Roman" w:cs="Times New Roman"/>
                <w:color w:val="000000"/>
                <w:sz w:val="18"/>
                <w:szCs w:val="18"/>
                <w:vertAlign w:val="subscript"/>
              </w:rPr>
              <w:t>2</w:t>
            </w:r>
            <w:r w:rsidRPr="002E5C0E">
              <w:rPr>
                <w:rFonts w:eastAsia="Times New Roman" w:cs="Times New Roman"/>
                <w:color w:val="000000"/>
                <w:sz w:val="18"/>
                <w:szCs w:val="18"/>
              </w:rPr>
              <w:t>O</w:t>
            </w:r>
          </w:p>
        </w:tc>
        <w:tc>
          <w:tcPr>
            <w:tcW w:w="1010"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4.85</w:t>
            </w:r>
          </w:p>
        </w:tc>
        <w:tc>
          <w:tcPr>
            <w:tcW w:w="1010"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4.52</w:t>
            </w:r>
          </w:p>
        </w:tc>
        <w:tc>
          <w:tcPr>
            <w:tcW w:w="906"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4.87</w:t>
            </w:r>
          </w:p>
        </w:tc>
        <w:tc>
          <w:tcPr>
            <w:tcW w:w="1171"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4.37</w:t>
            </w:r>
          </w:p>
        </w:tc>
        <w:tc>
          <w:tcPr>
            <w:tcW w:w="1171" w:type="dxa"/>
            <w:tcBorders>
              <w:top w:val="nil"/>
              <w:left w:val="nil"/>
              <w:bottom w:val="single" w:sz="4" w:space="0" w:color="auto"/>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4.68</w:t>
            </w:r>
          </w:p>
        </w:tc>
        <w:tc>
          <w:tcPr>
            <w:tcW w:w="1020"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4.22</w:t>
            </w:r>
          </w:p>
        </w:tc>
        <w:tc>
          <w:tcPr>
            <w:tcW w:w="1020"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4.22</w:t>
            </w:r>
          </w:p>
        </w:tc>
      </w:tr>
      <w:tr w:rsidR="00897A0B" w:rsidRPr="002E5C0E" w:rsidTr="00897A0B">
        <w:trPr>
          <w:trHeight w:val="310"/>
          <w:jc w:val="center"/>
        </w:trPr>
        <w:tc>
          <w:tcPr>
            <w:tcW w:w="1020" w:type="dxa"/>
            <w:tcBorders>
              <w:top w:val="nil"/>
              <w:left w:val="nil"/>
              <w:bottom w:val="nil"/>
              <w:right w:val="nil"/>
            </w:tcBorders>
            <w:noWrap/>
            <w:vAlign w:val="bottom"/>
            <w:hideMark/>
          </w:tcPr>
          <w:p w:rsidR="00897A0B" w:rsidRPr="002E5C0E" w:rsidRDefault="00897A0B" w:rsidP="00FC1DA8">
            <w:pPr>
              <w:spacing w:after="0"/>
              <w:jc w:val="right"/>
              <w:rPr>
                <w:rFonts w:eastAsia="Times New Roman" w:cs="Times New Roman"/>
                <w:color w:val="000000"/>
                <w:sz w:val="18"/>
                <w:szCs w:val="18"/>
              </w:rPr>
            </w:pPr>
            <w:r w:rsidRPr="002E5C0E">
              <w:rPr>
                <w:rFonts w:eastAsia="Times New Roman" w:cs="Times New Roman"/>
                <w:color w:val="000000"/>
                <w:sz w:val="18"/>
                <w:szCs w:val="18"/>
              </w:rPr>
              <w:t>Total</w:t>
            </w:r>
          </w:p>
        </w:tc>
        <w:tc>
          <w:tcPr>
            <w:tcW w:w="1010" w:type="dxa"/>
            <w:tcBorders>
              <w:top w:val="single" w:sz="4" w:space="0" w:color="auto"/>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99.72</w:t>
            </w:r>
          </w:p>
        </w:tc>
        <w:tc>
          <w:tcPr>
            <w:tcW w:w="1010" w:type="dxa"/>
            <w:tcBorders>
              <w:top w:val="single" w:sz="4" w:space="0" w:color="auto"/>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93.55</w:t>
            </w:r>
          </w:p>
        </w:tc>
        <w:tc>
          <w:tcPr>
            <w:tcW w:w="906" w:type="dxa"/>
            <w:tcBorders>
              <w:top w:val="single" w:sz="4" w:space="0" w:color="auto"/>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99.60</w:t>
            </w:r>
          </w:p>
        </w:tc>
        <w:tc>
          <w:tcPr>
            <w:tcW w:w="1171" w:type="dxa"/>
            <w:tcBorders>
              <w:top w:val="single" w:sz="4" w:space="0" w:color="auto"/>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93.40</w:t>
            </w:r>
          </w:p>
        </w:tc>
        <w:tc>
          <w:tcPr>
            <w:tcW w:w="1171"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100.00</w:t>
            </w:r>
          </w:p>
        </w:tc>
        <w:tc>
          <w:tcPr>
            <w:tcW w:w="1020" w:type="dxa"/>
            <w:tcBorders>
              <w:top w:val="single" w:sz="4" w:space="0" w:color="auto"/>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99.72</w:t>
            </w:r>
          </w:p>
        </w:tc>
        <w:tc>
          <w:tcPr>
            <w:tcW w:w="1020" w:type="dxa"/>
            <w:tcBorders>
              <w:top w:val="single" w:sz="4" w:space="0" w:color="auto"/>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100.48</w:t>
            </w:r>
          </w:p>
        </w:tc>
      </w:tr>
      <w:tr w:rsidR="00897A0B" w:rsidRPr="002E5C0E" w:rsidTr="00897A0B">
        <w:trPr>
          <w:trHeight w:val="310"/>
          <w:jc w:val="center"/>
        </w:trPr>
        <w:tc>
          <w:tcPr>
            <w:tcW w:w="1020" w:type="dxa"/>
            <w:tcBorders>
              <w:top w:val="nil"/>
              <w:left w:val="nil"/>
              <w:bottom w:val="nil"/>
              <w:right w:val="nil"/>
            </w:tcBorders>
            <w:noWrap/>
            <w:vAlign w:val="bottom"/>
            <w:hideMark/>
          </w:tcPr>
          <w:p w:rsidR="00897A0B" w:rsidRPr="002E5C0E" w:rsidRDefault="00897A0B" w:rsidP="00FC1DA8">
            <w:pPr>
              <w:spacing w:after="0"/>
              <w:jc w:val="right"/>
              <w:rPr>
                <w:rFonts w:eastAsia="Times New Roman" w:cs="Times New Roman"/>
                <w:color w:val="000000"/>
                <w:sz w:val="18"/>
                <w:szCs w:val="18"/>
              </w:rPr>
            </w:pPr>
            <w:r w:rsidRPr="002E5C0E">
              <w:rPr>
                <w:rFonts w:eastAsia="Times New Roman" w:cs="Times New Roman"/>
                <w:color w:val="000000"/>
                <w:sz w:val="18"/>
                <w:szCs w:val="18"/>
              </w:rPr>
              <w:t>N</w:t>
            </w:r>
          </w:p>
        </w:tc>
        <w:tc>
          <w:tcPr>
            <w:tcW w:w="1010" w:type="dxa"/>
            <w:tcBorders>
              <w:top w:val="nil"/>
              <w:left w:val="nil"/>
              <w:bottom w:val="single" w:sz="4" w:space="0" w:color="auto"/>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ICP</w:t>
            </w:r>
          </w:p>
        </w:tc>
        <w:tc>
          <w:tcPr>
            <w:tcW w:w="1010" w:type="dxa"/>
            <w:tcBorders>
              <w:top w:val="nil"/>
              <w:left w:val="nil"/>
              <w:bottom w:val="single" w:sz="4" w:space="0" w:color="auto"/>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50</w:t>
            </w:r>
          </w:p>
        </w:tc>
        <w:tc>
          <w:tcPr>
            <w:tcW w:w="906" w:type="dxa"/>
            <w:tcBorders>
              <w:top w:val="nil"/>
              <w:left w:val="nil"/>
              <w:bottom w:val="single" w:sz="4" w:space="0" w:color="auto"/>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50</w:t>
            </w:r>
          </w:p>
        </w:tc>
        <w:tc>
          <w:tcPr>
            <w:tcW w:w="1171" w:type="dxa"/>
            <w:tcBorders>
              <w:top w:val="nil"/>
              <w:left w:val="nil"/>
              <w:bottom w:val="single" w:sz="4" w:space="0" w:color="auto"/>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15</w:t>
            </w:r>
          </w:p>
        </w:tc>
        <w:tc>
          <w:tcPr>
            <w:tcW w:w="1171" w:type="dxa"/>
            <w:tcBorders>
              <w:top w:val="nil"/>
              <w:left w:val="nil"/>
              <w:bottom w:val="single" w:sz="4" w:space="0" w:color="auto"/>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p>
        </w:tc>
        <w:tc>
          <w:tcPr>
            <w:tcW w:w="1020" w:type="dxa"/>
            <w:tcBorders>
              <w:top w:val="nil"/>
              <w:left w:val="nil"/>
              <w:bottom w:val="single" w:sz="4" w:space="0" w:color="auto"/>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20</w:t>
            </w:r>
          </w:p>
        </w:tc>
        <w:tc>
          <w:tcPr>
            <w:tcW w:w="1020" w:type="dxa"/>
            <w:tcBorders>
              <w:top w:val="nil"/>
              <w:left w:val="nil"/>
              <w:bottom w:val="single" w:sz="4" w:space="0" w:color="auto"/>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r w:rsidRPr="002E5C0E">
              <w:rPr>
                <w:rFonts w:eastAsia="Times New Roman" w:cs="Times New Roman"/>
                <w:color w:val="000000"/>
                <w:sz w:val="18"/>
                <w:szCs w:val="18"/>
              </w:rPr>
              <w:t>20</w:t>
            </w:r>
          </w:p>
        </w:tc>
      </w:tr>
      <w:tr w:rsidR="00897A0B" w:rsidRPr="002E5C0E" w:rsidTr="00897A0B">
        <w:trPr>
          <w:trHeight w:val="310"/>
          <w:jc w:val="center"/>
        </w:trPr>
        <w:tc>
          <w:tcPr>
            <w:tcW w:w="1020" w:type="dxa"/>
            <w:tcBorders>
              <w:top w:val="nil"/>
              <w:left w:val="nil"/>
              <w:bottom w:val="nil"/>
              <w:right w:val="nil"/>
            </w:tcBorders>
            <w:noWrap/>
            <w:vAlign w:val="bottom"/>
            <w:hideMark/>
          </w:tcPr>
          <w:p w:rsidR="00897A0B" w:rsidRPr="002E5C0E" w:rsidRDefault="00897A0B" w:rsidP="00FC1DA8">
            <w:pPr>
              <w:spacing w:after="0"/>
              <w:jc w:val="center"/>
              <w:rPr>
                <w:rFonts w:eastAsia="Times New Roman" w:cs="Times New Roman"/>
                <w:color w:val="000000"/>
                <w:sz w:val="18"/>
                <w:szCs w:val="18"/>
              </w:rPr>
            </w:pPr>
          </w:p>
        </w:tc>
        <w:tc>
          <w:tcPr>
            <w:tcW w:w="2020" w:type="dxa"/>
            <w:gridSpan w:val="2"/>
            <w:tcBorders>
              <w:top w:val="nil"/>
              <w:left w:val="nil"/>
              <w:bottom w:val="nil"/>
              <w:right w:val="nil"/>
            </w:tcBorders>
            <w:noWrap/>
            <w:vAlign w:val="bottom"/>
            <w:hideMark/>
          </w:tcPr>
          <w:p w:rsidR="00897A0B" w:rsidRPr="002E5C0E" w:rsidRDefault="00897A0B" w:rsidP="00FC1DA8">
            <w:pPr>
              <w:spacing w:after="0"/>
              <w:rPr>
                <w:rFonts w:eastAsia="Times New Roman" w:cs="Times New Roman"/>
                <w:color w:val="000000"/>
                <w:sz w:val="18"/>
                <w:szCs w:val="18"/>
              </w:rPr>
            </w:pPr>
            <w:r w:rsidRPr="002E5C0E">
              <w:rPr>
                <w:rFonts w:eastAsia="Times New Roman" w:cs="Times New Roman"/>
                <w:color w:val="000000"/>
                <w:sz w:val="18"/>
                <w:szCs w:val="18"/>
                <w:vertAlign w:val="superscript"/>
              </w:rPr>
              <w:t>1</w:t>
            </w:r>
            <w:r w:rsidRPr="002E5C0E">
              <w:rPr>
                <w:rFonts w:eastAsia="Times New Roman" w:cs="Times New Roman"/>
                <w:color w:val="000000"/>
                <w:sz w:val="18"/>
                <w:szCs w:val="18"/>
              </w:rPr>
              <w:t>Hydrous glass</w:t>
            </w:r>
          </w:p>
        </w:tc>
        <w:tc>
          <w:tcPr>
            <w:tcW w:w="906" w:type="dxa"/>
            <w:tcBorders>
              <w:top w:val="nil"/>
              <w:left w:val="nil"/>
              <w:bottom w:val="nil"/>
              <w:right w:val="nil"/>
            </w:tcBorders>
            <w:noWrap/>
            <w:vAlign w:val="bottom"/>
            <w:hideMark/>
          </w:tcPr>
          <w:p w:rsidR="00897A0B" w:rsidRPr="002E5C0E" w:rsidRDefault="00897A0B" w:rsidP="00FC1DA8">
            <w:pPr>
              <w:spacing w:after="0"/>
              <w:rPr>
                <w:rFonts w:eastAsia="Times New Roman" w:cs="Times New Roman"/>
                <w:color w:val="000000"/>
                <w:sz w:val="18"/>
                <w:szCs w:val="18"/>
              </w:rPr>
            </w:pPr>
          </w:p>
        </w:tc>
        <w:tc>
          <w:tcPr>
            <w:tcW w:w="1171" w:type="dxa"/>
            <w:tcBorders>
              <w:top w:val="nil"/>
              <w:left w:val="nil"/>
              <w:bottom w:val="nil"/>
              <w:right w:val="nil"/>
            </w:tcBorders>
            <w:noWrap/>
            <w:vAlign w:val="bottom"/>
            <w:hideMark/>
          </w:tcPr>
          <w:p w:rsidR="00897A0B" w:rsidRPr="002E5C0E" w:rsidRDefault="00897A0B" w:rsidP="00FC1DA8">
            <w:pPr>
              <w:spacing w:after="0"/>
              <w:rPr>
                <w:rFonts w:eastAsia="Times New Roman" w:cs="Times New Roman"/>
                <w:sz w:val="18"/>
                <w:szCs w:val="18"/>
              </w:rPr>
            </w:pPr>
          </w:p>
        </w:tc>
        <w:tc>
          <w:tcPr>
            <w:tcW w:w="1171" w:type="dxa"/>
            <w:tcBorders>
              <w:top w:val="nil"/>
              <w:left w:val="nil"/>
              <w:bottom w:val="nil"/>
              <w:right w:val="nil"/>
            </w:tcBorders>
            <w:noWrap/>
            <w:vAlign w:val="bottom"/>
            <w:hideMark/>
          </w:tcPr>
          <w:p w:rsidR="00897A0B" w:rsidRPr="002E5C0E" w:rsidRDefault="00897A0B" w:rsidP="00FC1DA8">
            <w:pPr>
              <w:spacing w:after="0"/>
              <w:rPr>
                <w:rFonts w:eastAsia="Times New Roman" w:cs="Times New Roman"/>
                <w:sz w:val="18"/>
                <w:szCs w:val="18"/>
              </w:rPr>
            </w:pPr>
          </w:p>
        </w:tc>
        <w:tc>
          <w:tcPr>
            <w:tcW w:w="1020" w:type="dxa"/>
            <w:tcBorders>
              <w:top w:val="nil"/>
              <w:left w:val="nil"/>
              <w:bottom w:val="nil"/>
              <w:right w:val="nil"/>
            </w:tcBorders>
            <w:noWrap/>
            <w:vAlign w:val="bottom"/>
            <w:hideMark/>
          </w:tcPr>
          <w:p w:rsidR="00897A0B" w:rsidRPr="002E5C0E" w:rsidRDefault="00897A0B" w:rsidP="00FC1DA8">
            <w:pPr>
              <w:spacing w:after="0"/>
              <w:rPr>
                <w:rFonts w:eastAsia="Times New Roman" w:cs="Times New Roman"/>
                <w:sz w:val="18"/>
                <w:szCs w:val="18"/>
              </w:rPr>
            </w:pPr>
          </w:p>
        </w:tc>
        <w:tc>
          <w:tcPr>
            <w:tcW w:w="1020" w:type="dxa"/>
            <w:tcBorders>
              <w:top w:val="nil"/>
              <w:left w:val="nil"/>
              <w:bottom w:val="nil"/>
              <w:right w:val="nil"/>
            </w:tcBorders>
            <w:noWrap/>
            <w:vAlign w:val="bottom"/>
            <w:hideMark/>
          </w:tcPr>
          <w:p w:rsidR="00897A0B" w:rsidRPr="002E5C0E" w:rsidRDefault="00897A0B" w:rsidP="00FC1DA8">
            <w:pPr>
              <w:spacing w:after="0"/>
              <w:rPr>
                <w:rFonts w:eastAsia="Times New Roman" w:cs="Times New Roman"/>
                <w:sz w:val="18"/>
                <w:szCs w:val="18"/>
              </w:rPr>
            </w:pPr>
          </w:p>
        </w:tc>
      </w:tr>
      <w:tr w:rsidR="00897A0B" w:rsidRPr="002E5C0E" w:rsidTr="00897A0B">
        <w:trPr>
          <w:trHeight w:val="370"/>
          <w:jc w:val="center"/>
        </w:trPr>
        <w:tc>
          <w:tcPr>
            <w:tcW w:w="1020" w:type="dxa"/>
            <w:tcBorders>
              <w:top w:val="nil"/>
              <w:left w:val="nil"/>
              <w:bottom w:val="nil"/>
              <w:right w:val="nil"/>
            </w:tcBorders>
            <w:noWrap/>
            <w:vAlign w:val="bottom"/>
            <w:hideMark/>
          </w:tcPr>
          <w:p w:rsidR="00897A0B" w:rsidRPr="002E5C0E" w:rsidRDefault="00897A0B" w:rsidP="00FC1DA8">
            <w:pPr>
              <w:spacing w:after="0"/>
              <w:rPr>
                <w:rFonts w:eastAsia="Times New Roman" w:cs="Times New Roman"/>
                <w:sz w:val="18"/>
                <w:szCs w:val="18"/>
              </w:rPr>
            </w:pPr>
          </w:p>
        </w:tc>
        <w:tc>
          <w:tcPr>
            <w:tcW w:w="4097" w:type="dxa"/>
            <w:gridSpan w:val="4"/>
            <w:tcBorders>
              <w:top w:val="nil"/>
              <w:left w:val="nil"/>
              <w:bottom w:val="nil"/>
              <w:right w:val="nil"/>
            </w:tcBorders>
            <w:noWrap/>
            <w:vAlign w:val="bottom"/>
            <w:hideMark/>
          </w:tcPr>
          <w:p w:rsidR="00897A0B" w:rsidRPr="002E5C0E" w:rsidRDefault="00897A0B" w:rsidP="00FC1DA8">
            <w:pPr>
              <w:spacing w:after="0"/>
              <w:rPr>
                <w:rFonts w:eastAsia="Times New Roman" w:cs="Times New Roman"/>
                <w:color w:val="000000"/>
                <w:sz w:val="18"/>
                <w:szCs w:val="18"/>
              </w:rPr>
            </w:pPr>
            <w:r w:rsidRPr="002E5C0E">
              <w:rPr>
                <w:rFonts w:eastAsia="Times New Roman" w:cs="Times New Roman"/>
                <w:color w:val="000000"/>
                <w:sz w:val="18"/>
                <w:szCs w:val="18"/>
                <w:vertAlign w:val="superscript"/>
              </w:rPr>
              <w:t>2</w:t>
            </w:r>
            <w:r w:rsidRPr="002E5C0E">
              <w:rPr>
                <w:rFonts w:eastAsia="Times New Roman" w:cs="Times New Roman"/>
                <w:color w:val="000000"/>
                <w:sz w:val="18"/>
                <w:szCs w:val="18"/>
              </w:rPr>
              <w:t>HGB5 calculated on an anhydrous basis</w:t>
            </w:r>
          </w:p>
        </w:tc>
        <w:tc>
          <w:tcPr>
            <w:tcW w:w="1171" w:type="dxa"/>
            <w:tcBorders>
              <w:top w:val="nil"/>
              <w:left w:val="nil"/>
              <w:bottom w:val="nil"/>
              <w:right w:val="nil"/>
            </w:tcBorders>
            <w:noWrap/>
            <w:vAlign w:val="bottom"/>
            <w:hideMark/>
          </w:tcPr>
          <w:p w:rsidR="00897A0B" w:rsidRPr="002E5C0E" w:rsidRDefault="00897A0B" w:rsidP="00FC1DA8">
            <w:pPr>
              <w:spacing w:after="0"/>
              <w:rPr>
                <w:rFonts w:eastAsia="Times New Roman" w:cs="Times New Roman"/>
                <w:color w:val="000000"/>
                <w:sz w:val="18"/>
                <w:szCs w:val="18"/>
              </w:rPr>
            </w:pPr>
          </w:p>
        </w:tc>
        <w:tc>
          <w:tcPr>
            <w:tcW w:w="1020" w:type="dxa"/>
            <w:tcBorders>
              <w:top w:val="nil"/>
              <w:left w:val="nil"/>
              <w:bottom w:val="nil"/>
              <w:right w:val="nil"/>
            </w:tcBorders>
            <w:noWrap/>
            <w:vAlign w:val="bottom"/>
            <w:hideMark/>
          </w:tcPr>
          <w:p w:rsidR="00897A0B" w:rsidRPr="002E5C0E" w:rsidRDefault="00897A0B" w:rsidP="00FC1DA8">
            <w:pPr>
              <w:spacing w:after="0"/>
              <w:rPr>
                <w:rFonts w:eastAsia="Times New Roman" w:cs="Times New Roman"/>
                <w:sz w:val="18"/>
                <w:szCs w:val="18"/>
              </w:rPr>
            </w:pPr>
          </w:p>
        </w:tc>
        <w:tc>
          <w:tcPr>
            <w:tcW w:w="1020" w:type="dxa"/>
            <w:tcBorders>
              <w:top w:val="nil"/>
              <w:left w:val="nil"/>
              <w:bottom w:val="nil"/>
              <w:right w:val="nil"/>
            </w:tcBorders>
            <w:noWrap/>
            <w:vAlign w:val="bottom"/>
            <w:hideMark/>
          </w:tcPr>
          <w:p w:rsidR="00897A0B" w:rsidRPr="002E5C0E" w:rsidRDefault="00897A0B" w:rsidP="00FC1DA8">
            <w:pPr>
              <w:spacing w:after="0"/>
              <w:rPr>
                <w:rFonts w:eastAsia="Times New Roman" w:cs="Times New Roman"/>
                <w:sz w:val="18"/>
                <w:szCs w:val="18"/>
              </w:rPr>
            </w:pPr>
          </w:p>
        </w:tc>
      </w:tr>
    </w:tbl>
    <w:p w:rsidR="00DC1C38" w:rsidRDefault="00DC1C38" w:rsidP="00A03F13">
      <w:pPr>
        <w:spacing w:line="480" w:lineRule="auto"/>
        <w:ind w:firstLine="720"/>
        <w:rPr>
          <w:rFonts w:cs="Times New Roman"/>
        </w:rPr>
      </w:pPr>
    </w:p>
    <w:p w:rsidR="00897A0B" w:rsidRDefault="00897A0B" w:rsidP="00DC1C38">
      <w:pPr>
        <w:sectPr w:rsidR="00897A0B" w:rsidSect="00935830">
          <w:footerReference w:type="default" r:id="rId63"/>
          <w:pgSz w:w="12240" w:h="15840"/>
          <w:pgMar w:top="1440" w:right="1440" w:bottom="1440" w:left="2304" w:header="720" w:footer="720" w:gutter="0"/>
          <w:pgNumType w:start="53"/>
          <w:cols w:space="720"/>
          <w:docGrid w:linePitch="360"/>
        </w:sectPr>
      </w:pPr>
    </w:p>
    <w:p w:rsidR="00897A0B" w:rsidRPr="00897A0B" w:rsidRDefault="00897A0B" w:rsidP="00897A0B">
      <w:pPr>
        <w:pStyle w:val="Caption"/>
        <w:keepNext/>
        <w:jc w:val="center"/>
        <w:rPr>
          <w:sz w:val="24"/>
          <w:szCs w:val="24"/>
        </w:rPr>
      </w:pPr>
      <w:bookmarkStart w:id="114" w:name="_Toc490131686"/>
      <w:r w:rsidRPr="00897A0B">
        <w:rPr>
          <w:sz w:val="24"/>
          <w:szCs w:val="24"/>
        </w:rPr>
        <w:lastRenderedPageBreak/>
        <w:t xml:space="preserve">Table </w:t>
      </w:r>
      <w:r w:rsidR="00B23FDA">
        <w:rPr>
          <w:sz w:val="24"/>
          <w:szCs w:val="24"/>
        </w:rPr>
        <w:fldChar w:fldCharType="begin"/>
      </w:r>
      <w:r w:rsidR="00B23FDA">
        <w:rPr>
          <w:sz w:val="24"/>
          <w:szCs w:val="24"/>
        </w:rPr>
        <w:instrText xml:space="preserve"> STYLEREF 1 \s </w:instrText>
      </w:r>
      <w:r w:rsidR="00B23FDA">
        <w:rPr>
          <w:sz w:val="24"/>
          <w:szCs w:val="24"/>
        </w:rPr>
        <w:fldChar w:fldCharType="separate"/>
      </w:r>
      <w:r w:rsidR="000C5FC3">
        <w:rPr>
          <w:noProof/>
          <w:sz w:val="24"/>
          <w:szCs w:val="24"/>
        </w:rPr>
        <w:t>3</w:t>
      </w:r>
      <w:r w:rsidR="00B23FDA">
        <w:rPr>
          <w:sz w:val="24"/>
          <w:szCs w:val="24"/>
        </w:rPr>
        <w:fldChar w:fldCharType="end"/>
      </w:r>
      <w:r w:rsidR="00B23FDA">
        <w:rPr>
          <w:sz w:val="24"/>
          <w:szCs w:val="24"/>
        </w:rPr>
        <w:noBreakHyphen/>
      </w:r>
      <w:r w:rsidR="00B23FDA">
        <w:rPr>
          <w:sz w:val="24"/>
          <w:szCs w:val="24"/>
        </w:rPr>
        <w:fldChar w:fldCharType="begin"/>
      </w:r>
      <w:r w:rsidR="00B23FDA">
        <w:rPr>
          <w:sz w:val="24"/>
          <w:szCs w:val="24"/>
        </w:rPr>
        <w:instrText xml:space="preserve"> SEQ Table \* ARABIC \s 1 </w:instrText>
      </w:r>
      <w:r w:rsidR="00B23FDA">
        <w:rPr>
          <w:sz w:val="24"/>
          <w:szCs w:val="24"/>
        </w:rPr>
        <w:fldChar w:fldCharType="separate"/>
      </w:r>
      <w:r w:rsidR="000C5FC3">
        <w:rPr>
          <w:noProof/>
          <w:sz w:val="24"/>
          <w:szCs w:val="24"/>
        </w:rPr>
        <w:t>2</w:t>
      </w:r>
      <w:r w:rsidR="00B23FDA">
        <w:rPr>
          <w:sz w:val="24"/>
          <w:szCs w:val="24"/>
        </w:rPr>
        <w:fldChar w:fldCharType="end"/>
      </w:r>
      <w:r w:rsidRPr="00897A0B">
        <w:rPr>
          <w:rFonts w:eastAsia="Times New Roman" w:cs="Times New Roman"/>
          <w:color w:val="000000"/>
          <w:sz w:val="24"/>
          <w:szCs w:val="24"/>
        </w:rPr>
        <w:t xml:space="preserve"> Compositions of EMPA/SIMS glass standards</w:t>
      </w:r>
      <w:bookmarkEnd w:id="114"/>
    </w:p>
    <w:tbl>
      <w:tblPr>
        <w:tblW w:w="10879" w:type="dxa"/>
        <w:jc w:val="center"/>
        <w:tblCellMar>
          <w:top w:w="15" w:type="dxa"/>
          <w:bottom w:w="15" w:type="dxa"/>
        </w:tblCellMar>
        <w:tblLook w:val="04A0" w:firstRow="1" w:lastRow="0" w:firstColumn="1" w:lastColumn="0" w:noHBand="0" w:noVBand="1"/>
      </w:tblPr>
      <w:tblGrid>
        <w:gridCol w:w="960"/>
        <w:gridCol w:w="930"/>
        <w:gridCol w:w="1048"/>
        <w:gridCol w:w="1027"/>
        <w:gridCol w:w="919"/>
        <w:gridCol w:w="919"/>
        <w:gridCol w:w="919"/>
        <w:gridCol w:w="960"/>
        <w:gridCol w:w="260"/>
        <w:gridCol w:w="960"/>
        <w:gridCol w:w="960"/>
        <w:gridCol w:w="1017"/>
      </w:tblGrid>
      <w:tr w:rsidR="00897A0B" w:rsidRPr="00C65541" w:rsidTr="00897A0B">
        <w:trPr>
          <w:trHeight w:val="310"/>
          <w:jc w:val="center"/>
        </w:trPr>
        <w:tc>
          <w:tcPr>
            <w:tcW w:w="960" w:type="dxa"/>
            <w:tcBorders>
              <w:top w:val="nil"/>
              <w:left w:val="nil"/>
              <w:bottom w:val="nil"/>
              <w:right w:val="nil"/>
            </w:tcBorders>
            <w:noWrap/>
            <w:vAlign w:val="bottom"/>
            <w:hideMark/>
          </w:tcPr>
          <w:p w:rsidR="00897A0B" w:rsidRPr="00C65541" w:rsidRDefault="00897A0B" w:rsidP="00FC1DA8">
            <w:pPr>
              <w:spacing w:after="0"/>
              <w:rPr>
                <w:rFonts w:eastAsia="Times New Roman" w:cs="Times New Roman"/>
                <w:sz w:val="20"/>
                <w:szCs w:val="20"/>
              </w:rPr>
            </w:pPr>
          </w:p>
        </w:tc>
        <w:tc>
          <w:tcPr>
            <w:tcW w:w="6722" w:type="dxa"/>
            <w:gridSpan w:val="7"/>
            <w:tcBorders>
              <w:top w:val="nil"/>
              <w:left w:val="nil"/>
              <w:bottom w:val="single" w:sz="4" w:space="0" w:color="auto"/>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Hydrous</w:t>
            </w:r>
          </w:p>
        </w:tc>
        <w:tc>
          <w:tcPr>
            <w:tcW w:w="2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p>
        </w:tc>
        <w:tc>
          <w:tcPr>
            <w:tcW w:w="2937" w:type="dxa"/>
            <w:gridSpan w:val="3"/>
            <w:tcBorders>
              <w:top w:val="nil"/>
              <w:left w:val="nil"/>
              <w:bottom w:val="single" w:sz="4" w:space="0" w:color="auto"/>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Anhydrous</w:t>
            </w:r>
          </w:p>
        </w:tc>
      </w:tr>
      <w:tr w:rsidR="00897A0B" w:rsidRPr="00C65541" w:rsidTr="00897A0B">
        <w:trPr>
          <w:trHeight w:val="310"/>
          <w:jc w:val="center"/>
        </w:trPr>
        <w:tc>
          <w:tcPr>
            <w:tcW w:w="9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p>
        </w:tc>
        <w:tc>
          <w:tcPr>
            <w:tcW w:w="930" w:type="dxa"/>
            <w:tcBorders>
              <w:top w:val="single" w:sz="4" w:space="0" w:color="auto"/>
              <w:left w:val="nil"/>
              <w:bottom w:val="single" w:sz="4" w:space="0" w:color="auto"/>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MAC</w:t>
            </w:r>
          </w:p>
        </w:tc>
        <w:tc>
          <w:tcPr>
            <w:tcW w:w="1048" w:type="dxa"/>
            <w:tcBorders>
              <w:top w:val="nil"/>
              <w:left w:val="nil"/>
              <w:bottom w:val="single" w:sz="4" w:space="0" w:color="auto"/>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2.5EN</w:t>
            </w:r>
          </w:p>
        </w:tc>
        <w:tc>
          <w:tcPr>
            <w:tcW w:w="1027" w:type="dxa"/>
            <w:tcBorders>
              <w:top w:val="nil"/>
              <w:left w:val="nil"/>
              <w:bottom w:val="single" w:sz="4" w:space="0" w:color="auto"/>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2.5FN</w:t>
            </w:r>
          </w:p>
        </w:tc>
        <w:tc>
          <w:tcPr>
            <w:tcW w:w="919" w:type="dxa"/>
            <w:tcBorders>
              <w:top w:val="nil"/>
              <w:left w:val="nil"/>
              <w:bottom w:val="single" w:sz="4" w:space="0" w:color="auto"/>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5AN</w:t>
            </w:r>
          </w:p>
        </w:tc>
        <w:tc>
          <w:tcPr>
            <w:tcW w:w="919" w:type="dxa"/>
            <w:tcBorders>
              <w:top w:val="nil"/>
              <w:left w:val="nil"/>
              <w:bottom w:val="single" w:sz="4" w:space="0" w:color="auto"/>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5CN</w:t>
            </w:r>
          </w:p>
        </w:tc>
        <w:tc>
          <w:tcPr>
            <w:tcW w:w="919" w:type="dxa"/>
            <w:tcBorders>
              <w:top w:val="nil"/>
              <w:left w:val="nil"/>
              <w:bottom w:val="single" w:sz="4" w:space="0" w:color="auto"/>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B5</w:t>
            </w:r>
          </w:p>
        </w:tc>
        <w:tc>
          <w:tcPr>
            <w:tcW w:w="960" w:type="dxa"/>
            <w:tcBorders>
              <w:top w:val="nil"/>
              <w:left w:val="nil"/>
              <w:bottom w:val="single" w:sz="4" w:space="0" w:color="auto"/>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E10</w:t>
            </w:r>
          </w:p>
        </w:tc>
        <w:tc>
          <w:tcPr>
            <w:tcW w:w="2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p>
        </w:tc>
        <w:tc>
          <w:tcPr>
            <w:tcW w:w="960" w:type="dxa"/>
            <w:tcBorders>
              <w:top w:val="nil"/>
              <w:left w:val="nil"/>
              <w:bottom w:val="single" w:sz="4" w:space="0" w:color="auto"/>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JM253</w:t>
            </w:r>
          </w:p>
        </w:tc>
        <w:tc>
          <w:tcPr>
            <w:tcW w:w="960" w:type="dxa"/>
            <w:tcBorders>
              <w:top w:val="nil"/>
              <w:left w:val="nil"/>
              <w:bottom w:val="single" w:sz="4" w:space="0" w:color="auto"/>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JM902</w:t>
            </w:r>
          </w:p>
        </w:tc>
        <w:tc>
          <w:tcPr>
            <w:tcW w:w="1017" w:type="dxa"/>
            <w:tcBorders>
              <w:top w:val="single" w:sz="4" w:space="0" w:color="auto"/>
              <w:left w:val="nil"/>
              <w:bottom w:val="single" w:sz="4" w:space="0" w:color="auto"/>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JM901F</w:t>
            </w:r>
          </w:p>
        </w:tc>
      </w:tr>
      <w:tr w:rsidR="00897A0B" w:rsidRPr="00C65541" w:rsidTr="00897A0B">
        <w:trPr>
          <w:trHeight w:val="350"/>
          <w:jc w:val="center"/>
        </w:trPr>
        <w:tc>
          <w:tcPr>
            <w:tcW w:w="960" w:type="dxa"/>
            <w:tcBorders>
              <w:top w:val="nil"/>
              <w:left w:val="nil"/>
              <w:bottom w:val="nil"/>
              <w:right w:val="nil"/>
            </w:tcBorders>
            <w:noWrap/>
            <w:vAlign w:val="bottom"/>
            <w:hideMark/>
          </w:tcPr>
          <w:p w:rsidR="00897A0B" w:rsidRPr="00C65541" w:rsidRDefault="00897A0B" w:rsidP="00FC1DA8">
            <w:pPr>
              <w:spacing w:after="0"/>
              <w:jc w:val="right"/>
              <w:rPr>
                <w:rFonts w:eastAsia="Times New Roman" w:cs="Times New Roman"/>
                <w:color w:val="000000"/>
              </w:rPr>
            </w:pPr>
            <w:r w:rsidRPr="00C65541">
              <w:rPr>
                <w:rFonts w:eastAsia="Times New Roman" w:cs="Times New Roman"/>
                <w:color w:val="000000"/>
              </w:rPr>
              <w:t xml:space="preserve">    SiO</w:t>
            </w:r>
            <w:r w:rsidRPr="00C65541">
              <w:rPr>
                <w:rFonts w:eastAsia="Times New Roman" w:cs="Times New Roman"/>
                <w:color w:val="000000"/>
                <w:vertAlign w:val="subscript"/>
              </w:rPr>
              <w:t>2</w:t>
            </w:r>
          </w:p>
        </w:tc>
        <w:tc>
          <w:tcPr>
            <w:tcW w:w="93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72.32</w:t>
            </w:r>
          </w:p>
        </w:tc>
        <w:tc>
          <w:tcPr>
            <w:tcW w:w="1048"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70.67</w:t>
            </w:r>
          </w:p>
        </w:tc>
        <w:tc>
          <w:tcPr>
            <w:tcW w:w="1027"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70.31</w:t>
            </w:r>
          </w:p>
        </w:tc>
        <w:tc>
          <w:tcPr>
            <w:tcW w:w="919"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68.22</w:t>
            </w:r>
          </w:p>
        </w:tc>
        <w:tc>
          <w:tcPr>
            <w:tcW w:w="919"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67.89</w:t>
            </w:r>
          </w:p>
        </w:tc>
        <w:tc>
          <w:tcPr>
            <w:tcW w:w="919"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70.12</w:t>
            </w:r>
          </w:p>
        </w:tc>
        <w:tc>
          <w:tcPr>
            <w:tcW w:w="9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63.63</w:t>
            </w:r>
          </w:p>
        </w:tc>
        <w:tc>
          <w:tcPr>
            <w:tcW w:w="2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p>
        </w:tc>
        <w:tc>
          <w:tcPr>
            <w:tcW w:w="9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65.50</w:t>
            </w:r>
          </w:p>
        </w:tc>
        <w:tc>
          <w:tcPr>
            <w:tcW w:w="9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66.30</w:t>
            </w:r>
          </w:p>
        </w:tc>
        <w:tc>
          <w:tcPr>
            <w:tcW w:w="1017"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56.30</w:t>
            </w:r>
          </w:p>
        </w:tc>
      </w:tr>
      <w:tr w:rsidR="00897A0B" w:rsidRPr="00C65541" w:rsidTr="00897A0B">
        <w:trPr>
          <w:trHeight w:val="350"/>
          <w:jc w:val="center"/>
        </w:trPr>
        <w:tc>
          <w:tcPr>
            <w:tcW w:w="960" w:type="dxa"/>
            <w:tcBorders>
              <w:top w:val="nil"/>
              <w:left w:val="nil"/>
              <w:bottom w:val="nil"/>
              <w:right w:val="nil"/>
            </w:tcBorders>
            <w:noWrap/>
            <w:vAlign w:val="bottom"/>
            <w:hideMark/>
          </w:tcPr>
          <w:p w:rsidR="00897A0B" w:rsidRPr="00C65541" w:rsidRDefault="00897A0B" w:rsidP="00FC1DA8">
            <w:pPr>
              <w:spacing w:after="0"/>
              <w:jc w:val="right"/>
              <w:rPr>
                <w:rFonts w:eastAsia="Times New Roman" w:cs="Times New Roman"/>
                <w:color w:val="000000"/>
              </w:rPr>
            </w:pPr>
            <w:r w:rsidRPr="00C65541">
              <w:rPr>
                <w:rFonts w:eastAsia="Times New Roman" w:cs="Times New Roman"/>
                <w:color w:val="000000"/>
              </w:rPr>
              <w:t xml:space="preserve">    B</w:t>
            </w:r>
            <w:r w:rsidRPr="00C65541">
              <w:rPr>
                <w:rFonts w:eastAsia="Times New Roman" w:cs="Times New Roman"/>
                <w:color w:val="000000"/>
                <w:vertAlign w:val="subscript"/>
              </w:rPr>
              <w:t>2</w:t>
            </w:r>
            <w:r w:rsidRPr="00C65541">
              <w:rPr>
                <w:rFonts w:eastAsia="Times New Roman" w:cs="Times New Roman"/>
                <w:color w:val="000000"/>
              </w:rPr>
              <w:t>O</w:t>
            </w:r>
            <w:r w:rsidRPr="00C65541">
              <w:rPr>
                <w:rFonts w:eastAsia="Times New Roman" w:cs="Times New Roman"/>
                <w:color w:val="000000"/>
                <w:vertAlign w:val="subscript"/>
              </w:rPr>
              <w:t>3</w:t>
            </w:r>
          </w:p>
        </w:tc>
        <w:tc>
          <w:tcPr>
            <w:tcW w:w="93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0.62</w:t>
            </w:r>
          </w:p>
        </w:tc>
        <w:tc>
          <w:tcPr>
            <w:tcW w:w="1048"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3.13</w:t>
            </w:r>
          </w:p>
        </w:tc>
        <w:tc>
          <w:tcPr>
            <w:tcW w:w="1027"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2.60</w:t>
            </w:r>
          </w:p>
        </w:tc>
        <w:tc>
          <w:tcPr>
            <w:tcW w:w="919"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5.63</w:t>
            </w:r>
          </w:p>
        </w:tc>
        <w:tc>
          <w:tcPr>
            <w:tcW w:w="919"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6.16</w:t>
            </w:r>
          </w:p>
        </w:tc>
        <w:tc>
          <w:tcPr>
            <w:tcW w:w="919"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5.26</w:t>
            </w:r>
          </w:p>
        </w:tc>
        <w:tc>
          <w:tcPr>
            <w:tcW w:w="9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10.41</w:t>
            </w:r>
          </w:p>
        </w:tc>
        <w:tc>
          <w:tcPr>
            <w:tcW w:w="2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p>
        </w:tc>
        <w:tc>
          <w:tcPr>
            <w:tcW w:w="9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5.24</w:t>
            </w:r>
          </w:p>
        </w:tc>
        <w:tc>
          <w:tcPr>
            <w:tcW w:w="9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7.04</w:t>
            </w:r>
          </w:p>
        </w:tc>
        <w:tc>
          <w:tcPr>
            <w:tcW w:w="1017"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9.09</w:t>
            </w:r>
          </w:p>
        </w:tc>
      </w:tr>
      <w:tr w:rsidR="00897A0B" w:rsidRPr="00C65541" w:rsidTr="00897A0B">
        <w:trPr>
          <w:trHeight w:val="350"/>
          <w:jc w:val="center"/>
        </w:trPr>
        <w:tc>
          <w:tcPr>
            <w:tcW w:w="960" w:type="dxa"/>
            <w:tcBorders>
              <w:top w:val="nil"/>
              <w:left w:val="nil"/>
              <w:bottom w:val="nil"/>
              <w:right w:val="nil"/>
            </w:tcBorders>
            <w:noWrap/>
            <w:vAlign w:val="bottom"/>
            <w:hideMark/>
          </w:tcPr>
          <w:p w:rsidR="00897A0B" w:rsidRPr="00C65541" w:rsidRDefault="00897A0B" w:rsidP="00FC1DA8">
            <w:pPr>
              <w:spacing w:after="0"/>
              <w:jc w:val="right"/>
              <w:rPr>
                <w:rFonts w:eastAsia="Times New Roman" w:cs="Times New Roman"/>
                <w:color w:val="000000"/>
              </w:rPr>
            </w:pPr>
            <w:r w:rsidRPr="00C65541">
              <w:rPr>
                <w:rFonts w:eastAsia="Times New Roman" w:cs="Times New Roman"/>
                <w:color w:val="000000"/>
              </w:rPr>
              <w:t xml:space="preserve">  Al</w:t>
            </w:r>
            <w:r w:rsidRPr="00C65541">
              <w:rPr>
                <w:rFonts w:eastAsia="Times New Roman" w:cs="Times New Roman"/>
                <w:color w:val="000000"/>
                <w:vertAlign w:val="subscript"/>
              </w:rPr>
              <w:t>2</w:t>
            </w:r>
            <w:r w:rsidRPr="00C65541">
              <w:rPr>
                <w:rFonts w:eastAsia="Times New Roman" w:cs="Times New Roman"/>
                <w:color w:val="000000"/>
              </w:rPr>
              <w:t>O</w:t>
            </w:r>
            <w:r w:rsidRPr="00C65541">
              <w:rPr>
                <w:rFonts w:eastAsia="Times New Roman" w:cs="Times New Roman"/>
                <w:color w:val="000000"/>
                <w:vertAlign w:val="subscript"/>
              </w:rPr>
              <w:t>3</w:t>
            </w:r>
          </w:p>
        </w:tc>
        <w:tc>
          <w:tcPr>
            <w:tcW w:w="93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15.63</w:t>
            </w:r>
          </w:p>
        </w:tc>
        <w:tc>
          <w:tcPr>
            <w:tcW w:w="1048"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11.12</w:t>
            </w:r>
          </w:p>
        </w:tc>
        <w:tc>
          <w:tcPr>
            <w:tcW w:w="1027"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11.26</w:t>
            </w:r>
          </w:p>
        </w:tc>
        <w:tc>
          <w:tcPr>
            <w:tcW w:w="919"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11.00</w:t>
            </w:r>
          </w:p>
        </w:tc>
        <w:tc>
          <w:tcPr>
            <w:tcW w:w="919"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10.81</w:t>
            </w:r>
          </w:p>
        </w:tc>
        <w:tc>
          <w:tcPr>
            <w:tcW w:w="919"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11.68</w:t>
            </w:r>
          </w:p>
        </w:tc>
        <w:tc>
          <w:tcPr>
            <w:tcW w:w="9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10.39</w:t>
            </w:r>
          </w:p>
        </w:tc>
        <w:tc>
          <w:tcPr>
            <w:tcW w:w="2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p>
        </w:tc>
        <w:tc>
          <w:tcPr>
            <w:tcW w:w="9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2.92</w:t>
            </w:r>
          </w:p>
        </w:tc>
        <w:tc>
          <w:tcPr>
            <w:tcW w:w="9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1.76</w:t>
            </w:r>
          </w:p>
        </w:tc>
        <w:tc>
          <w:tcPr>
            <w:tcW w:w="1017"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5.12</w:t>
            </w:r>
          </w:p>
        </w:tc>
      </w:tr>
      <w:tr w:rsidR="00897A0B" w:rsidRPr="00C65541" w:rsidTr="00897A0B">
        <w:trPr>
          <w:trHeight w:val="310"/>
          <w:jc w:val="center"/>
        </w:trPr>
        <w:tc>
          <w:tcPr>
            <w:tcW w:w="960" w:type="dxa"/>
            <w:tcBorders>
              <w:top w:val="nil"/>
              <w:left w:val="nil"/>
              <w:bottom w:val="nil"/>
              <w:right w:val="nil"/>
            </w:tcBorders>
            <w:noWrap/>
            <w:vAlign w:val="bottom"/>
            <w:hideMark/>
          </w:tcPr>
          <w:p w:rsidR="00897A0B" w:rsidRPr="00C65541" w:rsidRDefault="00897A0B" w:rsidP="00FC1DA8">
            <w:pPr>
              <w:spacing w:after="0"/>
              <w:jc w:val="right"/>
              <w:rPr>
                <w:rFonts w:eastAsia="Times New Roman" w:cs="Times New Roman"/>
                <w:color w:val="000000"/>
              </w:rPr>
            </w:pPr>
            <w:r w:rsidRPr="00C65541">
              <w:rPr>
                <w:rFonts w:eastAsia="Times New Roman" w:cs="Times New Roman"/>
                <w:color w:val="000000"/>
              </w:rPr>
              <w:t>MgO</w:t>
            </w:r>
          </w:p>
        </w:tc>
        <w:tc>
          <w:tcPr>
            <w:tcW w:w="93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w:t>
            </w:r>
          </w:p>
        </w:tc>
        <w:tc>
          <w:tcPr>
            <w:tcW w:w="1048"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w:t>
            </w:r>
          </w:p>
        </w:tc>
        <w:tc>
          <w:tcPr>
            <w:tcW w:w="1027"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w:t>
            </w:r>
          </w:p>
        </w:tc>
        <w:tc>
          <w:tcPr>
            <w:tcW w:w="919"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w:t>
            </w:r>
          </w:p>
        </w:tc>
        <w:tc>
          <w:tcPr>
            <w:tcW w:w="919"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w:t>
            </w:r>
          </w:p>
        </w:tc>
        <w:tc>
          <w:tcPr>
            <w:tcW w:w="919"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w:t>
            </w:r>
          </w:p>
        </w:tc>
        <w:tc>
          <w:tcPr>
            <w:tcW w:w="9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w:t>
            </w:r>
          </w:p>
        </w:tc>
        <w:tc>
          <w:tcPr>
            <w:tcW w:w="2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p>
        </w:tc>
        <w:tc>
          <w:tcPr>
            <w:tcW w:w="9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2.78</w:t>
            </w:r>
          </w:p>
        </w:tc>
        <w:tc>
          <w:tcPr>
            <w:tcW w:w="9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3.15</w:t>
            </w:r>
          </w:p>
        </w:tc>
        <w:tc>
          <w:tcPr>
            <w:tcW w:w="1017"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4.84</w:t>
            </w:r>
          </w:p>
        </w:tc>
      </w:tr>
      <w:tr w:rsidR="00897A0B" w:rsidRPr="00C65541" w:rsidTr="00897A0B">
        <w:trPr>
          <w:trHeight w:val="310"/>
          <w:jc w:val="center"/>
        </w:trPr>
        <w:tc>
          <w:tcPr>
            <w:tcW w:w="960" w:type="dxa"/>
            <w:tcBorders>
              <w:top w:val="nil"/>
              <w:left w:val="nil"/>
              <w:bottom w:val="nil"/>
              <w:right w:val="nil"/>
            </w:tcBorders>
            <w:noWrap/>
            <w:vAlign w:val="bottom"/>
            <w:hideMark/>
          </w:tcPr>
          <w:p w:rsidR="00897A0B" w:rsidRPr="00C65541" w:rsidRDefault="00897A0B" w:rsidP="00FC1DA8">
            <w:pPr>
              <w:spacing w:after="0"/>
              <w:jc w:val="right"/>
              <w:rPr>
                <w:rFonts w:eastAsia="Times New Roman" w:cs="Times New Roman"/>
                <w:color w:val="000000"/>
              </w:rPr>
            </w:pPr>
            <w:r w:rsidRPr="00C65541">
              <w:rPr>
                <w:rFonts w:eastAsia="Times New Roman" w:cs="Times New Roman"/>
                <w:color w:val="000000"/>
              </w:rPr>
              <w:t>CaO</w:t>
            </w:r>
          </w:p>
        </w:tc>
        <w:tc>
          <w:tcPr>
            <w:tcW w:w="93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0.23</w:t>
            </w:r>
          </w:p>
        </w:tc>
        <w:tc>
          <w:tcPr>
            <w:tcW w:w="1048"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w:t>
            </w:r>
          </w:p>
        </w:tc>
        <w:tc>
          <w:tcPr>
            <w:tcW w:w="1027"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w:t>
            </w:r>
          </w:p>
        </w:tc>
        <w:tc>
          <w:tcPr>
            <w:tcW w:w="919"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w:t>
            </w:r>
          </w:p>
        </w:tc>
        <w:tc>
          <w:tcPr>
            <w:tcW w:w="919"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w:t>
            </w:r>
          </w:p>
        </w:tc>
        <w:tc>
          <w:tcPr>
            <w:tcW w:w="919"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w:t>
            </w:r>
          </w:p>
        </w:tc>
        <w:tc>
          <w:tcPr>
            <w:tcW w:w="9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w:t>
            </w:r>
          </w:p>
        </w:tc>
        <w:tc>
          <w:tcPr>
            <w:tcW w:w="2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p>
        </w:tc>
        <w:tc>
          <w:tcPr>
            <w:tcW w:w="9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5.85</w:t>
            </w:r>
          </w:p>
        </w:tc>
        <w:tc>
          <w:tcPr>
            <w:tcW w:w="9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4.59</w:t>
            </w:r>
          </w:p>
        </w:tc>
        <w:tc>
          <w:tcPr>
            <w:tcW w:w="1017"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7.38</w:t>
            </w:r>
          </w:p>
        </w:tc>
      </w:tr>
      <w:tr w:rsidR="00897A0B" w:rsidRPr="00C65541" w:rsidTr="00897A0B">
        <w:trPr>
          <w:trHeight w:val="350"/>
          <w:jc w:val="center"/>
        </w:trPr>
        <w:tc>
          <w:tcPr>
            <w:tcW w:w="960" w:type="dxa"/>
            <w:tcBorders>
              <w:top w:val="nil"/>
              <w:left w:val="nil"/>
              <w:bottom w:val="nil"/>
              <w:right w:val="nil"/>
            </w:tcBorders>
            <w:noWrap/>
            <w:vAlign w:val="bottom"/>
            <w:hideMark/>
          </w:tcPr>
          <w:p w:rsidR="00897A0B" w:rsidRPr="00C65541" w:rsidRDefault="00897A0B" w:rsidP="00FC1DA8">
            <w:pPr>
              <w:spacing w:after="0"/>
              <w:jc w:val="right"/>
              <w:rPr>
                <w:rFonts w:eastAsia="Times New Roman" w:cs="Times New Roman"/>
                <w:color w:val="000000"/>
              </w:rPr>
            </w:pPr>
            <w:r w:rsidRPr="00C65541">
              <w:rPr>
                <w:rFonts w:eastAsia="Times New Roman" w:cs="Times New Roman"/>
                <w:color w:val="000000"/>
              </w:rPr>
              <w:t xml:space="preserve">   Na</w:t>
            </w:r>
            <w:r w:rsidRPr="00C65541">
              <w:rPr>
                <w:rFonts w:eastAsia="Times New Roman" w:cs="Times New Roman"/>
                <w:color w:val="000000"/>
                <w:vertAlign w:val="subscript"/>
              </w:rPr>
              <w:t>2</w:t>
            </w:r>
            <w:r w:rsidRPr="00C65541">
              <w:rPr>
                <w:rFonts w:eastAsia="Times New Roman" w:cs="Times New Roman"/>
                <w:color w:val="000000"/>
              </w:rPr>
              <w:t>O</w:t>
            </w:r>
          </w:p>
        </w:tc>
        <w:tc>
          <w:tcPr>
            <w:tcW w:w="93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4.10</w:t>
            </w:r>
          </w:p>
        </w:tc>
        <w:tc>
          <w:tcPr>
            <w:tcW w:w="1048"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3.63</w:t>
            </w:r>
          </w:p>
        </w:tc>
        <w:tc>
          <w:tcPr>
            <w:tcW w:w="1027"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3.60</w:t>
            </w:r>
          </w:p>
        </w:tc>
        <w:tc>
          <w:tcPr>
            <w:tcW w:w="919"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3.45</w:t>
            </w:r>
          </w:p>
        </w:tc>
        <w:tc>
          <w:tcPr>
            <w:tcW w:w="919"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3.45</w:t>
            </w:r>
          </w:p>
        </w:tc>
        <w:tc>
          <w:tcPr>
            <w:tcW w:w="919"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3.89</w:t>
            </w:r>
          </w:p>
        </w:tc>
        <w:tc>
          <w:tcPr>
            <w:tcW w:w="9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3.43</w:t>
            </w:r>
          </w:p>
        </w:tc>
        <w:tc>
          <w:tcPr>
            <w:tcW w:w="2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p>
        </w:tc>
        <w:tc>
          <w:tcPr>
            <w:tcW w:w="9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16.40</w:t>
            </w:r>
          </w:p>
        </w:tc>
        <w:tc>
          <w:tcPr>
            <w:tcW w:w="9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16.20</w:t>
            </w:r>
          </w:p>
        </w:tc>
        <w:tc>
          <w:tcPr>
            <w:tcW w:w="1017"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15.90</w:t>
            </w:r>
          </w:p>
        </w:tc>
      </w:tr>
      <w:tr w:rsidR="00897A0B" w:rsidRPr="00C65541" w:rsidTr="00897A0B">
        <w:trPr>
          <w:trHeight w:val="350"/>
          <w:jc w:val="center"/>
        </w:trPr>
        <w:tc>
          <w:tcPr>
            <w:tcW w:w="960" w:type="dxa"/>
            <w:tcBorders>
              <w:top w:val="nil"/>
              <w:left w:val="nil"/>
              <w:bottom w:val="nil"/>
              <w:right w:val="nil"/>
            </w:tcBorders>
            <w:noWrap/>
            <w:vAlign w:val="bottom"/>
            <w:hideMark/>
          </w:tcPr>
          <w:p w:rsidR="00897A0B" w:rsidRPr="00C65541" w:rsidRDefault="00897A0B" w:rsidP="00FC1DA8">
            <w:pPr>
              <w:spacing w:after="0"/>
              <w:jc w:val="right"/>
              <w:rPr>
                <w:rFonts w:eastAsia="Times New Roman" w:cs="Times New Roman"/>
                <w:color w:val="000000"/>
              </w:rPr>
            </w:pPr>
            <w:r w:rsidRPr="00C65541">
              <w:rPr>
                <w:rFonts w:eastAsia="Times New Roman" w:cs="Times New Roman"/>
                <w:color w:val="000000"/>
              </w:rPr>
              <w:t xml:space="preserve">     K</w:t>
            </w:r>
            <w:r w:rsidRPr="00C65541">
              <w:rPr>
                <w:rFonts w:eastAsia="Times New Roman" w:cs="Times New Roman"/>
                <w:color w:val="000000"/>
                <w:vertAlign w:val="subscript"/>
              </w:rPr>
              <w:t>2</w:t>
            </w:r>
            <w:r w:rsidRPr="00C65541">
              <w:rPr>
                <w:rFonts w:eastAsia="Times New Roman" w:cs="Times New Roman"/>
                <w:color w:val="000000"/>
              </w:rPr>
              <w:t>O</w:t>
            </w:r>
          </w:p>
        </w:tc>
        <w:tc>
          <w:tcPr>
            <w:tcW w:w="930" w:type="dxa"/>
            <w:tcBorders>
              <w:top w:val="nil"/>
              <w:left w:val="nil"/>
              <w:bottom w:val="single" w:sz="4" w:space="0" w:color="auto"/>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3.53</w:t>
            </w:r>
          </w:p>
        </w:tc>
        <w:tc>
          <w:tcPr>
            <w:tcW w:w="1048" w:type="dxa"/>
            <w:tcBorders>
              <w:top w:val="nil"/>
              <w:left w:val="nil"/>
              <w:bottom w:val="single" w:sz="4" w:space="0" w:color="auto"/>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4.36</w:t>
            </w:r>
          </w:p>
        </w:tc>
        <w:tc>
          <w:tcPr>
            <w:tcW w:w="1027" w:type="dxa"/>
            <w:tcBorders>
              <w:top w:val="nil"/>
              <w:left w:val="nil"/>
              <w:bottom w:val="single" w:sz="4" w:space="0" w:color="auto"/>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4.38</w:t>
            </w:r>
          </w:p>
        </w:tc>
        <w:tc>
          <w:tcPr>
            <w:tcW w:w="919" w:type="dxa"/>
            <w:tcBorders>
              <w:top w:val="nil"/>
              <w:left w:val="nil"/>
              <w:bottom w:val="single" w:sz="4" w:space="0" w:color="auto"/>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4.19</w:t>
            </w:r>
          </w:p>
        </w:tc>
        <w:tc>
          <w:tcPr>
            <w:tcW w:w="919" w:type="dxa"/>
            <w:tcBorders>
              <w:top w:val="nil"/>
              <w:left w:val="nil"/>
              <w:bottom w:val="single" w:sz="4" w:space="0" w:color="auto"/>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4.21</w:t>
            </w:r>
          </w:p>
        </w:tc>
        <w:tc>
          <w:tcPr>
            <w:tcW w:w="919" w:type="dxa"/>
            <w:tcBorders>
              <w:top w:val="nil"/>
              <w:left w:val="nil"/>
              <w:bottom w:val="single" w:sz="4" w:space="0" w:color="auto"/>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4.31</w:t>
            </w:r>
          </w:p>
        </w:tc>
        <w:tc>
          <w:tcPr>
            <w:tcW w:w="960" w:type="dxa"/>
            <w:tcBorders>
              <w:top w:val="nil"/>
              <w:left w:val="nil"/>
              <w:bottom w:val="single" w:sz="4" w:space="0" w:color="auto"/>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3.83</w:t>
            </w:r>
          </w:p>
        </w:tc>
        <w:tc>
          <w:tcPr>
            <w:tcW w:w="2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p>
        </w:tc>
        <w:tc>
          <w:tcPr>
            <w:tcW w:w="960" w:type="dxa"/>
            <w:tcBorders>
              <w:top w:val="nil"/>
              <w:left w:val="nil"/>
              <w:bottom w:val="single" w:sz="4" w:space="0" w:color="auto"/>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0.60</w:t>
            </w:r>
          </w:p>
        </w:tc>
        <w:tc>
          <w:tcPr>
            <w:tcW w:w="960" w:type="dxa"/>
            <w:tcBorders>
              <w:top w:val="nil"/>
              <w:left w:val="nil"/>
              <w:bottom w:val="single" w:sz="4" w:space="0" w:color="auto"/>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0.51</w:t>
            </w:r>
          </w:p>
        </w:tc>
        <w:tc>
          <w:tcPr>
            <w:tcW w:w="1017" w:type="dxa"/>
            <w:tcBorders>
              <w:top w:val="nil"/>
              <w:left w:val="nil"/>
              <w:bottom w:val="single" w:sz="4" w:space="0" w:color="auto"/>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1.17</w:t>
            </w:r>
          </w:p>
        </w:tc>
      </w:tr>
      <w:tr w:rsidR="00897A0B" w:rsidRPr="00C65541" w:rsidTr="00897A0B">
        <w:trPr>
          <w:trHeight w:val="310"/>
          <w:jc w:val="center"/>
        </w:trPr>
        <w:tc>
          <w:tcPr>
            <w:tcW w:w="960" w:type="dxa"/>
            <w:tcBorders>
              <w:top w:val="nil"/>
              <w:left w:val="nil"/>
              <w:bottom w:val="nil"/>
              <w:right w:val="nil"/>
            </w:tcBorders>
            <w:noWrap/>
            <w:vAlign w:val="bottom"/>
            <w:hideMark/>
          </w:tcPr>
          <w:p w:rsidR="00897A0B" w:rsidRPr="00C65541" w:rsidRDefault="00897A0B" w:rsidP="00FC1DA8">
            <w:pPr>
              <w:spacing w:after="0"/>
              <w:jc w:val="right"/>
              <w:rPr>
                <w:rFonts w:eastAsia="Times New Roman" w:cs="Times New Roman"/>
                <w:color w:val="000000"/>
              </w:rPr>
            </w:pPr>
            <w:r w:rsidRPr="00C65541">
              <w:rPr>
                <w:rFonts w:eastAsia="Times New Roman" w:cs="Times New Roman"/>
                <w:color w:val="000000"/>
              </w:rPr>
              <w:t>Total</w:t>
            </w:r>
          </w:p>
        </w:tc>
        <w:tc>
          <w:tcPr>
            <w:tcW w:w="930" w:type="dxa"/>
            <w:tcBorders>
              <w:top w:val="single" w:sz="4" w:space="0" w:color="auto"/>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96.43</w:t>
            </w:r>
          </w:p>
        </w:tc>
        <w:tc>
          <w:tcPr>
            <w:tcW w:w="1048" w:type="dxa"/>
            <w:tcBorders>
              <w:top w:val="single" w:sz="4" w:space="0" w:color="auto"/>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92.92</w:t>
            </w:r>
          </w:p>
        </w:tc>
        <w:tc>
          <w:tcPr>
            <w:tcW w:w="1027" w:type="dxa"/>
            <w:tcBorders>
              <w:top w:val="single" w:sz="4" w:space="0" w:color="auto"/>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92.15</w:t>
            </w:r>
          </w:p>
        </w:tc>
        <w:tc>
          <w:tcPr>
            <w:tcW w:w="919" w:type="dxa"/>
            <w:tcBorders>
              <w:top w:val="single" w:sz="4" w:space="0" w:color="auto"/>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92.49</w:t>
            </w:r>
          </w:p>
        </w:tc>
        <w:tc>
          <w:tcPr>
            <w:tcW w:w="919" w:type="dxa"/>
            <w:tcBorders>
              <w:top w:val="single" w:sz="4" w:space="0" w:color="auto"/>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92.51</w:t>
            </w:r>
          </w:p>
        </w:tc>
        <w:tc>
          <w:tcPr>
            <w:tcW w:w="919" w:type="dxa"/>
            <w:tcBorders>
              <w:top w:val="single" w:sz="4" w:space="0" w:color="auto"/>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95.26</w:t>
            </w:r>
          </w:p>
        </w:tc>
        <w:tc>
          <w:tcPr>
            <w:tcW w:w="960" w:type="dxa"/>
            <w:tcBorders>
              <w:top w:val="single" w:sz="4" w:space="0" w:color="auto"/>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91.69</w:t>
            </w:r>
          </w:p>
        </w:tc>
        <w:tc>
          <w:tcPr>
            <w:tcW w:w="2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p>
        </w:tc>
        <w:tc>
          <w:tcPr>
            <w:tcW w:w="960" w:type="dxa"/>
            <w:tcBorders>
              <w:top w:val="single" w:sz="4" w:space="0" w:color="auto"/>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99.29</w:t>
            </w:r>
          </w:p>
        </w:tc>
        <w:tc>
          <w:tcPr>
            <w:tcW w:w="960" w:type="dxa"/>
            <w:tcBorders>
              <w:top w:val="single" w:sz="4" w:space="0" w:color="auto"/>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99.55</w:t>
            </w:r>
          </w:p>
        </w:tc>
        <w:tc>
          <w:tcPr>
            <w:tcW w:w="1017" w:type="dxa"/>
            <w:tcBorders>
              <w:top w:val="single" w:sz="4" w:space="0" w:color="auto"/>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99.80</w:t>
            </w:r>
          </w:p>
        </w:tc>
      </w:tr>
      <w:tr w:rsidR="00897A0B" w:rsidRPr="00C65541" w:rsidTr="00897A0B">
        <w:trPr>
          <w:trHeight w:val="310"/>
          <w:jc w:val="center"/>
        </w:trPr>
        <w:tc>
          <w:tcPr>
            <w:tcW w:w="960" w:type="dxa"/>
            <w:tcBorders>
              <w:top w:val="nil"/>
              <w:left w:val="nil"/>
              <w:bottom w:val="nil"/>
              <w:right w:val="nil"/>
            </w:tcBorders>
            <w:noWrap/>
            <w:vAlign w:val="bottom"/>
            <w:hideMark/>
          </w:tcPr>
          <w:p w:rsidR="00897A0B" w:rsidRPr="00C65541" w:rsidRDefault="00897A0B" w:rsidP="00FC1DA8">
            <w:pPr>
              <w:spacing w:after="0"/>
              <w:jc w:val="right"/>
              <w:rPr>
                <w:rFonts w:eastAsia="Times New Roman" w:cs="Times New Roman"/>
                <w:color w:val="000000"/>
              </w:rPr>
            </w:pPr>
            <w:r w:rsidRPr="00C65541">
              <w:rPr>
                <w:rFonts w:eastAsia="Times New Roman" w:cs="Times New Roman"/>
                <w:color w:val="000000"/>
              </w:rPr>
              <w:t>N</w:t>
            </w:r>
          </w:p>
        </w:tc>
        <w:tc>
          <w:tcPr>
            <w:tcW w:w="930" w:type="dxa"/>
            <w:tcBorders>
              <w:top w:val="nil"/>
              <w:left w:val="nil"/>
              <w:bottom w:val="single" w:sz="4" w:space="0" w:color="auto"/>
              <w:right w:val="nil"/>
            </w:tcBorders>
            <w:noWrap/>
            <w:vAlign w:val="bottom"/>
            <w:hideMark/>
          </w:tcPr>
          <w:p w:rsidR="00897A0B" w:rsidRPr="00C65541" w:rsidRDefault="00897A0B" w:rsidP="00FC1DA8">
            <w:pPr>
              <w:spacing w:after="0"/>
              <w:jc w:val="right"/>
              <w:rPr>
                <w:rFonts w:eastAsia="Times New Roman" w:cs="Times New Roman"/>
                <w:color w:val="000000"/>
              </w:rPr>
            </w:pPr>
          </w:p>
        </w:tc>
        <w:tc>
          <w:tcPr>
            <w:tcW w:w="1048" w:type="dxa"/>
            <w:tcBorders>
              <w:top w:val="nil"/>
              <w:left w:val="nil"/>
              <w:bottom w:val="single" w:sz="4" w:space="0" w:color="auto"/>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25</w:t>
            </w:r>
          </w:p>
        </w:tc>
        <w:tc>
          <w:tcPr>
            <w:tcW w:w="1027" w:type="dxa"/>
            <w:tcBorders>
              <w:top w:val="nil"/>
              <w:left w:val="nil"/>
              <w:bottom w:val="single" w:sz="4" w:space="0" w:color="auto"/>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25</w:t>
            </w:r>
          </w:p>
        </w:tc>
        <w:tc>
          <w:tcPr>
            <w:tcW w:w="919" w:type="dxa"/>
            <w:tcBorders>
              <w:top w:val="nil"/>
              <w:left w:val="nil"/>
              <w:bottom w:val="single" w:sz="4" w:space="0" w:color="auto"/>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25</w:t>
            </w:r>
          </w:p>
        </w:tc>
        <w:tc>
          <w:tcPr>
            <w:tcW w:w="919" w:type="dxa"/>
            <w:tcBorders>
              <w:top w:val="nil"/>
              <w:left w:val="nil"/>
              <w:bottom w:val="single" w:sz="4" w:space="0" w:color="auto"/>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25</w:t>
            </w:r>
          </w:p>
        </w:tc>
        <w:tc>
          <w:tcPr>
            <w:tcW w:w="919" w:type="dxa"/>
            <w:tcBorders>
              <w:top w:val="nil"/>
              <w:left w:val="nil"/>
              <w:bottom w:val="single" w:sz="4" w:space="0" w:color="auto"/>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13</w:t>
            </w:r>
          </w:p>
        </w:tc>
        <w:tc>
          <w:tcPr>
            <w:tcW w:w="960" w:type="dxa"/>
            <w:tcBorders>
              <w:top w:val="nil"/>
              <w:left w:val="nil"/>
              <w:bottom w:val="single" w:sz="4" w:space="0" w:color="auto"/>
              <w:right w:val="nil"/>
            </w:tcBorders>
            <w:noWrap/>
            <w:vAlign w:val="bottom"/>
            <w:hideMark/>
          </w:tcPr>
          <w:p w:rsidR="00897A0B" w:rsidRPr="00C65541" w:rsidRDefault="00897A0B" w:rsidP="00FC1DA8">
            <w:pPr>
              <w:spacing w:after="0"/>
              <w:jc w:val="center"/>
              <w:rPr>
                <w:rFonts w:eastAsia="Times New Roman" w:cs="Times New Roman"/>
                <w:color w:val="000000"/>
              </w:rPr>
            </w:pPr>
            <w:r w:rsidRPr="00C65541">
              <w:rPr>
                <w:rFonts w:eastAsia="Times New Roman" w:cs="Times New Roman"/>
                <w:color w:val="000000"/>
              </w:rPr>
              <w:t>15</w:t>
            </w:r>
          </w:p>
        </w:tc>
        <w:tc>
          <w:tcPr>
            <w:tcW w:w="2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color w:val="000000"/>
              </w:rPr>
            </w:pPr>
          </w:p>
        </w:tc>
        <w:tc>
          <w:tcPr>
            <w:tcW w:w="960" w:type="dxa"/>
            <w:tcBorders>
              <w:top w:val="nil"/>
              <w:left w:val="nil"/>
              <w:bottom w:val="single" w:sz="4" w:space="0" w:color="auto"/>
              <w:right w:val="nil"/>
            </w:tcBorders>
            <w:noWrap/>
            <w:vAlign w:val="bottom"/>
            <w:hideMark/>
          </w:tcPr>
          <w:p w:rsidR="00897A0B" w:rsidRPr="00C65541" w:rsidRDefault="00897A0B" w:rsidP="00FC1DA8">
            <w:pPr>
              <w:spacing w:after="0"/>
              <w:jc w:val="center"/>
              <w:rPr>
                <w:rFonts w:eastAsia="Times New Roman" w:cs="Times New Roman"/>
                <w:sz w:val="20"/>
                <w:szCs w:val="20"/>
              </w:rPr>
            </w:pPr>
          </w:p>
        </w:tc>
        <w:tc>
          <w:tcPr>
            <w:tcW w:w="960" w:type="dxa"/>
            <w:tcBorders>
              <w:top w:val="nil"/>
              <w:left w:val="nil"/>
              <w:bottom w:val="single" w:sz="4" w:space="0" w:color="auto"/>
              <w:right w:val="nil"/>
            </w:tcBorders>
            <w:noWrap/>
            <w:vAlign w:val="bottom"/>
            <w:hideMark/>
          </w:tcPr>
          <w:p w:rsidR="00897A0B" w:rsidRPr="00C65541" w:rsidRDefault="00897A0B" w:rsidP="00FC1DA8">
            <w:pPr>
              <w:spacing w:after="0"/>
              <w:jc w:val="center"/>
              <w:rPr>
                <w:rFonts w:eastAsia="Times New Roman" w:cs="Times New Roman"/>
                <w:sz w:val="20"/>
                <w:szCs w:val="20"/>
              </w:rPr>
            </w:pPr>
          </w:p>
        </w:tc>
        <w:tc>
          <w:tcPr>
            <w:tcW w:w="1017" w:type="dxa"/>
            <w:tcBorders>
              <w:top w:val="nil"/>
              <w:left w:val="nil"/>
              <w:bottom w:val="single" w:sz="4" w:space="0" w:color="auto"/>
              <w:right w:val="nil"/>
            </w:tcBorders>
            <w:noWrap/>
            <w:vAlign w:val="bottom"/>
            <w:hideMark/>
          </w:tcPr>
          <w:p w:rsidR="00897A0B" w:rsidRPr="00C65541" w:rsidRDefault="00897A0B" w:rsidP="00FC1DA8">
            <w:pPr>
              <w:spacing w:after="0"/>
              <w:jc w:val="center"/>
              <w:rPr>
                <w:rFonts w:eastAsia="Times New Roman" w:cs="Times New Roman"/>
                <w:sz w:val="20"/>
                <w:szCs w:val="20"/>
              </w:rPr>
            </w:pPr>
          </w:p>
        </w:tc>
      </w:tr>
      <w:tr w:rsidR="00897A0B" w:rsidRPr="00C65541" w:rsidTr="00897A0B">
        <w:trPr>
          <w:trHeight w:val="310"/>
          <w:jc w:val="center"/>
        </w:trPr>
        <w:tc>
          <w:tcPr>
            <w:tcW w:w="9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sz w:val="20"/>
                <w:szCs w:val="20"/>
              </w:rPr>
            </w:pPr>
          </w:p>
        </w:tc>
        <w:tc>
          <w:tcPr>
            <w:tcW w:w="3924" w:type="dxa"/>
            <w:gridSpan w:val="4"/>
            <w:tcBorders>
              <w:top w:val="nil"/>
              <w:left w:val="nil"/>
              <w:bottom w:val="nil"/>
              <w:right w:val="nil"/>
            </w:tcBorders>
            <w:noWrap/>
            <w:vAlign w:val="bottom"/>
            <w:hideMark/>
          </w:tcPr>
          <w:p w:rsidR="00897A0B" w:rsidRPr="00C65541" w:rsidRDefault="00897A0B" w:rsidP="00FC1DA8">
            <w:pPr>
              <w:spacing w:after="0"/>
              <w:rPr>
                <w:rFonts w:eastAsia="Times New Roman" w:cs="Times New Roman"/>
                <w:color w:val="000000"/>
              </w:rPr>
            </w:pPr>
            <w:r w:rsidRPr="00C65541">
              <w:rPr>
                <w:rFonts w:eastAsia="Times New Roman" w:cs="Times New Roman"/>
                <w:color w:val="000000"/>
              </w:rPr>
              <w:t>N: Number of EMPA data points</w:t>
            </w:r>
          </w:p>
        </w:tc>
        <w:tc>
          <w:tcPr>
            <w:tcW w:w="919" w:type="dxa"/>
            <w:tcBorders>
              <w:top w:val="nil"/>
              <w:left w:val="nil"/>
              <w:bottom w:val="nil"/>
              <w:right w:val="nil"/>
            </w:tcBorders>
            <w:noWrap/>
            <w:vAlign w:val="bottom"/>
            <w:hideMark/>
          </w:tcPr>
          <w:p w:rsidR="00897A0B" w:rsidRPr="00C65541" w:rsidRDefault="00897A0B" w:rsidP="00FC1DA8">
            <w:pPr>
              <w:spacing w:after="0"/>
              <w:rPr>
                <w:rFonts w:eastAsia="Times New Roman" w:cs="Times New Roman"/>
                <w:color w:val="000000"/>
              </w:rPr>
            </w:pPr>
          </w:p>
        </w:tc>
        <w:tc>
          <w:tcPr>
            <w:tcW w:w="919"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sz w:val="20"/>
                <w:szCs w:val="20"/>
              </w:rPr>
            </w:pPr>
          </w:p>
        </w:tc>
        <w:tc>
          <w:tcPr>
            <w:tcW w:w="9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sz w:val="20"/>
                <w:szCs w:val="20"/>
              </w:rPr>
            </w:pPr>
          </w:p>
        </w:tc>
        <w:tc>
          <w:tcPr>
            <w:tcW w:w="2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sz w:val="20"/>
                <w:szCs w:val="20"/>
              </w:rPr>
            </w:pPr>
          </w:p>
        </w:tc>
        <w:tc>
          <w:tcPr>
            <w:tcW w:w="9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sz w:val="20"/>
                <w:szCs w:val="20"/>
              </w:rPr>
            </w:pPr>
          </w:p>
        </w:tc>
        <w:tc>
          <w:tcPr>
            <w:tcW w:w="9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sz w:val="20"/>
                <w:szCs w:val="20"/>
              </w:rPr>
            </w:pPr>
          </w:p>
        </w:tc>
        <w:tc>
          <w:tcPr>
            <w:tcW w:w="1017"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sz w:val="20"/>
                <w:szCs w:val="20"/>
              </w:rPr>
            </w:pPr>
          </w:p>
        </w:tc>
      </w:tr>
      <w:tr w:rsidR="00897A0B" w:rsidRPr="00C65541" w:rsidTr="00897A0B">
        <w:trPr>
          <w:trHeight w:val="310"/>
          <w:jc w:val="center"/>
        </w:trPr>
        <w:tc>
          <w:tcPr>
            <w:tcW w:w="960" w:type="dxa"/>
            <w:tcBorders>
              <w:top w:val="nil"/>
              <w:left w:val="nil"/>
              <w:bottom w:val="nil"/>
              <w:right w:val="nil"/>
            </w:tcBorders>
            <w:noWrap/>
            <w:vAlign w:val="bottom"/>
            <w:hideMark/>
          </w:tcPr>
          <w:p w:rsidR="00897A0B" w:rsidRPr="00C65541" w:rsidRDefault="00897A0B" w:rsidP="00FC1DA8">
            <w:pPr>
              <w:spacing w:after="0"/>
              <w:jc w:val="center"/>
              <w:rPr>
                <w:rFonts w:eastAsia="Times New Roman" w:cs="Times New Roman"/>
                <w:sz w:val="20"/>
                <w:szCs w:val="20"/>
              </w:rPr>
            </w:pPr>
          </w:p>
        </w:tc>
        <w:tc>
          <w:tcPr>
            <w:tcW w:w="5762" w:type="dxa"/>
            <w:gridSpan w:val="6"/>
            <w:tcBorders>
              <w:top w:val="nil"/>
              <w:left w:val="nil"/>
              <w:bottom w:val="nil"/>
              <w:right w:val="nil"/>
            </w:tcBorders>
            <w:noWrap/>
            <w:vAlign w:val="bottom"/>
            <w:hideMark/>
          </w:tcPr>
          <w:p w:rsidR="00897A0B" w:rsidRPr="00C65541" w:rsidRDefault="00897A0B" w:rsidP="00FC1DA8">
            <w:pPr>
              <w:spacing w:after="0"/>
              <w:rPr>
                <w:rFonts w:eastAsia="Times New Roman" w:cs="Times New Roman"/>
                <w:color w:val="000000"/>
              </w:rPr>
            </w:pPr>
            <w:r w:rsidRPr="00C65541">
              <w:rPr>
                <w:rFonts w:eastAsia="Times New Roman" w:cs="Times New Roman"/>
                <w:color w:val="000000"/>
              </w:rPr>
              <w:t>MAC: Macusani ob</w:t>
            </w:r>
            <w:r>
              <w:rPr>
                <w:rFonts w:eastAsia="Times New Roman" w:cs="Times New Roman"/>
                <w:color w:val="000000"/>
              </w:rPr>
              <w:t xml:space="preserve">sidian, London et al. </w:t>
            </w:r>
            <w:r w:rsidRPr="00C65541">
              <w:rPr>
                <w:rFonts w:eastAsia="Times New Roman" w:cs="Times New Roman"/>
                <w:color w:val="000000"/>
              </w:rPr>
              <w:t>(1988)</w:t>
            </w:r>
          </w:p>
        </w:tc>
        <w:tc>
          <w:tcPr>
            <w:tcW w:w="960" w:type="dxa"/>
            <w:tcBorders>
              <w:top w:val="nil"/>
              <w:left w:val="nil"/>
              <w:bottom w:val="nil"/>
              <w:right w:val="nil"/>
            </w:tcBorders>
            <w:vAlign w:val="bottom"/>
            <w:hideMark/>
          </w:tcPr>
          <w:p w:rsidR="00897A0B" w:rsidRPr="00C65541" w:rsidRDefault="00897A0B" w:rsidP="00FC1DA8">
            <w:pPr>
              <w:spacing w:after="0"/>
              <w:rPr>
                <w:rFonts w:eastAsia="Times New Roman" w:cs="Times New Roman"/>
                <w:color w:val="000000"/>
              </w:rPr>
            </w:pPr>
          </w:p>
        </w:tc>
        <w:tc>
          <w:tcPr>
            <w:tcW w:w="260" w:type="dxa"/>
            <w:tcBorders>
              <w:top w:val="nil"/>
              <w:left w:val="nil"/>
              <w:bottom w:val="nil"/>
              <w:right w:val="nil"/>
            </w:tcBorders>
            <w:vAlign w:val="bottom"/>
            <w:hideMark/>
          </w:tcPr>
          <w:p w:rsidR="00897A0B" w:rsidRPr="00C65541" w:rsidRDefault="00897A0B" w:rsidP="00FC1DA8">
            <w:pPr>
              <w:spacing w:after="0"/>
              <w:rPr>
                <w:rFonts w:eastAsia="Times New Roman" w:cs="Times New Roman"/>
                <w:sz w:val="20"/>
                <w:szCs w:val="20"/>
              </w:rPr>
            </w:pPr>
          </w:p>
        </w:tc>
        <w:tc>
          <w:tcPr>
            <w:tcW w:w="960" w:type="dxa"/>
            <w:tcBorders>
              <w:top w:val="nil"/>
              <w:left w:val="nil"/>
              <w:bottom w:val="nil"/>
              <w:right w:val="nil"/>
            </w:tcBorders>
            <w:vAlign w:val="bottom"/>
            <w:hideMark/>
          </w:tcPr>
          <w:p w:rsidR="00897A0B" w:rsidRPr="00C65541" w:rsidRDefault="00897A0B" w:rsidP="00FC1DA8">
            <w:pPr>
              <w:spacing w:after="0"/>
              <w:rPr>
                <w:rFonts w:eastAsia="Times New Roman" w:cs="Times New Roman"/>
                <w:sz w:val="20"/>
                <w:szCs w:val="20"/>
              </w:rPr>
            </w:pPr>
          </w:p>
        </w:tc>
        <w:tc>
          <w:tcPr>
            <w:tcW w:w="960" w:type="dxa"/>
            <w:tcBorders>
              <w:top w:val="nil"/>
              <w:left w:val="nil"/>
              <w:bottom w:val="nil"/>
              <w:right w:val="nil"/>
            </w:tcBorders>
            <w:vAlign w:val="bottom"/>
            <w:hideMark/>
          </w:tcPr>
          <w:p w:rsidR="00897A0B" w:rsidRPr="00C65541" w:rsidRDefault="00897A0B" w:rsidP="00FC1DA8">
            <w:pPr>
              <w:spacing w:after="0"/>
              <w:rPr>
                <w:rFonts w:eastAsia="Times New Roman" w:cs="Times New Roman"/>
                <w:sz w:val="20"/>
                <w:szCs w:val="20"/>
              </w:rPr>
            </w:pPr>
          </w:p>
        </w:tc>
        <w:tc>
          <w:tcPr>
            <w:tcW w:w="1017" w:type="dxa"/>
            <w:tcBorders>
              <w:top w:val="nil"/>
              <w:left w:val="nil"/>
              <w:bottom w:val="nil"/>
              <w:right w:val="nil"/>
            </w:tcBorders>
            <w:vAlign w:val="bottom"/>
            <w:hideMark/>
          </w:tcPr>
          <w:p w:rsidR="00897A0B" w:rsidRPr="00C65541" w:rsidRDefault="00897A0B" w:rsidP="00FC1DA8">
            <w:pPr>
              <w:spacing w:after="0"/>
              <w:rPr>
                <w:rFonts w:eastAsia="Times New Roman" w:cs="Times New Roman"/>
                <w:sz w:val="20"/>
                <w:szCs w:val="20"/>
              </w:rPr>
            </w:pPr>
          </w:p>
        </w:tc>
      </w:tr>
      <w:tr w:rsidR="00897A0B" w:rsidRPr="00C65541" w:rsidTr="00897A0B">
        <w:trPr>
          <w:trHeight w:val="310"/>
          <w:jc w:val="center"/>
        </w:trPr>
        <w:tc>
          <w:tcPr>
            <w:tcW w:w="960" w:type="dxa"/>
            <w:tcBorders>
              <w:top w:val="nil"/>
              <w:left w:val="nil"/>
              <w:bottom w:val="nil"/>
              <w:right w:val="nil"/>
            </w:tcBorders>
            <w:noWrap/>
            <w:vAlign w:val="bottom"/>
            <w:hideMark/>
          </w:tcPr>
          <w:p w:rsidR="00897A0B" w:rsidRPr="00C65541" w:rsidRDefault="00897A0B" w:rsidP="00FC1DA8">
            <w:pPr>
              <w:spacing w:after="0"/>
              <w:rPr>
                <w:rFonts w:eastAsia="Times New Roman" w:cs="Times New Roman"/>
                <w:sz w:val="20"/>
                <w:szCs w:val="20"/>
              </w:rPr>
            </w:pPr>
          </w:p>
        </w:tc>
        <w:tc>
          <w:tcPr>
            <w:tcW w:w="8902" w:type="dxa"/>
            <w:gridSpan w:val="10"/>
            <w:tcBorders>
              <w:top w:val="nil"/>
              <w:left w:val="nil"/>
              <w:bottom w:val="nil"/>
              <w:right w:val="nil"/>
            </w:tcBorders>
            <w:noWrap/>
            <w:vAlign w:val="bottom"/>
            <w:hideMark/>
          </w:tcPr>
          <w:p w:rsidR="00897A0B" w:rsidRPr="00C65541" w:rsidRDefault="00897A0B" w:rsidP="00FC1DA8">
            <w:pPr>
              <w:spacing w:after="0"/>
              <w:rPr>
                <w:rFonts w:eastAsia="Times New Roman" w:cs="Times New Roman"/>
                <w:color w:val="000000"/>
              </w:rPr>
            </w:pPr>
            <w:r w:rsidRPr="00C65541">
              <w:rPr>
                <w:rFonts w:eastAsia="Times New Roman" w:cs="Times New Roman"/>
                <w:color w:val="000000"/>
              </w:rPr>
              <w:t>Anh</w:t>
            </w:r>
            <w:r>
              <w:rPr>
                <w:rFonts w:eastAsia="Times New Roman" w:cs="Times New Roman"/>
                <w:color w:val="000000"/>
              </w:rPr>
              <w:t>ydrous glasses (JM</w:t>
            </w:r>
            <w:r w:rsidRPr="00C65541">
              <w:rPr>
                <w:rFonts w:eastAsia="Times New Roman" w:cs="Times New Roman"/>
                <w:color w:val="000000"/>
              </w:rPr>
              <w:t>) produced and characterized by the Johns Manville company</w:t>
            </w:r>
          </w:p>
        </w:tc>
        <w:tc>
          <w:tcPr>
            <w:tcW w:w="1017" w:type="dxa"/>
            <w:tcBorders>
              <w:top w:val="nil"/>
              <w:left w:val="nil"/>
              <w:bottom w:val="nil"/>
              <w:right w:val="nil"/>
            </w:tcBorders>
            <w:vAlign w:val="bottom"/>
            <w:hideMark/>
          </w:tcPr>
          <w:p w:rsidR="00897A0B" w:rsidRPr="00C65541" w:rsidRDefault="00897A0B" w:rsidP="00FC1DA8">
            <w:pPr>
              <w:spacing w:after="0"/>
              <w:rPr>
                <w:rFonts w:eastAsia="Times New Roman" w:cs="Times New Roman"/>
                <w:color w:val="000000"/>
              </w:rPr>
            </w:pPr>
          </w:p>
        </w:tc>
      </w:tr>
    </w:tbl>
    <w:p w:rsidR="00DC1C38" w:rsidRDefault="006A1CD6" w:rsidP="00DC1C38">
      <w:r>
        <w:rPr>
          <w:b/>
          <w:noProof/>
        </w:rPr>
        <mc:AlternateContent>
          <mc:Choice Requires="wps">
            <w:drawing>
              <wp:anchor distT="0" distB="0" distL="114300" distR="114300" simplePos="0" relativeHeight="251797504" behindDoc="0" locked="0" layoutInCell="1" allowOverlap="1" wp14:anchorId="4E735349" wp14:editId="394F0956">
                <wp:simplePos x="0" y="0"/>
                <wp:positionH relativeFrom="margin">
                  <wp:posOffset>-914400</wp:posOffset>
                </wp:positionH>
                <wp:positionV relativeFrom="margin">
                  <wp:posOffset>1958340</wp:posOffset>
                </wp:positionV>
                <wp:extent cx="914400" cy="914400"/>
                <wp:effectExtent l="0" t="0" r="0" b="0"/>
                <wp:wrapNone/>
                <wp:docPr id="195" name="Rectangle 195"/>
                <wp:cNvGraphicFramePr/>
                <a:graphic xmlns:a="http://schemas.openxmlformats.org/drawingml/2006/main">
                  <a:graphicData uri="http://schemas.microsoft.com/office/word/2010/wordprocessingShape">
                    <wps:wsp>
                      <wps:cNvSpPr/>
                      <wps:spPr>
                        <a:xfrm rot="5400000">
                          <a:off x="0" y="0"/>
                          <a:ext cx="914400" cy="914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D3B9B" w:rsidRPr="00935830" w:rsidRDefault="006D3B9B" w:rsidP="006A1CD6">
                            <w:pPr>
                              <w:jc w:val="center"/>
                              <w:rPr>
                                <w:color w:val="000000" w:themeColor="text1"/>
                              </w:rPr>
                            </w:pPr>
                            <w:r>
                              <w:rPr>
                                <w:color w:val="000000" w:themeColor="text1"/>
                              </w:rPr>
                              <w:t>81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735349" id="Rectangle 195" o:spid="_x0000_s1049" style="position:absolute;margin-left:-1in;margin-top:154.2pt;width:1in;height:1in;rotation:90;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" filled="f" stroked="f" strokeweight="2pt">
                <v:textbox>
                  <w:txbxContent>
                    <w:p w:rsidR="006D3B9B" w:rsidRPr="00935830" w:rsidRDefault="006D3B9B" w:rsidP="006A1CD6">
                      <w:pPr>
                        <w:jc w:val="center"/>
                        <w:rPr>
                          <w:color w:val="000000" w:themeColor="text1"/>
                        </w:rPr>
                      </w:pPr>
                      <w:r>
                        <w:rPr>
                          <w:color w:val="000000" w:themeColor="text1"/>
                        </w:rPr>
                        <w:t>81</w:t>
                      </w:r>
                    </w:p>
                  </w:txbxContent>
                </v:textbox>
                <w10:wrap anchorx="margin" anchory="margin"/>
              </v:rect>
            </w:pict>
          </mc:Fallback>
        </mc:AlternateContent>
      </w:r>
      <w:r w:rsidR="00DC1C38">
        <w:br w:type="page"/>
      </w:r>
    </w:p>
    <w:p w:rsidR="00897A0B" w:rsidRPr="00897A0B" w:rsidRDefault="00897A0B" w:rsidP="00897A0B">
      <w:pPr>
        <w:pStyle w:val="Caption"/>
        <w:keepNext/>
        <w:jc w:val="center"/>
        <w:rPr>
          <w:sz w:val="24"/>
          <w:szCs w:val="24"/>
        </w:rPr>
      </w:pPr>
      <w:bookmarkStart w:id="115" w:name="_Toc490131687"/>
      <w:r w:rsidRPr="00897A0B">
        <w:rPr>
          <w:sz w:val="24"/>
          <w:szCs w:val="24"/>
        </w:rPr>
        <w:lastRenderedPageBreak/>
        <w:t xml:space="preserve">Table </w:t>
      </w:r>
      <w:r w:rsidR="00B23FDA">
        <w:rPr>
          <w:sz w:val="24"/>
          <w:szCs w:val="24"/>
        </w:rPr>
        <w:fldChar w:fldCharType="begin"/>
      </w:r>
      <w:r w:rsidR="00B23FDA">
        <w:rPr>
          <w:sz w:val="24"/>
          <w:szCs w:val="24"/>
        </w:rPr>
        <w:instrText xml:space="preserve"> STYLEREF 1 \s </w:instrText>
      </w:r>
      <w:r w:rsidR="00B23FDA">
        <w:rPr>
          <w:sz w:val="24"/>
          <w:szCs w:val="24"/>
        </w:rPr>
        <w:fldChar w:fldCharType="separate"/>
      </w:r>
      <w:r w:rsidR="000C5FC3">
        <w:rPr>
          <w:noProof/>
          <w:sz w:val="24"/>
          <w:szCs w:val="24"/>
        </w:rPr>
        <w:t>3</w:t>
      </w:r>
      <w:r w:rsidR="00B23FDA">
        <w:rPr>
          <w:sz w:val="24"/>
          <w:szCs w:val="24"/>
        </w:rPr>
        <w:fldChar w:fldCharType="end"/>
      </w:r>
      <w:r w:rsidR="00B23FDA">
        <w:rPr>
          <w:sz w:val="24"/>
          <w:szCs w:val="24"/>
        </w:rPr>
        <w:noBreakHyphen/>
      </w:r>
      <w:r w:rsidR="00B23FDA">
        <w:rPr>
          <w:sz w:val="24"/>
          <w:szCs w:val="24"/>
        </w:rPr>
        <w:fldChar w:fldCharType="begin"/>
      </w:r>
      <w:r w:rsidR="00B23FDA">
        <w:rPr>
          <w:sz w:val="24"/>
          <w:szCs w:val="24"/>
        </w:rPr>
        <w:instrText xml:space="preserve"> SEQ Table \* ARABIC \s 1 </w:instrText>
      </w:r>
      <w:r w:rsidR="00B23FDA">
        <w:rPr>
          <w:sz w:val="24"/>
          <w:szCs w:val="24"/>
        </w:rPr>
        <w:fldChar w:fldCharType="separate"/>
      </w:r>
      <w:r w:rsidR="000C5FC3">
        <w:rPr>
          <w:noProof/>
          <w:sz w:val="24"/>
          <w:szCs w:val="24"/>
        </w:rPr>
        <w:t>3</w:t>
      </w:r>
      <w:r w:rsidR="00B23FDA">
        <w:rPr>
          <w:sz w:val="24"/>
          <w:szCs w:val="24"/>
        </w:rPr>
        <w:fldChar w:fldCharType="end"/>
      </w:r>
      <w:r w:rsidRPr="00897A0B">
        <w:rPr>
          <w:rFonts w:eastAsia="Times New Roman" w:cs="Times New Roman"/>
          <w:color w:val="000000"/>
          <w:sz w:val="24"/>
          <w:szCs w:val="24"/>
        </w:rPr>
        <w:t xml:space="preserve"> Effective binary diffusion coefficients for boron</w:t>
      </w:r>
      <w:bookmarkEnd w:id="115"/>
    </w:p>
    <w:tbl>
      <w:tblPr>
        <w:tblW w:w="12960" w:type="dxa"/>
        <w:jc w:val="center"/>
        <w:tblCellMar>
          <w:top w:w="15" w:type="dxa"/>
          <w:bottom w:w="15" w:type="dxa"/>
        </w:tblCellMar>
        <w:tblLook w:val="04A0" w:firstRow="1" w:lastRow="0" w:firstColumn="1" w:lastColumn="0" w:noHBand="0" w:noVBand="1"/>
      </w:tblPr>
      <w:tblGrid>
        <w:gridCol w:w="1070"/>
        <w:gridCol w:w="1805"/>
        <w:gridCol w:w="916"/>
        <w:gridCol w:w="1061"/>
        <w:gridCol w:w="361"/>
        <w:gridCol w:w="911"/>
        <w:gridCol w:w="891"/>
        <w:gridCol w:w="666"/>
        <w:gridCol w:w="931"/>
        <w:gridCol w:w="666"/>
        <w:gridCol w:w="1385"/>
        <w:gridCol w:w="1366"/>
        <w:gridCol w:w="931"/>
      </w:tblGrid>
      <w:tr w:rsidR="00897A0B" w:rsidRPr="00D27CF6" w:rsidTr="00897A0B">
        <w:trPr>
          <w:trHeight w:val="310"/>
          <w:jc w:val="center"/>
        </w:trPr>
        <w:tc>
          <w:tcPr>
            <w:tcW w:w="1071"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Exp#</w:t>
            </w:r>
          </w:p>
        </w:tc>
        <w:tc>
          <w:tcPr>
            <w:tcW w:w="1806"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Design</w:t>
            </w:r>
          </w:p>
        </w:tc>
        <w:tc>
          <w:tcPr>
            <w:tcW w:w="916"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T (°C)</w:t>
            </w:r>
          </w:p>
        </w:tc>
        <w:tc>
          <w:tcPr>
            <w:tcW w:w="1061"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t (days)</w:t>
            </w:r>
          </w:p>
        </w:tc>
        <w:tc>
          <w:tcPr>
            <w:tcW w:w="361"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p>
        </w:tc>
        <w:tc>
          <w:tcPr>
            <w:tcW w:w="911"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BM (max)</w:t>
            </w:r>
          </w:p>
        </w:tc>
        <w:tc>
          <w:tcPr>
            <w:tcW w:w="891"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BM (min)</w:t>
            </w:r>
          </w:p>
        </w:tc>
        <w:tc>
          <w:tcPr>
            <w:tcW w:w="665" w:type="dxa"/>
            <w:tcBorders>
              <w:top w:val="nil"/>
              <w:left w:val="nil"/>
              <w:bottom w:val="single" w:sz="4" w:space="0" w:color="auto"/>
              <w:right w:val="nil"/>
            </w:tcBorders>
            <w:noWrap/>
            <w:vAlign w:val="bottom"/>
            <w:hideMark/>
          </w:tcPr>
          <w:p w:rsidR="00897A0B" w:rsidRPr="00D27CF6" w:rsidRDefault="00897A0B" w:rsidP="00FC1DA8">
            <w:pPr>
              <w:spacing w:after="0"/>
              <w:rPr>
                <w:rFonts w:eastAsia="Times New Roman" w:cs="Times New Roman"/>
                <w:color w:val="000000"/>
                <w:sz w:val="20"/>
                <w:szCs w:val="20"/>
              </w:rPr>
            </w:pPr>
            <w:r w:rsidRPr="00D27CF6">
              <w:rPr>
                <w:rFonts w:eastAsia="Times New Roman" w:cs="Times New Roman"/>
                <w:color w:val="000000"/>
                <w:sz w:val="20"/>
                <w:szCs w:val="20"/>
              </w:rPr>
              <w:t>r</w:t>
            </w:r>
            <w:r w:rsidRPr="00D27CF6">
              <w:rPr>
                <w:rFonts w:eastAsia="Times New Roman" w:cs="Times New Roman"/>
                <w:color w:val="000000"/>
                <w:sz w:val="20"/>
                <w:szCs w:val="20"/>
                <w:vertAlign w:val="superscript"/>
              </w:rPr>
              <w:t>2</w:t>
            </w:r>
          </w:p>
        </w:tc>
        <w:tc>
          <w:tcPr>
            <w:tcW w:w="931"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erf</w:t>
            </w:r>
          </w:p>
        </w:tc>
        <w:tc>
          <w:tcPr>
            <w:tcW w:w="665" w:type="dxa"/>
            <w:tcBorders>
              <w:top w:val="nil"/>
              <w:left w:val="nil"/>
              <w:bottom w:val="single" w:sz="4" w:space="0" w:color="auto"/>
              <w:right w:val="nil"/>
            </w:tcBorders>
            <w:noWrap/>
            <w:vAlign w:val="bottom"/>
            <w:hideMark/>
          </w:tcPr>
          <w:p w:rsidR="00897A0B" w:rsidRPr="00D27CF6" w:rsidRDefault="00897A0B" w:rsidP="00FC1DA8">
            <w:pPr>
              <w:spacing w:after="0"/>
              <w:rPr>
                <w:rFonts w:eastAsia="Times New Roman" w:cs="Times New Roman"/>
                <w:color w:val="000000"/>
                <w:sz w:val="20"/>
                <w:szCs w:val="20"/>
              </w:rPr>
            </w:pPr>
            <w:r w:rsidRPr="00D27CF6">
              <w:rPr>
                <w:rFonts w:eastAsia="Times New Roman" w:cs="Times New Roman"/>
                <w:color w:val="000000"/>
                <w:sz w:val="20"/>
                <w:szCs w:val="20"/>
              </w:rPr>
              <w:t>r</w:t>
            </w:r>
            <w:r w:rsidRPr="00D27CF6">
              <w:rPr>
                <w:rFonts w:eastAsia="Times New Roman" w:cs="Times New Roman"/>
                <w:color w:val="000000"/>
                <w:sz w:val="20"/>
                <w:szCs w:val="20"/>
                <w:vertAlign w:val="superscript"/>
              </w:rPr>
              <w:t>2</w:t>
            </w:r>
          </w:p>
        </w:tc>
        <w:tc>
          <w:tcPr>
            <w:tcW w:w="1385"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ln(D)-BM (max)</w:t>
            </w:r>
          </w:p>
        </w:tc>
        <w:tc>
          <w:tcPr>
            <w:tcW w:w="1366"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ln(D)-BM (min)</w:t>
            </w:r>
          </w:p>
        </w:tc>
        <w:tc>
          <w:tcPr>
            <w:tcW w:w="931"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ln(D)-erf</w:t>
            </w:r>
          </w:p>
        </w:tc>
      </w:tr>
      <w:tr w:rsidR="00897A0B" w:rsidRPr="00D27CF6" w:rsidTr="00897A0B">
        <w:trPr>
          <w:trHeight w:val="300"/>
          <w:jc w:val="center"/>
        </w:trPr>
        <w:tc>
          <w:tcPr>
            <w:tcW w:w="1071" w:type="dxa"/>
            <w:tcBorders>
              <w:top w:val="single" w:sz="4" w:space="0" w:color="auto"/>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CGB2</w:t>
            </w:r>
          </w:p>
        </w:tc>
        <w:tc>
          <w:tcPr>
            <w:tcW w:w="1806" w:type="dxa"/>
            <w:tcBorders>
              <w:top w:val="single" w:sz="4" w:space="0" w:color="auto"/>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H</w:t>
            </w:r>
            <w:r w:rsidRPr="00D27CF6">
              <w:rPr>
                <w:rFonts w:eastAsia="Times New Roman" w:cs="Times New Roman"/>
                <w:color w:val="000000"/>
                <w:sz w:val="20"/>
                <w:szCs w:val="20"/>
                <w:vertAlign w:val="subscript"/>
              </w:rPr>
              <w:t>3</w:t>
            </w:r>
            <w:r w:rsidRPr="00D27CF6">
              <w:rPr>
                <w:rFonts w:eastAsia="Times New Roman" w:cs="Times New Roman"/>
                <w:color w:val="000000"/>
                <w:sz w:val="20"/>
                <w:szCs w:val="20"/>
              </w:rPr>
              <w:t>BO</w:t>
            </w:r>
            <w:r w:rsidRPr="00D27CF6">
              <w:rPr>
                <w:rFonts w:eastAsia="Times New Roman" w:cs="Times New Roman"/>
                <w:color w:val="000000"/>
                <w:sz w:val="20"/>
                <w:szCs w:val="20"/>
                <w:vertAlign w:val="subscript"/>
              </w:rPr>
              <w:t>3</w:t>
            </w:r>
            <w:r w:rsidRPr="00D27CF6">
              <w:rPr>
                <w:rFonts w:eastAsia="Times New Roman" w:cs="Times New Roman"/>
                <w:color w:val="000000"/>
                <w:sz w:val="20"/>
                <w:szCs w:val="20"/>
              </w:rPr>
              <w:t xml:space="preserve"> + CG</w:t>
            </w:r>
          </w:p>
        </w:tc>
        <w:tc>
          <w:tcPr>
            <w:tcW w:w="916" w:type="dxa"/>
            <w:tcBorders>
              <w:top w:val="single" w:sz="4" w:space="0" w:color="auto"/>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800</w:t>
            </w:r>
          </w:p>
        </w:tc>
        <w:tc>
          <w:tcPr>
            <w:tcW w:w="1061" w:type="dxa"/>
            <w:tcBorders>
              <w:top w:val="single" w:sz="4" w:space="0" w:color="auto"/>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6</w:t>
            </w:r>
          </w:p>
        </w:tc>
        <w:tc>
          <w:tcPr>
            <w:tcW w:w="361" w:type="dxa"/>
            <w:tcBorders>
              <w:top w:val="single" w:sz="4" w:space="0" w:color="auto"/>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H</w:t>
            </w:r>
          </w:p>
        </w:tc>
        <w:tc>
          <w:tcPr>
            <w:tcW w:w="911" w:type="dxa"/>
            <w:tcBorders>
              <w:top w:val="single" w:sz="4" w:space="0" w:color="auto"/>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3.0E-12</w:t>
            </w:r>
          </w:p>
        </w:tc>
        <w:tc>
          <w:tcPr>
            <w:tcW w:w="891" w:type="dxa"/>
            <w:tcBorders>
              <w:top w:val="single" w:sz="4" w:space="0" w:color="auto"/>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1.3E-13</w:t>
            </w:r>
          </w:p>
        </w:tc>
        <w:tc>
          <w:tcPr>
            <w:tcW w:w="665" w:type="dxa"/>
            <w:tcBorders>
              <w:top w:val="single" w:sz="4" w:space="0" w:color="auto"/>
              <w:left w:val="nil"/>
              <w:bottom w:val="single" w:sz="4" w:space="0" w:color="auto"/>
              <w:right w:val="nil"/>
            </w:tcBorders>
            <w:noWrap/>
            <w:vAlign w:val="bottom"/>
            <w:hideMark/>
          </w:tcPr>
          <w:p w:rsidR="00897A0B" w:rsidRPr="00D27CF6" w:rsidRDefault="00897A0B" w:rsidP="00FC1DA8">
            <w:pPr>
              <w:spacing w:after="0"/>
              <w:rPr>
                <w:rFonts w:eastAsia="Times New Roman" w:cs="Times New Roman"/>
                <w:color w:val="000000"/>
                <w:sz w:val="20"/>
                <w:szCs w:val="20"/>
              </w:rPr>
            </w:pPr>
            <w:r w:rsidRPr="00D27CF6">
              <w:rPr>
                <w:rFonts w:eastAsia="Times New Roman" w:cs="Times New Roman"/>
                <w:color w:val="000000"/>
                <w:sz w:val="20"/>
                <w:szCs w:val="20"/>
              </w:rPr>
              <w:t>0.977</w:t>
            </w:r>
          </w:p>
        </w:tc>
        <w:tc>
          <w:tcPr>
            <w:tcW w:w="931" w:type="dxa"/>
            <w:tcBorders>
              <w:top w:val="single" w:sz="4" w:space="0" w:color="auto"/>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1.0E-13</w:t>
            </w:r>
          </w:p>
        </w:tc>
        <w:tc>
          <w:tcPr>
            <w:tcW w:w="665" w:type="dxa"/>
            <w:tcBorders>
              <w:top w:val="single" w:sz="4" w:space="0" w:color="auto"/>
              <w:left w:val="nil"/>
              <w:bottom w:val="single" w:sz="4" w:space="0" w:color="auto"/>
              <w:right w:val="nil"/>
            </w:tcBorders>
            <w:noWrap/>
            <w:vAlign w:val="bottom"/>
            <w:hideMark/>
          </w:tcPr>
          <w:p w:rsidR="00897A0B" w:rsidRPr="00D27CF6" w:rsidRDefault="00897A0B" w:rsidP="00FC1DA8">
            <w:pPr>
              <w:spacing w:after="0"/>
              <w:rPr>
                <w:rFonts w:eastAsia="Times New Roman" w:cs="Times New Roman"/>
                <w:color w:val="000000"/>
                <w:sz w:val="20"/>
                <w:szCs w:val="20"/>
              </w:rPr>
            </w:pPr>
            <w:r w:rsidRPr="00D27CF6">
              <w:rPr>
                <w:rFonts w:eastAsia="Times New Roman" w:cs="Times New Roman"/>
                <w:color w:val="000000"/>
                <w:sz w:val="20"/>
                <w:szCs w:val="20"/>
              </w:rPr>
              <w:t>0.942</w:t>
            </w:r>
          </w:p>
        </w:tc>
        <w:tc>
          <w:tcPr>
            <w:tcW w:w="1385" w:type="dxa"/>
            <w:tcBorders>
              <w:top w:val="single" w:sz="4" w:space="0" w:color="auto"/>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-26.5</w:t>
            </w:r>
          </w:p>
        </w:tc>
        <w:tc>
          <w:tcPr>
            <w:tcW w:w="1366" w:type="dxa"/>
            <w:tcBorders>
              <w:top w:val="single" w:sz="4" w:space="0" w:color="auto"/>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-29.7</w:t>
            </w:r>
          </w:p>
        </w:tc>
        <w:tc>
          <w:tcPr>
            <w:tcW w:w="931" w:type="dxa"/>
            <w:tcBorders>
              <w:top w:val="single" w:sz="4" w:space="0" w:color="auto"/>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-29.9</w:t>
            </w:r>
          </w:p>
        </w:tc>
      </w:tr>
      <w:tr w:rsidR="00897A0B" w:rsidRPr="00D27CF6" w:rsidTr="00897A0B">
        <w:trPr>
          <w:trHeight w:val="260"/>
          <w:jc w:val="center"/>
        </w:trPr>
        <w:tc>
          <w:tcPr>
            <w:tcW w:w="1071"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sz w:val="20"/>
                <w:szCs w:val="20"/>
              </w:rPr>
            </w:pPr>
            <w:r w:rsidRPr="00D27CF6">
              <w:rPr>
                <w:rFonts w:eastAsia="Times New Roman" w:cs="Times New Roman"/>
                <w:sz w:val="20"/>
                <w:szCs w:val="20"/>
              </w:rPr>
              <w:t>CGB91</w:t>
            </w:r>
          </w:p>
        </w:tc>
        <w:tc>
          <w:tcPr>
            <w:tcW w:w="1806"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HGB5 + HG</w:t>
            </w:r>
          </w:p>
        </w:tc>
        <w:tc>
          <w:tcPr>
            <w:tcW w:w="916"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800</w:t>
            </w:r>
          </w:p>
        </w:tc>
        <w:tc>
          <w:tcPr>
            <w:tcW w:w="1061"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14</w:t>
            </w:r>
          </w:p>
        </w:tc>
        <w:tc>
          <w:tcPr>
            <w:tcW w:w="361"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H</w:t>
            </w:r>
          </w:p>
        </w:tc>
        <w:tc>
          <w:tcPr>
            <w:tcW w:w="911"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1.6E-13</w:t>
            </w:r>
          </w:p>
        </w:tc>
        <w:tc>
          <w:tcPr>
            <w:tcW w:w="891"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3.0E-14</w:t>
            </w:r>
          </w:p>
        </w:tc>
        <w:tc>
          <w:tcPr>
            <w:tcW w:w="665" w:type="dxa"/>
            <w:tcBorders>
              <w:top w:val="nil"/>
              <w:left w:val="nil"/>
              <w:bottom w:val="nil"/>
              <w:right w:val="nil"/>
            </w:tcBorders>
            <w:noWrap/>
            <w:vAlign w:val="bottom"/>
            <w:hideMark/>
          </w:tcPr>
          <w:p w:rsidR="00897A0B" w:rsidRPr="00D27CF6" w:rsidRDefault="00897A0B" w:rsidP="00FC1DA8">
            <w:pPr>
              <w:spacing w:after="0"/>
              <w:rPr>
                <w:rFonts w:eastAsia="Times New Roman" w:cs="Times New Roman"/>
                <w:color w:val="000000"/>
                <w:sz w:val="20"/>
                <w:szCs w:val="20"/>
              </w:rPr>
            </w:pPr>
            <w:r w:rsidRPr="00D27CF6">
              <w:rPr>
                <w:rFonts w:eastAsia="Times New Roman" w:cs="Times New Roman"/>
                <w:color w:val="000000"/>
                <w:sz w:val="20"/>
                <w:szCs w:val="20"/>
              </w:rPr>
              <w:t>0.978</w:t>
            </w:r>
          </w:p>
        </w:tc>
        <w:tc>
          <w:tcPr>
            <w:tcW w:w="931"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1.0E-14</w:t>
            </w:r>
          </w:p>
        </w:tc>
        <w:tc>
          <w:tcPr>
            <w:tcW w:w="665" w:type="dxa"/>
            <w:tcBorders>
              <w:top w:val="nil"/>
              <w:left w:val="nil"/>
              <w:bottom w:val="nil"/>
              <w:right w:val="nil"/>
            </w:tcBorders>
            <w:noWrap/>
            <w:vAlign w:val="bottom"/>
            <w:hideMark/>
          </w:tcPr>
          <w:p w:rsidR="00897A0B" w:rsidRPr="00D27CF6" w:rsidRDefault="00897A0B" w:rsidP="00FC1DA8">
            <w:pPr>
              <w:spacing w:after="0"/>
              <w:rPr>
                <w:rFonts w:eastAsia="Times New Roman" w:cs="Times New Roman"/>
                <w:color w:val="000000"/>
                <w:sz w:val="20"/>
                <w:szCs w:val="20"/>
              </w:rPr>
            </w:pPr>
            <w:r w:rsidRPr="00D27CF6">
              <w:rPr>
                <w:rFonts w:eastAsia="Times New Roman" w:cs="Times New Roman"/>
                <w:color w:val="000000"/>
                <w:sz w:val="20"/>
                <w:szCs w:val="20"/>
              </w:rPr>
              <w:t>0.996</w:t>
            </w:r>
          </w:p>
        </w:tc>
        <w:tc>
          <w:tcPr>
            <w:tcW w:w="1385"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-29.5</w:t>
            </w:r>
          </w:p>
        </w:tc>
        <w:tc>
          <w:tcPr>
            <w:tcW w:w="1366"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-31.1</w:t>
            </w:r>
          </w:p>
        </w:tc>
        <w:tc>
          <w:tcPr>
            <w:tcW w:w="931"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-32.2</w:t>
            </w:r>
          </w:p>
        </w:tc>
      </w:tr>
      <w:tr w:rsidR="00897A0B" w:rsidRPr="00D27CF6" w:rsidTr="00897A0B">
        <w:trPr>
          <w:trHeight w:val="260"/>
          <w:jc w:val="center"/>
        </w:trPr>
        <w:tc>
          <w:tcPr>
            <w:tcW w:w="1071"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sz w:val="20"/>
                <w:szCs w:val="20"/>
              </w:rPr>
            </w:pPr>
            <w:r w:rsidRPr="00D27CF6">
              <w:rPr>
                <w:rFonts w:eastAsia="Times New Roman" w:cs="Times New Roman"/>
                <w:sz w:val="20"/>
                <w:szCs w:val="20"/>
              </w:rPr>
              <w:t>CGB92</w:t>
            </w:r>
          </w:p>
        </w:tc>
        <w:tc>
          <w:tcPr>
            <w:tcW w:w="1806"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HGB5 + HG</w:t>
            </w:r>
          </w:p>
        </w:tc>
        <w:tc>
          <w:tcPr>
            <w:tcW w:w="916"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800</w:t>
            </w:r>
          </w:p>
        </w:tc>
        <w:tc>
          <w:tcPr>
            <w:tcW w:w="1061"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14</w:t>
            </w:r>
          </w:p>
        </w:tc>
        <w:tc>
          <w:tcPr>
            <w:tcW w:w="361"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H</w:t>
            </w:r>
          </w:p>
        </w:tc>
        <w:tc>
          <w:tcPr>
            <w:tcW w:w="911"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1.0E-13</w:t>
            </w:r>
          </w:p>
        </w:tc>
        <w:tc>
          <w:tcPr>
            <w:tcW w:w="891"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2.0E-14</w:t>
            </w:r>
          </w:p>
        </w:tc>
        <w:tc>
          <w:tcPr>
            <w:tcW w:w="665" w:type="dxa"/>
            <w:tcBorders>
              <w:top w:val="nil"/>
              <w:left w:val="nil"/>
              <w:bottom w:val="nil"/>
              <w:right w:val="nil"/>
            </w:tcBorders>
            <w:noWrap/>
            <w:vAlign w:val="bottom"/>
            <w:hideMark/>
          </w:tcPr>
          <w:p w:rsidR="00897A0B" w:rsidRPr="00D27CF6" w:rsidRDefault="00897A0B" w:rsidP="00FC1DA8">
            <w:pPr>
              <w:spacing w:after="0"/>
              <w:rPr>
                <w:rFonts w:eastAsia="Times New Roman" w:cs="Times New Roman"/>
                <w:color w:val="000000"/>
                <w:sz w:val="20"/>
                <w:szCs w:val="20"/>
              </w:rPr>
            </w:pPr>
            <w:r w:rsidRPr="00D27CF6">
              <w:rPr>
                <w:rFonts w:eastAsia="Times New Roman" w:cs="Times New Roman"/>
                <w:color w:val="000000"/>
                <w:sz w:val="20"/>
                <w:szCs w:val="20"/>
              </w:rPr>
              <w:t>0.941</w:t>
            </w:r>
          </w:p>
        </w:tc>
        <w:tc>
          <w:tcPr>
            <w:tcW w:w="931"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1.0E-13</w:t>
            </w:r>
          </w:p>
        </w:tc>
        <w:tc>
          <w:tcPr>
            <w:tcW w:w="665" w:type="dxa"/>
            <w:tcBorders>
              <w:top w:val="nil"/>
              <w:left w:val="nil"/>
              <w:bottom w:val="nil"/>
              <w:right w:val="nil"/>
            </w:tcBorders>
            <w:noWrap/>
            <w:vAlign w:val="bottom"/>
            <w:hideMark/>
          </w:tcPr>
          <w:p w:rsidR="00897A0B" w:rsidRPr="00D27CF6" w:rsidRDefault="00897A0B" w:rsidP="00FC1DA8">
            <w:pPr>
              <w:spacing w:after="0"/>
              <w:rPr>
                <w:rFonts w:eastAsia="Times New Roman" w:cs="Times New Roman"/>
                <w:color w:val="000000"/>
                <w:sz w:val="20"/>
                <w:szCs w:val="20"/>
              </w:rPr>
            </w:pPr>
            <w:r w:rsidRPr="00D27CF6">
              <w:rPr>
                <w:rFonts w:eastAsia="Times New Roman" w:cs="Times New Roman"/>
                <w:color w:val="000000"/>
                <w:sz w:val="20"/>
                <w:szCs w:val="20"/>
              </w:rPr>
              <w:t>0.989</w:t>
            </w:r>
          </w:p>
        </w:tc>
        <w:tc>
          <w:tcPr>
            <w:tcW w:w="1385"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-29.9</w:t>
            </w:r>
          </w:p>
        </w:tc>
        <w:tc>
          <w:tcPr>
            <w:tcW w:w="1366"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-31.5</w:t>
            </w:r>
          </w:p>
        </w:tc>
        <w:tc>
          <w:tcPr>
            <w:tcW w:w="931"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-29.9</w:t>
            </w:r>
          </w:p>
        </w:tc>
      </w:tr>
      <w:tr w:rsidR="00897A0B" w:rsidRPr="00D27CF6" w:rsidTr="00897A0B">
        <w:trPr>
          <w:trHeight w:val="260"/>
          <w:jc w:val="center"/>
        </w:trPr>
        <w:tc>
          <w:tcPr>
            <w:tcW w:w="1071"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sz w:val="20"/>
                <w:szCs w:val="20"/>
              </w:rPr>
            </w:pPr>
            <w:r w:rsidRPr="00D27CF6">
              <w:rPr>
                <w:rFonts w:eastAsia="Times New Roman" w:cs="Times New Roman"/>
                <w:sz w:val="20"/>
                <w:szCs w:val="20"/>
              </w:rPr>
              <w:t>CGB96</w:t>
            </w:r>
          </w:p>
        </w:tc>
        <w:tc>
          <w:tcPr>
            <w:tcW w:w="1806"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HGB5 + HG</w:t>
            </w:r>
          </w:p>
        </w:tc>
        <w:tc>
          <w:tcPr>
            <w:tcW w:w="916"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800</w:t>
            </w:r>
          </w:p>
        </w:tc>
        <w:tc>
          <w:tcPr>
            <w:tcW w:w="1061"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21</w:t>
            </w:r>
          </w:p>
        </w:tc>
        <w:tc>
          <w:tcPr>
            <w:tcW w:w="361"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H</w:t>
            </w:r>
          </w:p>
        </w:tc>
        <w:tc>
          <w:tcPr>
            <w:tcW w:w="911"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w:t>
            </w:r>
          </w:p>
        </w:tc>
        <w:tc>
          <w:tcPr>
            <w:tcW w:w="891"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w:t>
            </w:r>
          </w:p>
        </w:tc>
        <w:tc>
          <w:tcPr>
            <w:tcW w:w="665" w:type="dxa"/>
            <w:tcBorders>
              <w:top w:val="nil"/>
              <w:left w:val="nil"/>
              <w:bottom w:val="single" w:sz="4" w:space="0" w:color="auto"/>
              <w:right w:val="nil"/>
            </w:tcBorders>
            <w:noWrap/>
            <w:vAlign w:val="bottom"/>
            <w:hideMark/>
          </w:tcPr>
          <w:p w:rsidR="00897A0B" w:rsidRPr="00D27CF6" w:rsidRDefault="00897A0B" w:rsidP="00FC1DA8">
            <w:pPr>
              <w:spacing w:after="0"/>
              <w:rPr>
                <w:rFonts w:eastAsia="Times New Roman" w:cs="Times New Roman"/>
                <w:color w:val="000000"/>
                <w:sz w:val="20"/>
                <w:szCs w:val="20"/>
              </w:rPr>
            </w:pPr>
            <w:r w:rsidRPr="00D27CF6">
              <w:rPr>
                <w:rFonts w:eastAsia="Times New Roman" w:cs="Times New Roman"/>
                <w:color w:val="000000"/>
                <w:sz w:val="20"/>
                <w:szCs w:val="20"/>
              </w:rPr>
              <w:t>---</w:t>
            </w:r>
          </w:p>
        </w:tc>
        <w:tc>
          <w:tcPr>
            <w:tcW w:w="931"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w:t>
            </w:r>
          </w:p>
        </w:tc>
        <w:tc>
          <w:tcPr>
            <w:tcW w:w="665" w:type="dxa"/>
            <w:tcBorders>
              <w:top w:val="nil"/>
              <w:left w:val="nil"/>
              <w:bottom w:val="single" w:sz="4" w:space="0" w:color="auto"/>
              <w:right w:val="nil"/>
            </w:tcBorders>
            <w:noWrap/>
            <w:vAlign w:val="bottom"/>
            <w:hideMark/>
          </w:tcPr>
          <w:p w:rsidR="00897A0B" w:rsidRPr="00D27CF6" w:rsidRDefault="00897A0B" w:rsidP="00FC1DA8">
            <w:pPr>
              <w:spacing w:after="0"/>
              <w:rPr>
                <w:rFonts w:eastAsia="Times New Roman" w:cs="Times New Roman"/>
                <w:color w:val="000000"/>
                <w:sz w:val="20"/>
                <w:szCs w:val="20"/>
              </w:rPr>
            </w:pPr>
            <w:r w:rsidRPr="00D27CF6">
              <w:rPr>
                <w:rFonts w:eastAsia="Times New Roman" w:cs="Times New Roman"/>
                <w:color w:val="000000"/>
                <w:sz w:val="20"/>
                <w:szCs w:val="20"/>
              </w:rPr>
              <w:t>---</w:t>
            </w:r>
          </w:p>
        </w:tc>
        <w:tc>
          <w:tcPr>
            <w:tcW w:w="1385"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w:t>
            </w:r>
          </w:p>
        </w:tc>
        <w:tc>
          <w:tcPr>
            <w:tcW w:w="1366"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w:t>
            </w:r>
          </w:p>
        </w:tc>
        <w:tc>
          <w:tcPr>
            <w:tcW w:w="931"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w:t>
            </w:r>
          </w:p>
        </w:tc>
      </w:tr>
      <w:tr w:rsidR="00897A0B" w:rsidRPr="00D27CF6" w:rsidTr="00897A0B">
        <w:trPr>
          <w:trHeight w:val="310"/>
          <w:jc w:val="center"/>
        </w:trPr>
        <w:tc>
          <w:tcPr>
            <w:tcW w:w="1071"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sz w:val="20"/>
                <w:szCs w:val="20"/>
              </w:rPr>
            </w:pPr>
            <w:r w:rsidRPr="00D27CF6">
              <w:rPr>
                <w:rFonts w:eastAsia="Times New Roman" w:cs="Times New Roman"/>
                <w:sz w:val="20"/>
                <w:szCs w:val="20"/>
              </w:rPr>
              <w:t>CGB48</w:t>
            </w:r>
          </w:p>
        </w:tc>
        <w:tc>
          <w:tcPr>
            <w:tcW w:w="1806"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vertAlign w:val="superscript"/>
              </w:rPr>
              <w:t>10</w:t>
            </w:r>
            <w:r w:rsidRPr="00D27CF6">
              <w:rPr>
                <w:rFonts w:eastAsia="Times New Roman" w:cs="Times New Roman"/>
                <w:color w:val="000000"/>
                <w:sz w:val="20"/>
                <w:szCs w:val="20"/>
              </w:rPr>
              <w:t>BHG + HG</w:t>
            </w:r>
          </w:p>
        </w:tc>
        <w:tc>
          <w:tcPr>
            <w:tcW w:w="916"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sz w:val="20"/>
                <w:szCs w:val="20"/>
              </w:rPr>
            </w:pPr>
            <w:r w:rsidRPr="00D27CF6">
              <w:rPr>
                <w:rFonts w:eastAsia="Times New Roman" w:cs="Times New Roman"/>
                <w:sz w:val="20"/>
                <w:szCs w:val="20"/>
              </w:rPr>
              <w:t>800</w:t>
            </w:r>
          </w:p>
        </w:tc>
        <w:tc>
          <w:tcPr>
            <w:tcW w:w="1061"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sz w:val="20"/>
                <w:szCs w:val="20"/>
              </w:rPr>
            </w:pPr>
            <w:r w:rsidRPr="00D27CF6">
              <w:rPr>
                <w:rFonts w:eastAsia="Times New Roman" w:cs="Times New Roman"/>
                <w:sz w:val="20"/>
                <w:szCs w:val="20"/>
              </w:rPr>
              <w:t>10</w:t>
            </w:r>
          </w:p>
        </w:tc>
        <w:tc>
          <w:tcPr>
            <w:tcW w:w="361"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sz w:val="20"/>
                <w:szCs w:val="20"/>
              </w:rPr>
            </w:pPr>
            <w:r w:rsidRPr="00D27CF6">
              <w:rPr>
                <w:rFonts w:eastAsia="Times New Roman" w:cs="Times New Roman"/>
                <w:sz w:val="20"/>
                <w:szCs w:val="20"/>
              </w:rPr>
              <w:t>H</w:t>
            </w:r>
          </w:p>
        </w:tc>
        <w:tc>
          <w:tcPr>
            <w:tcW w:w="911"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2.9E-12</w:t>
            </w:r>
          </w:p>
        </w:tc>
        <w:tc>
          <w:tcPr>
            <w:tcW w:w="891"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3.3E-13</w:t>
            </w:r>
          </w:p>
        </w:tc>
        <w:tc>
          <w:tcPr>
            <w:tcW w:w="665" w:type="dxa"/>
            <w:tcBorders>
              <w:top w:val="nil"/>
              <w:left w:val="nil"/>
              <w:bottom w:val="nil"/>
              <w:right w:val="nil"/>
            </w:tcBorders>
            <w:noWrap/>
            <w:vAlign w:val="bottom"/>
            <w:hideMark/>
          </w:tcPr>
          <w:p w:rsidR="00897A0B" w:rsidRPr="00D27CF6" w:rsidRDefault="00897A0B" w:rsidP="00FC1DA8">
            <w:pPr>
              <w:spacing w:after="0"/>
              <w:rPr>
                <w:rFonts w:eastAsia="Times New Roman" w:cs="Times New Roman"/>
                <w:color w:val="000000"/>
                <w:sz w:val="20"/>
                <w:szCs w:val="20"/>
              </w:rPr>
            </w:pPr>
            <w:r w:rsidRPr="00D27CF6">
              <w:rPr>
                <w:rFonts w:eastAsia="Times New Roman" w:cs="Times New Roman"/>
                <w:color w:val="000000"/>
                <w:sz w:val="20"/>
                <w:szCs w:val="20"/>
              </w:rPr>
              <w:t>0.950</w:t>
            </w:r>
          </w:p>
        </w:tc>
        <w:tc>
          <w:tcPr>
            <w:tcW w:w="931"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9.0E-13</w:t>
            </w:r>
          </w:p>
        </w:tc>
        <w:tc>
          <w:tcPr>
            <w:tcW w:w="665" w:type="dxa"/>
            <w:tcBorders>
              <w:top w:val="nil"/>
              <w:left w:val="nil"/>
              <w:bottom w:val="nil"/>
              <w:right w:val="nil"/>
            </w:tcBorders>
            <w:noWrap/>
            <w:vAlign w:val="bottom"/>
            <w:hideMark/>
          </w:tcPr>
          <w:p w:rsidR="00897A0B" w:rsidRPr="00D27CF6" w:rsidRDefault="00897A0B" w:rsidP="00FC1DA8">
            <w:pPr>
              <w:spacing w:after="0"/>
              <w:rPr>
                <w:rFonts w:eastAsia="Times New Roman" w:cs="Times New Roman"/>
                <w:color w:val="000000"/>
                <w:sz w:val="20"/>
                <w:szCs w:val="20"/>
              </w:rPr>
            </w:pPr>
            <w:r w:rsidRPr="00D27CF6">
              <w:rPr>
                <w:rFonts w:eastAsia="Times New Roman" w:cs="Times New Roman"/>
                <w:color w:val="000000"/>
                <w:sz w:val="20"/>
                <w:szCs w:val="20"/>
              </w:rPr>
              <w:t>0.965</w:t>
            </w:r>
          </w:p>
        </w:tc>
        <w:tc>
          <w:tcPr>
            <w:tcW w:w="1385"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-26.6</w:t>
            </w:r>
          </w:p>
        </w:tc>
        <w:tc>
          <w:tcPr>
            <w:tcW w:w="1366"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-28.7</w:t>
            </w:r>
          </w:p>
        </w:tc>
        <w:tc>
          <w:tcPr>
            <w:tcW w:w="931" w:type="dxa"/>
            <w:tcBorders>
              <w:top w:val="nil"/>
              <w:left w:val="nil"/>
              <w:bottom w:val="nil"/>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-27.7</w:t>
            </w:r>
          </w:p>
        </w:tc>
      </w:tr>
      <w:tr w:rsidR="00897A0B" w:rsidRPr="00D27CF6" w:rsidTr="00897A0B">
        <w:trPr>
          <w:trHeight w:val="310"/>
          <w:jc w:val="center"/>
        </w:trPr>
        <w:tc>
          <w:tcPr>
            <w:tcW w:w="1071"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sz w:val="20"/>
                <w:szCs w:val="20"/>
              </w:rPr>
            </w:pPr>
            <w:r w:rsidRPr="00D27CF6">
              <w:rPr>
                <w:rFonts w:eastAsia="Times New Roman" w:cs="Times New Roman"/>
                <w:sz w:val="20"/>
                <w:szCs w:val="20"/>
              </w:rPr>
              <w:t>CGB49</w:t>
            </w:r>
          </w:p>
        </w:tc>
        <w:tc>
          <w:tcPr>
            <w:tcW w:w="1806"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vertAlign w:val="superscript"/>
              </w:rPr>
              <w:t>11</w:t>
            </w:r>
            <w:r w:rsidRPr="00D27CF6">
              <w:rPr>
                <w:rFonts w:eastAsia="Times New Roman" w:cs="Times New Roman"/>
                <w:color w:val="000000"/>
                <w:sz w:val="20"/>
                <w:szCs w:val="20"/>
              </w:rPr>
              <w:t>BHG + HG</w:t>
            </w:r>
          </w:p>
        </w:tc>
        <w:tc>
          <w:tcPr>
            <w:tcW w:w="916"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sz w:val="20"/>
                <w:szCs w:val="20"/>
              </w:rPr>
            </w:pPr>
            <w:r w:rsidRPr="00D27CF6">
              <w:rPr>
                <w:rFonts w:eastAsia="Times New Roman" w:cs="Times New Roman"/>
                <w:sz w:val="20"/>
                <w:szCs w:val="20"/>
              </w:rPr>
              <w:t>800</w:t>
            </w:r>
          </w:p>
        </w:tc>
        <w:tc>
          <w:tcPr>
            <w:tcW w:w="1061"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sz w:val="20"/>
                <w:szCs w:val="20"/>
              </w:rPr>
            </w:pPr>
            <w:r w:rsidRPr="00D27CF6">
              <w:rPr>
                <w:rFonts w:eastAsia="Times New Roman" w:cs="Times New Roman"/>
                <w:sz w:val="20"/>
                <w:szCs w:val="20"/>
              </w:rPr>
              <w:t>10</w:t>
            </w:r>
          </w:p>
        </w:tc>
        <w:tc>
          <w:tcPr>
            <w:tcW w:w="361"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sz w:val="20"/>
                <w:szCs w:val="20"/>
              </w:rPr>
            </w:pPr>
            <w:r w:rsidRPr="00D27CF6">
              <w:rPr>
                <w:rFonts w:eastAsia="Times New Roman" w:cs="Times New Roman"/>
                <w:sz w:val="20"/>
                <w:szCs w:val="20"/>
              </w:rPr>
              <w:t>H</w:t>
            </w:r>
          </w:p>
        </w:tc>
        <w:tc>
          <w:tcPr>
            <w:tcW w:w="911"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2.0E-12</w:t>
            </w:r>
          </w:p>
        </w:tc>
        <w:tc>
          <w:tcPr>
            <w:tcW w:w="891"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3.0E-13</w:t>
            </w:r>
          </w:p>
        </w:tc>
        <w:tc>
          <w:tcPr>
            <w:tcW w:w="665" w:type="dxa"/>
            <w:tcBorders>
              <w:top w:val="nil"/>
              <w:left w:val="nil"/>
              <w:bottom w:val="single" w:sz="4" w:space="0" w:color="auto"/>
              <w:right w:val="nil"/>
            </w:tcBorders>
            <w:noWrap/>
            <w:vAlign w:val="bottom"/>
            <w:hideMark/>
          </w:tcPr>
          <w:p w:rsidR="00897A0B" w:rsidRPr="00D27CF6" w:rsidRDefault="00897A0B" w:rsidP="00FC1DA8">
            <w:pPr>
              <w:spacing w:after="0"/>
              <w:rPr>
                <w:rFonts w:eastAsia="Times New Roman" w:cs="Times New Roman"/>
                <w:color w:val="000000"/>
                <w:sz w:val="20"/>
                <w:szCs w:val="20"/>
              </w:rPr>
            </w:pPr>
            <w:r w:rsidRPr="00D27CF6">
              <w:rPr>
                <w:rFonts w:eastAsia="Times New Roman" w:cs="Times New Roman"/>
                <w:color w:val="000000"/>
                <w:sz w:val="20"/>
                <w:szCs w:val="20"/>
              </w:rPr>
              <w:t>0.992</w:t>
            </w:r>
          </w:p>
        </w:tc>
        <w:tc>
          <w:tcPr>
            <w:tcW w:w="931"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3.0E-13</w:t>
            </w:r>
          </w:p>
        </w:tc>
        <w:tc>
          <w:tcPr>
            <w:tcW w:w="665" w:type="dxa"/>
            <w:tcBorders>
              <w:top w:val="nil"/>
              <w:left w:val="nil"/>
              <w:bottom w:val="single" w:sz="4" w:space="0" w:color="auto"/>
              <w:right w:val="nil"/>
            </w:tcBorders>
            <w:noWrap/>
            <w:vAlign w:val="bottom"/>
            <w:hideMark/>
          </w:tcPr>
          <w:p w:rsidR="00897A0B" w:rsidRPr="00D27CF6" w:rsidRDefault="00897A0B" w:rsidP="00FC1DA8">
            <w:pPr>
              <w:spacing w:after="0"/>
              <w:rPr>
                <w:rFonts w:eastAsia="Times New Roman" w:cs="Times New Roman"/>
                <w:color w:val="000000"/>
                <w:sz w:val="20"/>
                <w:szCs w:val="20"/>
              </w:rPr>
            </w:pPr>
            <w:r w:rsidRPr="00D27CF6">
              <w:rPr>
                <w:rFonts w:eastAsia="Times New Roman" w:cs="Times New Roman"/>
                <w:color w:val="000000"/>
                <w:sz w:val="20"/>
                <w:szCs w:val="20"/>
              </w:rPr>
              <w:t>0.994</w:t>
            </w:r>
          </w:p>
        </w:tc>
        <w:tc>
          <w:tcPr>
            <w:tcW w:w="1385"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-26.9</w:t>
            </w:r>
          </w:p>
        </w:tc>
        <w:tc>
          <w:tcPr>
            <w:tcW w:w="1366"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-28.8</w:t>
            </w:r>
          </w:p>
        </w:tc>
        <w:tc>
          <w:tcPr>
            <w:tcW w:w="931" w:type="dxa"/>
            <w:tcBorders>
              <w:top w:val="nil"/>
              <w:left w:val="nil"/>
              <w:bottom w:val="single" w:sz="4" w:space="0" w:color="auto"/>
              <w:right w:val="nil"/>
            </w:tcBorders>
            <w:noWrap/>
            <w:vAlign w:val="bottom"/>
            <w:hideMark/>
          </w:tcPr>
          <w:p w:rsidR="00897A0B" w:rsidRPr="00D27CF6" w:rsidRDefault="00897A0B" w:rsidP="00FC1DA8">
            <w:pPr>
              <w:spacing w:after="0"/>
              <w:jc w:val="center"/>
              <w:rPr>
                <w:rFonts w:eastAsia="Times New Roman" w:cs="Times New Roman"/>
                <w:color w:val="000000"/>
                <w:sz w:val="20"/>
                <w:szCs w:val="20"/>
              </w:rPr>
            </w:pPr>
            <w:r w:rsidRPr="00D27CF6">
              <w:rPr>
                <w:rFonts w:eastAsia="Times New Roman" w:cs="Times New Roman"/>
                <w:color w:val="000000"/>
                <w:sz w:val="20"/>
                <w:szCs w:val="20"/>
              </w:rPr>
              <w:t>-28.8</w:t>
            </w:r>
          </w:p>
        </w:tc>
      </w:tr>
      <w:tr w:rsidR="00897A0B" w:rsidRPr="00D27CF6" w:rsidTr="00897A0B">
        <w:trPr>
          <w:trHeight w:val="330"/>
          <w:jc w:val="center"/>
        </w:trPr>
        <w:tc>
          <w:tcPr>
            <w:tcW w:w="12960" w:type="dxa"/>
            <w:gridSpan w:val="13"/>
            <w:tcBorders>
              <w:top w:val="single" w:sz="4" w:space="0" w:color="auto"/>
              <w:left w:val="nil"/>
              <w:bottom w:val="nil"/>
              <w:right w:val="nil"/>
            </w:tcBorders>
            <w:noWrap/>
            <w:vAlign w:val="bottom"/>
            <w:hideMark/>
          </w:tcPr>
          <w:p w:rsidR="00897A0B" w:rsidRPr="00D27CF6" w:rsidRDefault="00897A0B" w:rsidP="00FC1DA8">
            <w:pPr>
              <w:spacing w:after="0"/>
              <w:rPr>
                <w:rFonts w:eastAsia="Times New Roman" w:cs="Times New Roman"/>
                <w:color w:val="000000"/>
                <w:sz w:val="20"/>
                <w:szCs w:val="20"/>
              </w:rPr>
            </w:pPr>
            <w:r w:rsidRPr="00D27CF6">
              <w:rPr>
                <w:rFonts w:eastAsia="Times New Roman" w:cs="Times New Roman"/>
                <w:color w:val="000000"/>
                <w:sz w:val="20"/>
                <w:szCs w:val="20"/>
              </w:rPr>
              <w:t>A: Anhydrous starting material glass; hydration during B diffusion</w:t>
            </w:r>
          </w:p>
        </w:tc>
      </w:tr>
      <w:tr w:rsidR="00897A0B" w:rsidRPr="00D27CF6" w:rsidTr="00897A0B">
        <w:trPr>
          <w:trHeight w:val="330"/>
          <w:jc w:val="center"/>
        </w:trPr>
        <w:tc>
          <w:tcPr>
            <w:tcW w:w="12960" w:type="dxa"/>
            <w:gridSpan w:val="13"/>
            <w:tcBorders>
              <w:top w:val="nil"/>
              <w:left w:val="nil"/>
              <w:bottom w:val="nil"/>
              <w:right w:val="nil"/>
            </w:tcBorders>
            <w:noWrap/>
            <w:vAlign w:val="bottom"/>
            <w:hideMark/>
          </w:tcPr>
          <w:p w:rsidR="00897A0B" w:rsidRPr="00D27CF6" w:rsidRDefault="00897A0B" w:rsidP="00FC1DA8">
            <w:pPr>
              <w:spacing w:after="0"/>
              <w:rPr>
                <w:rFonts w:eastAsia="Times New Roman" w:cs="Times New Roman"/>
                <w:color w:val="000000"/>
                <w:sz w:val="20"/>
                <w:szCs w:val="20"/>
              </w:rPr>
            </w:pPr>
            <w:r w:rsidRPr="00D27CF6">
              <w:rPr>
                <w:rFonts w:eastAsia="Times New Roman" w:cs="Times New Roman"/>
                <w:color w:val="000000"/>
                <w:sz w:val="20"/>
                <w:szCs w:val="20"/>
              </w:rPr>
              <w:t>H: Pre-hydrated starting material glass or hydration during B diffusion</w:t>
            </w:r>
          </w:p>
        </w:tc>
      </w:tr>
      <w:tr w:rsidR="00897A0B" w:rsidRPr="00D27CF6" w:rsidTr="00897A0B">
        <w:trPr>
          <w:trHeight w:val="260"/>
          <w:jc w:val="center"/>
        </w:trPr>
        <w:tc>
          <w:tcPr>
            <w:tcW w:w="12960" w:type="dxa"/>
            <w:gridSpan w:val="13"/>
            <w:tcBorders>
              <w:top w:val="nil"/>
              <w:left w:val="nil"/>
              <w:bottom w:val="nil"/>
              <w:right w:val="nil"/>
            </w:tcBorders>
            <w:noWrap/>
            <w:vAlign w:val="bottom"/>
            <w:hideMark/>
          </w:tcPr>
          <w:p w:rsidR="00897A0B" w:rsidRPr="00D27CF6" w:rsidRDefault="00897A0B" w:rsidP="00FC1DA8">
            <w:pPr>
              <w:spacing w:after="0"/>
              <w:rPr>
                <w:rFonts w:eastAsia="Times New Roman" w:cs="Times New Roman"/>
                <w:color w:val="000000"/>
                <w:sz w:val="20"/>
                <w:szCs w:val="20"/>
              </w:rPr>
            </w:pPr>
            <w:r w:rsidRPr="00D27CF6">
              <w:rPr>
                <w:rFonts w:eastAsia="Times New Roman" w:cs="Times New Roman"/>
                <w:color w:val="000000"/>
                <w:sz w:val="20"/>
                <w:szCs w:val="20"/>
              </w:rPr>
              <w:t>BM: Boron diffusion coefficient using Boltzman-Matano equation</w:t>
            </w:r>
          </w:p>
        </w:tc>
      </w:tr>
      <w:tr w:rsidR="00897A0B" w:rsidRPr="00D27CF6" w:rsidTr="00897A0B">
        <w:trPr>
          <w:trHeight w:val="260"/>
          <w:jc w:val="center"/>
        </w:trPr>
        <w:tc>
          <w:tcPr>
            <w:tcW w:w="12960" w:type="dxa"/>
            <w:gridSpan w:val="13"/>
            <w:tcBorders>
              <w:top w:val="nil"/>
              <w:left w:val="nil"/>
              <w:bottom w:val="nil"/>
              <w:right w:val="nil"/>
            </w:tcBorders>
            <w:noWrap/>
            <w:vAlign w:val="bottom"/>
            <w:hideMark/>
          </w:tcPr>
          <w:p w:rsidR="00897A0B" w:rsidRPr="00D27CF6" w:rsidRDefault="00897A0B" w:rsidP="00FC1DA8">
            <w:pPr>
              <w:spacing w:after="0"/>
              <w:rPr>
                <w:rFonts w:eastAsia="Times New Roman" w:cs="Times New Roman"/>
                <w:color w:val="000000"/>
                <w:sz w:val="20"/>
                <w:szCs w:val="20"/>
              </w:rPr>
            </w:pPr>
            <w:r w:rsidRPr="00D27CF6">
              <w:rPr>
                <w:rFonts w:eastAsia="Times New Roman" w:cs="Times New Roman"/>
                <w:color w:val="000000"/>
                <w:sz w:val="20"/>
                <w:szCs w:val="20"/>
              </w:rPr>
              <w:t>erf: Boron diffusion coefficient using inverse error function</w:t>
            </w:r>
          </w:p>
        </w:tc>
      </w:tr>
      <w:tr w:rsidR="00897A0B" w:rsidRPr="00D27CF6" w:rsidTr="00897A0B">
        <w:trPr>
          <w:trHeight w:val="520"/>
          <w:jc w:val="center"/>
        </w:trPr>
        <w:tc>
          <w:tcPr>
            <w:tcW w:w="12960" w:type="dxa"/>
            <w:gridSpan w:val="13"/>
            <w:tcBorders>
              <w:top w:val="nil"/>
              <w:left w:val="nil"/>
              <w:bottom w:val="nil"/>
              <w:right w:val="nil"/>
            </w:tcBorders>
            <w:vAlign w:val="bottom"/>
            <w:hideMark/>
          </w:tcPr>
          <w:p w:rsidR="00897A0B" w:rsidRPr="00D27CF6" w:rsidRDefault="00897A0B" w:rsidP="00FC1DA8">
            <w:pPr>
              <w:spacing w:after="0"/>
              <w:rPr>
                <w:rFonts w:eastAsia="Times New Roman" w:cs="Times New Roman"/>
                <w:color w:val="000000"/>
                <w:sz w:val="20"/>
                <w:szCs w:val="20"/>
              </w:rPr>
            </w:pPr>
            <w:r w:rsidRPr="00D27CF6">
              <w:rPr>
                <w:rFonts w:eastAsia="Times New Roman" w:cs="Times New Roman"/>
                <w:color w:val="000000"/>
                <w:sz w:val="20"/>
                <w:szCs w:val="20"/>
              </w:rPr>
              <w:t>r</w:t>
            </w:r>
            <w:r w:rsidRPr="00D27CF6">
              <w:rPr>
                <w:rFonts w:eastAsia="Times New Roman" w:cs="Times New Roman"/>
                <w:color w:val="000000"/>
                <w:sz w:val="20"/>
                <w:szCs w:val="20"/>
                <w:vertAlign w:val="superscript"/>
              </w:rPr>
              <w:t>2</w:t>
            </w:r>
            <w:r w:rsidRPr="00D27CF6">
              <w:rPr>
                <w:rFonts w:eastAsia="Times New Roman" w:cs="Times New Roman"/>
                <w:color w:val="000000"/>
                <w:sz w:val="20"/>
                <w:szCs w:val="20"/>
              </w:rPr>
              <w:t>: correlation coefficient for 3</w:t>
            </w:r>
            <w:r w:rsidRPr="00D27CF6">
              <w:rPr>
                <w:rFonts w:eastAsia="Times New Roman" w:cs="Times New Roman"/>
                <w:color w:val="000000"/>
                <w:sz w:val="20"/>
                <w:szCs w:val="20"/>
                <w:vertAlign w:val="superscript"/>
              </w:rPr>
              <w:t>rd</w:t>
            </w:r>
            <w:r w:rsidRPr="00D27CF6">
              <w:rPr>
                <w:rFonts w:eastAsia="Times New Roman" w:cs="Times New Roman"/>
                <w:color w:val="000000"/>
                <w:sz w:val="20"/>
                <w:szCs w:val="20"/>
              </w:rPr>
              <w:t>-order polynomial fit to concentration-distance profile (BM) and for linear regression comparing measured and calculated concentrations (erf)</w:t>
            </w:r>
          </w:p>
        </w:tc>
      </w:tr>
      <w:tr w:rsidR="00897A0B" w:rsidRPr="00D27CF6" w:rsidTr="00897A0B">
        <w:trPr>
          <w:trHeight w:val="260"/>
          <w:jc w:val="center"/>
        </w:trPr>
        <w:tc>
          <w:tcPr>
            <w:tcW w:w="12960" w:type="dxa"/>
            <w:gridSpan w:val="13"/>
            <w:tcBorders>
              <w:top w:val="nil"/>
              <w:left w:val="nil"/>
              <w:bottom w:val="nil"/>
              <w:right w:val="nil"/>
            </w:tcBorders>
            <w:noWrap/>
            <w:vAlign w:val="bottom"/>
            <w:hideMark/>
          </w:tcPr>
          <w:p w:rsidR="00897A0B" w:rsidRPr="00D27CF6" w:rsidRDefault="00897A0B" w:rsidP="00FC1DA8">
            <w:pPr>
              <w:spacing w:after="0"/>
              <w:rPr>
                <w:rFonts w:eastAsia="Times New Roman" w:cs="Times New Roman"/>
                <w:color w:val="000000"/>
                <w:sz w:val="20"/>
                <w:szCs w:val="20"/>
              </w:rPr>
            </w:pPr>
            <w:r w:rsidRPr="00D27CF6">
              <w:rPr>
                <w:rFonts w:eastAsia="Times New Roman" w:cs="Times New Roman"/>
                <w:color w:val="000000"/>
                <w:sz w:val="20"/>
                <w:szCs w:val="20"/>
              </w:rPr>
              <w:t>---: insufficient data to calculate D</w:t>
            </w:r>
          </w:p>
        </w:tc>
      </w:tr>
    </w:tbl>
    <w:p w:rsidR="00DC1C38" w:rsidRDefault="00DC1C38" w:rsidP="00A03F13">
      <w:pPr>
        <w:spacing w:line="480" w:lineRule="auto"/>
        <w:ind w:firstLine="720"/>
        <w:rPr>
          <w:rFonts w:cs="Times New Roman"/>
        </w:rPr>
      </w:pPr>
    </w:p>
    <w:p w:rsidR="00DC1C38" w:rsidRPr="006A1CD6" w:rsidRDefault="00DC1C38" w:rsidP="00DC1C38">
      <w:pPr>
        <w:rPr>
          <w:b/>
        </w:rPr>
      </w:pPr>
      <w:r>
        <w:br w:type="page"/>
      </w:r>
      <w:r w:rsidR="006A1CD6">
        <w:rPr>
          <w:b/>
          <w:noProof/>
        </w:rPr>
        <mc:AlternateContent>
          <mc:Choice Requires="wps">
            <w:drawing>
              <wp:anchor distT="0" distB="0" distL="114300" distR="114300" simplePos="0" relativeHeight="251799552" behindDoc="0" locked="0" layoutInCell="1" allowOverlap="1" wp14:anchorId="460CA844" wp14:editId="6EA005A7">
                <wp:simplePos x="0" y="0"/>
                <wp:positionH relativeFrom="margin">
                  <wp:posOffset>-914400</wp:posOffset>
                </wp:positionH>
                <wp:positionV relativeFrom="margin">
                  <wp:posOffset>1961515</wp:posOffset>
                </wp:positionV>
                <wp:extent cx="914400" cy="914400"/>
                <wp:effectExtent l="0" t="0" r="0" b="0"/>
                <wp:wrapNone/>
                <wp:docPr id="196" name="Rectangle 196"/>
                <wp:cNvGraphicFramePr/>
                <a:graphic xmlns:a="http://schemas.openxmlformats.org/drawingml/2006/main">
                  <a:graphicData uri="http://schemas.microsoft.com/office/word/2010/wordprocessingShape">
                    <wps:wsp>
                      <wps:cNvSpPr/>
                      <wps:spPr>
                        <a:xfrm rot="5400000">
                          <a:off x="0" y="0"/>
                          <a:ext cx="914400" cy="914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D3B9B" w:rsidRPr="00935830" w:rsidRDefault="006D3B9B" w:rsidP="006A1CD6">
                            <w:pPr>
                              <w:jc w:val="center"/>
                              <w:rPr>
                                <w:color w:val="000000" w:themeColor="text1"/>
                              </w:rPr>
                            </w:pPr>
                            <w:r>
                              <w:rPr>
                                <w:color w:val="000000" w:themeColor="text1"/>
                              </w:rPr>
                              <w:t>82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0CA844" id="Rectangle 196" o:spid="_x0000_s1050" style="position:absolute;margin-left:-1in;margin-top:154.45pt;width:1in;height:1in;rotation:90;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" filled="f" stroked="f" strokeweight="2pt">
                <v:textbox>
                  <w:txbxContent>
                    <w:p w:rsidR="006D3B9B" w:rsidRPr="00935830" w:rsidRDefault="006D3B9B" w:rsidP="006A1CD6">
                      <w:pPr>
                        <w:jc w:val="center"/>
                        <w:rPr>
                          <w:color w:val="000000" w:themeColor="text1"/>
                        </w:rPr>
                      </w:pPr>
                      <w:r>
                        <w:rPr>
                          <w:color w:val="000000" w:themeColor="text1"/>
                        </w:rPr>
                        <w:t>82</w:t>
                      </w:r>
                    </w:p>
                  </w:txbxContent>
                </v:textbox>
                <w10:wrap anchorx="margin" anchory="margin"/>
              </v:rect>
            </w:pict>
          </mc:Fallback>
        </mc:AlternateContent>
      </w:r>
    </w:p>
    <w:p w:rsidR="00897A0B" w:rsidRPr="00897A0B" w:rsidRDefault="00897A0B" w:rsidP="00897A0B">
      <w:pPr>
        <w:pStyle w:val="Caption"/>
        <w:keepNext/>
        <w:jc w:val="center"/>
        <w:rPr>
          <w:sz w:val="24"/>
          <w:szCs w:val="24"/>
        </w:rPr>
      </w:pPr>
      <w:bookmarkStart w:id="116" w:name="_Toc490131688"/>
      <w:r w:rsidRPr="00897A0B">
        <w:rPr>
          <w:sz w:val="24"/>
          <w:szCs w:val="24"/>
        </w:rPr>
        <w:lastRenderedPageBreak/>
        <w:t xml:space="preserve">Table </w:t>
      </w:r>
      <w:r w:rsidR="00B23FDA">
        <w:rPr>
          <w:sz w:val="24"/>
          <w:szCs w:val="24"/>
        </w:rPr>
        <w:fldChar w:fldCharType="begin"/>
      </w:r>
      <w:r w:rsidR="00B23FDA">
        <w:rPr>
          <w:sz w:val="24"/>
          <w:szCs w:val="24"/>
        </w:rPr>
        <w:instrText xml:space="preserve"> STYLEREF 1 \s </w:instrText>
      </w:r>
      <w:r w:rsidR="00B23FDA">
        <w:rPr>
          <w:sz w:val="24"/>
          <w:szCs w:val="24"/>
        </w:rPr>
        <w:fldChar w:fldCharType="separate"/>
      </w:r>
      <w:r w:rsidR="000C5FC3">
        <w:rPr>
          <w:noProof/>
          <w:sz w:val="24"/>
          <w:szCs w:val="24"/>
        </w:rPr>
        <w:t>3</w:t>
      </w:r>
      <w:r w:rsidR="00B23FDA">
        <w:rPr>
          <w:sz w:val="24"/>
          <w:szCs w:val="24"/>
        </w:rPr>
        <w:fldChar w:fldCharType="end"/>
      </w:r>
      <w:r w:rsidR="00B23FDA">
        <w:rPr>
          <w:sz w:val="24"/>
          <w:szCs w:val="24"/>
        </w:rPr>
        <w:noBreakHyphen/>
      </w:r>
      <w:r w:rsidR="00B23FDA">
        <w:rPr>
          <w:sz w:val="24"/>
          <w:szCs w:val="24"/>
        </w:rPr>
        <w:fldChar w:fldCharType="begin"/>
      </w:r>
      <w:r w:rsidR="00B23FDA">
        <w:rPr>
          <w:sz w:val="24"/>
          <w:szCs w:val="24"/>
        </w:rPr>
        <w:instrText xml:space="preserve"> SEQ Table \* ARABIC \s 1 </w:instrText>
      </w:r>
      <w:r w:rsidR="00B23FDA">
        <w:rPr>
          <w:sz w:val="24"/>
          <w:szCs w:val="24"/>
        </w:rPr>
        <w:fldChar w:fldCharType="separate"/>
      </w:r>
      <w:r w:rsidR="000C5FC3">
        <w:rPr>
          <w:noProof/>
          <w:sz w:val="24"/>
          <w:szCs w:val="24"/>
        </w:rPr>
        <w:t>4</w:t>
      </w:r>
      <w:r w:rsidR="00B23FDA">
        <w:rPr>
          <w:sz w:val="24"/>
          <w:szCs w:val="24"/>
        </w:rPr>
        <w:fldChar w:fldCharType="end"/>
      </w:r>
      <w:r w:rsidRPr="00897A0B">
        <w:rPr>
          <w:rFonts w:eastAsia="Times New Roman" w:cs="Times New Roman"/>
          <w:color w:val="000000"/>
          <w:sz w:val="24"/>
          <w:szCs w:val="24"/>
        </w:rPr>
        <w:t xml:space="preserve"> Self diffusivities of boron isotopes</w:t>
      </w:r>
      <w:bookmarkEnd w:id="116"/>
    </w:p>
    <w:tbl>
      <w:tblPr>
        <w:tblW w:w="11531" w:type="dxa"/>
        <w:jc w:val="center"/>
        <w:tblCellMar>
          <w:top w:w="15" w:type="dxa"/>
          <w:bottom w:w="15" w:type="dxa"/>
        </w:tblCellMar>
        <w:tblLook w:val="04A0" w:firstRow="1" w:lastRow="0" w:firstColumn="1" w:lastColumn="0" w:noHBand="0" w:noVBand="1"/>
      </w:tblPr>
      <w:tblGrid>
        <w:gridCol w:w="809"/>
        <w:gridCol w:w="691"/>
        <w:gridCol w:w="801"/>
        <w:gridCol w:w="1239"/>
        <w:gridCol w:w="460"/>
        <w:gridCol w:w="920"/>
        <w:gridCol w:w="900"/>
        <w:gridCol w:w="621"/>
        <w:gridCol w:w="849"/>
        <w:gridCol w:w="621"/>
        <w:gridCol w:w="1400"/>
        <w:gridCol w:w="1380"/>
        <w:gridCol w:w="840"/>
      </w:tblGrid>
      <w:tr w:rsidR="00897A0B" w:rsidRPr="008650C1" w:rsidTr="00897A0B">
        <w:trPr>
          <w:trHeight w:val="310"/>
          <w:jc w:val="center"/>
        </w:trPr>
        <w:tc>
          <w:tcPr>
            <w:tcW w:w="809"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691"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sz w:val="18"/>
                <w:szCs w:val="18"/>
              </w:rPr>
            </w:pPr>
          </w:p>
        </w:tc>
        <w:tc>
          <w:tcPr>
            <w:tcW w:w="80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1239"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46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7531" w:type="dxa"/>
            <w:gridSpan w:val="8"/>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vertAlign w:val="superscript"/>
              </w:rPr>
              <w:t>11</w:t>
            </w:r>
            <w:r w:rsidRPr="008650C1">
              <w:rPr>
                <w:rFonts w:eastAsia="Times New Roman" w:cs="Times New Roman"/>
                <w:color w:val="000000"/>
                <w:sz w:val="18"/>
                <w:szCs w:val="18"/>
              </w:rPr>
              <w:t>B</w:t>
            </w:r>
          </w:p>
        </w:tc>
      </w:tr>
      <w:tr w:rsidR="00897A0B" w:rsidRPr="008650C1" w:rsidTr="00897A0B">
        <w:trPr>
          <w:trHeight w:val="330"/>
          <w:jc w:val="center"/>
        </w:trPr>
        <w:tc>
          <w:tcPr>
            <w:tcW w:w="809"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Exp#</w:t>
            </w:r>
          </w:p>
        </w:tc>
        <w:tc>
          <w:tcPr>
            <w:tcW w:w="691"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T (°C)</w:t>
            </w:r>
          </w:p>
        </w:tc>
        <w:tc>
          <w:tcPr>
            <w:tcW w:w="801"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t (days)</w:t>
            </w:r>
          </w:p>
        </w:tc>
        <w:tc>
          <w:tcPr>
            <w:tcW w:w="1239"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H</w:t>
            </w:r>
            <w:r w:rsidRPr="008650C1">
              <w:rPr>
                <w:rFonts w:eastAsia="Times New Roman" w:cs="Times New Roman"/>
                <w:color w:val="000000"/>
                <w:sz w:val="18"/>
                <w:szCs w:val="18"/>
                <w:vertAlign w:val="subscript"/>
              </w:rPr>
              <w:t>2</w:t>
            </w:r>
            <w:r w:rsidRPr="008650C1">
              <w:rPr>
                <w:rFonts w:eastAsia="Times New Roman" w:cs="Times New Roman"/>
                <w:color w:val="000000"/>
                <w:sz w:val="18"/>
                <w:szCs w:val="18"/>
              </w:rPr>
              <w:t>O (wt.%)</w:t>
            </w:r>
          </w:p>
        </w:tc>
        <w:tc>
          <w:tcPr>
            <w:tcW w:w="460"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p>
        </w:tc>
        <w:tc>
          <w:tcPr>
            <w:tcW w:w="920" w:type="dxa"/>
            <w:tcBorders>
              <w:top w:val="single" w:sz="4" w:space="0" w:color="auto"/>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BM (max)</w:t>
            </w:r>
          </w:p>
        </w:tc>
        <w:tc>
          <w:tcPr>
            <w:tcW w:w="900"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BM (min)</w:t>
            </w:r>
          </w:p>
        </w:tc>
        <w:tc>
          <w:tcPr>
            <w:tcW w:w="621" w:type="dxa"/>
            <w:tcBorders>
              <w:top w:val="nil"/>
              <w:left w:val="nil"/>
              <w:bottom w:val="single" w:sz="4" w:space="0" w:color="auto"/>
              <w:right w:val="nil"/>
            </w:tcBorders>
            <w:noWrap/>
            <w:vAlign w:val="bottom"/>
            <w:hideMark/>
          </w:tcPr>
          <w:p w:rsidR="00897A0B" w:rsidRPr="008650C1" w:rsidRDefault="00897A0B" w:rsidP="00FC1DA8">
            <w:pPr>
              <w:spacing w:after="0"/>
              <w:rPr>
                <w:rFonts w:eastAsia="Times New Roman" w:cs="Times New Roman"/>
                <w:color w:val="000000"/>
                <w:sz w:val="18"/>
                <w:szCs w:val="18"/>
              </w:rPr>
            </w:pPr>
            <w:r w:rsidRPr="008650C1">
              <w:rPr>
                <w:rFonts w:eastAsia="Times New Roman" w:cs="Times New Roman"/>
                <w:color w:val="000000"/>
                <w:sz w:val="18"/>
                <w:szCs w:val="18"/>
              </w:rPr>
              <w:t>r</w:t>
            </w:r>
            <w:r w:rsidRPr="008650C1">
              <w:rPr>
                <w:rFonts w:eastAsia="Times New Roman" w:cs="Times New Roman"/>
                <w:color w:val="000000"/>
                <w:sz w:val="18"/>
                <w:szCs w:val="18"/>
                <w:vertAlign w:val="superscript"/>
              </w:rPr>
              <w:t>2</w:t>
            </w:r>
          </w:p>
        </w:tc>
        <w:tc>
          <w:tcPr>
            <w:tcW w:w="849"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erf</w:t>
            </w:r>
          </w:p>
        </w:tc>
        <w:tc>
          <w:tcPr>
            <w:tcW w:w="621" w:type="dxa"/>
            <w:tcBorders>
              <w:top w:val="nil"/>
              <w:left w:val="nil"/>
              <w:bottom w:val="single" w:sz="4" w:space="0" w:color="auto"/>
              <w:right w:val="nil"/>
            </w:tcBorders>
            <w:noWrap/>
            <w:vAlign w:val="bottom"/>
            <w:hideMark/>
          </w:tcPr>
          <w:p w:rsidR="00897A0B" w:rsidRPr="008650C1" w:rsidRDefault="00897A0B" w:rsidP="00FC1DA8">
            <w:pPr>
              <w:spacing w:after="0"/>
              <w:rPr>
                <w:rFonts w:eastAsia="Times New Roman" w:cs="Times New Roman"/>
                <w:color w:val="000000"/>
                <w:sz w:val="18"/>
                <w:szCs w:val="18"/>
              </w:rPr>
            </w:pPr>
            <w:r w:rsidRPr="008650C1">
              <w:rPr>
                <w:rFonts w:eastAsia="Times New Roman" w:cs="Times New Roman"/>
                <w:color w:val="000000"/>
                <w:sz w:val="18"/>
                <w:szCs w:val="18"/>
              </w:rPr>
              <w:t>r</w:t>
            </w:r>
            <w:r w:rsidRPr="008650C1">
              <w:rPr>
                <w:rFonts w:eastAsia="Times New Roman" w:cs="Times New Roman"/>
                <w:color w:val="000000"/>
                <w:sz w:val="18"/>
                <w:szCs w:val="18"/>
                <w:vertAlign w:val="superscript"/>
              </w:rPr>
              <w:t>2</w:t>
            </w:r>
          </w:p>
        </w:tc>
        <w:tc>
          <w:tcPr>
            <w:tcW w:w="1400"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ln(D)-BM (max)</w:t>
            </w:r>
          </w:p>
        </w:tc>
        <w:tc>
          <w:tcPr>
            <w:tcW w:w="1380"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ln(D)-BM (min)</w:t>
            </w:r>
          </w:p>
        </w:tc>
        <w:tc>
          <w:tcPr>
            <w:tcW w:w="840"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ln(D)-erf</w:t>
            </w:r>
          </w:p>
        </w:tc>
      </w:tr>
      <w:tr w:rsidR="00897A0B" w:rsidRPr="008650C1" w:rsidTr="00897A0B">
        <w:trPr>
          <w:trHeight w:val="260"/>
          <w:jc w:val="center"/>
        </w:trPr>
        <w:tc>
          <w:tcPr>
            <w:tcW w:w="809"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CGB34</w:t>
            </w:r>
          </w:p>
        </w:tc>
        <w:tc>
          <w:tcPr>
            <w:tcW w:w="69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800</w:t>
            </w:r>
          </w:p>
        </w:tc>
        <w:tc>
          <w:tcPr>
            <w:tcW w:w="80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0</w:t>
            </w:r>
          </w:p>
        </w:tc>
        <w:tc>
          <w:tcPr>
            <w:tcW w:w="1239"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7.68</w:t>
            </w:r>
          </w:p>
        </w:tc>
        <w:tc>
          <w:tcPr>
            <w:tcW w:w="46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H</w:t>
            </w:r>
          </w:p>
        </w:tc>
        <w:tc>
          <w:tcPr>
            <w:tcW w:w="92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w:t>
            </w:r>
          </w:p>
        </w:tc>
        <w:tc>
          <w:tcPr>
            <w:tcW w:w="90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w:t>
            </w:r>
          </w:p>
        </w:tc>
        <w:tc>
          <w:tcPr>
            <w:tcW w:w="621"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color w:val="000000"/>
                <w:sz w:val="18"/>
                <w:szCs w:val="18"/>
              </w:rPr>
            </w:pPr>
            <w:r w:rsidRPr="008650C1">
              <w:rPr>
                <w:rFonts w:eastAsia="Times New Roman" w:cs="Times New Roman"/>
                <w:color w:val="000000"/>
                <w:sz w:val="18"/>
                <w:szCs w:val="18"/>
              </w:rPr>
              <w:t>---</w:t>
            </w:r>
          </w:p>
        </w:tc>
        <w:tc>
          <w:tcPr>
            <w:tcW w:w="849"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w:t>
            </w:r>
          </w:p>
        </w:tc>
        <w:tc>
          <w:tcPr>
            <w:tcW w:w="621"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color w:val="000000"/>
                <w:sz w:val="18"/>
                <w:szCs w:val="18"/>
              </w:rPr>
            </w:pPr>
            <w:r w:rsidRPr="008650C1">
              <w:rPr>
                <w:rFonts w:eastAsia="Times New Roman" w:cs="Times New Roman"/>
                <w:color w:val="000000"/>
                <w:sz w:val="18"/>
                <w:szCs w:val="18"/>
              </w:rPr>
              <w:t>---</w:t>
            </w:r>
          </w:p>
        </w:tc>
        <w:tc>
          <w:tcPr>
            <w:tcW w:w="140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w:t>
            </w:r>
          </w:p>
        </w:tc>
        <w:tc>
          <w:tcPr>
            <w:tcW w:w="138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w:t>
            </w:r>
          </w:p>
        </w:tc>
        <w:tc>
          <w:tcPr>
            <w:tcW w:w="84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w:t>
            </w:r>
          </w:p>
        </w:tc>
      </w:tr>
      <w:tr w:rsidR="00897A0B" w:rsidRPr="008650C1" w:rsidTr="00897A0B">
        <w:trPr>
          <w:trHeight w:val="260"/>
          <w:jc w:val="center"/>
        </w:trPr>
        <w:tc>
          <w:tcPr>
            <w:tcW w:w="809"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CGB35</w:t>
            </w:r>
          </w:p>
        </w:tc>
        <w:tc>
          <w:tcPr>
            <w:tcW w:w="69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800</w:t>
            </w:r>
          </w:p>
        </w:tc>
        <w:tc>
          <w:tcPr>
            <w:tcW w:w="80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1</w:t>
            </w:r>
          </w:p>
        </w:tc>
        <w:tc>
          <w:tcPr>
            <w:tcW w:w="1239"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5.55</w:t>
            </w:r>
          </w:p>
        </w:tc>
        <w:tc>
          <w:tcPr>
            <w:tcW w:w="46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H</w:t>
            </w:r>
          </w:p>
        </w:tc>
        <w:tc>
          <w:tcPr>
            <w:tcW w:w="92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3.3E-12</w:t>
            </w:r>
          </w:p>
        </w:tc>
        <w:tc>
          <w:tcPr>
            <w:tcW w:w="90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5.3E-13</w:t>
            </w:r>
          </w:p>
        </w:tc>
        <w:tc>
          <w:tcPr>
            <w:tcW w:w="621"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color w:val="000000"/>
                <w:sz w:val="18"/>
                <w:szCs w:val="18"/>
              </w:rPr>
            </w:pPr>
            <w:r w:rsidRPr="008650C1">
              <w:rPr>
                <w:rFonts w:eastAsia="Times New Roman" w:cs="Times New Roman"/>
                <w:color w:val="000000"/>
                <w:sz w:val="18"/>
                <w:szCs w:val="18"/>
              </w:rPr>
              <w:t>0.999</w:t>
            </w:r>
          </w:p>
        </w:tc>
        <w:tc>
          <w:tcPr>
            <w:tcW w:w="849"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1.3E-13</w:t>
            </w:r>
          </w:p>
        </w:tc>
        <w:tc>
          <w:tcPr>
            <w:tcW w:w="621"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color w:val="000000"/>
                <w:sz w:val="18"/>
                <w:szCs w:val="18"/>
              </w:rPr>
            </w:pPr>
            <w:r w:rsidRPr="008650C1">
              <w:rPr>
                <w:rFonts w:eastAsia="Times New Roman" w:cs="Times New Roman"/>
                <w:color w:val="000000"/>
                <w:sz w:val="18"/>
                <w:szCs w:val="18"/>
              </w:rPr>
              <w:t>0.999</w:t>
            </w:r>
          </w:p>
        </w:tc>
        <w:tc>
          <w:tcPr>
            <w:tcW w:w="140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-26.4</w:t>
            </w:r>
          </w:p>
        </w:tc>
        <w:tc>
          <w:tcPr>
            <w:tcW w:w="138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-28.3</w:t>
            </w:r>
          </w:p>
        </w:tc>
        <w:tc>
          <w:tcPr>
            <w:tcW w:w="84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-29.7</w:t>
            </w:r>
          </w:p>
        </w:tc>
      </w:tr>
      <w:tr w:rsidR="00897A0B" w:rsidRPr="008650C1" w:rsidTr="00897A0B">
        <w:trPr>
          <w:trHeight w:val="260"/>
          <w:jc w:val="center"/>
        </w:trPr>
        <w:tc>
          <w:tcPr>
            <w:tcW w:w="809"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CGB36</w:t>
            </w:r>
          </w:p>
        </w:tc>
        <w:tc>
          <w:tcPr>
            <w:tcW w:w="69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800</w:t>
            </w:r>
          </w:p>
        </w:tc>
        <w:tc>
          <w:tcPr>
            <w:tcW w:w="80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3</w:t>
            </w:r>
          </w:p>
        </w:tc>
        <w:tc>
          <w:tcPr>
            <w:tcW w:w="1239"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5.94</w:t>
            </w:r>
          </w:p>
        </w:tc>
        <w:tc>
          <w:tcPr>
            <w:tcW w:w="46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H</w:t>
            </w:r>
          </w:p>
        </w:tc>
        <w:tc>
          <w:tcPr>
            <w:tcW w:w="92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2.4E-12</w:t>
            </w:r>
          </w:p>
        </w:tc>
        <w:tc>
          <w:tcPr>
            <w:tcW w:w="90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2.6E-13</w:t>
            </w:r>
          </w:p>
        </w:tc>
        <w:tc>
          <w:tcPr>
            <w:tcW w:w="621"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color w:val="000000"/>
                <w:sz w:val="18"/>
                <w:szCs w:val="18"/>
              </w:rPr>
            </w:pPr>
            <w:r w:rsidRPr="008650C1">
              <w:rPr>
                <w:rFonts w:eastAsia="Times New Roman" w:cs="Times New Roman"/>
                <w:color w:val="000000"/>
                <w:sz w:val="18"/>
                <w:szCs w:val="18"/>
              </w:rPr>
              <w:t>0.999</w:t>
            </w:r>
          </w:p>
        </w:tc>
        <w:tc>
          <w:tcPr>
            <w:tcW w:w="849"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1.1E-13</w:t>
            </w:r>
          </w:p>
        </w:tc>
        <w:tc>
          <w:tcPr>
            <w:tcW w:w="621"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color w:val="000000"/>
                <w:sz w:val="18"/>
                <w:szCs w:val="18"/>
              </w:rPr>
            </w:pPr>
            <w:r w:rsidRPr="008650C1">
              <w:rPr>
                <w:rFonts w:eastAsia="Times New Roman" w:cs="Times New Roman"/>
                <w:color w:val="000000"/>
                <w:sz w:val="18"/>
                <w:szCs w:val="18"/>
              </w:rPr>
              <w:t>0.995</w:t>
            </w:r>
          </w:p>
        </w:tc>
        <w:tc>
          <w:tcPr>
            <w:tcW w:w="140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-26.8</w:t>
            </w:r>
          </w:p>
        </w:tc>
        <w:tc>
          <w:tcPr>
            <w:tcW w:w="138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-29.0</w:t>
            </w:r>
          </w:p>
        </w:tc>
        <w:tc>
          <w:tcPr>
            <w:tcW w:w="84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-29.8</w:t>
            </w:r>
          </w:p>
        </w:tc>
      </w:tr>
      <w:tr w:rsidR="00897A0B" w:rsidRPr="008650C1" w:rsidTr="00897A0B">
        <w:trPr>
          <w:trHeight w:val="260"/>
          <w:jc w:val="center"/>
        </w:trPr>
        <w:tc>
          <w:tcPr>
            <w:tcW w:w="809"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r w:rsidRPr="008650C1">
              <w:rPr>
                <w:rFonts w:eastAsia="Times New Roman" w:cs="Times New Roman"/>
                <w:sz w:val="18"/>
                <w:szCs w:val="18"/>
              </w:rPr>
              <w:t>CGB75</w:t>
            </w:r>
          </w:p>
        </w:tc>
        <w:tc>
          <w:tcPr>
            <w:tcW w:w="69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800</w:t>
            </w:r>
          </w:p>
        </w:tc>
        <w:tc>
          <w:tcPr>
            <w:tcW w:w="80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3</w:t>
            </w:r>
          </w:p>
        </w:tc>
        <w:tc>
          <w:tcPr>
            <w:tcW w:w="1239"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0.00</w:t>
            </w:r>
          </w:p>
        </w:tc>
        <w:tc>
          <w:tcPr>
            <w:tcW w:w="46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A</w:t>
            </w:r>
          </w:p>
        </w:tc>
        <w:tc>
          <w:tcPr>
            <w:tcW w:w="92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2.7E-13</w:t>
            </w:r>
          </w:p>
        </w:tc>
        <w:tc>
          <w:tcPr>
            <w:tcW w:w="90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5.3E-14</w:t>
            </w:r>
          </w:p>
        </w:tc>
        <w:tc>
          <w:tcPr>
            <w:tcW w:w="621"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color w:val="000000"/>
                <w:sz w:val="18"/>
                <w:szCs w:val="18"/>
              </w:rPr>
            </w:pPr>
            <w:r w:rsidRPr="008650C1">
              <w:rPr>
                <w:rFonts w:eastAsia="Times New Roman" w:cs="Times New Roman"/>
                <w:color w:val="000000"/>
                <w:sz w:val="18"/>
                <w:szCs w:val="18"/>
              </w:rPr>
              <w:t>0.996</w:t>
            </w:r>
          </w:p>
        </w:tc>
        <w:tc>
          <w:tcPr>
            <w:tcW w:w="849"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1.3E-14</w:t>
            </w:r>
          </w:p>
        </w:tc>
        <w:tc>
          <w:tcPr>
            <w:tcW w:w="621"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color w:val="000000"/>
                <w:sz w:val="18"/>
                <w:szCs w:val="18"/>
              </w:rPr>
            </w:pPr>
            <w:r w:rsidRPr="008650C1">
              <w:rPr>
                <w:rFonts w:eastAsia="Times New Roman" w:cs="Times New Roman"/>
                <w:color w:val="000000"/>
                <w:sz w:val="18"/>
                <w:szCs w:val="18"/>
              </w:rPr>
              <w:t>0.998</w:t>
            </w:r>
          </w:p>
        </w:tc>
        <w:tc>
          <w:tcPr>
            <w:tcW w:w="140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-28.9</w:t>
            </w:r>
          </w:p>
        </w:tc>
        <w:tc>
          <w:tcPr>
            <w:tcW w:w="138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-30.6</w:t>
            </w:r>
          </w:p>
        </w:tc>
        <w:tc>
          <w:tcPr>
            <w:tcW w:w="84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-32.0</w:t>
            </w:r>
          </w:p>
        </w:tc>
      </w:tr>
      <w:tr w:rsidR="00897A0B" w:rsidRPr="008650C1" w:rsidTr="00897A0B">
        <w:trPr>
          <w:trHeight w:val="260"/>
          <w:jc w:val="center"/>
        </w:trPr>
        <w:tc>
          <w:tcPr>
            <w:tcW w:w="809"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CGB37</w:t>
            </w:r>
          </w:p>
        </w:tc>
        <w:tc>
          <w:tcPr>
            <w:tcW w:w="691"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800</w:t>
            </w:r>
          </w:p>
        </w:tc>
        <w:tc>
          <w:tcPr>
            <w:tcW w:w="801"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5</w:t>
            </w:r>
          </w:p>
        </w:tc>
        <w:tc>
          <w:tcPr>
            <w:tcW w:w="1239"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7.25</w:t>
            </w:r>
          </w:p>
        </w:tc>
        <w:tc>
          <w:tcPr>
            <w:tcW w:w="460"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H</w:t>
            </w:r>
          </w:p>
        </w:tc>
        <w:tc>
          <w:tcPr>
            <w:tcW w:w="920"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5.1E-12</w:t>
            </w:r>
          </w:p>
        </w:tc>
        <w:tc>
          <w:tcPr>
            <w:tcW w:w="900"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4.6E-13</w:t>
            </w:r>
          </w:p>
        </w:tc>
        <w:tc>
          <w:tcPr>
            <w:tcW w:w="621" w:type="dxa"/>
            <w:tcBorders>
              <w:top w:val="nil"/>
              <w:left w:val="nil"/>
              <w:bottom w:val="single" w:sz="4" w:space="0" w:color="auto"/>
              <w:right w:val="nil"/>
            </w:tcBorders>
            <w:noWrap/>
            <w:vAlign w:val="bottom"/>
            <w:hideMark/>
          </w:tcPr>
          <w:p w:rsidR="00897A0B" w:rsidRPr="008650C1" w:rsidRDefault="00897A0B" w:rsidP="00FC1DA8">
            <w:pPr>
              <w:spacing w:after="0"/>
              <w:rPr>
                <w:rFonts w:eastAsia="Times New Roman" w:cs="Times New Roman"/>
                <w:color w:val="000000"/>
                <w:sz w:val="18"/>
                <w:szCs w:val="18"/>
              </w:rPr>
            </w:pPr>
            <w:r w:rsidRPr="008650C1">
              <w:rPr>
                <w:rFonts w:eastAsia="Times New Roman" w:cs="Times New Roman"/>
                <w:color w:val="000000"/>
                <w:sz w:val="18"/>
                <w:szCs w:val="18"/>
              </w:rPr>
              <w:t>0.999</w:t>
            </w:r>
          </w:p>
        </w:tc>
        <w:tc>
          <w:tcPr>
            <w:tcW w:w="849"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4.5E-13</w:t>
            </w:r>
          </w:p>
        </w:tc>
        <w:tc>
          <w:tcPr>
            <w:tcW w:w="621" w:type="dxa"/>
            <w:tcBorders>
              <w:top w:val="nil"/>
              <w:left w:val="nil"/>
              <w:bottom w:val="single" w:sz="4" w:space="0" w:color="auto"/>
              <w:right w:val="nil"/>
            </w:tcBorders>
            <w:noWrap/>
            <w:vAlign w:val="bottom"/>
            <w:hideMark/>
          </w:tcPr>
          <w:p w:rsidR="00897A0B" w:rsidRPr="008650C1" w:rsidRDefault="00897A0B" w:rsidP="00FC1DA8">
            <w:pPr>
              <w:spacing w:after="0"/>
              <w:rPr>
                <w:rFonts w:eastAsia="Times New Roman" w:cs="Times New Roman"/>
                <w:color w:val="000000"/>
                <w:sz w:val="18"/>
                <w:szCs w:val="18"/>
              </w:rPr>
            </w:pPr>
            <w:r w:rsidRPr="008650C1">
              <w:rPr>
                <w:rFonts w:eastAsia="Times New Roman" w:cs="Times New Roman"/>
                <w:color w:val="000000"/>
                <w:sz w:val="18"/>
                <w:szCs w:val="18"/>
              </w:rPr>
              <w:t>0.996</w:t>
            </w:r>
          </w:p>
        </w:tc>
        <w:tc>
          <w:tcPr>
            <w:tcW w:w="1400"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-26.0</w:t>
            </w:r>
          </w:p>
        </w:tc>
        <w:tc>
          <w:tcPr>
            <w:tcW w:w="1380"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-28.4</w:t>
            </w:r>
          </w:p>
        </w:tc>
        <w:tc>
          <w:tcPr>
            <w:tcW w:w="840"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-28.4</w:t>
            </w:r>
          </w:p>
        </w:tc>
      </w:tr>
      <w:tr w:rsidR="00897A0B" w:rsidRPr="008650C1" w:rsidTr="00897A0B">
        <w:trPr>
          <w:trHeight w:val="260"/>
          <w:jc w:val="center"/>
        </w:trPr>
        <w:tc>
          <w:tcPr>
            <w:tcW w:w="809"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p>
        </w:tc>
        <w:tc>
          <w:tcPr>
            <w:tcW w:w="69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80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1239"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46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92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90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62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849"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sz w:val="18"/>
                <w:szCs w:val="18"/>
              </w:rPr>
            </w:pPr>
          </w:p>
        </w:tc>
        <w:tc>
          <w:tcPr>
            <w:tcW w:w="62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1400"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sz w:val="18"/>
                <w:szCs w:val="18"/>
              </w:rPr>
            </w:pPr>
          </w:p>
        </w:tc>
        <w:tc>
          <w:tcPr>
            <w:tcW w:w="138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84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r>
      <w:tr w:rsidR="00897A0B" w:rsidRPr="008650C1" w:rsidTr="00897A0B">
        <w:trPr>
          <w:trHeight w:val="310"/>
          <w:jc w:val="center"/>
        </w:trPr>
        <w:tc>
          <w:tcPr>
            <w:tcW w:w="809"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69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80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1239"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46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7531" w:type="dxa"/>
            <w:gridSpan w:val="8"/>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vertAlign w:val="superscript"/>
              </w:rPr>
              <w:t>10</w:t>
            </w:r>
            <w:r w:rsidRPr="008650C1">
              <w:rPr>
                <w:rFonts w:eastAsia="Times New Roman" w:cs="Times New Roman"/>
                <w:color w:val="000000"/>
                <w:sz w:val="18"/>
                <w:szCs w:val="18"/>
              </w:rPr>
              <w:t>B</w:t>
            </w:r>
          </w:p>
        </w:tc>
      </w:tr>
      <w:tr w:rsidR="00897A0B" w:rsidRPr="008650C1" w:rsidTr="00897A0B">
        <w:trPr>
          <w:trHeight w:val="330"/>
          <w:jc w:val="center"/>
        </w:trPr>
        <w:tc>
          <w:tcPr>
            <w:tcW w:w="809"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Exp#</w:t>
            </w:r>
          </w:p>
        </w:tc>
        <w:tc>
          <w:tcPr>
            <w:tcW w:w="691"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T (°C)</w:t>
            </w:r>
          </w:p>
        </w:tc>
        <w:tc>
          <w:tcPr>
            <w:tcW w:w="801"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t (days)</w:t>
            </w:r>
          </w:p>
        </w:tc>
        <w:tc>
          <w:tcPr>
            <w:tcW w:w="1239"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H</w:t>
            </w:r>
            <w:r w:rsidRPr="008650C1">
              <w:rPr>
                <w:rFonts w:eastAsia="Times New Roman" w:cs="Times New Roman"/>
                <w:color w:val="000000"/>
                <w:sz w:val="18"/>
                <w:szCs w:val="18"/>
                <w:vertAlign w:val="subscript"/>
              </w:rPr>
              <w:t>2</w:t>
            </w:r>
            <w:r w:rsidRPr="008650C1">
              <w:rPr>
                <w:rFonts w:eastAsia="Times New Roman" w:cs="Times New Roman"/>
                <w:color w:val="000000"/>
                <w:sz w:val="18"/>
                <w:szCs w:val="18"/>
              </w:rPr>
              <w:t>O (wt.%)</w:t>
            </w:r>
          </w:p>
        </w:tc>
        <w:tc>
          <w:tcPr>
            <w:tcW w:w="460"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p>
        </w:tc>
        <w:tc>
          <w:tcPr>
            <w:tcW w:w="920" w:type="dxa"/>
            <w:tcBorders>
              <w:top w:val="single" w:sz="4" w:space="0" w:color="auto"/>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BM (max)</w:t>
            </w:r>
          </w:p>
        </w:tc>
        <w:tc>
          <w:tcPr>
            <w:tcW w:w="900"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BM (min)</w:t>
            </w:r>
          </w:p>
        </w:tc>
        <w:tc>
          <w:tcPr>
            <w:tcW w:w="621" w:type="dxa"/>
            <w:tcBorders>
              <w:top w:val="nil"/>
              <w:left w:val="nil"/>
              <w:bottom w:val="single" w:sz="4" w:space="0" w:color="auto"/>
              <w:right w:val="nil"/>
            </w:tcBorders>
            <w:noWrap/>
            <w:vAlign w:val="bottom"/>
            <w:hideMark/>
          </w:tcPr>
          <w:p w:rsidR="00897A0B" w:rsidRPr="008650C1" w:rsidRDefault="00897A0B" w:rsidP="00FC1DA8">
            <w:pPr>
              <w:spacing w:after="0"/>
              <w:rPr>
                <w:rFonts w:eastAsia="Times New Roman" w:cs="Times New Roman"/>
                <w:color w:val="000000"/>
                <w:sz w:val="18"/>
                <w:szCs w:val="18"/>
              </w:rPr>
            </w:pPr>
            <w:r w:rsidRPr="008650C1">
              <w:rPr>
                <w:rFonts w:eastAsia="Times New Roman" w:cs="Times New Roman"/>
                <w:color w:val="000000"/>
                <w:sz w:val="18"/>
                <w:szCs w:val="18"/>
              </w:rPr>
              <w:t>r</w:t>
            </w:r>
            <w:r w:rsidRPr="008650C1">
              <w:rPr>
                <w:rFonts w:eastAsia="Times New Roman" w:cs="Times New Roman"/>
                <w:color w:val="000000"/>
                <w:sz w:val="18"/>
                <w:szCs w:val="18"/>
                <w:vertAlign w:val="superscript"/>
              </w:rPr>
              <w:t>2</w:t>
            </w:r>
          </w:p>
        </w:tc>
        <w:tc>
          <w:tcPr>
            <w:tcW w:w="849"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erf</w:t>
            </w:r>
          </w:p>
        </w:tc>
        <w:tc>
          <w:tcPr>
            <w:tcW w:w="621" w:type="dxa"/>
            <w:tcBorders>
              <w:top w:val="nil"/>
              <w:left w:val="nil"/>
              <w:bottom w:val="single" w:sz="4" w:space="0" w:color="auto"/>
              <w:right w:val="nil"/>
            </w:tcBorders>
            <w:noWrap/>
            <w:vAlign w:val="bottom"/>
            <w:hideMark/>
          </w:tcPr>
          <w:p w:rsidR="00897A0B" w:rsidRPr="008650C1" w:rsidRDefault="00897A0B" w:rsidP="00FC1DA8">
            <w:pPr>
              <w:spacing w:after="0"/>
              <w:rPr>
                <w:rFonts w:eastAsia="Times New Roman" w:cs="Times New Roman"/>
                <w:color w:val="000000"/>
                <w:sz w:val="18"/>
                <w:szCs w:val="18"/>
              </w:rPr>
            </w:pPr>
            <w:r w:rsidRPr="008650C1">
              <w:rPr>
                <w:rFonts w:eastAsia="Times New Roman" w:cs="Times New Roman"/>
                <w:color w:val="000000"/>
                <w:sz w:val="18"/>
                <w:szCs w:val="18"/>
              </w:rPr>
              <w:t>r</w:t>
            </w:r>
            <w:r w:rsidRPr="008650C1">
              <w:rPr>
                <w:rFonts w:eastAsia="Times New Roman" w:cs="Times New Roman"/>
                <w:color w:val="000000"/>
                <w:sz w:val="18"/>
                <w:szCs w:val="18"/>
                <w:vertAlign w:val="superscript"/>
              </w:rPr>
              <w:t>2</w:t>
            </w:r>
          </w:p>
        </w:tc>
        <w:tc>
          <w:tcPr>
            <w:tcW w:w="1400"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ln(D)-BM (max)</w:t>
            </w:r>
          </w:p>
        </w:tc>
        <w:tc>
          <w:tcPr>
            <w:tcW w:w="1380"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ln(D)-BM (min)</w:t>
            </w:r>
          </w:p>
        </w:tc>
        <w:tc>
          <w:tcPr>
            <w:tcW w:w="840"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ln(D)-erf</w:t>
            </w:r>
          </w:p>
        </w:tc>
      </w:tr>
      <w:tr w:rsidR="00897A0B" w:rsidRPr="008650C1" w:rsidTr="00897A0B">
        <w:trPr>
          <w:trHeight w:val="260"/>
          <w:jc w:val="center"/>
        </w:trPr>
        <w:tc>
          <w:tcPr>
            <w:tcW w:w="809"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CGB34</w:t>
            </w:r>
          </w:p>
        </w:tc>
        <w:tc>
          <w:tcPr>
            <w:tcW w:w="69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800</w:t>
            </w:r>
          </w:p>
        </w:tc>
        <w:tc>
          <w:tcPr>
            <w:tcW w:w="80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0</w:t>
            </w:r>
          </w:p>
        </w:tc>
        <w:tc>
          <w:tcPr>
            <w:tcW w:w="1239"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7.68</w:t>
            </w:r>
          </w:p>
        </w:tc>
        <w:tc>
          <w:tcPr>
            <w:tcW w:w="46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H</w:t>
            </w:r>
          </w:p>
        </w:tc>
        <w:tc>
          <w:tcPr>
            <w:tcW w:w="92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w:t>
            </w:r>
          </w:p>
        </w:tc>
        <w:tc>
          <w:tcPr>
            <w:tcW w:w="90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w:t>
            </w:r>
          </w:p>
        </w:tc>
        <w:tc>
          <w:tcPr>
            <w:tcW w:w="621"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color w:val="000000"/>
                <w:sz w:val="18"/>
                <w:szCs w:val="18"/>
              </w:rPr>
            </w:pPr>
            <w:r w:rsidRPr="008650C1">
              <w:rPr>
                <w:rFonts w:eastAsia="Times New Roman" w:cs="Times New Roman"/>
                <w:color w:val="000000"/>
                <w:sz w:val="18"/>
                <w:szCs w:val="18"/>
              </w:rPr>
              <w:t>---</w:t>
            </w:r>
          </w:p>
        </w:tc>
        <w:tc>
          <w:tcPr>
            <w:tcW w:w="849"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w:t>
            </w:r>
          </w:p>
        </w:tc>
        <w:tc>
          <w:tcPr>
            <w:tcW w:w="621"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color w:val="000000"/>
                <w:sz w:val="18"/>
                <w:szCs w:val="18"/>
              </w:rPr>
            </w:pPr>
            <w:r w:rsidRPr="008650C1">
              <w:rPr>
                <w:rFonts w:eastAsia="Times New Roman" w:cs="Times New Roman"/>
                <w:color w:val="000000"/>
                <w:sz w:val="18"/>
                <w:szCs w:val="18"/>
              </w:rPr>
              <w:t>---</w:t>
            </w:r>
          </w:p>
        </w:tc>
        <w:tc>
          <w:tcPr>
            <w:tcW w:w="140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w:t>
            </w:r>
          </w:p>
        </w:tc>
        <w:tc>
          <w:tcPr>
            <w:tcW w:w="138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w:t>
            </w:r>
          </w:p>
        </w:tc>
        <w:tc>
          <w:tcPr>
            <w:tcW w:w="84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w:t>
            </w:r>
          </w:p>
        </w:tc>
      </w:tr>
      <w:tr w:rsidR="00897A0B" w:rsidRPr="008650C1" w:rsidTr="00897A0B">
        <w:trPr>
          <w:trHeight w:val="260"/>
          <w:jc w:val="center"/>
        </w:trPr>
        <w:tc>
          <w:tcPr>
            <w:tcW w:w="809"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CGB35</w:t>
            </w:r>
          </w:p>
        </w:tc>
        <w:tc>
          <w:tcPr>
            <w:tcW w:w="69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800</w:t>
            </w:r>
          </w:p>
        </w:tc>
        <w:tc>
          <w:tcPr>
            <w:tcW w:w="80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1</w:t>
            </w:r>
          </w:p>
        </w:tc>
        <w:tc>
          <w:tcPr>
            <w:tcW w:w="1239"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5.55</w:t>
            </w:r>
          </w:p>
        </w:tc>
        <w:tc>
          <w:tcPr>
            <w:tcW w:w="46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H</w:t>
            </w:r>
          </w:p>
        </w:tc>
        <w:tc>
          <w:tcPr>
            <w:tcW w:w="92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3.3E-12</w:t>
            </w:r>
          </w:p>
        </w:tc>
        <w:tc>
          <w:tcPr>
            <w:tcW w:w="90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4.0E-13</w:t>
            </w:r>
          </w:p>
        </w:tc>
        <w:tc>
          <w:tcPr>
            <w:tcW w:w="621"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color w:val="000000"/>
                <w:sz w:val="18"/>
                <w:szCs w:val="18"/>
              </w:rPr>
            </w:pPr>
            <w:r w:rsidRPr="008650C1">
              <w:rPr>
                <w:rFonts w:eastAsia="Times New Roman" w:cs="Times New Roman"/>
                <w:color w:val="000000"/>
                <w:sz w:val="18"/>
                <w:szCs w:val="18"/>
              </w:rPr>
              <w:t>0.999</w:t>
            </w:r>
          </w:p>
        </w:tc>
        <w:tc>
          <w:tcPr>
            <w:tcW w:w="849" w:type="dxa"/>
            <w:tcBorders>
              <w:top w:val="nil"/>
              <w:left w:val="nil"/>
              <w:bottom w:val="nil"/>
              <w:right w:val="nil"/>
            </w:tcBorders>
            <w:noWrap/>
            <w:vAlign w:val="bottom"/>
            <w:hideMark/>
          </w:tcPr>
          <w:p w:rsidR="00897A0B" w:rsidRPr="008650C1" w:rsidRDefault="00897A0B" w:rsidP="00FC1DA8">
            <w:pPr>
              <w:spacing w:after="0"/>
              <w:jc w:val="right"/>
              <w:rPr>
                <w:rFonts w:eastAsia="Times New Roman" w:cs="Times New Roman"/>
                <w:color w:val="000000"/>
                <w:sz w:val="18"/>
                <w:szCs w:val="18"/>
              </w:rPr>
            </w:pPr>
            <w:r w:rsidRPr="008650C1">
              <w:rPr>
                <w:rFonts w:eastAsia="Times New Roman" w:cs="Times New Roman"/>
                <w:color w:val="000000"/>
                <w:sz w:val="18"/>
                <w:szCs w:val="18"/>
              </w:rPr>
              <w:t>1.3E-13</w:t>
            </w:r>
          </w:p>
        </w:tc>
        <w:tc>
          <w:tcPr>
            <w:tcW w:w="621"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color w:val="000000"/>
                <w:sz w:val="18"/>
                <w:szCs w:val="18"/>
              </w:rPr>
            </w:pPr>
            <w:r w:rsidRPr="008650C1">
              <w:rPr>
                <w:rFonts w:eastAsia="Times New Roman" w:cs="Times New Roman"/>
                <w:color w:val="000000"/>
                <w:sz w:val="18"/>
                <w:szCs w:val="18"/>
              </w:rPr>
              <w:t>0.999</w:t>
            </w:r>
          </w:p>
        </w:tc>
        <w:tc>
          <w:tcPr>
            <w:tcW w:w="140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-26.4</w:t>
            </w:r>
          </w:p>
        </w:tc>
        <w:tc>
          <w:tcPr>
            <w:tcW w:w="138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-28.5</w:t>
            </w:r>
          </w:p>
        </w:tc>
        <w:tc>
          <w:tcPr>
            <w:tcW w:w="84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-29.7</w:t>
            </w:r>
          </w:p>
        </w:tc>
      </w:tr>
      <w:tr w:rsidR="00897A0B" w:rsidRPr="008650C1" w:rsidTr="00897A0B">
        <w:trPr>
          <w:trHeight w:val="260"/>
          <w:jc w:val="center"/>
        </w:trPr>
        <w:tc>
          <w:tcPr>
            <w:tcW w:w="809"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CGB36</w:t>
            </w:r>
          </w:p>
        </w:tc>
        <w:tc>
          <w:tcPr>
            <w:tcW w:w="69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800</w:t>
            </w:r>
          </w:p>
        </w:tc>
        <w:tc>
          <w:tcPr>
            <w:tcW w:w="80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3</w:t>
            </w:r>
          </w:p>
        </w:tc>
        <w:tc>
          <w:tcPr>
            <w:tcW w:w="1239"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5.94</w:t>
            </w:r>
          </w:p>
        </w:tc>
        <w:tc>
          <w:tcPr>
            <w:tcW w:w="46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H</w:t>
            </w:r>
          </w:p>
        </w:tc>
        <w:tc>
          <w:tcPr>
            <w:tcW w:w="92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2.0E-12</w:t>
            </w:r>
          </w:p>
        </w:tc>
        <w:tc>
          <w:tcPr>
            <w:tcW w:w="90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2.2E-13</w:t>
            </w:r>
          </w:p>
        </w:tc>
        <w:tc>
          <w:tcPr>
            <w:tcW w:w="621"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color w:val="000000"/>
                <w:sz w:val="18"/>
                <w:szCs w:val="18"/>
              </w:rPr>
            </w:pPr>
            <w:r w:rsidRPr="008650C1">
              <w:rPr>
                <w:rFonts w:eastAsia="Times New Roman" w:cs="Times New Roman"/>
                <w:color w:val="000000"/>
                <w:sz w:val="18"/>
                <w:szCs w:val="18"/>
              </w:rPr>
              <w:t>0.998</w:t>
            </w:r>
          </w:p>
        </w:tc>
        <w:tc>
          <w:tcPr>
            <w:tcW w:w="849" w:type="dxa"/>
            <w:tcBorders>
              <w:top w:val="nil"/>
              <w:left w:val="nil"/>
              <w:bottom w:val="nil"/>
              <w:right w:val="nil"/>
            </w:tcBorders>
            <w:noWrap/>
            <w:vAlign w:val="bottom"/>
            <w:hideMark/>
          </w:tcPr>
          <w:p w:rsidR="00897A0B" w:rsidRPr="008650C1" w:rsidRDefault="00897A0B" w:rsidP="00FC1DA8">
            <w:pPr>
              <w:spacing w:after="0"/>
              <w:jc w:val="right"/>
              <w:rPr>
                <w:rFonts w:eastAsia="Times New Roman" w:cs="Times New Roman"/>
                <w:color w:val="000000"/>
                <w:sz w:val="18"/>
                <w:szCs w:val="18"/>
              </w:rPr>
            </w:pPr>
            <w:r w:rsidRPr="008650C1">
              <w:rPr>
                <w:rFonts w:eastAsia="Times New Roman" w:cs="Times New Roman"/>
                <w:color w:val="000000"/>
                <w:sz w:val="18"/>
                <w:szCs w:val="18"/>
              </w:rPr>
              <w:t>9.0E-14</w:t>
            </w:r>
          </w:p>
        </w:tc>
        <w:tc>
          <w:tcPr>
            <w:tcW w:w="621"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color w:val="000000"/>
                <w:sz w:val="18"/>
                <w:szCs w:val="18"/>
              </w:rPr>
            </w:pPr>
            <w:r w:rsidRPr="008650C1">
              <w:rPr>
                <w:rFonts w:eastAsia="Times New Roman" w:cs="Times New Roman"/>
                <w:color w:val="000000"/>
                <w:sz w:val="18"/>
                <w:szCs w:val="18"/>
              </w:rPr>
              <w:t>0.999</w:t>
            </w:r>
          </w:p>
        </w:tc>
        <w:tc>
          <w:tcPr>
            <w:tcW w:w="140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-26.9</w:t>
            </w:r>
          </w:p>
        </w:tc>
        <w:tc>
          <w:tcPr>
            <w:tcW w:w="138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-29.1</w:t>
            </w:r>
          </w:p>
        </w:tc>
        <w:tc>
          <w:tcPr>
            <w:tcW w:w="84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-30.0</w:t>
            </w:r>
          </w:p>
        </w:tc>
      </w:tr>
      <w:tr w:rsidR="00897A0B" w:rsidRPr="008650C1" w:rsidTr="00897A0B">
        <w:trPr>
          <w:trHeight w:val="260"/>
          <w:jc w:val="center"/>
        </w:trPr>
        <w:tc>
          <w:tcPr>
            <w:tcW w:w="809"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r w:rsidRPr="008650C1">
              <w:rPr>
                <w:rFonts w:eastAsia="Times New Roman" w:cs="Times New Roman"/>
                <w:sz w:val="18"/>
                <w:szCs w:val="18"/>
              </w:rPr>
              <w:t>CGB75</w:t>
            </w:r>
          </w:p>
        </w:tc>
        <w:tc>
          <w:tcPr>
            <w:tcW w:w="69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800</w:t>
            </w:r>
          </w:p>
        </w:tc>
        <w:tc>
          <w:tcPr>
            <w:tcW w:w="80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3</w:t>
            </w:r>
          </w:p>
        </w:tc>
        <w:tc>
          <w:tcPr>
            <w:tcW w:w="1239"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0.00</w:t>
            </w:r>
          </w:p>
        </w:tc>
        <w:tc>
          <w:tcPr>
            <w:tcW w:w="46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A</w:t>
            </w:r>
          </w:p>
        </w:tc>
        <w:tc>
          <w:tcPr>
            <w:tcW w:w="92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3.1E-13</w:t>
            </w:r>
          </w:p>
        </w:tc>
        <w:tc>
          <w:tcPr>
            <w:tcW w:w="90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3.5E-14</w:t>
            </w:r>
          </w:p>
        </w:tc>
        <w:tc>
          <w:tcPr>
            <w:tcW w:w="621"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color w:val="000000"/>
                <w:sz w:val="18"/>
                <w:szCs w:val="18"/>
              </w:rPr>
            </w:pPr>
            <w:r w:rsidRPr="008650C1">
              <w:rPr>
                <w:rFonts w:eastAsia="Times New Roman" w:cs="Times New Roman"/>
                <w:color w:val="000000"/>
                <w:sz w:val="18"/>
                <w:szCs w:val="18"/>
              </w:rPr>
              <w:t>0.997</w:t>
            </w:r>
          </w:p>
        </w:tc>
        <w:tc>
          <w:tcPr>
            <w:tcW w:w="849" w:type="dxa"/>
            <w:tcBorders>
              <w:top w:val="nil"/>
              <w:left w:val="nil"/>
              <w:bottom w:val="nil"/>
              <w:right w:val="nil"/>
            </w:tcBorders>
            <w:noWrap/>
            <w:vAlign w:val="bottom"/>
            <w:hideMark/>
          </w:tcPr>
          <w:p w:rsidR="00897A0B" w:rsidRPr="008650C1" w:rsidRDefault="00897A0B" w:rsidP="00FC1DA8">
            <w:pPr>
              <w:spacing w:after="0"/>
              <w:jc w:val="right"/>
              <w:rPr>
                <w:rFonts w:eastAsia="Times New Roman" w:cs="Times New Roman"/>
                <w:color w:val="000000"/>
                <w:sz w:val="18"/>
                <w:szCs w:val="18"/>
              </w:rPr>
            </w:pPr>
            <w:r w:rsidRPr="008650C1">
              <w:rPr>
                <w:rFonts w:eastAsia="Times New Roman" w:cs="Times New Roman"/>
                <w:color w:val="000000"/>
                <w:sz w:val="18"/>
                <w:szCs w:val="18"/>
              </w:rPr>
              <w:t>1.4E-14</w:t>
            </w:r>
          </w:p>
        </w:tc>
        <w:tc>
          <w:tcPr>
            <w:tcW w:w="621"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color w:val="000000"/>
                <w:sz w:val="18"/>
                <w:szCs w:val="18"/>
              </w:rPr>
            </w:pPr>
            <w:r w:rsidRPr="008650C1">
              <w:rPr>
                <w:rFonts w:eastAsia="Times New Roman" w:cs="Times New Roman"/>
                <w:color w:val="000000"/>
                <w:sz w:val="18"/>
                <w:szCs w:val="18"/>
              </w:rPr>
              <w:t>0.998</w:t>
            </w:r>
          </w:p>
        </w:tc>
        <w:tc>
          <w:tcPr>
            <w:tcW w:w="140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-28.8</w:t>
            </w:r>
          </w:p>
        </w:tc>
        <w:tc>
          <w:tcPr>
            <w:tcW w:w="138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-31.0</w:t>
            </w:r>
          </w:p>
        </w:tc>
        <w:tc>
          <w:tcPr>
            <w:tcW w:w="84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-31.9</w:t>
            </w:r>
          </w:p>
        </w:tc>
      </w:tr>
      <w:tr w:rsidR="00897A0B" w:rsidRPr="008650C1" w:rsidTr="00897A0B">
        <w:trPr>
          <w:trHeight w:val="260"/>
          <w:jc w:val="center"/>
        </w:trPr>
        <w:tc>
          <w:tcPr>
            <w:tcW w:w="809"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CGB37</w:t>
            </w:r>
          </w:p>
        </w:tc>
        <w:tc>
          <w:tcPr>
            <w:tcW w:w="691"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800</w:t>
            </w:r>
          </w:p>
        </w:tc>
        <w:tc>
          <w:tcPr>
            <w:tcW w:w="801"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5</w:t>
            </w:r>
          </w:p>
        </w:tc>
        <w:tc>
          <w:tcPr>
            <w:tcW w:w="1239"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7.25</w:t>
            </w:r>
          </w:p>
        </w:tc>
        <w:tc>
          <w:tcPr>
            <w:tcW w:w="460"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H</w:t>
            </w:r>
          </w:p>
        </w:tc>
        <w:tc>
          <w:tcPr>
            <w:tcW w:w="920"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7.3E-12</w:t>
            </w:r>
          </w:p>
        </w:tc>
        <w:tc>
          <w:tcPr>
            <w:tcW w:w="900"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2.4E-13</w:t>
            </w:r>
          </w:p>
        </w:tc>
        <w:tc>
          <w:tcPr>
            <w:tcW w:w="621" w:type="dxa"/>
            <w:tcBorders>
              <w:top w:val="nil"/>
              <w:left w:val="nil"/>
              <w:bottom w:val="single" w:sz="4" w:space="0" w:color="auto"/>
              <w:right w:val="nil"/>
            </w:tcBorders>
            <w:noWrap/>
            <w:vAlign w:val="bottom"/>
            <w:hideMark/>
          </w:tcPr>
          <w:p w:rsidR="00897A0B" w:rsidRPr="008650C1" w:rsidRDefault="00897A0B" w:rsidP="00FC1DA8">
            <w:pPr>
              <w:spacing w:after="0"/>
              <w:rPr>
                <w:rFonts w:eastAsia="Times New Roman" w:cs="Times New Roman"/>
                <w:color w:val="000000"/>
                <w:sz w:val="18"/>
                <w:szCs w:val="18"/>
              </w:rPr>
            </w:pPr>
            <w:r w:rsidRPr="008650C1">
              <w:rPr>
                <w:rFonts w:eastAsia="Times New Roman" w:cs="Times New Roman"/>
                <w:color w:val="000000"/>
                <w:sz w:val="18"/>
                <w:szCs w:val="18"/>
              </w:rPr>
              <w:t>0.999</w:t>
            </w:r>
          </w:p>
        </w:tc>
        <w:tc>
          <w:tcPr>
            <w:tcW w:w="849" w:type="dxa"/>
            <w:tcBorders>
              <w:top w:val="nil"/>
              <w:left w:val="nil"/>
              <w:bottom w:val="single" w:sz="4" w:space="0" w:color="auto"/>
              <w:right w:val="nil"/>
            </w:tcBorders>
            <w:noWrap/>
            <w:vAlign w:val="bottom"/>
            <w:hideMark/>
          </w:tcPr>
          <w:p w:rsidR="00897A0B" w:rsidRPr="008650C1" w:rsidRDefault="00897A0B" w:rsidP="00FC1DA8">
            <w:pPr>
              <w:spacing w:after="0"/>
              <w:jc w:val="right"/>
              <w:rPr>
                <w:rFonts w:eastAsia="Times New Roman" w:cs="Times New Roman"/>
                <w:color w:val="000000"/>
                <w:sz w:val="18"/>
                <w:szCs w:val="18"/>
              </w:rPr>
            </w:pPr>
            <w:r w:rsidRPr="008650C1">
              <w:rPr>
                <w:rFonts w:eastAsia="Times New Roman" w:cs="Times New Roman"/>
                <w:color w:val="000000"/>
                <w:sz w:val="18"/>
                <w:szCs w:val="18"/>
              </w:rPr>
              <w:t>3.6E-13</w:t>
            </w:r>
          </w:p>
        </w:tc>
        <w:tc>
          <w:tcPr>
            <w:tcW w:w="621" w:type="dxa"/>
            <w:tcBorders>
              <w:top w:val="nil"/>
              <w:left w:val="nil"/>
              <w:bottom w:val="single" w:sz="4" w:space="0" w:color="auto"/>
              <w:right w:val="nil"/>
            </w:tcBorders>
            <w:noWrap/>
            <w:vAlign w:val="bottom"/>
            <w:hideMark/>
          </w:tcPr>
          <w:p w:rsidR="00897A0B" w:rsidRPr="008650C1" w:rsidRDefault="00897A0B" w:rsidP="00FC1DA8">
            <w:pPr>
              <w:spacing w:after="0"/>
              <w:rPr>
                <w:rFonts w:eastAsia="Times New Roman" w:cs="Times New Roman"/>
                <w:color w:val="000000"/>
                <w:sz w:val="18"/>
                <w:szCs w:val="18"/>
              </w:rPr>
            </w:pPr>
            <w:r w:rsidRPr="008650C1">
              <w:rPr>
                <w:rFonts w:eastAsia="Times New Roman" w:cs="Times New Roman"/>
                <w:color w:val="000000"/>
                <w:sz w:val="18"/>
                <w:szCs w:val="18"/>
              </w:rPr>
              <w:t>0.999</w:t>
            </w:r>
          </w:p>
        </w:tc>
        <w:tc>
          <w:tcPr>
            <w:tcW w:w="1400"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-25.6</w:t>
            </w:r>
          </w:p>
        </w:tc>
        <w:tc>
          <w:tcPr>
            <w:tcW w:w="1380"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-29.1</w:t>
            </w:r>
          </w:p>
        </w:tc>
        <w:tc>
          <w:tcPr>
            <w:tcW w:w="840" w:type="dxa"/>
            <w:tcBorders>
              <w:top w:val="nil"/>
              <w:left w:val="nil"/>
              <w:bottom w:val="single" w:sz="4" w:space="0" w:color="auto"/>
              <w:right w:val="nil"/>
            </w:tcBorders>
            <w:noWrap/>
            <w:vAlign w:val="bottom"/>
            <w:hideMark/>
          </w:tcPr>
          <w:p w:rsidR="00897A0B" w:rsidRPr="008650C1" w:rsidRDefault="00897A0B" w:rsidP="00FC1DA8">
            <w:pPr>
              <w:spacing w:after="0"/>
              <w:jc w:val="center"/>
              <w:rPr>
                <w:rFonts w:eastAsia="Times New Roman" w:cs="Times New Roman"/>
                <w:color w:val="000000"/>
                <w:sz w:val="18"/>
                <w:szCs w:val="18"/>
              </w:rPr>
            </w:pPr>
            <w:r w:rsidRPr="008650C1">
              <w:rPr>
                <w:rFonts w:eastAsia="Times New Roman" w:cs="Times New Roman"/>
                <w:color w:val="000000"/>
                <w:sz w:val="18"/>
                <w:szCs w:val="18"/>
              </w:rPr>
              <w:t>-28.7</w:t>
            </w:r>
          </w:p>
        </w:tc>
      </w:tr>
      <w:tr w:rsidR="00897A0B" w:rsidRPr="008650C1" w:rsidTr="00897A0B">
        <w:trPr>
          <w:trHeight w:val="300"/>
          <w:jc w:val="center"/>
        </w:trPr>
        <w:tc>
          <w:tcPr>
            <w:tcW w:w="4920" w:type="dxa"/>
            <w:gridSpan w:val="6"/>
            <w:tcBorders>
              <w:top w:val="nil"/>
              <w:left w:val="nil"/>
              <w:bottom w:val="nil"/>
              <w:right w:val="nil"/>
            </w:tcBorders>
            <w:noWrap/>
            <w:vAlign w:val="bottom"/>
            <w:hideMark/>
          </w:tcPr>
          <w:p w:rsidR="00897A0B" w:rsidRPr="008650C1" w:rsidRDefault="00897A0B" w:rsidP="00FC1DA8">
            <w:pPr>
              <w:spacing w:after="0"/>
              <w:rPr>
                <w:rFonts w:eastAsia="Times New Roman" w:cs="Times New Roman"/>
                <w:color w:val="000000"/>
                <w:sz w:val="18"/>
                <w:szCs w:val="18"/>
              </w:rPr>
            </w:pPr>
            <w:r w:rsidRPr="008650C1">
              <w:rPr>
                <w:rFonts w:eastAsia="Times New Roman" w:cs="Times New Roman"/>
                <w:color w:val="000000"/>
                <w:sz w:val="18"/>
                <w:szCs w:val="18"/>
              </w:rPr>
              <w:t>H</w:t>
            </w:r>
            <w:r w:rsidRPr="008650C1">
              <w:rPr>
                <w:rFonts w:eastAsia="Times New Roman" w:cs="Times New Roman"/>
                <w:color w:val="000000"/>
                <w:sz w:val="18"/>
                <w:szCs w:val="18"/>
                <w:vertAlign w:val="subscript"/>
              </w:rPr>
              <w:t>2</w:t>
            </w:r>
            <w:r w:rsidRPr="008650C1">
              <w:rPr>
                <w:rFonts w:eastAsia="Times New Roman" w:cs="Times New Roman"/>
                <w:color w:val="000000"/>
                <w:sz w:val="18"/>
                <w:szCs w:val="18"/>
              </w:rPr>
              <w:t>O: calculated as the difference of EMPA totals from 100%</w:t>
            </w:r>
          </w:p>
        </w:tc>
        <w:tc>
          <w:tcPr>
            <w:tcW w:w="900"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color w:val="000000"/>
                <w:sz w:val="18"/>
                <w:szCs w:val="18"/>
              </w:rPr>
            </w:pPr>
          </w:p>
        </w:tc>
        <w:tc>
          <w:tcPr>
            <w:tcW w:w="62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849"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sz w:val="18"/>
                <w:szCs w:val="18"/>
              </w:rPr>
            </w:pPr>
          </w:p>
        </w:tc>
        <w:tc>
          <w:tcPr>
            <w:tcW w:w="62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1400"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sz w:val="18"/>
                <w:szCs w:val="18"/>
              </w:rPr>
            </w:pPr>
          </w:p>
        </w:tc>
        <w:tc>
          <w:tcPr>
            <w:tcW w:w="138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84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r>
      <w:tr w:rsidR="00897A0B" w:rsidRPr="008650C1" w:rsidTr="00897A0B">
        <w:trPr>
          <w:trHeight w:val="260"/>
          <w:jc w:val="center"/>
        </w:trPr>
        <w:tc>
          <w:tcPr>
            <w:tcW w:w="5820" w:type="dxa"/>
            <w:gridSpan w:val="7"/>
            <w:tcBorders>
              <w:top w:val="nil"/>
              <w:left w:val="nil"/>
              <w:bottom w:val="nil"/>
              <w:right w:val="nil"/>
            </w:tcBorders>
            <w:noWrap/>
            <w:vAlign w:val="bottom"/>
            <w:hideMark/>
          </w:tcPr>
          <w:p w:rsidR="00897A0B" w:rsidRPr="008650C1" w:rsidRDefault="00897A0B" w:rsidP="00FC1DA8">
            <w:pPr>
              <w:spacing w:after="0"/>
              <w:rPr>
                <w:rFonts w:eastAsia="Times New Roman" w:cs="Times New Roman"/>
                <w:color w:val="000000"/>
                <w:sz w:val="18"/>
                <w:szCs w:val="18"/>
              </w:rPr>
            </w:pPr>
            <w:r w:rsidRPr="008650C1">
              <w:rPr>
                <w:rFonts w:eastAsia="Times New Roman" w:cs="Times New Roman"/>
                <w:color w:val="000000"/>
                <w:sz w:val="18"/>
                <w:szCs w:val="18"/>
              </w:rPr>
              <w:t>A: Anhydrous starting material glass; hydration during B diffusion</w:t>
            </w:r>
          </w:p>
        </w:tc>
        <w:tc>
          <w:tcPr>
            <w:tcW w:w="621"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color w:val="000000"/>
                <w:sz w:val="18"/>
                <w:szCs w:val="18"/>
              </w:rPr>
            </w:pPr>
          </w:p>
        </w:tc>
        <w:tc>
          <w:tcPr>
            <w:tcW w:w="849"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sz w:val="18"/>
                <w:szCs w:val="18"/>
              </w:rPr>
            </w:pPr>
          </w:p>
        </w:tc>
        <w:tc>
          <w:tcPr>
            <w:tcW w:w="62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1400"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sz w:val="18"/>
                <w:szCs w:val="18"/>
              </w:rPr>
            </w:pPr>
          </w:p>
        </w:tc>
        <w:tc>
          <w:tcPr>
            <w:tcW w:w="138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84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r>
      <w:tr w:rsidR="00897A0B" w:rsidRPr="008650C1" w:rsidTr="00897A0B">
        <w:trPr>
          <w:trHeight w:val="260"/>
          <w:jc w:val="center"/>
        </w:trPr>
        <w:tc>
          <w:tcPr>
            <w:tcW w:w="5820" w:type="dxa"/>
            <w:gridSpan w:val="7"/>
            <w:tcBorders>
              <w:top w:val="nil"/>
              <w:left w:val="nil"/>
              <w:bottom w:val="nil"/>
              <w:right w:val="nil"/>
            </w:tcBorders>
            <w:noWrap/>
            <w:vAlign w:val="bottom"/>
            <w:hideMark/>
          </w:tcPr>
          <w:p w:rsidR="00897A0B" w:rsidRPr="008650C1" w:rsidRDefault="00897A0B" w:rsidP="00FC1DA8">
            <w:pPr>
              <w:spacing w:after="0"/>
              <w:rPr>
                <w:rFonts w:eastAsia="Times New Roman" w:cs="Times New Roman"/>
                <w:color w:val="000000"/>
                <w:sz w:val="18"/>
                <w:szCs w:val="18"/>
              </w:rPr>
            </w:pPr>
            <w:r w:rsidRPr="008650C1">
              <w:rPr>
                <w:rFonts w:eastAsia="Times New Roman" w:cs="Times New Roman"/>
                <w:color w:val="000000"/>
                <w:sz w:val="18"/>
                <w:szCs w:val="18"/>
              </w:rPr>
              <w:t>H: Pre-hydrated starting material glass or hydration during B diffusion</w:t>
            </w:r>
          </w:p>
        </w:tc>
        <w:tc>
          <w:tcPr>
            <w:tcW w:w="621"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color w:val="000000"/>
                <w:sz w:val="18"/>
                <w:szCs w:val="18"/>
              </w:rPr>
            </w:pPr>
          </w:p>
        </w:tc>
        <w:tc>
          <w:tcPr>
            <w:tcW w:w="849"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sz w:val="18"/>
                <w:szCs w:val="18"/>
              </w:rPr>
            </w:pPr>
          </w:p>
        </w:tc>
        <w:tc>
          <w:tcPr>
            <w:tcW w:w="62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1400"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sz w:val="18"/>
                <w:szCs w:val="18"/>
              </w:rPr>
            </w:pPr>
          </w:p>
        </w:tc>
        <w:tc>
          <w:tcPr>
            <w:tcW w:w="138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84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r>
      <w:tr w:rsidR="00897A0B" w:rsidRPr="008650C1" w:rsidTr="00897A0B">
        <w:trPr>
          <w:trHeight w:val="260"/>
          <w:jc w:val="center"/>
        </w:trPr>
        <w:tc>
          <w:tcPr>
            <w:tcW w:w="5820" w:type="dxa"/>
            <w:gridSpan w:val="7"/>
            <w:tcBorders>
              <w:top w:val="nil"/>
              <w:left w:val="nil"/>
              <w:bottom w:val="nil"/>
              <w:right w:val="nil"/>
            </w:tcBorders>
            <w:noWrap/>
            <w:vAlign w:val="bottom"/>
            <w:hideMark/>
          </w:tcPr>
          <w:p w:rsidR="00897A0B" w:rsidRPr="008650C1" w:rsidRDefault="00897A0B" w:rsidP="00FC1DA8">
            <w:pPr>
              <w:spacing w:after="0"/>
              <w:rPr>
                <w:rFonts w:eastAsia="Times New Roman" w:cs="Times New Roman"/>
                <w:color w:val="000000"/>
                <w:sz w:val="18"/>
                <w:szCs w:val="18"/>
              </w:rPr>
            </w:pPr>
            <w:r w:rsidRPr="008650C1">
              <w:rPr>
                <w:rFonts w:eastAsia="Times New Roman" w:cs="Times New Roman"/>
                <w:color w:val="000000"/>
                <w:sz w:val="18"/>
                <w:szCs w:val="18"/>
              </w:rPr>
              <w:t>BM: Boron diffusion coefficient using Boltzman-Matano equation</w:t>
            </w:r>
          </w:p>
        </w:tc>
        <w:tc>
          <w:tcPr>
            <w:tcW w:w="621"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color w:val="000000"/>
                <w:sz w:val="18"/>
                <w:szCs w:val="18"/>
              </w:rPr>
            </w:pPr>
          </w:p>
        </w:tc>
        <w:tc>
          <w:tcPr>
            <w:tcW w:w="849"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sz w:val="18"/>
                <w:szCs w:val="18"/>
              </w:rPr>
            </w:pPr>
          </w:p>
        </w:tc>
        <w:tc>
          <w:tcPr>
            <w:tcW w:w="62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1400"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sz w:val="18"/>
                <w:szCs w:val="18"/>
              </w:rPr>
            </w:pPr>
          </w:p>
        </w:tc>
        <w:tc>
          <w:tcPr>
            <w:tcW w:w="138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84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r>
      <w:tr w:rsidR="00897A0B" w:rsidRPr="008650C1" w:rsidTr="00897A0B">
        <w:trPr>
          <w:trHeight w:val="260"/>
          <w:jc w:val="center"/>
        </w:trPr>
        <w:tc>
          <w:tcPr>
            <w:tcW w:w="4920" w:type="dxa"/>
            <w:gridSpan w:val="6"/>
            <w:tcBorders>
              <w:top w:val="nil"/>
              <w:left w:val="nil"/>
              <w:bottom w:val="nil"/>
              <w:right w:val="nil"/>
            </w:tcBorders>
            <w:noWrap/>
            <w:vAlign w:val="bottom"/>
            <w:hideMark/>
          </w:tcPr>
          <w:p w:rsidR="00897A0B" w:rsidRPr="008650C1" w:rsidRDefault="00897A0B" w:rsidP="00FC1DA8">
            <w:pPr>
              <w:spacing w:after="0"/>
              <w:rPr>
                <w:rFonts w:eastAsia="Times New Roman" w:cs="Times New Roman"/>
                <w:color w:val="000000"/>
                <w:sz w:val="18"/>
                <w:szCs w:val="18"/>
              </w:rPr>
            </w:pPr>
            <w:r w:rsidRPr="008650C1">
              <w:rPr>
                <w:rFonts w:eastAsia="Times New Roman" w:cs="Times New Roman"/>
                <w:color w:val="000000"/>
                <w:sz w:val="18"/>
                <w:szCs w:val="18"/>
              </w:rPr>
              <w:t>erf: Boron diffusion coefficient using inverse error function</w:t>
            </w:r>
          </w:p>
        </w:tc>
        <w:tc>
          <w:tcPr>
            <w:tcW w:w="900"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color w:val="000000"/>
                <w:sz w:val="18"/>
                <w:szCs w:val="18"/>
              </w:rPr>
            </w:pPr>
          </w:p>
        </w:tc>
        <w:tc>
          <w:tcPr>
            <w:tcW w:w="62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849"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sz w:val="18"/>
                <w:szCs w:val="18"/>
              </w:rPr>
            </w:pPr>
          </w:p>
        </w:tc>
        <w:tc>
          <w:tcPr>
            <w:tcW w:w="62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1400"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sz w:val="18"/>
                <w:szCs w:val="18"/>
              </w:rPr>
            </w:pPr>
          </w:p>
        </w:tc>
        <w:tc>
          <w:tcPr>
            <w:tcW w:w="138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84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r>
      <w:tr w:rsidR="00897A0B" w:rsidRPr="008650C1" w:rsidTr="00897A0B">
        <w:trPr>
          <w:trHeight w:val="520"/>
          <w:jc w:val="center"/>
        </w:trPr>
        <w:tc>
          <w:tcPr>
            <w:tcW w:w="11531" w:type="dxa"/>
            <w:gridSpan w:val="13"/>
            <w:tcBorders>
              <w:top w:val="nil"/>
              <w:left w:val="nil"/>
              <w:bottom w:val="nil"/>
              <w:right w:val="nil"/>
            </w:tcBorders>
            <w:vAlign w:val="bottom"/>
            <w:hideMark/>
          </w:tcPr>
          <w:p w:rsidR="00897A0B" w:rsidRPr="008650C1" w:rsidRDefault="00897A0B" w:rsidP="00FC1DA8">
            <w:pPr>
              <w:spacing w:after="0"/>
              <w:rPr>
                <w:rFonts w:eastAsia="Times New Roman" w:cs="Times New Roman"/>
                <w:color w:val="000000"/>
                <w:sz w:val="18"/>
                <w:szCs w:val="18"/>
              </w:rPr>
            </w:pPr>
            <w:r w:rsidRPr="008650C1">
              <w:rPr>
                <w:rFonts w:eastAsia="Times New Roman" w:cs="Times New Roman"/>
                <w:color w:val="000000"/>
                <w:sz w:val="18"/>
                <w:szCs w:val="18"/>
              </w:rPr>
              <w:t>r</w:t>
            </w:r>
            <w:r w:rsidRPr="008650C1">
              <w:rPr>
                <w:rFonts w:eastAsia="Times New Roman" w:cs="Times New Roman"/>
                <w:color w:val="000000"/>
                <w:sz w:val="18"/>
                <w:szCs w:val="18"/>
                <w:vertAlign w:val="superscript"/>
              </w:rPr>
              <w:t>2</w:t>
            </w:r>
            <w:r w:rsidRPr="008650C1">
              <w:rPr>
                <w:rFonts w:eastAsia="Times New Roman" w:cs="Times New Roman"/>
                <w:color w:val="000000"/>
                <w:sz w:val="18"/>
                <w:szCs w:val="18"/>
              </w:rPr>
              <w:t>: correlation coefficient for 3</w:t>
            </w:r>
            <w:r w:rsidRPr="008650C1">
              <w:rPr>
                <w:rFonts w:eastAsia="Times New Roman" w:cs="Times New Roman"/>
                <w:color w:val="000000"/>
                <w:sz w:val="18"/>
                <w:szCs w:val="18"/>
                <w:vertAlign w:val="superscript"/>
              </w:rPr>
              <w:t>rd</w:t>
            </w:r>
            <w:r w:rsidRPr="008650C1">
              <w:rPr>
                <w:rFonts w:eastAsia="Times New Roman" w:cs="Times New Roman"/>
                <w:color w:val="000000"/>
                <w:sz w:val="18"/>
                <w:szCs w:val="18"/>
              </w:rPr>
              <w:t>-order polynomial fit to concentration-distance profile (BM) and for linear regression comparing measured and calculated concentrations (erf)</w:t>
            </w:r>
          </w:p>
        </w:tc>
      </w:tr>
      <w:tr w:rsidR="00897A0B" w:rsidRPr="008650C1" w:rsidTr="00897A0B">
        <w:trPr>
          <w:trHeight w:val="260"/>
          <w:jc w:val="center"/>
        </w:trPr>
        <w:tc>
          <w:tcPr>
            <w:tcW w:w="3540" w:type="dxa"/>
            <w:gridSpan w:val="4"/>
            <w:tcBorders>
              <w:top w:val="nil"/>
              <w:left w:val="nil"/>
              <w:bottom w:val="nil"/>
              <w:right w:val="nil"/>
            </w:tcBorders>
            <w:noWrap/>
            <w:vAlign w:val="bottom"/>
            <w:hideMark/>
          </w:tcPr>
          <w:p w:rsidR="00897A0B" w:rsidRPr="008650C1" w:rsidRDefault="00897A0B" w:rsidP="00FC1DA8">
            <w:pPr>
              <w:spacing w:after="0"/>
              <w:rPr>
                <w:rFonts w:eastAsia="Times New Roman" w:cs="Times New Roman"/>
                <w:color w:val="000000"/>
                <w:sz w:val="18"/>
                <w:szCs w:val="18"/>
              </w:rPr>
            </w:pPr>
            <w:r w:rsidRPr="008650C1">
              <w:rPr>
                <w:rFonts w:eastAsia="Times New Roman" w:cs="Times New Roman"/>
                <w:color w:val="000000"/>
                <w:sz w:val="18"/>
                <w:szCs w:val="18"/>
              </w:rPr>
              <w:t>---: insufficient data to calculate D</w:t>
            </w:r>
          </w:p>
        </w:tc>
        <w:tc>
          <w:tcPr>
            <w:tcW w:w="460"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color w:val="000000"/>
                <w:sz w:val="18"/>
                <w:szCs w:val="18"/>
              </w:rPr>
            </w:pPr>
          </w:p>
        </w:tc>
        <w:tc>
          <w:tcPr>
            <w:tcW w:w="92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90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62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849"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sz w:val="18"/>
                <w:szCs w:val="18"/>
              </w:rPr>
            </w:pPr>
          </w:p>
        </w:tc>
        <w:tc>
          <w:tcPr>
            <w:tcW w:w="621"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1400" w:type="dxa"/>
            <w:tcBorders>
              <w:top w:val="nil"/>
              <w:left w:val="nil"/>
              <w:bottom w:val="nil"/>
              <w:right w:val="nil"/>
            </w:tcBorders>
            <w:noWrap/>
            <w:vAlign w:val="bottom"/>
            <w:hideMark/>
          </w:tcPr>
          <w:p w:rsidR="00897A0B" w:rsidRPr="008650C1" w:rsidRDefault="00897A0B" w:rsidP="00FC1DA8">
            <w:pPr>
              <w:spacing w:after="0"/>
              <w:rPr>
                <w:rFonts w:eastAsia="Times New Roman" w:cs="Times New Roman"/>
                <w:sz w:val="18"/>
                <w:szCs w:val="18"/>
              </w:rPr>
            </w:pPr>
          </w:p>
        </w:tc>
        <w:tc>
          <w:tcPr>
            <w:tcW w:w="138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c>
          <w:tcPr>
            <w:tcW w:w="840" w:type="dxa"/>
            <w:tcBorders>
              <w:top w:val="nil"/>
              <w:left w:val="nil"/>
              <w:bottom w:val="nil"/>
              <w:right w:val="nil"/>
            </w:tcBorders>
            <w:noWrap/>
            <w:vAlign w:val="bottom"/>
            <w:hideMark/>
          </w:tcPr>
          <w:p w:rsidR="00897A0B" w:rsidRPr="008650C1" w:rsidRDefault="00897A0B" w:rsidP="00FC1DA8">
            <w:pPr>
              <w:spacing w:after="0"/>
              <w:jc w:val="center"/>
              <w:rPr>
                <w:rFonts w:eastAsia="Times New Roman" w:cs="Times New Roman"/>
                <w:sz w:val="18"/>
                <w:szCs w:val="18"/>
              </w:rPr>
            </w:pPr>
          </w:p>
        </w:tc>
      </w:tr>
    </w:tbl>
    <w:p w:rsidR="00897A0B" w:rsidRDefault="006A1CD6" w:rsidP="00A03F13">
      <w:pPr>
        <w:spacing w:line="480" w:lineRule="auto"/>
        <w:ind w:firstLine="720"/>
        <w:rPr>
          <w:rFonts w:cs="Times New Roman"/>
        </w:rPr>
        <w:sectPr w:rsidR="00897A0B" w:rsidSect="00897A0B">
          <w:footerReference w:type="default" r:id="rId64"/>
          <w:pgSz w:w="15840" w:h="12240" w:orient="landscape"/>
          <w:pgMar w:top="2304" w:right="1440" w:bottom="1440" w:left="1440" w:header="720" w:footer="720" w:gutter="0"/>
          <w:cols w:space="720"/>
          <w:docGrid w:linePitch="360"/>
        </w:sectPr>
      </w:pPr>
      <w:r>
        <w:rPr>
          <w:b/>
          <w:noProof/>
        </w:rPr>
        <mc:AlternateContent>
          <mc:Choice Requires="wps">
            <w:drawing>
              <wp:anchor distT="0" distB="0" distL="114300" distR="114300" simplePos="0" relativeHeight="251801600" behindDoc="0" locked="0" layoutInCell="1" allowOverlap="1" wp14:anchorId="460CA844" wp14:editId="6EA005A7">
                <wp:simplePos x="0" y="0"/>
                <wp:positionH relativeFrom="margin">
                  <wp:posOffset>-914400</wp:posOffset>
                </wp:positionH>
                <wp:positionV relativeFrom="margin">
                  <wp:posOffset>1969770</wp:posOffset>
                </wp:positionV>
                <wp:extent cx="914400" cy="914400"/>
                <wp:effectExtent l="0" t="0" r="0" b="0"/>
                <wp:wrapNone/>
                <wp:docPr id="197" name="Rectangle 197"/>
                <wp:cNvGraphicFramePr/>
                <a:graphic xmlns:a="http://schemas.openxmlformats.org/drawingml/2006/main">
                  <a:graphicData uri="http://schemas.microsoft.com/office/word/2010/wordprocessingShape">
                    <wps:wsp>
                      <wps:cNvSpPr/>
                      <wps:spPr>
                        <a:xfrm rot="5400000">
                          <a:off x="0" y="0"/>
                          <a:ext cx="914400" cy="914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D3B9B" w:rsidRPr="00935830" w:rsidRDefault="006D3B9B" w:rsidP="006A1CD6">
                            <w:pPr>
                              <w:jc w:val="center"/>
                              <w:rPr>
                                <w:color w:val="000000" w:themeColor="text1"/>
                              </w:rPr>
                            </w:pPr>
                            <w:r>
                              <w:rPr>
                                <w:color w:val="000000" w:themeColor="text1"/>
                              </w:rPr>
                              <w:t>83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0CA844" id="Rectangle 197" o:spid="_x0000_s1051" style="position:absolute;left:0;text-align:left;margin-left:-1in;margin-top:155.1pt;width:1in;height:1in;rotation:90;z-index:2518016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" filled="f" stroked="f" strokeweight="2pt">
                <v:textbox>
                  <w:txbxContent>
                    <w:p w:rsidR="006D3B9B" w:rsidRPr="00935830" w:rsidRDefault="006D3B9B" w:rsidP="006A1CD6">
                      <w:pPr>
                        <w:jc w:val="center"/>
                        <w:rPr>
                          <w:color w:val="000000" w:themeColor="text1"/>
                        </w:rPr>
                      </w:pPr>
                      <w:r>
                        <w:rPr>
                          <w:color w:val="000000" w:themeColor="text1"/>
                        </w:rPr>
                        <w:t>83</w:t>
                      </w:r>
                    </w:p>
                  </w:txbxContent>
                </v:textbox>
                <w10:wrap anchorx="margin" anchory="margin"/>
              </v:rect>
            </w:pict>
          </mc:Fallback>
        </mc:AlternateContent>
      </w:r>
    </w:p>
    <w:p w:rsidR="00665C0F" w:rsidRPr="00D87CEE" w:rsidRDefault="00665C0F" w:rsidP="000F00BF">
      <w:pPr>
        <w:pStyle w:val="Heading1"/>
        <w:spacing w:line="480" w:lineRule="auto"/>
        <w:rPr>
          <w:rFonts w:cs="Times New Roman"/>
        </w:rPr>
      </w:pPr>
      <w:bookmarkStart w:id="117" w:name="_Toc491246029"/>
      <w:r w:rsidRPr="00D87CEE">
        <w:rPr>
          <w:rFonts w:cs="Times New Roman"/>
        </w:rPr>
        <w:lastRenderedPageBreak/>
        <w:t>Fractionation of the isotopes of boron between granitic melt and aqueous solution at 700°C and 800°C (200 MPa)</w:t>
      </w:r>
      <w:bookmarkEnd w:id="117"/>
    </w:p>
    <w:p w:rsidR="00665C0F" w:rsidRPr="000F00BF" w:rsidRDefault="00665C0F" w:rsidP="000F00BF">
      <w:pPr>
        <w:pStyle w:val="Heading2"/>
        <w:spacing w:line="480" w:lineRule="auto"/>
        <w:rPr>
          <w:rFonts w:cs="Times New Roman"/>
          <w:sz w:val="24"/>
        </w:rPr>
      </w:pPr>
      <w:bookmarkStart w:id="118" w:name="_Toc491246030"/>
      <w:r w:rsidRPr="000F00BF">
        <w:rPr>
          <w:rFonts w:cs="Times New Roman"/>
          <w:sz w:val="24"/>
        </w:rPr>
        <w:t>1. Introduction</w:t>
      </w:r>
      <w:bookmarkEnd w:id="118"/>
    </w:p>
    <w:p w:rsidR="00665C0F" w:rsidRDefault="00665C0F" w:rsidP="000F00BF">
      <w:pPr>
        <w:spacing w:line="480" w:lineRule="auto"/>
        <w:ind w:firstLine="720"/>
        <w:rPr>
          <w:rFonts w:cs="Times New Roman"/>
        </w:rPr>
      </w:pPr>
      <w:r>
        <w:rPr>
          <w:rFonts w:cs="Times New Roman"/>
        </w:rPr>
        <w:t>Boron is a trace element in the continental crust, yet, its concentration is 10 to 100</w:t>
      </w:r>
      <w:r w:rsidR="00BB5A23">
        <w:rPr>
          <w:rFonts w:cs="Times New Roman"/>
        </w:rPr>
        <w:t xml:space="preserve"> times</w:t>
      </w:r>
      <w:r>
        <w:rPr>
          <w:rFonts w:cs="Times New Roman"/>
        </w:rPr>
        <w:t xml:space="preserve"> greater than in the mantle </w:t>
      </w:r>
      <w:r>
        <w:rPr>
          <w:rFonts w:cs="Times New Roman"/>
        </w:rPr>
        <w:fldChar w:fldCharType="begin" w:fldLock="1"/>
      </w:r>
      <w:r w:rsidR="00266290">
        <w:rPr>
          <w:rFonts w:cs="Times New Roman"/>
        </w:rPr>
        <w:instrText>ADDIN CSL_CITATION { "citationItems" : [ { "id" : "ITEM-1", "itemData" : { "author" : [ { "dropping-particle" : "", "family" : "Leeman", "given" : "W.P.", "non-dropping-particle" : "", "parse-names" : false, "suffix" : "" }, { "dropping-particle" : "", "family" : "Sisson", "given" : "V.B.", "non-dropping-particle" : "", "parse-names" : false, "suffix" : "" } ], "container-title" : "Reviews in Mineralogy and Geochemistry", "id" : "ITEM-1", "issued" : { "date-parts" : [ [ "1996" ] ] }, "page" : "645-708", "title" : "Geochemistry of Boron and its implications for crustal and mantle processes", "type" : "article-journal", "volume" : "33" }, "uris" : [ "http://www.mendeley.com/documents/?uuid=46fd8e23-ef12-4894-ba80-de312ec782aa" ] }, { "id" : "ITEM-2", "itemData" : { "author" : [ { "dropping-particle" : "", "family" : "Marschall", "given" : "Horst R.", "non-dropping-particle" : "", "parse-names" : false, "suffix" : "" }, { "dropping-particle" : "", "family" : "Wanless", "given" : "V. Dorsey", "non-dropping-particle" : "", "parse-names" : false, "suffix" : "" }, { "dropping-particle" : "", "family" : "Shimizu", "given" : "Nobumichi", "non-dropping-particle" : "", "parse-names" : false, "suffix" : "" }, { "dropping-particle" : "", "family" : "Pogge von Strandmann", "given" : "Philip A.E.", "non-dropping-particle" : "", "parse-names" : false, "suffix" : "" }, { "dropping-particle" : "", "family" : "Elliott", "given" : "Tim", "non-dropping-particle" : "", "parse-names" : false, "suffix" : "" }, { "dropping-particle" : "", "family" : "Monteleone", "given" : "Brian D.", "non-dropping-particle" : "", "parse-names" : false, "suffix" : "" } ], "container-title" : "Geochimica et Cosmochimica Acta", "id" : "ITEM-2", "issued" : { "date-parts" : [ [ "2017" ] ] }, "page" : "102-138", "title" : "The boron and lithium isotopic composition of mid-ocean ridge basalts and the mantle", "type" : "article-journal", "volume" : "207" }, "uris" : [ "http://www.mendeley.com/documents/?uuid=8b0cd33a-207d-41a1-a0bf-45d690344213" ] } ], "mendeley" : { "formattedCitation" : "(Leeman and Sisson, 1996; Marschall et al., 2017)", "plainTextFormattedCitation" : "(Leeman and Sisson, 1996; Marschall et al., 2017)", "previouslyFormattedCitation" : "(Leeman and Sisson 1996; Marschall et al. 2017)" }, "properties" : { "noteIndex" : 0 }, "schema" : "https://github.com/citation-style-language/schema/raw/master/csl-citation.json" }</w:instrText>
      </w:r>
      <w:r>
        <w:rPr>
          <w:rFonts w:cs="Times New Roman"/>
        </w:rPr>
        <w:fldChar w:fldCharType="separate"/>
      </w:r>
      <w:r w:rsidR="00266290" w:rsidRPr="00266290">
        <w:rPr>
          <w:rFonts w:cs="Times New Roman"/>
          <w:noProof/>
        </w:rPr>
        <w:t>(Leeman and Sisson, 1996; Marschall et al., 2017)</w:t>
      </w:r>
      <w:r>
        <w:rPr>
          <w:rFonts w:cs="Times New Roman"/>
        </w:rPr>
        <w:fldChar w:fldCharType="end"/>
      </w:r>
      <w:r>
        <w:rPr>
          <w:rFonts w:cs="Times New Roman"/>
        </w:rPr>
        <w:t xml:space="preserve">. The enrichment of B in the crust is due to its incompatibility in most rock-forming minerals </w:t>
      </w:r>
      <w:r>
        <w:rPr>
          <w:rFonts w:cs="Times New Roman"/>
        </w:rPr>
        <w:fldChar w:fldCharType="begin" w:fldLock="1"/>
      </w:r>
      <w:r w:rsidR="00266290">
        <w:rPr>
          <w:rFonts w:cs="Times New Roman"/>
        </w:rPr>
        <w:instrText>ADDIN CSL_CITATION { "citationItems" : [ { "id" : "ITEM-1", "itemData" : { "author" : [ { "dropping-particle" : "", "family" : "London", "given" : "David", "non-dropping-particle" : "", "parse-names" : false, "suffix" : "" }, { "dropping-particle" : "", "family" : "Morgan VI", "given" : "George B.", "non-dropping-particle" : "", "parse-names" : false, "suffix" : "" }, { "dropping-particle" : "", "family" : "Wolf", "given" : "Michael B.", "non-dropping-particle" : "", "parse-names" : false, "suffix" : "" } ], "container-title" : "Reviews in Mineralogy and Geochemistry", "id" : "ITEM-1", "issued" : { "date-parts" : [ [ "1996" ] ] }, "page" : "299-330", "title" : "Boron in granitic rocks and their contact aureoles", "type" : "article-journal", "volume" : "33" }, "uris" : [ "http://www.mendeley.com/documents/?uuid=c7abebaa-e17b-4c1b-942a-cc31d79f929f" ] }, { "id" : "ITEM-2", "itemData" : { "author" : [ { "dropping-particle" : "", "family" : "Marschall", "given" : "Horst R.", "non-dropping-particle" : "", "parse-names" : false, "suffix" : "" }, { "dropping-particle" : "", "family" : "Wanless", "given" : "V. Dorsey", "non-dropping-particle" : "", "parse-names" : false, "suffix" : "" }, { "dropping-particle" : "", "family" : "Shimizu", "given" : "Nobumichi", "non-dropping-particle" : "", "parse-names" : false, "suffix" : "" }, { "dropping-particle" : "", "family" : "Pogge von Strandmann", "given" : "Philip A.E.", "non-dropping-particle" : "", "parse-names" : false, "suffix" : "" }, { "dropping-particle" : "", "family" : "Elliott", "given" : "Tim", "non-dropping-particle" : "", "parse-names" : false, "suffix" : "" }, { "dropping-particle" : "", "family" : "Monteleone", "given" : "Brian D.", "non-dropping-particle" : "", "parse-names" : false, "suffix" : "" } ], "container-title" : "Geochimica et Cosmochimica Acta", "id" : "ITEM-2", "issued" : { "date-parts" : [ [ "2017" ] ] }, "page" : "102-138", "title" : "The boron and lithium isotopic composition of mid-ocean ridge basalts and the mantle", "type" : "article-journal", "volume" : "207" }, "uris" : [ "http://www.mendeley.com/documents/?uuid=8b0cd33a-207d-41a1-a0bf-45d690344213" ] }, { "id" : "ITEM-3", "itemData" : { "ISBN" : "978-0-921294-47-4", "author" : [ { "dropping-particle" : "", "family" : "London", "given" : "D.", "non-dropping-particle" : "", "parse-names" : false, "suffix" : "" } ], "container-title" : "Canadian Mineralogist", "id" : "ITEM-3", "issued" : { "date-parts" : [ [ "2008" ] ] }, "number-of-pages" : "347", "title" : "Pegmatites", "type" : "book", "volume" : "10" }, "uris" : [ "http://www.mendeley.com/documents/?uuid=2df88fb7-6317-4eed-a606-ad41cf6dbe95" ] }, { "id" : "ITEM-4", "itemData" : { "author" : [ { "dropping-particle" : "", "family" : "Brenan", "given" : "J.M.", "non-dropping-particle" : "", "parse-names" : false, "suffix" : "" }, { "dropping-particle" : "", "family" : "Neroda", "given" : "E.", "non-dropping-particle" : "", "parse-names" : false, "suffix" : "" }, { "dropping-particle" : "", "family" : "Lundstrom", "given" : "C.C.", "non-dropping-particle" : "", "parse-names" : false, "suffix" : "" }, { "dropping-particle" : "", "family" : "Shaw", "given" : "H.F.", "non-dropping-particle" : "", "parse-names" : false, "suffix" : "" }, { "dropping-particle" : "", "family" : "Ryerson", "given" : "F.J.", "non-dropping-particle" : "", "parse-names" : false, "suffix" : "" }, { "dropping-particle" : "", "family" : "Phinney", "given" : "D.L.", "non-dropping-particle" : "", "parse-names" : false, "suffix" : "" } ], "container-title" : "Geochimica et Cosmochimica Acta", "id" : "ITEM-4", "issued" : { "date-parts" : [ [ "1998" ] ] }, "page" : "2129-2141", "title" : "Behaviour of boron, beryllium, and lithium during melting and crystallization: Constraints from mineral-melt partitioning experiments", "type" : "article-journal", "volume" : "62" }, "uris" : [ "http://www.mendeley.com/documents/?uuid=8982474e-5d31-413c-a6f7-b4898806c446" ] } ], "mendeley" : { "formattedCitation" : "(Brenan et al., 1998; London, 2008; London et al., 1996; Marschall et al., 2017)", "plainTextFormattedCitation" : "(Brenan et al., 1998; London, 2008; London et al., 1996; Marschall et al., 2017)", "previouslyFormattedCitation" : "(London et al. 1996; Brenan et al. 1998; London 2008; Marschall et al. 2017)" }, "properties" : { "noteIndex" : 0 }, "schema" : "https://github.com/citation-style-language/schema/raw/master/csl-citation.json" }</w:instrText>
      </w:r>
      <w:r>
        <w:rPr>
          <w:rFonts w:cs="Times New Roman"/>
        </w:rPr>
        <w:fldChar w:fldCharType="separate"/>
      </w:r>
      <w:r w:rsidR="00266290" w:rsidRPr="00266290">
        <w:rPr>
          <w:rFonts w:cs="Times New Roman"/>
          <w:noProof/>
        </w:rPr>
        <w:t>(Brenan et al., 1998; London, 2008; London et al., 1996; Marschall et al., 2017)</w:t>
      </w:r>
      <w:r>
        <w:rPr>
          <w:rFonts w:cs="Times New Roman"/>
        </w:rPr>
        <w:fldChar w:fldCharType="end"/>
      </w:r>
      <w:r>
        <w:rPr>
          <w:rFonts w:cs="Times New Roman"/>
        </w:rPr>
        <w:t xml:space="preserve"> and natural silicate </w:t>
      </w:r>
      <w:r w:rsidR="00BB5A23">
        <w:rPr>
          <w:rFonts w:cs="Times New Roman"/>
        </w:rPr>
        <w:t>liquids</w:t>
      </w:r>
      <w:r>
        <w:rPr>
          <w:rFonts w:cs="Times New Roman"/>
        </w:rPr>
        <w:t xml:space="preserve"> </w:t>
      </w:r>
      <w:r>
        <w:rPr>
          <w:rFonts w:cs="Times New Roman"/>
        </w:rPr>
        <w:fldChar w:fldCharType="begin" w:fldLock="1"/>
      </w:r>
      <w:r w:rsidR="00266290">
        <w:rPr>
          <w:rFonts w:cs="Times New Roman"/>
        </w:rPr>
        <w:instrText>ADDIN CSL_CITATION { "citationItems" : [ { "id" : "ITEM-1",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"ITEM-1", "issue" : "5-6", "issued" : { "date-parts" : [ [ "2002" ] ] }, "page" : "769-774", "title" : "Isotopic and elemental partitioning of boron between hydrous fluid and silicate melt", "type" : "article-journal", "volume" : "87" }, "uris" : [ "http://www.mendeley.com/documents/?uuid=6b1d0590-ae63-44d0-990b-7cd3b5a05b06" ] }, { "id" : "ITEM-2", "itemData" : { "author" : [ { "dropping-particle" : "", "family" : "Dingwell", "given" : "Donald B.", "non-dropping-particle" : "", "parse-names" : false, "suffix" : "" }, { "dropping-particle" : "", "family" : "Pichavant", "given" : "Michel", "non-dropping-particle" : "", "parse-names" : false, "suffix" : "" }, { "dropping-particle" : "", "family" : "Holtz", "given" : "Fran\u00e7ois", "non-dropping-particle" : "", "parse-names" : false, "suffix" : "" } ], "container-title" : "Reviews in Mineralogy and Geochemistry", "id" : "ITEM-2", "issued" : { "date-parts" : [ [ "1996" ] ] }, "page" : "331-386", "title" : "Experimental studies of boron in granitic melts", "type" : "article-journal", "volume" : "33" }, "uris" : [ "http://www.mendeley.com/documents/?uuid=f91399bf-3037-4c0a-9ad0-79227834e333" ] }, { "id" : "ITEM-3", "itemData" : { "DOI" : "10.1007/BF00375368", "ISBN" : "0010-7999", "ISSN" : "00107999", "author" : [ { "dropping-particle" : "", "family" : "London", "given" : "David", "non-dropping-particle" : "", "parse-names" : false, "suffix" : "" }, { "dropping-particle" : "", "family" : "Hervig", "given" : "Richard L.", "non-dropping-particle" : "", "parse-names" : false, "suffix" : "" }, { "dropping-particle" : "", "family" : "Morgan VI", "given" : "George B.", "non-dropping-particle" : "", "parse-names" : false, "suffix" : "" } ], "container-title" : "Contributions to Mineralogy and Petrology", "id" : "ITEM-3", "issue" : "3", "issued" : { "date-parts" : [ [ "1988" ] ] }, "page" : "360-373", "title" : "Melt-vapor solubilities and elemental partitioning in peraluminous granite-pegmatite systems: experimental results with Macusani glass at 200 MPa", "type" : "article-journal", "volume" : "99" }, "uris" : [ "http://www.mendeley.com/documents/?uuid=d3741f24-96af-4bcd-8a43-4ab927eb82f1" ] } ], "mendeley" : { "formattedCitation" : "(Dingwell et al., 1996; Hervig et al., 2002; London et al., 1988)", "plainTextFormattedCitation" : "(Dingwell et al., 1996; Hervig et al., 2002; London et al., 1988)", "previouslyFormattedCitation" : "(London et al. 1988; Dingwell et al. 1996; Hervig et al. 2002)" }, "properties" : { "noteIndex" : 0 }, "schema" : "https://github.com/citation-style-language/schema/raw/master/csl-citation.json" }</w:instrText>
      </w:r>
      <w:r>
        <w:rPr>
          <w:rFonts w:cs="Times New Roman"/>
        </w:rPr>
        <w:fldChar w:fldCharType="separate"/>
      </w:r>
      <w:r w:rsidR="00266290" w:rsidRPr="00266290">
        <w:rPr>
          <w:rFonts w:cs="Times New Roman"/>
          <w:noProof/>
        </w:rPr>
        <w:t>(Dingwell et al., 1996; Hervig et al., 2002; London et al., 1988)</w:t>
      </w:r>
      <w:r>
        <w:rPr>
          <w:rFonts w:cs="Times New Roman"/>
        </w:rPr>
        <w:fldChar w:fldCharType="end"/>
      </w:r>
      <w:r>
        <w:rPr>
          <w:rFonts w:cs="Times New Roman"/>
        </w:rPr>
        <w:t>. The boron isotopic composition, δ</w:t>
      </w:r>
      <w:r>
        <w:rPr>
          <w:rFonts w:cs="Times New Roman"/>
          <w:vertAlign w:val="superscript"/>
        </w:rPr>
        <w:t>11</w:t>
      </w:r>
      <w:r>
        <w:rPr>
          <w:rFonts w:cs="Times New Roman"/>
        </w:rPr>
        <w:t xml:space="preserve">B, of minerals and rocks from various crustal, mantle, and marine environments spans a range of ~ 90‰ </w:t>
      </w:r>
      <w:r>
        <w:rPr>
          <w:rFonts w:cs="Times New Roman"/>
        </w:rPr>
        <w:fldChar w:fldCharType="begin" w:fldLock="1"/>
      </w:r>
      <w:r w:rsidR="00266290">
        <w:rPr>
          <w:rFonts w:cs="Times New Roman"/>
        </w:rPr>
        <w:instrText>ADDIN CSL_CITATION { "citationItems" : [ { "id" : "ITEM-1", "itemData" : { "DOI" : "10.1080/08120099.2013.813585", "ISBN" : "0812-0099", "ISSN" : "0812-0099", "abstract" : "The high geochemical reactivity of boron and the large relative mass difference between 10 B and 11 B lead to significant boron isotope fractionation in nature. So far the measured range of boron isotope composition (d 11 B) varies between \u201370 and \u00fe75%. The negative d 11 B values are found in non-marine evaporite borate minerals and tourmalines, whereas positive d 11 B values are common in salt lake brines and evaporated seawater. Since the 1980s, with improved measurement methods, applications of boron isotope analysis have increased rapidly. At present, boron isotopes are successfully applied to reconstruct ancient marine environments, to determine depositional environments and ore genesis, to trace groundwater pollution and seawater intrusion, and to study continental erosion. This paper summarises the methods for boron isotope analysis, the mechanisms of boron isotope fractionation and the distribution of boron isotopes in nature, reviews the achievements and the problems of boron isotopes in geochemical applications, and proposes research directions of boron isotopes in geochemical fields.", "author" : [ { "dropping-particle" : "", "family" : "Xiao", "given" : "J", "non-dropping-particle" : "", "parse-names" : false, "suffix" : "" }, { "dropping-particle" : "", "family" : "Xiao", "given" : "Y", "non-dropping-particle" : "", "parse-names" : false, "suffix" : "" }, { "dropping-particle" : "", "family" : "Jin", "given" : "Z", "non-dropping-particle" : "", "parse-names" : false, "suffix" : "" }, { "dropping-particle" : "", "family" : "He", "given" : "M", "non-dropping-particle" : "", "parse-names" : false, "suffix" : "" }, { "dropping-particle" : "", "family" : "Liu", "given" : "C", "non-dropping-particle" : "", "parse-names" : false, "suffix" : "" }, { "dropping-particle" : "", "family" : "Xiao", "given" : "Y-k", "non-dropping-particle" : "", "parse-names" : false, "suffix" : "" }, { "dropping-particle" : "", "family" : "Jin", "given" : "Z-d", "non-dropping-particle" : "", "parse-names" : false, "suffix" : "" }, { "dropping-particle" : "", "family" : "Liu", "given" : "C-q", "non-dropping-particle" : "", "parse-names" : false, "suffix" : "" } ], "container-title" : "Australian Journal of Earth Sciences: An International Geoscience Journal of the Geological Society of Australia", "id" : "ITEM-1", "issue" : "May 2014", "issued" : { "date-parts" : [ [ "2013" ] ] }, "title" : "Boron isotope variations and its geochemical application in nature", "type" : "article-journal", "volume" : "604" }, "uris" : [ "http://www.mendeley.com/documents/?uuid=bd455701-0344-3e34-bdcf-21e30e44323b" ] } ], "mendeley" : { "formattedCitation" : "(Xiao et al., 2013)", "plainTextFormattedCitation" : "(Xiao et al., 2013)", "previouslyFormattedCitation" : "(Xiao et al. 2013)" }, "properties" : { "noteIndex" : 0 }, "schema" : "https://github.com/citation-style-language/schema/raw/master/csl-citation.json" }</w:instrText>
      </w:r>
      <w:r>
        <w:rPr>
          <w:rFonts w:cs="Times New Roman"/>
        </w:rPr>
        <w:fldChar w:fldCharType="separate"/>
      </w:r>
      <w:r w:rsidR="00266290" w:rsidRPr="00266290">
        <w:rPr>
          <w:rFonts w:cs="Times New Roman"/>
          <w:noProof/>
        </w:rPr>
        <w:t>(Xiao et al., 2013)</w:t>
      </w:r>
      <w:r>
        <w:rPr>
          <w:rFonts w:cs="Times New Roman"/>
        </w:rPr>
        <w:fldChar w:fldCharType="end"/>
      </w:r>
      <w:r>
        <w:rPr>
          <w:rFonts w:cs="Times New Roman"/>
        </w:rPr>
        <w:t>. The large range of δ</w:t>
      </w:r>
      <w:r>
        <w:rPr>
          <w:rFonts w:cs="Times New Roman"/>
          <w:vertAlign w:val="superscript"/>
        </w:rPr>
        <w:t>11</w:t>
      </w:r>
      <w:r>
        <w:rPr>
          <w:rFonts w:cs="Times New Roman"/>
        </w:rPr>
        <w:t>B values has prompted many studies, all of which conclude that the large range of δ</w:t>
      </w:r>
      <w:r>
        <w:rPr>
          <w:rFonts w:cs="Times New Roman"/>
          <w:vertAlign w:val="superscript"/>
        </w:rPr>
        <w:t>11</w:t>
      </w:r>
      <w:r>
        <w:rPr>
          <w:rFonts w:cs="Times New Roman"/>
        </w:rPr>
        <w:t xml:space="preserve">B values on Earth must result from (1) interaction of minerals with fluids (aqueous solution or melt) that have distinct isotopic compositions and (2) temperature-dependent isotopic fractionation between mineral and fluid </w:t>
      </w:r>
      <w:r>
        <w:rPr>
          <w:rFonts w:cs="Times New Roman"/>
        </w:rPr>
        <w:fldChar w:fldCharType="begin" w:fldLock="1"/>
      </w:r>
      <w:r w:rsidR="00266290">
        <w:rPr>
          <w:rFonts w:cs="Times New Roman"/>
        </w:rPr>
        <w:instrText>ADDIN CSL_CITATION { "citationItems" : [ { "id" : "ITEM-1", "itemData" : { "DOI" : "http://dx.doi.org/10.1016/0009-2541(92)90209-N", "ISBN" : "0168-9622", "ISSN" : "00092541", "abstract" : "The extent of boron isotope fractionation between tourmaline and aqueous vapor has been determined over theP-T range 50-200 MPa and 350-750\u00b0C. The results show that the extent of fractionation is inversely dependent on temperature. An unusual feature of the reaction is that the isotope fractionation is less of extensive at higher pressures for an equivalent temperature. Due to its refractory nature the experiments involved synthesis of tourmaline from constituents rather than equilibration of the preformed mineral with an isotopically distinct aqueous phase. For this reason we cannot, as yet, be certain whether the pressure effect is the result of equilibrium or kinetic processes.", "author" : [ { "dropping-particle" : "", "family" : "Palmer", "given" : "MR", "non-dropping-particle" : "", "parse-names" : false, "suffix" : "" }, { "dropping-particle" : "", "family" : "London", "given" : "D", "non-dropping-particle" : "", "parse-names" : false, "suffix" : "" }, { "dropping-particle" : "", "family" : "Morgan VI", "given" : "GB", "non-dropping-particle" : "", "parse-names" : false, "suffix" : "" }, { "dropping-particle" : "", "family" : "Babb", "given" : "HA", "non-dropping-particle" : "", "parse-names" : false, "suffix" : "" } ], "container-title" : "Chemical Geology", "id" : "ITEM-1", "issued" : { "date-parts" : [ [ "1992" ] ] }, "page" : "123-129", "title" : "Experimental determination of fractionation of 11B/10B between tourmaline and aqueous vapor: A temperature- and pressure-dependent isotopic system", "type" : "article-journal", "volume" : "101" }, "uris" : [ "http://www.mendeley.com/documents/?uuid=551614f3-36a5-485e-9b7a-dec99baa6926" ] }, { "id" : "ITEM-2", "itemData" : { "DOI" : "10.1007/s00410-008-0285-1", "ISBN" : "0010-7999", "ISSN" : "00107999", "abstract" : "The fractionation of boron isotopes between synthetic dravitic tourmaline and fluid was determined by hydrothermal experiments between 400 and 700 degrees C at 200 MPa and at 500 degrees C, 500 MPa. Tourmaline was crystallized from an oxide mix in presence of water that contained boron in excess. In one series of experiments, [B](fluid)/[B](tour) was 9 after the run; in another series it was 0.1. All experiments produced tourmaline as the sole boron-bearing solid, along with traces of quartz and talc. Powder XRD and Rietveld refinements revealed no significant amounts of tetrahedrally coordinated boron in tourmaline. B-11 always preferentially fractionated into the fluid. For experiments where [B](fluid)/[B](tour) was 9, a consistent temperature-dependent boron isotope fractionation curve resulted, approximated by Delta B-11((tour-fluid)) = -4.20 . [1,000/T (K)] + 3.52; R-2 = 0.77, and valid from 400 to 700 degrees C. No pressure dependence was observed. The fractionation (-2.7 +/- 0.5 parts per thousand at 400 degrees C; and -0.8 +/- 0.5 parts per thousand at 700 degrees C) is much lower than that previously presented by Palmer et al. (1992). Experiments where [B](fluid)/[B](tour) was 0.1 showed a significant larger apparent fractionation of up to -4.7 parts per thousand. In one of these runs, the isotopic composition of handpicked tourmaline crystals of different size varied by 1.3%. This is interpreted as resulting from fractional crystallization of boron isotopes during tourmaline growth due to the small boron reservoir of the fluid relative to tourmaline, thus indicating larger fractionation than observed at equilibrium. The effect is eliminated or minimized in experiments with very high boron excess in the fluid. We therefore suggest that values given by the above relation represent the true equilibrium fractionations.", "author" : [ { "dropping-particle" : "", "family" : "Meyer", "given" : "Christian", "non-dropping-particle" : "", "parse-names" : false, "suffix" : "" }, { "dropping-particle" : "", "family" : "Wunder", "given" : "Bernd", "non-dropping-particle" : "", "parse-names" : false, "suffix" : "" }, { "dropping-particle" : "", "family" : "Meixner", "given" : "Anette", "non-dropping-particle" : "", "parse-names" : false, "suffix" : "" }, { "dropping-particle" : "", "family" : "Romer", "given" : "Rolf L.", "non-dropping-particle" : "", "parse-names" : false, "suffix" : "" }, { "dropping-particle" : "", "family" : "Heinrich", "given" : "Wilhelm", "non-dropping-particle" : "", "parse-names" : false, "suffix" : "" } ], "container-title" : "Contributions to Mineralogy and Petrology", "id" : "ITEM-2", "issue" : "2", "issued" : { "date-parts" : [ [ "2008" ] ] }, "page" : "259-267", "title" : "Boron-isotope fractionation between tourmaline and fluid: An experimental re-investigation", "type" : "article-journal", "volume" : "156" }, "uris" : [ "http://www.mendeley.com/documents/?uuid=02c37c62-9b3e-4dfe-99ce-a807defc9a6f" ] }, { "id" : "ITEM-3",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"ITEM-3", "issue" : "5-6", "issued" : { "date-parts" : [ [ "2002" ] ] }, "page" : "769-774", "title" : "Isotopic and elemental partitioning of boron between hydrous fluid and silicate melt", "type" : "article-journal", "volume" : "87" }, "uris" : [ "http://www.mendeley.com/documents/?uuid=6b1d0590-ae63-44d0-990b-7cd3b5a05b06" ] }, { "id" : "ITEM-4", "itemData" : { "DOI" : "10.1016/S0016-7037(01)00558-0", "ISBN" : "0028-0836", "ISSN" : "00167037", "abstract" : "The measured clay-water isotope fractionation for boron was applied to natural organic-rich sediments undergoing illitization. Two field areas were chosen that show illitization occurring over a range of temperatures (80-500??C). Samples representing diagenetic temperatures of illitization (80-200??C) are from the Gulf of Mexico sedimentary basin at 4 to 6-km depth in the Eocene Wilcox Fm and Jurassic Norphlet Fm. The higher temperatures of illitization (200-400??C) occur in a contact metamorphic aureole of the Cretaceous Pierre shale near Walsenburg, Colorado. Here the kinetics of the illitization reaction are more rapid than in a slowly subsiding sedimentary basin, but the chemical and mineralogical variations are minimized as complete illitization occurs over a small lateral distance in a single bentonite layer. These studies indicate that B-isotopes provide a more sensitive indicator of fluid variations in sedimentary basins than O-isotopes, and that B-isotope analyses of authigenic illite can be a valuable geochemical tracer of fluid/rock interactions. Boron isotope ratios in authigenic illite (pore filling) and muscovite (stylolites) from reservoir sandstones in the Gulf of Mexico are distinct from adjacent illitic mudstones, whereas the oxygen isotopic ratios show little variation. Fluids in equilibrium with the mudstones cannot precipitate the authigenic clays with higher ??11B values measured in the hydrocarbon reservoirs. This suggests that the reservoir fluids were not in communication with the adjacent mudstone pore fluids but were introduced from another source area, perhaps carrying a B-isotopic label derived from the hydrocarbon source region. Authigenic illite formed in the Pierre shale meta-bentonite shows large isotopic fractionations of boron (20???) during illitization at high temperatures. Incorporations of 500 ppm B in illite formed at 500??C shows that illite is a host for B even at metamorphic temperatures. By using the experimentally derived B-isotope fractionation data for silicates the measured ??11B values of I/S could be predicted by using a Rayleigh fractionation model. Oxygen isotopic variations were negligible over this temperature range and thus provide little information on the mechanism of illitization. Copyright ?? 2001 Elsevier Science Ltd.", "author" : [ { "dropping-particle" : "", "family" : "Williams", "given" : "Lynda B.", "non-dropping-particle" : "", "parse-names" : false, "suffix" : "" }, { "dropping-particle" : "", "family" : "Hervig", "given" : "Richard L.", "non-dropping-particle" : "", "parse-names" : false, "suffix" : "" }, { "dropping-particle" : "", "family" : "Hutcheon", "given" : "Ian", "non-dropping-particle" : "", "parse-names" : false, "suffix" : "" } ], "container-title" : "Geochimica et Cosmochimica Acta", "id" : "ITEM-4", "issue" : "11", "issued" : { "date-parts" : [ [ "2001" ] ] }, "page" : "1783-1794", "title" : "Boron isotope geochemistry during diagenesis. Part II. Applications to organic-rich sediments", "type" : "article-journal", "volume" : "65" }, "uris" : [ "http://www.mendeley.com/documents/?uuid=9e4b831e-1aba-44ec-8627-78485120a9a0" ] }, { "id" : "ITEM-5", "itemData" : { "DOI" : "10.1016/S0016-7037(01)00557-9", "ISBN" : "0016-7037", "ISSN" : "00167037", "abstract" : "Experiments were performed to measure the isotopic fractionation of boron between illite/smectite (I/S) clay minerals and water as a function of temperature (300?? and 350??C) and degree of illitization. Corresponding changes in the oxygen isotopes were monitored as an indication of the approach to equilibrium. The kinetics of the B-isotope exchange follows the mineralogical restructuring of smectite as it recrystallizes to illite. An initial decline in ??11BI/S occurs when the I/S is randomly ordered (RO). The ??11BI/S values reach a plateau during R1 ordering of the I/S, representing a metastable condition. The greatest change in ??11BI/S is observed during long-range (R3) ordering of the I/S when neoformation occurs. Values of ??11BI/S measured on the equilibrium reaction products were used to construct a B-isotope fraction curve. There is a linear correlation among data from these experiments and 1100??C basaltic melt-fluid fractionation experiments (Hervig and Moore, 2000) that can be extrapolated to include adsorption experiments at 25??C (Palmer et al., 1987). Unlike other stable isotopic systems (e.g., oxygen) there is no mineral-specific fractionation of B-isotopes, but rather a coordination dependence of the fractionation. Under diagenetic conditions B is predominantly in trigonal coordination in fluids but substitutes in tetrahedral sites of silicates. The preference of 10B for tetrahedral bonds is the major fractionating factor of B in silicates. Copyright ?? 2001 Elsevier Science Ltd.", "author" : [ { "dropping-particle" : "", "family" : "Williams", "given" : "Lynda B.", "non-dropping-particle" : "", "parse-names" : false, "suffix" : "" }, { "dropping-particle" : "", "family" : "Hervig", "given" : "Richard L.", "non-dropping-particle" : "", "parse-names" : false, "suffix" : "" }, { "dropping-particle" : "", "family" : "Holloway", "given" : "John R.", "non-dropping-particle" : "", "parse-names" : false, "suffix" : "" }, { "dropping-particle" : "", "family" : "Hutcheon", "given" : "Ian", "non-dropping-particle" : "", "parse-names" : false, "suffix" : "" } ], "container-title" : "Geochimica et Cosmochimica Acta", "id" : "ITEM-5", "issue" : "11", "issued" : { "date-parts" : [ [ "2001" ] ] }, "page" : "1769-1782", "title" : "Boron isotope geochemistry during diagenesis. Part I. Experimental determination of fractionation during illitization of smectite", "type" : "article-journal", "volume" : "65" }, "uris" : [ "http://www.mendeley.com/documents/?uuid=f43a922f-b5a8-43e2-9c5e-b2058843b297" ] }, { "id" : "ITEM-6", "itemData" : { "DOI" : "10.1007/s00410-009-0403-8", "ISBN" : "0010-7999\\n1432-0967", "ISSN" : "00107999", "author" : [ { "dropping-particle" : "", "family" : "Marschall", "given" : "Horst R.", "non-dropping-particle" : "", "parse-names" : false, "suffix" : "" }, { "dropping-particle" : "", "family" : "Meyer", "given" : "Christian", "non-dropping-particle" : "", "parse-names" : false, "suffix" : "" }, { "dropping-particle" : "", "family" : "Wunder", "given" : "Bernd", "non-dropping-particle" : "", "parse-names" : false, "suffix" : "" }, { "dropping-particle" : "", "family" : "Ludwig", "given" : "Thomas", "non-dropping-particle" : "", "parse-names" : false, "suffix" : "" }, { "dropping-particle" : "", "family" : "Heinrich", "given" : "Wilhelm", "non-dropping-particle" : "", "parse-names" : false, "suffix" : "" } ], "container-title" : "Contributions to Mineralogy and Petrology", "id" : "ITEM-6", "issue" : "5", "issued" : { "date-parts" : [ [ "2009" ] ] }, "page" : "675-681", "title" : "Experimental boron isotope fractionation between tourmaline and fluid: Confirmation from in situ analyses by secondary ion mass spectrometry and from Rayleigh fractionation modelling", "type" : "article-journal", "volume" : "158" }, "uris" : [ "http://www.mendeley.com/documents/?uuid=ae26e15d-88a6-4e75-a669-02751a20d281" ] }, { "id" : "ITEM-7", "itemData" : { "DOI" : "10.1016/j.chemgeo.2006.11.002", "ISBN" : "0009-2541", "ISSN" : "00092541", "abstract" : "Hourglass sector zoning in metamorphic tourmaline is known to effectively fractionate the major and trace elements between different sectors, producing three distinct compositions at the growth surface. Here we show that the light elements Li, Be, H and B, as well as the ??11B signature are also affected by sector zoning. The sector enrichment in elements is controlled by a dual process of initial preference due to growth surface charge and morphology, followed by consecutive, charge-balance controlled enrichment. The light elements, especially B and H, appear to act as charge-balance cations in this mechanism, with a preferred B3+ for Si4+ and O2- for OH- substitution in the c- sector. A lighter ??11B signature (??c+\nc- = 1.8 ?? 0.6 ???) accompanies this increase in BIV in the c- sector, in line with the lighter signatures for BIV compared to BIII in minerals. However, it exceeds this theoretical fractionation by a factor of 10. Although we have not identified a definite process that is responsible for this fractionation, it may be related to local variations in host medium along the growth surface resulting from preferred uptake of elements. These observations show that ??11B signatures in tourmaline are not an independent measure of its host environment, but also a function of mineral composition, and the 3-dimensional zoning variations herein. ?? 2007 Elsevier B.V. All rights reserved.", "author" : [ { "dropping-particle" : "", "family" : "Hinsberg", "given" : "V. J.", "non-dropping-particle" : "van", "parse-names" : false, "suffix" : "" }, { "dropping-particle" : "", "family" : "Marschall", "given" : "H. R.", "non-dropping-particle" : "", "parse-names" : false, "suffix" : "" } ], "container-title" : "Chemical Geology", "id" : "ITEM-7", "issue" : "3-4", "issued" : { "date-parts" : [ [ "2007" ] ] }, "page" : "141-148", "title" : "Boron isotope and light element sector zoning in tourmaline: Implications for the formation of B-isotopic signatures", "type" : "article-journal", "volume" : "238" }, "uris" : [ "http://www.mendeley.com/documents/?uuid=7748cb32-8019-4946-945b-2fd88c991e4c" ] }, { "id" : "ITEM-8", "itemData" : { "DOI" : "10.1016/j.chemgeo.2015.11.025", "ISSN" : "00092541", "abstract" : "The internal evolution of the Varutr\u00e4sk rare-element pegmatite (Skellefte District, Northern Sweden) has been investigated using stable isotope (B, H, O) geochemistry of tourmaline and coexisting micas, feldspar and quartz. Varutr\u00e4sk is a classic and typical example of highly fractionated LCT-type pegmatites, with a pronounced concentric zoning pattern composed of well-developed border, wall and intermediate zones and a quartz core. The pegmatite displays considerable rare-element enrichment, culminating in the formation of albite-lepidolite and pollucite units in the innermost zones. Major and trace element variations in tourmaline from the main pegmatite zones correlate well with the internal zoning pattern. Mineral compositions record an abrupt change in fractionation trends between the barren outer and intermediate zones and the inner, late-stage assemblages that carry rare-element mineralization. This change is also shown by the B-isotope variations of tourmaline. Early and mid-stage tourmalines record a systematic increase in \u03b411B from -14.6\u2030 to -6.2\u2030 which can be explained by closed-system melt-mineral isotope fractionation whereby crystallization of large amounts of muscovite preferentially removes 10B from the residual melt. In contrast, tourmaline from late-stage assemblages in the inner zones and cross-cutting veinlets shows a reversal in the B isotope trend, with a decrease in \u03b411B from -8\u2030 to -14.1\u2030. This reversal cannot be explained by mineral-melt isotope fractionation, but requires fluid-melt partitioning and partial fluid loss. Hydrogen isotope variations in mica support this model. The systematic increase in \u03b4D from -75\u2030 in the outer zones (muscovite) to -63\u2030 and -53\u2030 in the inner zones (Li-micas) cannot be explained by closed-system variations in temperature or melt-mica fractionation, but it is consistent with late fluid exsolution. Oxygen isotope compositions of tourmaline (\u03b418O from 9.7\u2030 to 11.6\u2030), quartz (13.3\u2030 to 14\u2030) and mica (10.3\u2030 to 11.3\u2030) show good agreement with equilibrium partitioning and yield temperatures in the range 450\u00b0C to 600\u00b0C. Combining this with the stability fields of Li-aluminosilicates petalite and spodumene indicates crystallization pressures of 2-3kbar. Taken together, the stable isotope and mineral chemistry data demonstrate that rare-element enrichment in the innermost fractionated assemblages in the Varutr\u00e4sk pegmatite was associated with the transition from purely magmatic crystallization to conditions \u2026", "author" : [ { "dropping-particle" : "", "family" : "Siegel", "given" : "Karin", "non-dropping-particle" : "", "parse-names" : false, "suffix" : "" }, { "dropping-particle" : "", "family" : "Wagner", "given" : "Thomas", "non-dropping-particle" : "", "parse-names" : false, "suffix" : "" }, { "dropping-particle" : "", "family" : "Trumbull", "given" : "Robert B.", "non-dropping-particle" : "", "parse-names" : false, "suffix" : "" }, { "dropping-particle" : "", "family" : "Jonsson", "given" : "Erik", "non-dropping-particle" : "", "parse-names" : false, "suffix" : "" }, { "dropping-particle" : "", "family" : "Matalin", "given" : "Gabriella", "non-dropping-particle" : "", "parse-names" : false, "suffix" : "" }, { "dropping-particle" : "", "family" : "W\u00e4lle", "given" : "Markus", "non-dropping-particle" : "", "parse-names" : false, "suffix" : "" }, { "dropping-particle" : "", "family" : "Heinrich", "given" : "Christoph A.", "non-dropping-particle" : "", "parse-names" : false, "suffix" : "" } ], "container-title" : "Chemical Geology", "id" : "ITEM-8", "issued" : { "date-parts" : [ [ "2016" ] ] }, "page" : "1-16", "publisher" : "Elsevier B.V.", "title" : "Stable isotope (B, H, O) and mineral-chemistry constraints on the magmatic to hydrothermal evolution of the Varutr\u00e4sk rare-element pegmatite (Northern Sweden)", "type" : "article-journal", "volume" : "421" }, "uris" : [ "http://www.mendeley.com/documents/?uuid=86c56466-e0c4-4297-83f2-ada62f7f82f2" ] }, { "id" : "ITEM-9", "itemData" : { "DOI" : "10.1016/j.chemgeo.2013.05.021", "ISSN" : "0009-2541", "author" : [ { "dropping-particle" : "", "family" : "Trumbull", "given" : "Robert B", "non-dropping-particle" : "", "parse-names" : false, "suffix" : "" }, { "dropping-particle" : "", "family" : "Beurlen", "given" : "Hartmut", "non-dropping-particle" : "", "parse-names" : false, "suffix" : "" }, { "dropping-particle" : "", "family" : "Wiedenbeck", "given" : "Michael", "non-dropping-particle" : "", "parse-names" : false, "suffix" : "" }, { "dropping-particle" : "", "family" : "Soares", "given" : "Dwight R", "non-dropping-particle" : "", "parse-names" : false, "suffix" : "" } ], "container-title" : "Chemical Geology", "id" : "ITEM-9", "issued" : { "date-parts" : [ [ "2013" ] ] }, "page" : "47-62", "publisher" : "Elsevier B.V.", "title" : "The diversity of B-isotope variations in tourmaline from rare-element pegmatites in the Borborema Province of Brazil", "type" : "article-journal", "volume" : "352" }, "uris" : [ "http://www.mendeley.com/documents/?uuid=42e5d20c-a3f5-4b24-9b2e-8f7ffb58d592" ] }, { "id" : "ITEM-10", "itemData" : { "author" : [ { "dropping-particle" : "", "family" : "Marschall", "given" : "Horst R.", "non-dropping-particle" : "", "parse-names" : false, "suffix" : "" }, { "dropping-particle" : "", "family" : "Wanless", "given" : "V. Dorsey", "non-dropping-particle" : "", "parse-names" : false, "suffix" : "" }, { "dropping-particle" : "", "family" : "Shimizu", "given" : "Nobumichi", "non-dropping-particle" : "", "parse-names" : false, "suffix" : "" }, { "dropping-particle" : "", "family" : "Pogge von Strandmann", "given" : "Philip A.E.", "non-dropping-particle" : "", "parse-names" : false, "suffix" : "" }, { "dropping-particle" : "", "family" : "Elliott", "given" : "Tim", "non-dropping-particle" : "", "parse-names" : false, "suffix" : "" }, { "dropping-particle" : "", "family" : "Monteleone", "given" : "Brian D.", "non-dropping-particle" : "", "parse-names" : false, "suffix" : "" } ], "container-title" : "Geochimica et Cosmochimica Acta", "id" : "ITEM-10", "issued" : { "date-parts" : [ [ "2017" ] ] }, "page" : "102-138", "title" : "The boron and lithium isotopic composition of mid-ocean ridge basalts and the mantle", "type" : "article-journal", "volume" : "207" }, "uris" : [ "http://www.mendeley.com/documents/?uuid=8b0cd33a-207d-41a1-a0bf-45d690344213" ] }, { "id" : "ITEM-11", "itemData" : { "DOI" : "10.1093/petrology/egl031", "ISBN" : "0022-3530", "ISSN" : "00223530", "abstract" : "High-pressure (HP) metamorphic blocks enclosed in a mafic to ultramafic matrix from a melange on the island of Syros are rimmed by tourmaline-bearing reaction zones (blackwalls). The B isotopic composition of dravitic tourmaline within these blackwalls was investigated in situ by secondary ion mass spectrometry. Boron in these tourmalines is unusually heavy, with delta B-11 values exceeding +18 parts per thousand in all investigated samples and reaching an extreme value of +28.4 parts per thousand in one sample. Blackwalls formed during exhumation of the HP melange at a depth of 20-25 km at temperatures of 400-430 degrees C, by influx of external hydrous fluids. The compositions of the fluids are estimated to be in the range of 100-300 mu g/g B with delta B-11 values of +18 to +28 parts per thousand. The high delta B-11 values cannot be explained by tourmaline formation from unmodified slab-derived fluids. However, such fluids could interact with the material in the exhumation channel on their way from the dehydrating slab to the site of tourmaline formation in the blackwalls. This could produce exceptionally high delta B-11 values in the fluids, a case that is modelled in this study. The model demonstrates that subduction fluids may be effectively modified in both trace element and isotopic composition during their migration through the material overlying the subducting slab. Blackwall tourmaline from Syros has a large grain size (several centimetres), high abundance, and an exceptionally high delta B-11 value. The formation of tourmaline at the contact between mafic or felsic HP blocks and their ultramafic matrix involved fluids released during dehydration reactions in the subducting slab. It forms a heavy-boron reservoir in hybrid rocks overlying the subducting slab, and may, thus, have a significant impact on the geochemical cycle of B and its isotopes in subduction zones.", "author" : [ { "dropping-particle" : "", "family" : "Marschall", "given" : "Horst R.", "non-dropping-particle" : "", "parse-names" : false, "suffix" : "" }, { "dropping-particle" : "", "family" : "Ludwig", "given" : "Thomas", "non-dropping-particle" : "", "parse-names" : false, "suffix" : "" }, { "dropping-particle" : "", "family" : "Altherr", "given" : "Rainer", "non-dropping-particle" : "", "parse-names" : false, "suffix" : "" }, { "dropping-particle" : "", "family" : "Kalt", "given" : "Angelika", "non-dropping-particle" : "", "parse-names" : false, "suffix" : "" }, { "dropping-particle" : "", "family" : "Tonarini", "given" : "Sonia", "non-dropping-particle" : "", "parse-names" : false, "suffix" : "" } ], "container-title" : "Journal of Petrology", "id" : "ITEM-11", "issue" : "10", "issued" : { "date-parts" : [ [ "2006" ] ] }, "page" : "1915-1942", "title" : "Syros metasomatic tourmaline: Evidence for very high-\u03b411 B fluids in subduction zones", "type" : "article-journal", "volume" : "47" }, "uris" : [ "http://www.mendeley.com/documents/?uuid=4c9ac7c8-ed59-4f23-8192-83b0425f7f1d" ] }, { "id" : "ITEM-12", "itemData" : { "DOI" : "10.1016/j.lithos.2008.04.004", "ISBN" : "00244937", "ISSN" : "00244937", "abstract" : "Multi-stage formation of tourmaline occurs in the Hnilec granite-related hydrothermal tin mineralisation system from the Western Carpathians, Slovakia. The tourmalines belong to the schorl-dravite series and have two major stages of formation: the majority crystallized during the first stage (defined as M-stage), forming zoned tourmaline crystals with the cores being generally more Fe, Al, and Mn rich than the rims. During the second stage (defined as L-stage), tourmaline formed as small veins or irregular patches along fractures and cracks in the M-stage tourmaline grains. In the contact metapelites near the granite body, the L-stage tourmalines are more Mg-rich and Fe, Al, Mn depleted than the M-stage tourmalines. In the granites, the L-stage tourmalines have generally similar compositions to those of the M-stage tourmaline rims. The boron isotopic compositions of the M-stage tourmalines vary from - 10.3??? to - 15.4???; with no clear variation between the cores and the rims, however, some of the tourmaline grains from the contact metapelites show a slightly higher ??11B in the cores than in the rims. The L-stage tourmalines have lower ??11B value of - 16.0??? to - 17.1???. We suggest that these trends reflect a changing fluid source from a dominant magmatic-hydrothermal fluid derived from the granites to a late-stage metamorphic fluid derived from the regional metamorphism (chlorite and biotite zone) in the metapelites. The significantly higher Fe3+ in the L-stage than the M-stage tourmalines reflect changing redox conditions towards a more oxidising environment. This redox condition change may have important implications for the hydrothermal tin mineralisation in the area. ?? 2008 Elsevier B.V. All rights reserved.", "author" : [ { "dropping-particle" : "", "family" : "Jiang", "given" : "Shao Yong", "non-dropping-particle" : "", "parse-names" : false, "suffix" : "" }, { "dropping-particle" : "", "family" : "Radvanec", "given" : "Martin", "non-dropping-particle" : "", "parse-names" : false, "suffix" : "" }, { "dropping-particle" : "", "family" : "Nakamura", "given" : "Eizo", "non-dropping-particle" : "", "parse-names" : false, "suffix" : "" }, { "dropping-particle" : "", "family" : "Palmer", "given" : "Martin", "non-dropping-particle" : "", "parse-names" : false, "suffix" : "" }, { "dropping-particle" : "", "family" : "Kobayashi", "given" : "Katsura", "non-dropping-particle" : "", "parse-names" : false, "suffix" : "" }, { "dropping-particle" : "", "family" : "Zhao", "given" : "Hai Xiang", "non-dropping-particle" : "", "parse-names" : false, "suffix" : "" }, { "dropping-particle" : "", "family" : "Zhao", "given" : "Kui Dong", "non-dropping-particle" : "", "parse-names" : false, "suffix" : "" } ], "container-title" : "Lithos", "id" : "ITEM-12", "issue" : "1-2", "issued" : { "date-parts" : [ [ "2008" ] ] }, "page" : "1-11", "publisher" : "Elsevier B.V.", "title" : "Chemical and boron isotopic variations of tourmaline in the Hnilec granite-related hydrothermal system, Slovakia: Constraints on magmatic and metamorphic fluid evolution", "type" : "article-journal", "volume" : "106" }, "uris" : [ "http://www.mendeley.com/documents/?uuid=0d447733-304a-4304-b003-d87256d337bc" ] }, { "id" : "ITEM-13", "itemData" : { "author" : [ { "dropping-particle" : "", "family" : "Palmer", "given" : "Martin R.", "non-dropping-particle" : "", "parse-names" : false, "suffix" : "" }, { "dropping-particle" : "", "family" : "Swihart", "given" : "George H.", "non-dropping-particle" : "", "parse-names" : false, "suffix" : "" } ], "container-title" : "Reviews in Mineralogy and Geochemistry", "id" : "ITEM-13", "issued" : { "date-parts" : [ [ "1996" ] ] }, "page" : "709-744", "title" : "Boron isotope geochemistry: An overview", "type" : "article-journal", "volume" : "33" }, "uris" : [ "http://www.mendeley.com/documents/?uuid=ae2ad9bb-18c7-414a-9833-d182e3cb0e6f" ] }, { "id" : "ITEM-14", "itemData" : { "DOI" : "10.1016/S0016-7037(02)00987-0", "ISBN" : "0016-7037", "ISSN" : "00167037", "abstract" : "This paper is focused on the role of boron coordination in determining the 11B/10B isotopic fractionation between melt/glass and biotite at magmatic temperatures. For this purpose, three evolved volcanic rocks from Roccastrada, Mt. Amiata, and Mt. Cimini belonging to the Neogene-Quaternary magmatism of central Italy were studied. In these samples, the measured boron biotite-glass partition coefficient ranges between 0.004 and 0.011, indicating that boron behaves as an incompatible element during biotite crystallization. The 11B magic-angle spinning nuclear magnetic resonance (NMR) spectra reveal the presence of trigonal BO3/2 units, tetrahedral BO4/2\n- sites, and three-coordinated BO2/2O- species containing one nonbridging oxygen. The relative contributions of these different boron sites were estimated by spectral deconvolution, and it was observed that the fraction of trigonally coordinated boron decreases with increasing K2O concentration in the glass. The 11B/10B isotopic fractionation between biotite and melt/glass was observed to be large even at magmatic temperatures and was found to be 1.0066 (Roccastrada sample), 1.00535 (Mt. Amiata sample), and 1.00279 (Mt. Cimini sample). Fractionation is mostly related to the relative amount of trigonal and tetrahedral boron sites in the glass network rather than to other processes, including the speciation of hydrous species in the glass structure. The measured ?? values are significantly higher than the calculated ones obtained using the reduced partition function ratios (RPFRs) for B(OH)3 and B(OH)4\n- as reported by Kakihana et al. (1977) and the abundance of trigonal and tetrahedral boron obtained by 11B NMR spectra. Furthermore, a nonlinear relationship is observed between the percentage of BO4 in the glass structure and the measured 1000ln??, suggesting that the approximation of monomeric B(OH)3 and B(OH)4\n- species contributions through ideal mixing in calculating the RPFRs in polyanions (Oi et al., 1989) probably does not apply to silicate glasses. The large B isotopic fractionation measured between glass and biotite and its dependence on the boron coordination in the glass are a limitation to the use of ??11B in the mineral to characterize magmas. Nonetheless, the high incompatible behavior of boron in the most common magmatic minerals rules out that fractional crystallization significantly modified the B isotopic composition of the melt. ?? 2003 Elsevier Science Ltd.", "author" : [ { "dropping-particle" : "", "family" : "Tonarini", "given" : "Sonia", "non-dropping-particle" : "", "parse-names" : false, "suffix" : "" }, { "dropping-particle" : "", "family" : "Forte", "given" : "Claudia", "non-dropping-particle" : "", "parse-names" : false, "suffix" : "" }, { "dropping-particle" : "", "family" : "Petrini", "given" : "Riccardo", "non-dropping-particle" : "", "parse-names" : false, "suffix" : "" }, { "dropping-particle" : "", "family" : "Ferrara", "given" : "Giorgio", "non-dropping-particle" : "", "parse-names" : false, "suffix" : "" } ], "container-title" : "Geochimica et Cosmochimica Acta", "id" : "ITEM-14", "issue" : "10", "issued" : { "date-parts" : [ [ "2003" ] ] }, "page" : "1863-1873", "title" : "Melt/biotite 11B/10B isotopic fractionation and the boron local environment in the structure of volcanic glasses", "type" : "article-journal", "volume" : "67" }, "uris" : [ "http://www.mendeley.com/documents/?uuid=00d81473-a60f-4567-b98a-12429e445d42" ] }, { "id" : "ITEM-15", "itemData" : { "ISBN" : "0935-1221", "ISSN" : "09351221", "abstract" : "Baron isotopic compositions are found to be nearly uniform within progressive growth sectors of three zoned tourmaline samples, each from a different miarolitic pegmatite on Elba Island. Chemistry (schorl to elbaite) and textures of these samples indicate that they formed from an evolving medium that varied from melt, through melt + vapor, to vapor only assemblages (here designated simply as \"melt/fluid\") with decreasing temperature (ca. 650-300 degrees C). Closed-system crystallization conditions are inferred in two cases whereas, in one case, late fracturing and open-system conditions resulted in development of fibrous schorl overgrowths. The negligible variation in tourmaline isotopic composition (delta(11)B from -9.6 to -8.5 parts per thousand) is tentatively explained in two different ways. In the first case, the isotopic fractionation factor between tourmaline and either fluid-unsaturated melt, fluid-saturated melt, or aqueous fluids is near-constant near Delta(fluid-tour) = 0 (i.e., no isotopic fractionation occurs). In the second case, \"melt/fluid\" composition was increasingly enriched in B-11 due to increasing \"melt/fluid\"-tourmaline isotopic fractionation as temperature dropped. The latter scenario is more consistent with the few presently available experimental data on tourmaline-fluid isotopic fractionation at high temperatures, and implies that evolving magmatic fluids will be relatively enriched in B-11 compared to associated crystalline assemblages.", "author" : [ { "dropping-particle" : "", "family" : "Tonarini", "given" : "Sonia", "non-dropping-particle" : "", "parse-names" : false, "suffix" : "" }, { "dropping-particle" : "", "family" : "Dini", "given" : "A", "non-dropping-particle" : "", "parse-names" : false, "suffix" : "" }, { "dropping-particle" : "", "family" : "Pezzotta", "given" : "Federico", "non-dropping-particle" : "", "parse-names" : false, "suffix" : "" }, { "dropping-particle" : "", "family" : "Leeman", "given" : "William P", "non-dropping-particle" : "", "parse-names" : false, "suffix" : "" } ], "container-title" : "European Journal Of Mineralogy", "id" : "ITEM-15", "issue" : "5", "issued" : { "date-parts" : [ [ "1998" ] ] }, "page" : "941-951", "title" : "Boron isotopic composition of zoned (schorl-elbaite) tourmalines, Mt. Capanne Li-Cs pegmatites, Elba (Italy)", "type" : "article-journal", "volume" : "10" }, "uris" : [ "http://www.mendeley.com/documents/?uuid=fa8ed009-9b16-4d69-9a79-2e39519f39a0" ] } ], "mendeley" : { "formattedCitation" : "(Hervig et al., 2002; Jiang et al., 2008; Marschall et al., 2017, 2009, 2006; Meyer et al., 2008; Palmer et al., 1992; Palmer and Swihart, 1996; Siegel et al., 2016; Tonarini et al., 1998, 2003; Trumbull et al., 2013; van Hinsberg and Marschall, 2007; Williams et al., 2001a, 2001b)", "plainTextFormattedCitation" : "(Hervig et al., 2002; Jiang et al., 2008; Marschall et al., 2017, 2009, 2006; Meyer et al., 2008; Palmer et al., 1992; Palmer and Swihart, 1996; Siegel et al., 2016; Tonarini et al., 1998, 2003; Trumbull et al., 2013; van Hinsberg and Marschall, 2007; Williams et al., 2001a, 2001b)", "previouslyFormattedCitation" : "(Palmer et al. 1992; Palmer and Swihart 1996; Tonarini et al. 2003, 1998, Williams et al. 2001a, 2001b; Hervig et al. 2002; Marschall et al. 2006, 2009, 2017; van Hinsberg and Marschall 2007; Jiang et al. 2008; Meyer et al. 2008; Trumbull et al. 2013; Siegel et al. 2016)" }, "properties" : { "noteIndex" : 0 }, "schema" : "https://github.com/citation-style-language/schema/raw/master/csl-citation.json" }</w:instrText>
      </w:r>
      <w:r>
        <w:rPr>
          <w:rFonts w:cs="Times New Roman"/>
        </w:rPr>
        <w:fldChar w:fldCharType="separate"/>
      </w:r>
      <w:r w:rsidR="00266290" w:rsidRPr="00266290">
        <w:rPr>
          <w:rFonts w:cs="Times New Roman"/>
          <w:noProof/>
        </w:rPr>
        <w:t>(Hervig et al., 2002; Jiang et al., 2008; Marschall et al., 2017, 2009, 2006; Meyer et al., 2008; Palmer et al., 1992; Palmer and Swihart, 1996; Siegel et al., 2016; Tonarini et al., 1998, 2003; Trumbull et al., 2013; van Hinsberg and Marschall, 2007; Williams et al., 2001a, 2001b)</w:t>
      </w:r>
      <w:r>
        <w:rPr>
          <w:rFonts w:cs="Times New Roman"/>
        </w:rPr>
        <w:fldChar w:fldCharType="end"/>
      </w:r>
      <w:r>
        <w:rPr>
          <w:rFonts w:cs="Times New Roman"/>
        </w:rPr>
        <w:t>.</w:t>
      </w:r>
    </w:p>
    <w:p w:rsidR="00665C0F" w:rsidRDefault="00665C0F" w:rsidP="00665C0F">
      <w:pPr>
        <w:spacing w:line="480" w:lineRule="auto"/>
        <w:ind w:firstLine="720"/>
        <w:rPr>
          <w:rFonts w:cs="Times New Roman"/>
        </w:rPr>
      </w:pPr>
      <w:r>
        <w:rPr>
          <w:rFonts w:cs="Times New Roman"/>
        </w:rPr>
        <w:t xml:space="preserve">In the continental crust, the most abundant B-rich mineral is tourmaline (tur) </w:t>
      </w:r>
      <w:r>
        <w:rPr>
          <w:rFonts w:cs="Times New Roman"/>
        </w:rPr>
        <w:fldChar w:fldCharType="begin" w:fldLock="1"/>
      </w:r>
      <w:r w:rsidR="00266290">
        <w:rPr>
          <w:rFonts w:cs="Times New Roman"/>
        </w:rPr>
        <w:instrText>ADDIN CSL_CITATION { "citationItems" : [ { "id" : "ITEM-1", "itemData" : { "author" : [ { "dropping-particle" : "", "family" : "Grew", "given" : "Edward S", "non-dropping-particle" : "", "parse-names" : false, "suffix" : "" } ], "container-title" : "Reviews in Mineralogy and Geochemistry", "id" : "ITEM-1", "issued" : { "date-parts" : [ [ "1996" ] ] }, "page" : "387-502", "title" : "Borosilicates (exclusive of tourmaline) and Boron in rock-forming minerals in metamorphic environments", "type" : "article-journal", "volume" : "33" }, "uris" : [ "http://www.mendeley.com/documents/?uuid=ccb7097d-c794-48e6-941c-44fdaede7202" ] }, { "id" : "ITEM-2", "itemData" : { "author" : [ { "dropping-particle" : "", "family" : "London", "given" : "David", "non-dropping-particle" : "", "parse-names" : false, "suffix" : "" }, { "dropping-particle" : "", "family" : "Morgan VI", "given" : "George B.", "non-dropping-particle" : "", "parse-names" : false, "suffix" : "" }, { "dropping-particle" : "", "family" : "Wolf", "given" : "Michael B.", "non-dropping-particle" : "", "parse-names" : false, "suffix" : "" } ], "container-title" : "Reviews in Mineralogy and Geochemistry", "id" : "ITEM-2", "issued" : { "date-parts" : [ [ "1996" ] ] }, "page" : "299-330", "title" : "Boron in granitic rocks and their contact aureoles", "type" : "article-journal", "volume" : "33" }, "uris" : [ "http://www.mendeley.com/documents/?uuid=c7abebaa-e17b-4c1b-942a-cc31d79f929f" ] } ], "mendeley" : { "formattedCitation" : "(Grew, 1996; London et al., 1996)", "plainTextFormattedCitation" : "(Grew, 1996; London et al., 1996)", "previouslyFormattedCitation" : "(Grew 1996; London et al. 1996)" }, "properties" : { "noteIndex" : 0 }, "schema" : "https://github.com/citation-style-language/schema/raw/master/csl-citation.json" }</w:instrText>
      </w:r>
      <w:r>
        <w:rPr>
          <w:rFonts w:cs="Times New Roman"/>
        </w:rPr>
        <w:fldChar w:fldCharType="separate"/>
      </w:r>
      <w:r w:rsidR="00266290" w:rsidRPr="00266290">
        <w:rPr>
          <w:rFonts w:cs="Times New Roman"/>
          <w:noProof/>
        </w:rPr>
        <w:t>(Grew, 1996; London et al., 1996)</w:t>
      </w:r>
      <w:r>
        <w:rPr>
          <w:rFonts w:cs="Times New Roman"/>
        </w:rPr>
        <w:fldChar w:fldCharType="end"/>
      </w:r>
      <w:r>
        <w:rPr>
          <w:rFonts w:cs="Times New Roman"/>
        </w:rPr>
        <w:t xml:space="preserve">; however, muscovite (ms), which is volumetrically more abundant than tourmaline, </w:t>
      </w:r>
      <w:r w:rsidR="00BB5A23">
        <w:rPr>
          <w:rFonts w:cs="Times New Roman"/>
        </w:rPr>
        <w:t xml:space="preserve">also </w:t>
      </w:r>
      <w:r>
        <w:rPr>
          <w:rFonts w:cs="Times New Roman"/>
        </w:rPr>
        <w:t>constitute</w:t>
      </w:r>
      <w:r w:rsidR="00BB5A23">
        <w:rPr>
          <w:rFonts w:cs="Times New Roman"/>
        </w:rPr>
        <w:t>s a large reservoir of B</w:t>
      </w:r>
      <w:r>
        <w:rPr>
          <w:rFonts w:cs="Times New Roman"/>
        </w:rPr>
        <w:t xml:space="preserve"> </w:t>
      </w:r>
      <w:r>
        <w:rPr>
          <w:rFonts w:cs="Times New Roman"/>
        </w:rPr>
        <w:fldChar w:fldCharType="begin" w:fldLock="1"/>
      </w:r>
      <w:r w:rsidR="00266290">
        <w:rPr>
          <w:rFonts w:cs="Times New Roman"/>
        </w:rPr>
        <w:instrText>ADDIN CSL_CITATION { "citationItems" : [ { "id" : "ITEM-1", "itemData" : { "author" : [ { "dropping-particle" : "", "family" : "London", "given" : "David", "non-dropping-particle" : "", "parse-names" : false, "suffix" : "" }, { "dropping-particle" : "", "family" : "Morgan VI", "given" : "George B.", "non-dropping-particle" : "", "parse-names" : false, "suffix" : "" }, { "dropping-particle" : "", "family" : "Wolf", "given" : "Michael B.", "non-dropping-particle" : "", "parse-names" : false, "suffix" : "" } ], "container-title" : "Reviews in Mineralogy and Geochemistry", "id" : "ITEM-1", "issued" : { "date-parts" : [ [ "1996" ] ] }, "page" : "299-330", "title" : "Boron in granitic rocks and their contact aureoles", "type" : "article-journal", "volume" : "33" }, "uris" : [ "http://www.mendeley.com/documents/?uuid=c7abebaa-e17b-4c1b-942a-cc31d79f929f" ] } ], "mendeley" : { "formattedCitation" : "(London et al., 1996)", "plainTextFormattedCitation" : "(London et al., 1996)", "previouslyFormattedCitation" : "(London et al. 1996)" }, "properties" : { "noteIndex" : 0 }, "schema" : "https://github.com/citation-style-language/schema/raw/master/csl-citation.json" }</w:instrText>
      </w:r>
      <w:r>
        <w:rPr>
          <w:rFonts w:cs="Times New Roman"/>
        </w:rPr>
        <w:fldChar w:fldCharType="separate"/>
      </w:r>
      <w:r w:rsidR="00266290" w:rsidRPr="00266290">
        <w:rPr>
          <w:rFonts w:cs="Times New Roman"/>
          <w:noProof/>
        </w:rPr>
        <w:t>(London et al., 1996)</w:t>
      </w:r>
      <w:r>
        <w:rPr>
          <w:rFonts w:cs="Times New Roman"/>
        </w:rPr>
        <w:fldChar w:fldCharType="end"/>
      </w:r>
      <w:r>
        <w:rPr>
          <w:rFonts w:cs="Times New Roman"/>
        </w:rPr>
        <w:t xml:space="preserve">. Therefore, most boron isotopic studies of crustal materials have focused on the </w:t>
      </w:r>
      <w:r>
        <w:rPr>
          <w:rFonts w:cs="Times New Roman"/>
        </w:rPr>
        <w:lastRenderedPageBreak/>
        <w:t xml:space="preserve">compositions of tourmaline and mica </w:t>
      </w:r>
      <w:r>
        <w:rPr>
          <w:rFonts w:cs="Times New Roman"/>
        </w:rPr>
        <w:fldChar w:fldCharType="begin" w:fldLock="1"/>
      </w:r>
      <w:r w:rsidR="00266290">
        <w:rPr>
          <w:rFonts w:cs="Times New Roman"/>
        </w:rPr>
        <w:instrText>ADDIN CSL_CITATION { "citationItems" : [ { "id" : "ITEM-1", "itemData" : { "DOI" : "10.1016/S0009-2541(98)00155-7", "ISSN" : "00092541", "abstract" : "The Archean Sinceni granite is a geologically and geochemically well-studied example of the transition from granite to pegmatite, with subsequent development of hydrothermal alteration in metatonalite wallrocks. Tourmaline occurs in all settings of this system, from the granite to the pegmatites and in the hydrothermal rocks. The chemical and B-isotopic composition of tourmalines was studied by electron- and ion microprobe to understand how tourmaline composition varies during the stages of magmatic to hydrothermal development. The chemical composition of tourmaline from each rock type (granite, pegmatite, hydrothermal vein in metatonalite) is distinctive. In terms of their Na/Na + Ca and Fe/Fe + Mg ratios, the tourmalines correlate with the whole-rock ratios of the corresponding host rock. Tourmalines from the pegmatites show significantly higher Al contents than those from the parental granite, and a correspondingly greater degree of alkali-site vacancies (ca. 30% in pegmatite, 15-20% in granite). Tourmalines in granite have a narrow range of isotopic composition (??11B, mean -15.7???, ?? = 1.3), which is considered to approximate the composition of the magma from which they crystallized. Tourmalines from aplitic zones in pegmatite have the same range of boron isotopic composition as the granite (mean -15.2???, ?? = 1.7). In contrast, tourmaline from a coarse, zoned pegmatite and hydrothermal tourmalines are isotopically lighter (??11B values of -16.6 to -23.0???). These differences are consistent with a model of isotopic fractionation due to fluid exsolution. Tourmaline-fluid fractionation factors allow us to estimate that the exsolved fluid had a ??11B composition of about -13???. The B-isotopic compositions of hydrothermal tourmalines are consistent with formation from this fluid at temperatures of 350 to 500??C, which are in line with temperatures from fluid inclusion microthermometry.", "author" : [ { "dropping-particle" : "", "family" : "Trumbull", "given" : "Robert B.", "non-dropping-particle" : "", "parse-names" : false, "suffix" : "" }, { "dropping-particle" : "", "family" : "Chaussidon", "given" : "Marc", "non-dropping-particle" : "", "parse-names" : false, "suffix" : "" } ], "container-title" : "Chemical Geology", "id" : "ITEM-1", "issue" : "1-4", "issued" : { "date-parts" : [ [ "1999" ] ] }, "page" : "125-137", "title" : "Chemical and boron isotopic composition of magmatic and hydrothermal tourmalines from the Sinceni granite-pegmatite system in Swaziland", "type" : "article-journal", "volume" : "153" }, "uris" : [ "http://www.mendeley.com/documents/?uuid=abb5d9e1-98bd-4b37-a28c-1376eb5cb0ac" ] }, { "id" : "ITEM-2", "itemData" : { "DOI" : "10.1007/s00410-007-0227-3", "ISBN" : "0041000702273", "ISSN" : "00107999", "abstract" : "Tourmaline is widespread in metapelites and pegmatites from the Neoproterozoic Damara Belt, which form the basement and potential source rocks of the Cretaceous Erongo granite. This study traces the B-isotope variations in tourmalines from the basement, from the Erongo granite and from its hydrothermal stage. Tourmalines from the basement are alkali-deficient schorl-dravites, with B-isotope ratios typical for continental crust (\u03b411B average \u22128.4\u2030 \u00b1 1.4, n = 11; one sample at \u221213\u2030, n = 2). Virtually all tourmaline in the Erongo granite occurs in distinctive tourmaline-quartz orbicules. This \u201cmain-stage\u201d tourmaline is alkali-deficient schorl (20\u201330% X-site vacancy, Fe/(Fe + Mg) 0.8\u20131), with uniform B-isotope compositions (\u03b411B \u22128.7\u2030 \u00b1 1.5, n = 49) that are indistinguishable from the basement average, suggesting that boron was derived from anatexis of the local basement rocks with no significant shift in isotopic composition. Secondary, hydrothermal tourmaline in the granite has a bimodal B-isotope distribution with one peak at about \u22129\u2030, like the main-stage tourmaline, and a second at \u22122\u2030. We propose that the tourmaline-rich orbicules formed late in the crystallization history from an immiscible Na\u2013B\u2013Fe-rich hydrous melt. The massive precipitation of orbicular tourmaline nearly exhausted the melt in boron and the shift of \u03b411B to \u22122\u2030 in secondary tourmaline can be explained by Rayleigh fractionation after about 90% B-depletion in the residual fluid.", "author" : [ { "dropping-particle" : "", "family" : "Trumbull", "given" : "R. Bobby", "non-dropping-particle" : "", "parse-names" : false, "suffix" : "" }, { "dropping-particle" : "", "family" : "Krienitz", "given" : "M. S.", "non-dropping-particle" : "", "parse-names" : false, "suffix" : "" }, { "dropping-particle" : "", "family" : "Gottesmann", "given" : "B.", "non-dropping-particle" : "", "parse-names" : false, "suffix" : "" }, { "dropping-particle" : "", "family" : "Wiedenbeck", "given" : "M.", "non-dropping-particle" : "", "parse-names" : false, "suffix" : "" } ], "container-title" : "Contributions to Mineralogy and Petrology", "id" : "ITEM-2", "issue" : "1", "issued" : { "date-parts" : [ [ "2008" ] ] }, "page" : "1-18", "title" : "Chemical and boron-isotope variations in tourmalines from an S-type granite and its source rocks: The Erongo granite and tourmalinites in the Damara Belt, Namibia", "type" : "article-journal", "volume" : "155" }, "uris" : [ "http://www.mendeley.com/documents/?uuid=72c52a9c-d73c-4e1d-ae65-cc0da41bc1a4" ] }, { "id" : "ITEM-3", "itemData" : { "DOI" : "10.1016/j.chemgeo.2013.05.021", "ISSN" : "0009-2541", "author" : [ { "dropping-particle" : "", "family" : "Trumbull", "given" : "Robert B", "non-dropping-particle" : "", "parse-names" : false, "suffix" : "" }, { "dropping-particle" : "", "family" : "Beurlen", "given" : "Hartmut", "non-dropping-particle" : "", "parse-names" : false, "suffix" : "" }, { "dropping-particle" : "", "family" : "Wiedenbeck", "given" : "Michael", "non-dropping-particle" : "", "parse-names" : false, "suffix" : "" }, { "dropping-particle" : "", "family" : "Soares", "given" : "Dwight R", "non-dropping-particle" : "", "parse-names" : false, "suffix" : "" } ], "container-title" : "Chemical Geology", "id" : "ITEM-3", "issued" : { "date-parts" : [ [ "2013" ] ] }, "page" : "47-62", "publisher" : "Elsevier B.V.", "title" : "The diversity of B-isotope variations in tourmaline from rare-element pegmatites in the Borborema Province of Brazil", "type" : "article-journal", "volume" : "352" }, "uris" : [ "http://www.mendeley.com/documents/?uuid=42e5d20c-a3f5-4b24-9b2e-8f7ffb58d592" ] }, { "id" : "ITEM-4", "itemData" : { "DOI" : "10.1007/s00410-008-0342-9", "ISBN" : "0041000803", "ISSN" : "00107999", "author" : [ { "dropping-particle" : "", "family" : "Trumbull", "given" : "Robert B.", "non-dropping-particle" : "", "parse-names" : false, "suffix" : "" }, { "dropping-particle" : "", "family" : "Krienitz", "given" : "Marc Sebastian", "non-dropping-particle" : "", "parse-names" : false, "suffix" : "" }, { "dropping-particle" : "", "family" : "Grundmann", "given" : "G\u00fcnter", "non-dropping-particle" : "", "parse-names" : false, "suffix" : "" }, { "dropping-particle" : "", "family" : "Wiedenbeck", "given" : "Michael", "non-dropping-particle" : "", "parse-names" : false, "suffix" : "" } ], "container-title" : "Contributions to Mineralogy and Petrology", "id" : "ITEM-4", "issue" : "3", "issued" : { "date-parts" : [ [ "2009" ] ] }, "page" : "411-427", "title" : "Tourmaline geochemistry and \u03b411B variations as a guide to fluid-rock interaction in the Habachtal emerald deposit, Tauern Window, Austria", "type" : "article-journal", "volume" : "157" }, "uris" : [ "http://www.mendeley.com/documents/?uuid=a412123a-35d0-482a-a3bf-8ddd987e253c" ] }, { "id" : "ITEM-5", "itemData" : { "DOI" : "10.1093/petrology/egl031", "ISBN" : "0022-3530", "ISSN" : "00223530", "abstract" : "High-pressure (HP) metamorphic blocks enclosed in a mafic to ultramafic matrix from a melange on the island of Syros are rimmed by tourmaline-bearing reaction zones (blackwalls). The B isotopic composition of dravitic tourmaline within these blackwalls was investigated in situ by secondary ion mass spectrometry. Boron in these tourmalines is unusually heavy, with delta B-11 values exceeding +18 parts per thousand in all investigated samples and reaching an extreme value of +28.4 parts per thousand in one sample. Blackwalls formed during exhumation of the HP melange at a depth of 20-25 km at temperatures of 400-430 degrees C, by influx of external hydrous fluids. The compositions of the fluids are estimated to be in the range of 100-300 mu g/g B with delta B-11 values of +18 to +28 parts per thousand. The high delta B-11 values cannot be explained by tourmaline formation from unmodified slab-derived fluids. However, such fluids could interact with the material in the exhumation channel on their way from the dehydrating slab to the site of tourmaline formation in the blackwalls. This could produce exceptionally high delta B-11 values in the fluids, a case that is modelled in this study. The model demonstrates that subduction fluids may be effectively modified in both trace element and isotopic composition during their migration through the material overlying the subducting slab. Blackwall tourmaline from Syros has a large grain size (several centimetres), high abundance, and an exceptionally high delta B-11 value. The formation of tourmaline at the contact between mafic or felsic HP blocks and their ultramafic matrix involved fluids released during dehydration reactions in the subducting slab. It forms a heavy-boron reservoir in hybrid rocks overlying the subducting slab, and may, thus, have a significant impact on the geochemical cycle of B and its isotopes in subduction zones.", "author" : [ { "dropping-particle" : "", "family" : "Marschall", "given" : "Horst R.", "non-dropping-particle" : "", "parse-names" : false, "suffix" : "" }, { "dropping-particle" : "", "family" : "Ludwig", "given" : "Thomas", "non-dropping-particle" : "", "parse-names" : false, "suffix" : "" }, { "dropping-particle" : "", "family" : "Altherr", "given" : "Rainer", "non-dropping-particle" : "", "parse-names" : false, "suffix" : "" }, { "dropping-particle" : "", "family" : "Kalt", "given" : "Angelika", "non-dropping-particle" : "", "parse-names" : false, "suffix" : "" }, { "dropping-particle" : "", "family" : "Tonarini", "given" : "Sonia", "non-dropping-particle" : "", "parse-names" : false, "suffix" : "" } ], "container-title" : "Journal of Petrology", "id" : "ITEM-5", "issue" : "10", "issued" : { "date-parts" : [ [ "2006" ] ] }, "page" : "1915-1942", "title" : "Syros metasomatic tourmaline: Evidence for very high-\u03b411 B fluids in subduction zones", "type" : "article-journal", "volume" : "47" }, "uris" : [ "http://www.mendeley.com/documents/?uuid=4c9ac7c8-ed59-4f23-8192-83b0425f7f1d" ] }, { "id" : "ITEM-6", "itemData" : { "DOI" : "10.1016/j.chemgeo.2006.11.002", "ISBN" : "0009-2541", "ISSN" : "00092541", "abstract" : "Hourglass sector zoning in metamorphic tourmaline is known to effectively fractionate the major and trace elements between different sectors, producing three distinct compositions at the growth surface. Here we show that the light elements Li, Be, H and B, as well as the ??11B signature are also affected by sector zoning. The sector enrichment in elements is controlled by a dual process of initial preference due to growth surface charge and morphology, followed by consecutive, charge-balance controlled enrichment. The light elements, especially B and H, appear to act as charge-balance cations in this mechanism, with a preferred B3+ for Si4+ and O2- for OH- substitution in the c- sector. A lighter ??11B signature (??c+\nc- = 1.8 ?? 0.6 ???) accompanies this increase in BIV in the c- sector, in line with the lighter signatures for BIV compared to BIII in minerals. However, it exceeds this theoretical fractionation by a factor of 10. Although we have not identified a definite process that is responsible for this fractionation, it may be related to local variations in host medium along the growth surface resulting from preferred uptake of elements. These observations show that ??11B signatures in tourmaline are not an independent measure of its host environment, but also a function of mineral composition, and the 3-dimensional zoning variations herein. ?? 2007 Elsevier B.V. All rights reserved.", "author" : [ { "dropping-particle" : "", "family" : "Hinsberg", "given" : "V. J.", "non-dropping-particle" : "van", "parse-names" : false, "suffix" : "" }, { "dropping-particle" : "", "family" : "Marschall", "given" : "H. R.", "non-dropping-particle" : "", "parse-names" : false, "suffix" : "" } ], "container-title" : "Chemical Geology", "id" : "ITEM-6", "issue" : "3-4", "issued" : { "date-parts" : [ [ "2007" ] ] }, "page" : "141-148", "title" : "Boron isotope and light element sector zoning in tourmaline: Implications for the formation of B-isotopic signatures", "type" : "article-journal", "volume" : "238" }, "uris" : [ "http://www.mendeley.com/documents/?uuid=7748cb32-8019-4946-945b-2fd88c991e4c" ] }, { "id" : "ITEM-7", "itemData" : { "DOI" : "10.1016/j.chemgeo.2015.11.025", "ISSN" : "00092541", "abstract" : "The internal evolution of the Varutr\u00e4sk rare-element pegmatite (Skellefte District, Northern Sweden) has been investigated using stable isotope (B, H, O) geochemistry of tourmaline and coexisting micas, feldspar and quartz. Varutr\u00e4sk is a classic and typical example of highly fractionated LCT-type pegmatites, with a pronounced concentric zoning pattern composed of well-developed border, wall and intermediate zones and a quartz core. The pegmatite displays considerable rare-element enrichment, culminating in the formation of albite-lepidolite and pollucite units in the innermost zones. Major and trace element variations in tourmaline from the main pegmatite zones correlate well with the internal zoning pattern. Mineral compositions record an abrupt change in fractionation trends between the barren outer and intermediate zones and the inner, late-stage assemblages that carry rare-element mineralization. This change is also shown by the B-isotope variations of tourmaline. Early and mid-stage tourmalines record a systematic increase in \u03b411B from -14.6\u2030 to -6.2\u2030 which can be explained by closed-system melt-mineral isotope fractionation whereby crystallization of large amounts of muscovite preferentially removes 10B from the residual melt. In contrast, tourmaline from late-stage assemblages in the inner zones and cross-cutting veinlets shows a reversal in the B isotope trend, with a decrease in \u03b411B from -8\u2030 to -14.1\u2030. This reversal cannot be explained by mineral-melt isotope fractionation, but requires fluid-melt partitioning and partial fluid loss. Hydrogen isotope variations in mica support this model. The systematic increase in \u03b4D from -75\u2030 in the outer zones (muscovite) to -63\u2030 and -53\u2030 in the inner zones (Li-micas) cannot be explained by closed-system variations in temperature or melt-mica fractionation, but it is consistent with late fluid exsolution. Oxygen isotope compositions of tourmaline (\u03b418O from 9.7\u2030 to 11.6\u2030), quartz (13.3\u2030 to 14\u2030) and mica (10.3\u2030 to 11.3\u2030) show good agreement with equilibrium partitioning and yield temperatures in the range 450\u00b0C to 600\u00b0C. Combining this with the stability fields of Li-aluminosilicates petalite and spodumene indicates crystallization pressures of 2-3kbar. Taken together, the stable isotope and mineral chemistry data demonstrate that rare-element enrichment in the innermost fractionated assemblages in the Varutr\u00e4sk pegmatite was associated with the transition from purely magmatic crystallization to conditions \u2026", "author" : [ { "dropping-particle" : "", "family" : "Siegel", "given" : "Karin", "non-dropping-particle" : "", "parse-names" : false, "suffix" : "" }, { "dropping-particle" : "", "family" : "Wagner", "given" : "Thomas", "non-dropping-particle" : "", "parse-names" : false, "suffix" : "" }, { "dropping-particle" : "", "family" : "Trumbull", "given" : "Robert B.", "non-dropping-particle" : "", "parse-names" : false, "suffix" : "" }, { "dropping-particle" : "", "family" : "Jonsson", "given" : "Erik", "non-dropping-particle" : "", "parse-names" : false, "suffix" : "" }, { "dropping-particle" : "", "family" : "Matalin", "given" : "Gabriella", "non-dropping-particle" : "", "parse-names" : false, "suffix" : "" }, { "dropping-particle" : "", "family" : "W\u00e4lle", "given" : "Markus", "non-dropping-particle" : "", "parse-names" : false, "suffix" : "" }, { "dropping-particle" : "", "family" : "Heinrich", "given" : "Christoph A.", "non-dropping-particle" : "", "parse-names" : false, "suffix" : "" } ], "container-title" : "Chemical Geology", "id" : "ITEM-7", "issued" : { "date-parts" : [ [ "2016" ] ] }, "page" : "1-16", "publisher" : "Elsevier B.V.", "title" : "Stable isotope (B, H, O) and mineral-chemistry constraints on the magmatic to hydrothermal evolution of the Varutr\u00e4sk rare-element pegmatite (Northern Sweden)", "type" : "article-journal", "volume" : "421" }, "uris" : [ "http://www.mendeley.com/documents/?uuid=86c56466-e0c4-4297-83f2-ada62f7f82f2" ] }, { "id" : "ITEM-8", "itemData" : { "author" : [ { "dropping-particle" : "", "family" : "Maner", "given" : "James L.", "non-dropping-particle" : "", "parse-names" : false, "suffix" : "" }, { "dropping-particle" : "", "family" : "London", "given" : "David", "non-dropping-particle" : "", "parse-names" : false, "suffix" : "" } ], "container-title" : "Chemical Geology", "id" : "ITEM-8", "issued" : { "date-parts" : [ [ "2017" ] ] }, "page" : "70-83", "title" : "The boron isotopic evolution of the Little Three pegmatites, Ramona, CA", "type" : "article-journal", "volume" : "460" }, "uris" : [ "http://www.mendeley.com/documents/?uuid=f42cb9e8-e6c7-47d6-999e-72a6be7c5c2e" ] }, { "id" : "ITEM-9", "itemData" : { "ISBN" : "0935-1221", "ISSN" : "09351221", "abstract" : "Baron isotopic compositions are found to be nearly uniform within progressive growth sectors of three zoned tourmaline samples, each from a different miarolitic pegmatite on Elba Island. Chemistry (schorl to elbaite) and textures of these samples indicate that they formed from an evolving medium that varied from melt, through melt + vapor, to vapor only assemblages (here designated simply as \"melt/fluid\") with decreasing temperature (ca. 650-300 degrees C). Closed-system crystallization conditions are inferred in two cases whereas, in one case, late fracturing and open-system conditions resulted in development of fibrous schorl overgrowths. The negligible variation in tourmaline isotopic composition (delta(11)B from -9.6 to -8.5 parts per thousand) is tentatively explained in two different ways. In the first case, the isotopic fractionation factor between tourmaline and either fluid-unsaturated melt, fluid-saturated melt, or aqueous fluids is near-constant near Delta(fluid-tour) = 0 (i.e., no isotopic fractionation occurs). In the second case, \"melt/fluid\" composition was increasingly enriched in B-11 due to increasing \"melt/fluid\"-tourmaline isotopic fractionation as temperature dropped. The latter scenario is more consistent with the few presently available experimental data on tourmaline-fluid isotopic fractionation at high temperatures, and implies that evolving magmatic fluids will be relatively enriched in B-11 compared to associated crystalline assemblages.", "author" : [ { "dropping-particle" : "", "family" : "Tonarini", "given" : "Sonia", "non-dropping-particle" : "", "parse-names" : false, "suffix" : "" }, { "dropping-particle" : "", "family" : "Dini", "given" : "A", "non-dropping-particle" : "", "parse-names" : false, "suffix" : "" }, { "dropping-particle" : "", "family" : "Pezzotta", "given" : "Federico", "non-dropping-particle" : "", "parse-names" : false, "suffix" : "" }, { "dropping-particle" : "", "family" : "Leeman", "given" : "William P", "non-dropping-particle" : "", "parse-names" : false, "suffix" : "" } ], "container-title" : "European Journal Of Mineralogy", "id" : "ITEM-9", "issue" : "5", "issued" : { "date-parts" : [ [ "1998" ] ] }, "page" : "941-951", "title" : "Boron isotopic composition of zoned (schorl-elbaite) tourmalines, Mt. Capanne Li-Cs pegmatites, Elba (Italy)", "type" : "article-journal", "volume" : "10" }, "uris" : [ "http://www.mendeley.com/documents/?uuid=fa8ed009-9b16-4d69-9a79-2e39519f39a0" ] }, { "id" : "ITEM-10", "itemData" : { "DOI" : "10.1016/S0016-7037(02)00987-0", "ISBN" : "0016-7037", "ISSN" : "00167037", "abstract" : "This paper is focused on the role of boron coordination in determining the 11B/10B isotopic fractionation between melt/glass and biotite at magmatic temperatures. For this purpose, three evolved volcanic rocks from Roccastrada, Mt. Amiata, and Mt. Cimini belonging to the Neogene-Quaternary magmatism of central Italy were studied. In these samples, the measured boron biotite-glass partition coefficient ranges between 0.004 and 0.011, indicating that boron behaves as an incompatible element during biotite crystallization. The 11B magic-angle spinning nuclear magnetic resonance (NMR) spectra reveal the presence of trigonal BO3/2 units, tetrahedral BO4/2\n- sites, and three-coordinated BO2/2O- species containing one nonbridging oxygen. The relative contributions of these different boron sites were estimated by spectral deconvolution, and it was observed that the fraction of trigonally coordinated boron decreases with increasing K2O concentration in the glass. The 11B/10B isotopic fractionation between biotite and melt/glass was observed to be large even at magmatic temperatures and was found to be 1.0066 (Roccastrada sample), 1.00535 (Mt. Amiata sample), and 1.00279 (Mt. Cimini sample). Fractionation is mostly related to the relative amount of trigonal and tetrahedral boron sites in the glass network rather than to other processes, including the speciation of hydrous species in the glass structure. The measured ?? values are significantly higher than the calculated ones obtained using the reduced partition function ratios (RPFRs) for B(OH)3 and B(OH)4\n- as reported by Kakihana et al. (1977) and the abundance of trigonal and tetrahedral boron obtained by 11B NMR spectra. Furthermore, a nonlinear relationship is observed between the percentage of BO4 in the glass structure and the measured 1000ln??, suggesting that the approximation of monomeric B(OH)3 and B(OH)4\n- species contributions through ideal mixing in calculating the RPFRs in polyanions (Oi et al., 1989) probably does not apply to silicate glasses. The large B isotopic fractionation measured between glass and biotite and its dependence on the boron coordination in the glass are a limitation to the use of ??11B in the mineral to characterize magmas. Nonetheless, the high incompatible behavior of boron in the most common magmatic minerals rules out that fractional crystallization significantly modified the B isotopic composition of the melt. ?? 2003 Elsevier Science Ltd.", "author" : [ { "dropping-particle" : "", "family" : "Tonarini", "given" : "Sonia", "non-dropping-particle" : "", "parse-names" : false, "suffix" : "" }, { "dropping-particle" : "", "family" : "Forte", "given" : "Claudia", "non-dropping-particle" : "", "parse-names" : false, "suffix" : "" }, { "dropping-particle" : "", "family" : "Petrini", "given" : "Riccardo", "non-dropping-particle" : "", "parse-names" : false, "suffix" : "" }, { "dropping-particle" : "", "family" : "Ferrara", "given" : "Giorgio", "non-dropping-particle" : "", "parse-names" : false, "suffix" : "" } ], "container-title" : "Geochimica et Cosmochimica Acta", "id" : "ITEM-10", "issue" : "10", "issued" : { "date-parts" : [ [ "2003" ] ] }, "page" : "1863-1873", "title" : "Melt/biotite 11B/10B isotopic fractionation and the boron local environment in the structure of volcanic glasses", "type" : "article-journal", "volume" : "67" }, "uris" : [ "http://www.mendeley.com/documents/?uuid=00d81473-a60f-4567-b98a-12429e445d42" ] } ], "mendeley" : { "formattedCitation" : "(Maner and London, 2017; Marschall et al., 2006; Siegel et al., 2016; Tonarini et al., 2003, 1998, Trumbull et al., 2013, 2009, 2008; Trumbull and Chaussidon, 1999; van Hinsberg and Marschall, 2007)", "plainTextFormattedCitation" : "(Maner and London, 2017; Marschall et al., 2006; Siegel et al., 2016; Tonarini et al., 2003, 1998, Trumbull et al., 2013, 2009, 2008; Trumbull and Chaussidon, 1999; van Hinsberg and Marschall, 2007)", "previouslyFormattedCitation" : "(Tonarini et al. 1998, 2003; Trumbull and Chaussidon 1999; Marschall et al. 2006; van Hinsberg and Marschall 2007; Trumbull et al. 2008, 2009, 2013; Siegel et al. 2016; Maner and London 2017)" }, "properties" : { "noteIndex" : 0 }, "schema" : "https://github.com/citation-style-language/schema/raw/master/csl-citation.json" }</w:instrText>
      </w:r>
      <w:r>
        <w:rPr>
          <w:rFonts w:cs="Times New Roman"/>
        </w:rPr>
        <w:fldChar w:fldCharType="separate"/>
      </w:r>
      <w:r w:rsidR="00266290" w:rsidRPr="00266290">
        <w:rPr>
          <w:rFonts w:cs="Times New Roman"/>
          <w:noProof/>
        </w:rPr>
        <w:t>(Maner and London, 2017; Marschall et al., 2006; Siegel et al., 2016; Tonarini et al., 2003, 1998, Trumbull et al., 2013, 2009, 2008; Trumbull and Chaussidon, 1999; van Hinsberg and Marschall, 2007)</w:t>
      </w:r>
      <w:r>
        <w:rPr>
          <w:rFonts w:cs="Times New Roman"/>
        </w:rPr>
        <w:fldChar w:fldCharType="end"/>
      </w:r>
      <w:r>
        <w:rPr>
          <w:rFonts w:cs="Times New Roman"/>
        </w:rPr>
        <w:t>. The average δ</w:t>
      </w:r>
      <w:r>
        <w:rPr>
          <w:rFonts w:cs="Times New Roman"/>
          <w:vertAlign w:val="superscript"/>
        </w:rPr>
        <w:t>11</w:t>
      </w:r>
      <w:r>
        <w:rPr>
          <w:rFonts w:cs="Times New Roman"/>
        </w:rPr>
        <w:t xml:space="preserve">B of the continental crust is ~ -10‰ </w:t>
      </w:r>
      <w:r>
        <w:rPr>
          <w:rFonts w:cs="Times New Roman"/>
        </w:rPr>
        <w:fldChar w:fldCharType="begin" w:fldLock="1"/>
      </w:r>
      <w:r w:rsidR="00266290">
        <w:rPr>
          <w:rFonts w:cs="Times New Roman"/>
        </w:rPr>
        <w:instrText>ADDIN CSL_CITATION { "citationItems" : [ { "id" : "ITEM-1", "itemData" : { "DOI" : "10.1007/s004100000189", "ISBN" : "0010-7999", "ISSN" : "0010-7999", "abstract" : "Whole-rock chemical composition and 11B/10B isotope ratios in tourmaline was investigated to study the geochemical recycling of boron during the evolution of the Andean basement from the Palaeozoic to Mesozoic. In the basement (Cambrian to Ordovician high-grade paragneisses, migmatites and orthogneisses, the Eocambrian Puncoviscana Formation, and Paleozoic-Mesozoic granitoid igneous rocks) whole-rock B contents are generally below 100 ppm, but B contents of \u00a81 wt% are found in cogenetic aplite and pegmatite dikes and in tourmaline-quartz rocks. In the metasedimentary rocks, no systematic variation in B content because of metamorphic grade and no correlation of B with other incompatible elements are apparent. Tourmalines from the high-grade metamorphic basement yield '11B values ranging from m11.2 to m6.8\u2030 and isotope fractionation during migmatisation was small. Metamorphic tourmalines from the Puncoviscana Formation have '11B values between m6.3 and m5.8\u2030. The calculated (corrected for fractionation) '11B values of m6 to m2\u2030 for the sedimentary protolith of the metamorphic basement indicate a continental B source with subordinate marine input. Tourmalines from Palaeozoic and Mesozoic granitoids display an identical range of '11B values from m12 to m5.3\u2030 and indicate a similarly homogeneous B source throughout time. Tourmalines from pegmatites and tourmaline-quartz rocks record the average '11B values of the parental granitic magma. We assume that B in the Palaeozoic and Mesozoic granitoids is derived from the local metamorphic basement supporting the hypothesis that recycling of the lower Palaeozoic crust is the dominant process in granitic magma formation from Palaeozoic to Mesozoic. [Supplementary material obtainable as pdf on Springer web-site]", "author" : [ { "dropping-particle" : "", "family" : "Kasemann", "given" : "Simone", "non-dropping-particle" : "", "parse-names" : false, "suffix" : "" }, { "dropping-particle" : "", "family" : "Erzinger", "given" : "J\u00f6rg", "non-dropping-particle" : "", "parse-names" : false, "suffix" : "" }, { "dropping-particle" : "", "family" : "Franz", "given" : "Gerhard", "non-dropping-particle" : "", "parse-names" : false, "suffix" : "" } ], "container-title" : "Contributions to Mineralogy and Petrology", "id" : "ITEM-1", "issue" : "3", "issued" : { "date-parts" : [ [ "2000" ] ] }, "page" : "328-343", "title" : "Boron recycling in the continental crust of the central Andes from the Palaeozoic to Mesozoic, NW Argentina", "type" : "article-journal", "volume" : "140" }, "uris" : [ "http://www.mendeley.com/documents/?uuid=7f8b84ec-f447-489d-b412-d1bf8f7c55ff" ] }, { "id" : "ITEM-2", "itemData" : { "author" : [ { "dropping-particle" : "", "family" : "Leeman", "given" : "W.P.", "non-dropping-particle" : "", "parse-names" : false, "suffix" : "" }, { "dropping-particle" : "", "family" : "Sisson", "given" : "V.B.", "non-dropping-particle" : "", "parse-names" : false, "suffix" : "" } ], "container-title" : "Reviews in Mineralogy and Geochemistry", "id" : "ITEM-2", "issued" : { "date-parts" : [ [ "1996" ] ] }, "page" : "645-708", "title" : "Geochemistry of Boron and its implications for crustal and mantle processes", "type" : "article-journal", "volume" : "33" }, "uris" : [ "http://www.mendeley.com/documents/?uuid=46fd8e23-ef12-4894-ba80-de312ec782aa" ] }, { "id" : "ITEM-3", "itemData" : { "author" : [ { "dropping-particle" : "", "family" : "Marschall", "given" : "Horst R.", "non-dropping-particle" : "", "parse-names" : false, "suffix" : "" }, { "dropping-particle" : "", "family" : "Wanless", "given" : "V. Dorsey", "non-dropping-particle" : "", "parse-names" : false, "suffix" : "" }, { "dropping-particle" : "", "family" : "Shimizu", "given" : "Nobumichi", "non-dropping-particle" : "", "parse-names" : false, "suffix" : "" }, { "dropping-particle" : "", "family" : "Pogge von Strandmann", "given" : "Philip A.E.", "non-dropping-particle" : "", "parse-names" : false, "suffix" : "" }, { "dropping-particle" : "", "family" : "Elliott", "given" : "Tim", "non-dropping-particle" : "", "parse-names" : false, "suffix" : "" }, { "dropping-particle" : "", "family" : "Monteleone", "given" : "Brian D.", "non-dropping-particle" : "", "parse-names" : false, "suffix" : "" } ], "container-title" : "Geochimica et Cosmochimica Acta", "id" : "ITEM-3", "issued" : { "date-parts" : [ [ "2017" ] ] }, "page" : "102-138", "title" : "The boron and lithium isotopic composition of mid-ocean ridge basalts and the mantle", "type" : "article-journal", "volume" : "207" }, "uris" : [ "http://www.mendeley.com/documents/?uuid=8b0cd33a-207d-41a1-a0bf-45d690344213" ] } ], "mendeley" : { "formattedCitation" : "(Kasemann et al., 2000; Leeman and Sisson, 1996; Marschall et al., 2017)", "plainTextFormattedCitation" : "(Kasemann et al., 2000; Leeman and Sisson, 1996; Marschall et al., 2017)", "previouslyFormattedCitation" : "(Leeman and Sisson 1996; Kasemann et al. 2000; Marschall et al. 2017)" }, "properties" : { "noteIndex" : 0 }, "schema" : "https://github.com/citation-style-language/schema/raw/master/csl-citation.json" }</w:instrText>
      </w:r>
      <w:r>
        <w:rPr>
          <w:rFonts w:cs="Times New Roman"/>
        </w:rPr>
        <w:fldChar w:fldCharType="separate"/>
      </w:r>
      <w:r w:rsidR="00266290" w:rsidRPr="00266290">
        <w:rPr>
          <w:rFonts w:cs="Times New Roman"/>
          <w:noProof/>
        </w:rPr>
        <w:t>(Kasemann et al., 2000; Leeman and Sisson, 1996; Marschall et al., 2017)</w:t>
      </w:r>
      <w:r>
        <w:rPr>
          <w:rFonts w:cs="Times New Roman"/>
        </w:rPr>
        <w:fldChar w:fldCharType="end"/>
      </w:r>
      <w:r>
        <w:rPr>
          <w:rFonts w:cs="Times New Roman"/>
        </w:rPr>
        <w:t>. The negative average</w:t>
      </w:r>
      <w:r w:rsidR="00BB5A23">
        <w:rPr>
          <w:rFonts w:cs="Times New Roman"/>
        </w:rPr>
        <w:t>, -10‰,</w:t>
      </w:r>
      <w:r>
        <w:rPr>
          <w:rFonts w:cs="Times New Roman"/>
        </w:rPr>
        <w:t xml:space="preserve"> is attributed to the loss of </w:t>
      </w:r>
      <w:r>
        <w:rPr>
          <w:rFonts w:cs="Times New Roman"/>
          <w:vertAlign w:val="superscript"/>
        </w:rPr>
        <w:t>11</w:t>
      </w:r>
      <w:r>
        <w:rPr>
          <w:rFonts w:cs="Times New Roman"/>
        </w:rPr>
        <w:t xml:space="preserve">B to water during devolatization of metamorphic rocks with increasing metamorphic grade </w:t>
      </w:r>
      <w:r>
        <w:rPr>
          <w:rFonts w:cs="Times New Roman"/>
        </w:rPr>
        <w:fldChar w:fldCharType="begin" w:fldLock="1"/>
      </w:r>
      <w:r w:rsidR="00266290">
        <w:rPr>
          <w:rFonts w:cs="Times New Roman"/>
        </w:rPr>
        <w:instrText>ADDIN CSL_CITATION { "citationItems" : [ { "id" : "ITEM-1", "itemData" : { "DOI" : "10.1007/s004100000189", "ISBN" : "0010-7999", "ISSN" : "0010-7999", "abstract" : "Whole-rock chemical composition and 11B/10B isotope ratios in tourmaline was investigated to study the geochemical recycling of boron during the evolution of the Andean basement from the Palaeozoic to Mesozoic. In the basement (Cambrian to Ordovician high-grade paragneisses, migmatites and orthogneisses, the Eocambrian Puncoviscana Formation, and Paleozoic-Mesozoic granitoid igneous rocks) whole-rock B contents are generally below 100 ppm, but B contents of \u00a81 wt% are found in cogenetic aplite and pegmatite dikes and in tourmaline-quartz rocks. In the metasedimentary rocks, no systematic variation in B content because of metamorphic grade and no correlation of B with other incompatible elements are apparent. Tourmalines from the high-grade metamorphic basement yield '11B values ranging from m11.2 to m6.8\u2030 and isotope fractionation during migmatisation was small. Metamorphic tourmalines from the Puncoviscana Formation have '11B values between m6.3 and m5.8\u2030. The calculated (corrected for fractionation) '11B values of m6 to m2\u2030 for the sedimentary protolith of the metamorphic basement indicate a continental B source with subordinate marine input. Tourmalines from Palaeozoic and Mesozoic granitoids display an identical range of '11B values from m12 to m5.3\u2030 and indicate a similarly homogeneous B source throughout time. Tourmalines from pegmatites and tourmaline-quartz rocks record the average '11B values of the parental granitic magma. We assume that B in the Palaeozoic and Mesozoic granitoids is derived from the local metamorphic basement supporting the hypothesis that recycling of the lower Palaeozoic crust is the dominant process in granitic magma formation from Palaeozoic to Mesozoic. [Supplementary material obtainable as pdf on Springer web-site]", "author" : [ { "dropping-particle" : "", "family" : "Kasemann", "given" : "Simone", "non-dropping-particle" : "", "parse-names" : false, "suffix" : "" }, { "dropping-particle" : "", "family" : "Erzinger", "given" : "J\u00f6rg", "non-dropping-particle" : "", "parse-names" : false, "suffix" : "" }, { "dropping-particle" : "", "family" : "Franz", "given" : "Gerhard", "non-dropping-particle" : "", "parse-names" : false, "suffix" : "" } ], "container-title" : "Contributions to Mineralogy and Petrology", "id" : "ITEM-1", "issue" : "3", "issued" : { "date-parts" : [ [ "2000" ] ] }, "page" : "328-343", "title" : "Boron recycling in the continental crust of the central Andes from the Palaeozoic to Mesozoic, NW Argentina", "type" : "article-journal", "volume" : "140" }, "uris" : [ "http://www.mendeley.com/documents/?uuid=7f8b84ec-f447-489d-b412-d1bf8f7c55ff" ] }, { "id" : "ITEM-2", "itemData" : { "DOI" : "10.1016/j.gca.2013.11.032", "ISSN" : "0016-7037", "author" : [ { "dropping-particle" : "", "family" : "Romer", "given" : "Rolf L", "non-dropping-particle" : "", "parse-names" : false, "suffix" : "" }, { "dropping-particle" : "", "family" : "Meixner", "given" : "Anette", "non-dropping-particle" : "", "parse-names" : false, "suffix" : "" } ], "container-title" : "Geochimica et Cosmochimica Acta", "id" : "ITEM-2", "issued" : { "date-parts" : [ [ "2014" ] ] }, "page" : "158-177", "publisher" : "Elsevier Ltd", "title" : "Lithium and boron isotopic fractionation in sedimentary rocks during metamorphism \u2013 The role of rock composition and protolith mineralogy", "type" : "article-journal", "volume" : "128" }, "uris" : [ "http://www.mendeley.com/documents/?uuid=568f70bd-4dbc-4c9f-9dc0-923f40d035c2" ] } ], "mendeley" : { "formattedCitation" : "(Kasemann et al., 2000; Romer and Meixner, 2014b)", "plainTextFormattedCitation" : "(Kasemann et al., 2000; Romer and Meixner, 2014b)", "previouslyFormattedCitation" : "(Kasemann et al. 2000; Romer and Meixner 2014b)" }, "properties" : { "noteIndex" : 0 }, "schema" : "https://github.com/citation-style-language/schema/raw/master/csl-citation.json" }</w:instrText>
      </w:r>
      <w:r>
        <w:rPr>
          <w:rFonts w:cs="Times New Roman"/>
        </w:rPr>
        <w:fldChar w:fldCharType="separate"/>
      </w:r>
      <w:r w:rsidR="00266290" w:rsidRPr="00266290">
        <w:rPr>
          <w:rFonts w:cs="Times New Roman"/>
          <w:noProof/>
        </w:rPr>
        <w:t>(Kasemann et al., 2000; Romer and Meixner, 2014b)</w:t>
      </w:r>
      <w:r>
        <w:rPr>
          <w:rFonts w:cs="Times New Roman"/>
        </w:rPr>
        <w:fldChar w:fldCharType="end"/>
      </w:r>
      <w:r>
        <w:rPr>
          <w:rFonts w:cs="Times New Roman"/>
        </w:rPr>
        <w:t xml:space="preserve"> and to the exsolution of water from granitic melt </w:t>
      </w:r>
      <w:r>
        <w:rPr>
          <w:rFonts w:cs="Times New Roman"/>
        </w:rPr>
        <w:fldChar w:fldCharType="begin" w:fldLock="1"/>
      </w:r>
      <w:r w:rsidR="00266290">
        <w:rPr>
          <w:rFonts w:cs="Times New Roman"/>
        </w:rPr>
        <w:instrText>ADDIN CSL_CITATION { "citationItems" : [ { "id" : "ITEM-1",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"ITEM-1", "issue" : "5-6", "issued" : { "date-parts" : [ [ "2002" ] ] }, "page" : "769-774", "title" : "Isotopic and elemental partitioning of boron between hydrous fluid and silicate melt", "type" : "article-journal", "volume" : "87" }, "uris" : [ "http://www.mendeley.com/documents/?uuid=6b1d0590-ae63-44d0-990b-7cd3b5a05b06" ] } ], "mendeley" : { "formattedCitation" : "(Hervig et al., 2002)", "plainTextFormattedCitation" : "(Hervig et al., 2002)", "previouslyFormattedCitation" : "(Hervig et al. 2002)" }, "properties" : { "noteIndex" : 0 }, "schema" : "https://github.com/citation-style-language/schema/raw/master/csl-citation.json" }</w:instrText>
      </w:r>
      <w:r>
        <w:rPr>
          <w:rFonts w:cs="Times New Roman"/>
        </w:rPr>
        <w:fldChar w:fldCharType="separate"/>
      </w:r>
      <w:r w:rsidR="00266290" w:rsidRPr="00266290">
        <w:rPr>
          <w:rFonts w:cs="Times New Roman"/>
          <w:noProof/>
        </w:rPr>
        <w:t>(Hervig et al., 2002)</w:t>
      </w:r>
      <w:r>
        <w:rPr>
          <w:rFonts w:cs="Times New Roman"/>
        </w:rPr>
        <w:fldChar w:fldCharType="end"/>
      </w:r>
      <w:r>
        <w:rPr>
          <w:rFonts w:cs="Times New Roman"/>
        </w:rPr>
        <w:t xml:space="preserve"> during ascent and crystallization. </w:t>
      </w:r>
    </w:p>
    <w:p w:rsidR="00665C0F" w:rsidRDefault="00665C0F" w:rsidP="00665C0F">
      <w:pPr>
        <w:spacing w:line="480" w:lineRule="auto"/>
        <w:ind w:firstLine="720"/>
        <w:rPr>
          <w:rFonts w:cs="Times New Roman"/>
        </w:rPr>
      </w:pPr>
      <w:r>
        <w:rPr>
          <w:rFonts w:cs="Times New Roman"/>
        </w:rPr>
        <w:t>The δ</w:t>
      </w:r>
      <w:r>
        <w:rPr>
          <w:rFonts w:cs="Times New Roman"/>
          <w:vertAlign w:val="superscript"/>
        </w:rPr>
        <w:t>11</w:t>
      </w:r>
      <w:r>
        <w:rPr>
          <w:rFonts w:cs="Times New Roman"/>
        </w:rPr>
        <w:t>B</w:t>
      </w:r>
      <w:r w:rsidRPr="00762A03">
        <w:rPr>
          <w:rFonts w:cs="Times New Roman"/>
        </w:rPr>
        <w:t xml:space="preserve"> values </w:t>
      </w:r>
      <w:r>
        <w:rPr>
          <w:rFonts w:cs="Times New Roman"/>
        </w:rPr>
        <w:t xml:space="preserve">of tourmaline from granites and pegmatites have been used to assess (1) the role of water in the crystallization of granites and pegmatites, (2) assimilation of various geologic materials into granitic melt, and (3) the source materials of granitic melts </w:t>
      </w:r>
      <w:r>
        <w:rPr>
          <w:rFonts w:cs="Times New Roman"/>
        </w:rPr>
        <w:fldChar w:fldCharType="begin" w:fldLock="1"/>
      </w:r>
      <w:r w:rsidR="00266290">
        <w:rPr>
          <w:rFonts w:cs="Times New Roman"/>
        </w:rPr>
        <w:instrText>ADDIN CSL_CITATION { "citationItems" : [ { "id" : "ITEM-1", "itemData" : { "ISBN" : "0935-1221", "ISSN" : "09351221", "abstract" : "Baron isotopic compositions are found to be nearly uniform within progressive growth sectors of three zoned tourmaline samples, each from a different miarolitic pegmatite on Elba Island. Chemistry (schorl to elbaite) and textures of these samples indicate that they formed from an evolving medium that varied from melt, through melt + vapor, to vapor only assemblages (here designated simply as \"melt/fluid\") with decreasing temperature (ca. 650-300 degrees C). Closed-system crystallization conditions are inferred in two cases whereas, in one case, late fracturing and open-system conditions resulted in development of fibrous schorl overgrowths. The negligible variation in tourmaline isotopic composition (delta(11)B from -9.6 to -8.5 parts per thousand) is tentatively explained in two different ways. In the first case, the isotopic fractionation factor between tourmaline and either fluid-unsaturated melt, fluid-saturated melt, or aqueous fluids is near-constant near Delta(fluid-tour) = 0 (i.e., no isotopic fractionation occurs). In the second case, \"melt/fluid\" composition was increasingly enriched in B-11 due to increasing \"melt/fluid\"-tourmaline isotopic fractionation as temperature dropped. The latter scenario is more consistent with the few presently available experimental data on tourmaline-fluid isotopic fractionation at high temperatures, and implies that evolving magmatic fluids will be relatively enriched in B-11 compared to associated crystalline assemblages.", "author" : [ { "dropping-particle" : "", "family" : "Tonarini", "given" : "Sonia", "non-dropping-particle" : "", "parse-names" : false, "suffix" : "" }, { "dropping-particle" : "", "family" : "Dini", "given" : "A", "non-dropping-particle" : "", "parse-names" : false, "suffix" : "" }, { "dropping-particle" : "", "family" : "Pezzotta", "given" : "Federico", "non-dropping-particle" : "", "parse-names" : false, "suffix" : "" }, { "dropping-particle" : "", "family" : "Leeman", "given" : "William P", "non-dropping-particle" : "", "parse-names" : false, "suffix" : "" } ], "container-title" : "European Journal Of Mineralogy", "id" : "ITEM-1", "issue" : "5", "issued" : { "date-parts" : [ [ "1998" ] ] }, "page" : "941-951", "title" : "Boron isotopic composition of zoned (schorl-elbaite) tourmalines, Mt. Capanne Li-Cs pegmatites, Elba (Italy)", "type" : "article-journal", "volume" : "10" }, "uris" : [ "http://www.mendeley.com/documents/?uuid=fa8ed009-9b16-4d69-9a79-2e39519f39a0" ] }, { "id" : "ITEM-2", "itemData" : { "DOI" : "10.1016/j.chemgeo.2013.05.021", "ISSN" : "0009-2541", "author" : [ { "dropping-particle" : "", "family" : "Trumbull", "given" : "Robert B", "non-dropping-particle" : "", "parse-names" : false, "suffix" : "" }, { "dropping-particle" : "", "family" : "Beurlen", "given" : "Hartmut", "non-dropping-particle" : "", "parse-names" : false, "suffix" : "" }, { "dropping-particle" : "", "family" : "Wiedenbeck", "given" : "Michael", "non-dropping-particle" : "", "parse-names" : false, "suffix" : "" }, { "dropping-particle" : "", "family" : "Soares", "given" : "Dwight R", "non-dropping-particle" : "", "parse-names" : false, "suffix" : "" } ], "container-title" : "Chemical Geology", "id" : "ITEM-2", "issued" : { "date-parts" : [ [ "2013" ] ] }, "page" : "47-62", "publisher" : "Elsevier B.V.", "title" : "The diversity of B-isotope variations in tourmaline from rare-element pegmatites in the Borborema Province of Brazil", "type" : "article-journal", "volume" : "352" }, "uris" : [ "http://www.mendeley.com/documents/?uuid=42e5d20c-a3f5-4b24-9b2e-8f7ffb58d592" ] }, { "id" : "ITEM-3", "itemData" : { "DOI" : "10.1016/j.chemgeo.2015.11.025", "ISSN" : "00092541", "abstract" : "The internal evolution of the Varutr\u00e4sk rare-element pegmatite (Skellefte District, Northern Sweden) has been investigated using stable isotope (B, H, O) geochemistry of tourmaline and coexisting micas, feldspar and quartz. Varutr\u00e4sk is a classic and typical example of highly fractionated LCT-type pegmatites, with a pronounced concentric zoning pattern composed of well-developed border, wall and intermediate zones and a quartz core. The pegmatite displays considerable rare-element enrichment, culminating in the formation of albite-lepidolite and pollucite units in the innermost zones. Major and trace element variations in tourmaline from the main pegmatite zones correlate well with the internal zoning pattern. Mineral compositions record an abrupt change in fractionation trends between the barren outer and intermediate zones and the inner, late-stage assemblages that carry rare-element mineralization. This change is also shown by the B-isotope variations of tourmaline. Early and mid-stage tourmalines record a systematic increase in \u03b411B from -14.6\u2030 to -6.2\u2030 which can be explained by closed-system melt-mineral isotope fractionation whereby crystallization of large amounts of muscovite preferentially removes 10B from the residual melt. In contrast, tourmaline from late-stage assemblages in the inner zones and cross-cutting veinlets shows a reversal in the B isotope trend, with a decrease in \u03b411B from -8\u2030 to -14.1\u2030. This reversal cannot be explained by mineral-melt isotope fractionation, but requires fluid-melt partitioning and partial fluid loss. Hydrogen isotope variations in mica support this model. The systematic increase in \u03b4D from -75\u2030 in the outer zones (muscovite) to -63\u2030 and -53\u2030 in the inner zones (Li-micas) cannot be explained by closed-system variations in temperature or melt-mica fractionation, but it is consistent with late fluid exsolution. Oxygen isotope compositions of tourmaline (\u03b418O from 9.7\u2030 to 11.6\u2030), quartz (13.3\u2030 to 14\u2030) and mica (10.3\u2030 to 11.3\u2030) show good agreement with equilibrium partitioning and yield temperatures in the range 450\u00b0C to 600\u00b0C. Combining this with the stability fields of Li-aluminosilicates petalite and spodumene indicates crystallization pressures of 2-3kbar. Taken together, the stable isotope and mineral chemistry data demonstrate that rare-element enrichment in the innermost fractionated assemblages in the Varutr\u00e4sk pegmatite was associated with the transition from purely magmatic crystallization to conditions \u2026", "author" : [ { "dropping-particle" : "", "family" : "Siegel", "given" : "Karin", "non-dropping-particle" : "", "parse-names" : false, "suffix" : "" }, { "dropping-particle" : "", "family" : "Wagner", "given" : "Thomas", "non-dropping-particle" : "", "parse-names" : false, "suffix" : "" }, { "dropping-particle" : "", "family" : "Trumbull", "given" : "Robert B.", "non-dropping-particle" : "", "parse-names" : false, "suffix" : "" }, { "dropping-particle" : "", "family" : "Jonsson", "given" : "Erik", "non-dropping-particle" : "", "parse-names" : false, "suffix" : "" }, { "dropping-particle" : "", "family" : "Matalin", "given" : "Gabriella", "non-dropping-particle" : "", "parse-names" : false, "suffix" : "" }, { "dropping-particle" : "", "family" : "W\u00e4lle", "given" : "Markus", "non-dropping-particle" : "", "parse-names" : false, "suffix" : "" }, { "dropping-particle" : "", "family" : "Heinrich", "given" : "Christoph A.", "non-dropping-particle" : "", "parse-names" : false, "suffix" : "" } ], "container-title" : "Chemical Geology", "id" : "ITEM-3", "issued" : { "date-parts" : [ [ "2016" ] ] }, "page" : "1-16", "publisher" : "Elsevier B.V.", "title" : "Stable isotope (B, H, O) and mineral-chemistry constraints on the magmatic to hydrothermal evolution of the Varutr\u00e4sk rare-element pegmatite (Northern Sweden)", "type" : "article-journal", "volume" : "421" }, "uris" : [ "http://www.mendeley.com/documents/?uuid=86c56466-e0c4-4297-83f2-ada62f7f82f2" ] }, { "id" : "ITEM-4", "itemData" : { "author" : [ { "dropping-particle" : "", "family" : "Maner", "given" : "James L.", "non-dropping-particle" : "", "parse-names" : false, "suffix" : "" }, { "dropping-particle" : "", "family" : "London", "given" : "David", "non-dropping-particle" : "", "parse-names" : false, "suffix" : "" } ], "container-title" : "Chemical Geology", "id" : "ITEM-4", "issued" : { "date-parts" : [ [ "2017" ] ] }, "page" : "70-83", "title" : "The boron isotopic evolution of the Little Three pegmatites, Ramona, CA", "type" : "article-journal", "volume" : "460" }, "uris" : [ "http://www.mendeley.com/documents/?uuid=11cc18a9-0371-405e-94da-26e69fba70f0" ] }, { "id" : "ITEM-5", "itemData" : { "DOI" : "10.1016/S0009-2541(98)00155-7", "ISSN" : "00092541", "abstract" : "The Archean Sinceni granite is a geologically and geochemically well-studied example of the transition from granite to pegmatite, with subsequent development of hydrothermal alteration in metatonalite wallrocks. Tourmaline occurs in all settings of this system, from the granite to the pegmatites and in the hydrothermal rocks. The chemical and B-isotopic composition of tourmalines was studied by electron- and ion microprobe to understand how tourmaline composition varies during the stages of magmatic to hydrothermal development. The chemical composition of tourmaline from each rock type (granite, pegmatite, hydrothermal vein in metatonalite) is distinctive. In terms of their Na/Na + Ca and Fe/Fe + Mg ratios, the tourmalines correlate with the whole-rock ratios of the corresponding host rock. Tourmalines from the pegmatites show significantly higher Al contents than those from the parental granite, and a correspondingly greater degree of alkali-site vacancies (ca. 30% in pegmatite, 15-20% in granite). Tourmalines in granite have a narrow range of isotopic composition (??11B, mean -15.7???, ?? = 1.3), which is considered to approximate the composition of the magma from which they crystallized. Tourmalines from aplitic zones in pegmatite have the same range of boron isotopic composition as the granite (mean -15.2???, ?? = 1.7). In contrast, tourmaline from a coarse, zoned pegmatite and hydrothermal tourmalines are isotopically lighter (??11B values of -16.6 to -23.0???). These differences are consistent with a model of isotopic fractionation due to fluid exsolution. Tourmaline-fluid fractionation factors allow us to estimate that the exsolved fluid had a ??11B composition of about -13???. The B-isotopic compositions of hydrothermal tourmalines are consistent with formation from this fluid at temperatures of 350 to 500??C, which are in line with temperatures from fluid inclusion microthermometry.", "author" : [ { "dropping-particle" : "", "family" : "Trumbull", "given" : "Robert B.", "non-dropping-particle" : "", "parse-names" : false, "suffix" : "" }, { "dropping-particle" : "", "family" : "Chaussidon", "given" : "Marc", "non-dropping-particle" : "", "parse-names" : false, "suffix" : "" } ], "container-title" : "Chemical Geology", "id" : "ITEM-5", "issue" : "1-4", "issued" : { "date-parts" : [ [ "1999" ] ] }, "page" : "125-137", "title" : "Chemical and boron isotopic composition of magmatic and hydrothermal tourmalines from the Sinceni granite-pegmatite system in Swaziland", "type" : "article-journal", "volume" : "153" }, "uris" : [ "http://www.mendeley.com/documents/?uuid=abb5d9e1-98bd-4b37-a28c-1376eb5cb0ac" ] }, { "id" : "ITEM-6", "itemData" : { "DOI" : "10.1016/j.chemgeo.2015.10.026", "ISBN" : "0009-2541", "ISSN" : "00092541", "abstract" : "The Miocene Nyalam leucogranites from the South Tibetan Himalaya consist of two-mica leucogranite and tourmaline leucogranite, in which tourmaline is an important constituent in nodular tourmaline-quartz segregations. Within the two-mica leucogranite these nodules display two basic morphologies: rounded (2mg-ro type) and radial or dendritic (2mg-ra type). The nodules in the tourmaline leucogranite share similar textural features with the 2mg-ro type tourmaline nodules, but without the leucocratic halo. Tourmaline crystals in the tourmaline leucogranite display overgrowth textures - most commonly in the form of homogeneous cores (Tg-I type) surrounded by oscillatory-zoned rims (Tg-II type). Based on the petrography, chemical and boron isotopic compositions of the various types of tourmaline, it is hypothesized that the 2mg-ro type tourmaline nodules crystallized during the transition from magmatic to hydrothermal evolution of the granite, while the 2mg-ra type tourmaline nodules likely formed during syn-magmatic crystallization from boron-rich melts. In this hypothesis, the Tg-I type tourmalines also formed during the transitional stage from late magmatic to early hydrothermal process. Tg-II type tourmalines were obviously formed after the Tg-I type tourmaline, and can be attributed to the mixing of juvenile fluids and volatiles coming from the wall rocks to the nodule in a post-magmatic hydrothermal environment where Tg-I type tourmaline has already crystallized. Thus, the origin of the tourmaline nodules is related to the different stages of syn-magmatic crystallization from a B-rich melt, or the subsequent transition from magmatic to hydrothermal environment, or crystallized in the post-magmatic hydrothermal fluids. The average ??11B values of the 2mg-ra type and 2mg-ro type tourmaline are -15.1??? and -14.4???, respectively. The tourmalines in tourmaline leucogranite have slightly higher ??11B values, with the Tg-I type tourmalines averaging -12.5??? and the Tg-II type tourmalines averaging -12.1???. The boron isotopic composition of the tourmalines has implications for the origin of the leucogranites. We suggest that the distinction of the boron isotopic compositions between the source rocks of the two types of leucogranite could account for this boron isotope distinction in tourmalines.", "author" : [ { "dropping-particle" : "", "family" : "Yang", "given" : "Shui Yuan", "non-dropping-particle" : "", "parse-names" : false, "suffix" : "" }, { "dropping-particle" : "", "family" : "Jiang", "given" : "Shao Yong", "non-dropping-particle" : "", "parse-names" : false, "suffix" : "" }, { "dropping-particle" : "", "family" : "Palmer", "given" : "Martin R.", "non-dropping-particle" : "", "parse-names" : false, "suffix" : "" } ], "container-title" : "Chemical Geology", "id" : "ITEM-6", "issued" : { "date-parts" : [ [ "2015" ] ] }, "page" : "102-113", "publisher" : "Elsevier B.V.", "title" : "Chemical and boron isotopic compositions of tourmaline from the Nyalam leucogranites, South Tibetan Himalaya: Implication for their formation from B-rich melt to hydrothermal fluids", "type" : "article-journal", "volume" : "419" }, "uris" : [ "http://www.mendeley.com/documents/?uuid=551a67a6-b9d0-4ee9-9870-95a0cbb96202" ] }, { "id" : "ITEM-7", "itemData" : { "DOI" : "10.1016/0016-7037(96)00007-5", "ISBN" : "0016-7037", "ISSN" : "00167037", "abstract" : "The boron isotopic composition (??11B) and chemistry of tourmalines from a series of sites in the western southwest England orefield has been determined using ion microprobe and electron microprobe techniques, respectively. The range of ??11B values determined is relatively wide (+0.6 to -12.7%o) and falls at the lighter end of the range for typical continental crust. Within this range granite tourmalines show a depletion in 11B from coarse grained early magmatic examples to fine-grained late magmatic tourmaline. We attribute this to fractionation of boron isotopes between aqueous and melt species during the exsolution of an aqueous fluid phase from the magma. The aqueous phase formed by degassing of the magma is considered to have crystallised to form the tourmalinites and quartz-topaz-tourmaline rocks common throughout the area. Decreases in the ??11B values occur within certain zones of individual tourmaline crystals from these rocks. This is ascribed to loss of 11B in the vapour phase during boiling caused by decompression of the aqueous fluid on fracturing. The calculated boron isotope composition of fluids in equilibrium with tourmalines from the Cligga Head greisen bordered vein system agrees closely with that calculated for the tourmalinite fluid and suggests a constant, granite-derived source of boron during the early hydrothermal evolution of the stock. The lack of isotopic zoning within the tourmalines from the Cligga Head hydrothermal veins suggests that phase separation did not occur or was very limited during hydrothermal circulation in the vein system.", "author" : [ { "dropping-particle" : "", "family" : "Smith", "given" : "M. P.", "non-dropping-particle" : "", "parse-names" : false, "suffix" : "" }, { "dropping-particle" : "", "family" : "Yardley", "given" : "B. W D", "non-dropping-particle" : "", "parse-names" : false, "suffix" : "" } ], "container-title" : "Geochimica et Cosmochimica Acta", "id" : "ITEM-7", "issue" : "8", "issued" : { "date-parts" : [ [ "1996" ] ] }, "page" : "1415-1427", "title" : "The boron isotopic composition of tourmaline as a guide to fluid processes in the southwestern England orefield: An ion microprobe study", "type" : "article-journal", "volume" : "60" }, "uris" : [ "http://www.mendeley.com/documents/?uuid=c83fe0d7-5670-4006-a539-846bf6d3cc59" ] } ], "mendeley" : { "formattedCitation" : "(Maner and London, 2017; Siegel et al., 2016; Smith and Yardley, 1996; Tonarini et al., 1998; Trumbull et al., 2013; Trumbull and Chaussidon, 1999; Yang et al., 2015)", "plainTextFormattedCitation" : "(Maner and London, 2017; Siegel et al., 2016; Smith and Yardley, 1996; Tonarini et al., 1998; Trumbull et al., 2013; Trumbull and Chaussidon, 1999; Yang et al., 2015)", "previouslyFormattedCitation" : "(Smith and Yardley 1996; Tonarini et al. 1998; Trumbull and Chaussidon 1999; Trumbull et al. 2013; Yang et al. 2015; Siegel et al. 2016; Maner and London 2017)" }, "properties" : { "noteIndex" : 0 }, "schema" : "https://github.com/citation-style-language/schema/raw/master/csl-citation.json" }</w:instrText>
      </w:r>
      <w:r>
        <w:rPr>
          <w:rFonts w:cs="Times New Roman"/>
        </w:rPr>
        <w:fldChar w:fldCharType="separate"/>
      </w:r>
      <w:r w:rsidR="00266290" w:rsidRPr="00266290">
        <w:rPr>
          <w:rFonts w:cs="Times New Roman"/>
          <w:noProof/>
        </w:rPr>
        <w:t>(Maner and London, 2017; Siegel et al., 2016; Smith and Yardley, 1996; Tonarini et al., 1998; Trumbull et al., 2013; Trumbull and Chaussidon, 1999; Yang et al., 2015)</w:t>
      </w:r>
      <w:r>
        <w:rPr>
          <w:rFonts w:cs="Times New Roman"/>
        </w:rPr>
        <w:fldChar w:fldCharType="end"/>
      </w:r>
      <w:r>
        <w:rPr>
          <w:rFonts w:cs="Times New Roman"/>
        </w:rPr>
        <w:t>. Three studies have focused on the δ</w:t>
      </w:r>
      <w:r>
        <w:rPr>
          <w:rFonts w:cs="Times New Roman"/>
          <w:vertAlign w:val="superscript"/>
        </w:rPr>
        <w:t>11</w:t>
      </w:r>
      <w:r>
        <w:rPr>
          <w:rFonts w:cs="Times New Roman"/>
        </w:rPr>
        <w:t>B</w:t>
      </w:r>
      <w:r w:rsidRPr="000D3FEF">
        <w:rPr>
          <w:rFonts w:cs="Times New Roman"/>
        </w:rPr>
        <w:t xml:space="preserve"> values </w:t>
      </w:r>
      <w:r>
        <w:rPr>
          <w:rFonts w:cs="Times New Roman"/>
        </w:rPr>
        <w:t>of tourmaline from the massive and miarolitic portions of granitic pegmatites, in the hope of using these data to elucidate the point at which an aqueous solution exsolved from</w:t>
      </w:r>
      <w:r w:rsidR="00BB5A23">
        <w:rPr>
          <w:rFonts w:cs="Times New Roman"/>
        </w:rPr>
        <w:t>,</w:t>
      </w:r>
      <w:r>
        <w:rPr>
          <w:rFonts w:cs="Times New Roman"/>
        </w:rPr>
        <w:t xml:space="preserve"> and coexisted with</w:t>
      </w:r>
      <w:r w:rsidR="00BB5A23">
        <w:rPr>
          <w:rFonts w:cs="Times New Roman"/>
        </w:rPr>
        <w:t>,</w:t>
      </w:r>
      <w:r>
        <w:rPr>
          <w:rFonts w:cs="Times New Roman"/>
        </w:rPr>
        <w:t xml:space="preserve"> an H</w:t>
      </w:r>
      <w:r w:rsidRPr="00762A03">
        <w:rPr>
          <w:rFonts w:cs="Times New Roman"/>
          <w:vertAlign w:val="subscript"/>
        </w:rPr>
        <w:t>2</w:t>
      </w:r>
      <w:r>
        <w:rPr>
          <w:rFonts w:cs="Times New Roman"/>
        </w:rPr>
        <w:t xml:space="preserve">O-saturated granitic melt </w:t>
      </w:r>
      <w:r>
        <w:rPr>
          <w:rFonts w:cs="Times New Roman"/>
        </w:rPr>
        <w:fldChar w:fldCharType="begin" w:fldLock="1"/>
      </w:r>
      <w:r w:rsidR="00266290">
        <w:rPr>
          <w:rFonts w:cs="Times New Roman"/>
        </w:rPr>
        <w:instrText>ADDIN CSL_CITATION { "citationItems" : [ { "id" : "ITEM-1", "itemData" : { "author" : [ { "dropping-particle" : "", "family" : "Maner", "given" : "James L.", "non-dropping-particle" : "", "parse-names" : false, "suffix" : "" }, { "dropping-particle" : "", "family" : "London", "given" : "David", "non-dropping-particle" : "", "parse-names" : false, "suffix" : "" } ], "container-title" : "Chemical Geology", "id" : "ITEM-1", "issued" : { "date-parts" : [ [ "2017" ] ] }, "page" : "70-83", "title" : "The boron isotopic evolution of the Little Three pegmatites, Ramona, CA", "type" : "article-journal", "volume" : "460" }, "uris" : [ "http://www.mendeley.com/documents/?uuid=11cc18a9-0371-405e-94da-26e69fba70f0" ] }, { "id" : "ITEM-2", "itemData" : { "ISBN" : "0935-1221", "ISSN" : "09351221", "abstract" : "Baron isotopic compositions are found to be nearly uniform within progressive growth sectors of three zoned tourmaline samples, each from a different miarolitic pegmatite on Elba Island. Chemistry (schorl to elbaite) and textures of these samples indicate that they formed from an evolving medium that varied from melt, through melt + vapor, to vapor only assemblages (here designated simply as \"melt/fluid\") with decreasing temperature (ca. 650-300 degrees C). Closed-system crystallization conditions are inferred in two cases whereas, in one case, late fracturing and open-system conditions resulted in development of fibrous schorl overgrowths. The negligible variation in tourmaline isotopic composition (delta(11)B from -9.6 to -8.5 parts per thousand) is tentatively explained in two different ways. In the first case, the isotopic fractionation factor between tourmaline and either fluid-unsaturated melt, fluid-saturated melt, or aqueous fluids is near-constant near Delta(fluid-tour) = 0 (i.e., no isotopic fractionation occurs). In the second case, \"melt/fluid\" composition was increasingly enriched in B-11 due to increasing \"melt/fluid\"-tourmaline isotopic fractionation as temperature dropped. The latter scenario is more consistent with the few presently available experimental data on tourmaline-fluid isotopic fractionation at high temperatures, and implies that evolving magmatic fluids will be relatively enriched in B-11 compared to associated crystalline assemblages.", "author" : [ { "dropping-particle" : "", "family" : "Tonarini", "given" : "Sonia", "non-dropping-particle" : "", "parse-names" : false, "suffix" : "" }, { "dropping-particle" : "", "family" : "Dini", "given" : "A", "non-dropping-particle" : "", "parse-names" : false, "suffix" : "" }, { "dropping-particle" : "", "family" : "Pezzotta", "given" : "Federico", "non-dropping-particle" : "", "parse-names" : false, "suffix" : "" }, { "dropping-particle" : "", "family" : "Leeman", "given" : "William P", "non-dropping-particle" : "", "parse-names" : false, "suffix" : "" } ], "container-title" : "European Journal Of Mineralogy", "id" : "ITEM-2", "issue" : "5", "issued" : { "date-parts" : [ [ "1998" ] ] }, "page" : "941-951", "title" : "Boron isotopic composition of zoned (schorl-elbaite) tourmalines, Mt. Capanne Li-Cs pegmatites, Elba (Italy)", "type" : "article-journal", "volume" : "10" }, "uris" : [ "http://www.mendeley.com/documents/?uuid=fa8ed009-9b16-4d69-9a79-2e39519f39a0" ] }, { "id" : "ITEM-3", "itemData" : { "DOI" : "10.1016/j.chemgeo.2013.05.021", "ISSN" : "0009-2541", "author" : [ { "dropping-particle" : "", "family" : "Trumbull", "given" : "Robert B", "non-dropping-particle" : "", "parse-names" : false, "suffix" : "" }, { "dropping-particle" : "", "family" : "Beurlen", "given" : "Hartmut", "non-dropping-particle" : "", "parse-names" : false, "suffix" : "" }, { "dropping-particle" : "", "family" : "Wiedenbeck", "given" : "Michael", "non-dropping-particle" : "", "parse-names" : false, "suffix" : "" }, { "dropping-particle" : "", "family" : "Soares", "given" : "Dwight R", "non-dropping-particle" : "", "parse-names" : false, "suffix" : "" } ], "container-title" : "Chemical Geology", "id" : "ITEM-3", "issued" : { "date-parts" : [ [ "2013" ] ] }, "page" : "47-62", "publisher" : "Elsevier B.V.", "title" : "The diversity of B-isotope variations in tourmaline from rare-element pegmatites in the Borborema Province of Brazil", "type" : "article-journal", "volume" : "352" }, "uris" : [ "http://www.mendeley.com/documents/?uuid=42e5d20c-a3f5-4b24-9b2e-8f7ffb58d592" ] } ], "mendeley" : { "formattedCitation" : "(Maner and London, 2017; Tonarini et al., 1998; Trumbull et al., 2013)", "plainTextFormattedCitation" : "(Maner and London, 2017; Tonarini et al., 1998; Trumbull et al., 2013)", "previouslyFormattedCitation" : "(Tonarini et al. 1998; Trumbull et al. 2013; Maner and London 2017)" }, "properties" : { "noteIndex" : 0 }, "schema" : "https://github.com/citation-style-language/schema/raw/master/csl-citation.json" }</w:instrText>
      </w:r>
      <w:r>
        <w:rPr>
          <w:rFonts w:cs="Times New Roman"/>
        </w:rPr>
        <w:fldChar w:fldCharType="separate"/>
      </w:r>
      <w:r w:rsidR="00266290" w:rsidRPr="00266290">
        <w:rPr>
          <w:rFonts w:cs="Times New Roman"/>
          <w:noProof/>
        </w:rPr>
        <w:t>(Maner and London, 2017; Tonarini et al., 1998; Trumbull et al., 2013)</w:t>
      </w:r>
      <w:r>
        <w:rPr>
          <w:rFonts w:cs="Times New Roman"/>
        </w:rPr>
        <w:fldChar w:fldCharType="end"/>
      </w:r>
      <w:r>
        <w:rPr>
          <w:rFonts w:cs="Times New Roman"/>
        </w:rPr>
        <w:t xml:space="preserve">. For this purpose, it is necessary to know the equilibrium distribution of </w:t>
      </w:r>
      <w:r w:rsidRPr="00762A03">
        <w:rPr>
          <w:rFonts w:cs="Times New Roman"/>
          <w:vertAlign w:val="superscript"/>
        </w:rPr>
        <w:t>10</w:t>
      </w:r>
      <w:r>
        <w:rPr>
          <w:rFonts w:cs="Times New Roman"/>
        </w:rPr>
        <w:t xml:space="preserve">B and </w:t>
      </w:r>
      <w:r w:rsidRPr="00762A03">
        <w:rPr>
          <w:rFonts w:cs="Times New Roman"/>
          <w:vertAlign w:val="superscript"/>
        </w:rPr>
        <w:t>11</w:t>
      </w:r>
      <w:r w:rsidR="00BB5A23">
        <w:rPr>
          <w:rFonts w:cs="Times New Roman"/>
        </w:rPr>
        <w:t>B</w:t>
      </w:r>
      <w:r>
        <w:rPr>
          <w:rFonts w:cs="Times New Roman"/>
        </w:rPr>
        <w:t xml:space="preserve"> between hydrous granitic melt and coexisting aqueous solution at granite- and pegmatite-forming temperatures. Kinetic fractionation related to diffusion may also play a role (e</w:t>
      </w:r>
      <w:r w:rsidRPr="008F75E1">
        <w:rPr>
          <w:rFonts w:cs="Times New Roman"/>
        </w:rPr>
        <w:t xml:space="preserve">.g., </w:t>
      </w:r>
      <w:r>
        <w:rPr>
          <w:rFonts w:cs="Times New Roman"/>
        </w:rPr>
        <w:t>Maner and London, submitted)</w:t>
      </w:r>
      <w:r w:rsidRPr="008F75E1">
        <w:rPr>
          <w:rFonts w:cs="Times New Roman"/>
        </w:rPr>
        <w:t>, but the</w:t>
      </w:r>
      <w:r>
        <w:rPr>
          <w:rFonts w:cs="Times New Roman"/>
        </w:rPr>
        <w:t xml:space="preserve"> first step to assessment entails a firm knowledge of equilibrium values of </w:t>
      </w:r>
      <w:r w:rsidRPr="00762A03">
        <w:rPr>
          <w:rFonts w:ascii="Symbol" w:hAnsi="Symbol" w:cs="Times New Roman"/>
        </w:rPr>
        <w:t></w:t>
      </w:r>
      <w:r w:rsidRPr="00762A03">
        <w:rPr>
          <w:rFonts w:cs="Times New Roman"/>
          <w:vertAlign w:val="superscript"/>
        </w:rPr>
        <w:t>11</w:t>
      </w:r>
      <w:r>
        <w:rPr>
          <w:rFonts w:cs="Times New Roman"/>
        </w:rPr>
        <w:t>B</w:t>
      </w:r>
      <w:r w:rsidRPr="00762A03">
        <w:rPr>
          <w:rFonts w:cs="Times New Roman"/>
          <w:vertAlign w:val="subscript"/>
        </w:rPr>
        <w:t>melt</w:t>
      </w:r>
      <w:r>
        <w:rPr>
          <w:rFonts w:cs="Times New Roman"/>
          <w:vertAlign w:val="subscript"/>
        </w:rPr>
        <w:t>-aq.sln</w:t>
      </w:r>
      <w:r>
        <w:rPr>
          <w:rFonts w:cs="Times New Roman"/>
        </w:rPr>
        <w:t>. That is the goal and purpose of this study.</w:t>
      </w:r>
    </w:p>
    <w:p w:rsidR="00665C0F" w:rsidRDefault="00665C0F" w:rsidP="000F00BF">
      <w:pPr>
        <w:pStyle w:val="Heading3"/>
        <w:spacing w:line="480" w:lineRule="auto"/>
        <w:rPr>
          <w:rFonts w:cs="Times New Roman"/>
        </w:rPr>
      </w:pPr>
      <w:bookmarkStart w:id="119" w:name="_Toc491246031"/>
      <w:r>
        <w:rPr>
          <w:rFonts w:cs="Times New Roman"/>
        </w:rPr>
        <w:lastRenderedPageBreak/>
        <w:t>1.1</w:t>
      </w:r>
      <w:r w:rsidR="000F00BF">
        <w:rPr>
          <w:rFonts w:cs="Times New Roman"/>
        </w:rPr>
        <w:t>.</w:t>
      </w:r>
      <w:r>
        <w:rPr>
          <w:rFonts w:cs="Times New Roman"/>
        </w:rPr>
        <w:t xml:space="preserve"> Boron isotopic fractionation in the system tourmaline-granitic melt-aqueous fluid</w:t>
      </w:r>
      <w:bookmarkEnd w:id="119"/>
    </w:p>
    <w:p w:rsidR="00665C0F" w:rsidRDefault="00665C0F" w:rsidP="00665C0F">
      <w:pPr>
        <w:spacing w:line="480" w:lineRule="auto"/>
        <w:ind w:firstLine="720"/>
        <w:rPr>
          <w:rFonts w:cs="Times New Roman"/>
        </w:rPr>
      </w:pPr>
      <w:r>
        <w:rPr>
          <w:rFonts w:cs="Times New Roman"/>
        </w:rPr>
        <w:t xml:space="preserve">Boron isotopic fractionation between tourmaline and aqueous solution has been experimentally measured </w:t>
      </w:r>
      <w:r>
        <w:rPr>
          <w:rFonts w:cs="Times New Roman"/>
        </w:rPr>
        <w:fldChar w:fldCharType="begin" w:fldLock="1"/>
      </w:r>
      <w:r w:rsidR="00266290">
        <w:rPr>
          <w:rFonts w:cs="Times New Roman"/>
        </w:rPr>
        <w:instrText>ADDIN CSL_CITATION { "citationItems" : [ { "id" : "ITEM-1", "itemData" : { "DOI" : "10.1007/s00410-008-0285-1", "ISBN" : "0010-7999", "ISSN" : "00107999", "abstract" : "The fractionation of boron isotopes between synthetic dravitic tourmaline and fluid was determined by hydrothermal experiments between 400 and 700 degrees C at 200 MPa and at 500 degrees C, 500 MPa. Tourmaline was crystallized from an oxide mix in presence of water that contained boron in excess. In one series of experiments, [B](fluid)/[B](tour) was 9 after the run; in another series it was 0.1. All experiments produced tourmaline as the sole boron-bearing solid, along with traces of quartz and talc. Powder XRD and Rietveld refinements revealed no significant amounts of tetrahedrally coordinated boron in tourmaline. B-11 always preferentially fractionated into the fluid. For experiments where [B](fluid)/[B](tour) was 9, a consistent temperature-dependent boron isotope fractionation curve resulted, approximated by Delta B-11((tour-fluid)) = -4.20 . [1,000/T (K)] + 3.52; R-2 = 0.77, and valid from 400 to 700 degrees C. No pressure dependence was observed. The fractionation (-2.7 +/- 0.5 parts per thousand at 400 degrees C; and -0.8 +/- 0.5 parts per thousand at 700 degrees C) is much lower than that previously presented by Palmer et al. (1992). Experiments where [B](fluid)/[B](tour) was 0.1 showed a significant larger apparent fractionation of up to -4.7 parts per thousand. In one of these runs, the isotopic composition of handpicked tourmaline crystals of different size varied by 1.3%. This is interpreted as resulting from fractional crystallization of boron isotopes during tourmaline growth due to the small boron reservoir of the fluid relative to tourmaline, thus indicating larger fractionation than observed at equilibrium. The effect is eliminated or minimized in experiments with very high boron excess in the fluid. We therefore suggest that values given by the above relation represent the true equilibrium fractionations.", "author" : [ { "dropping-particle" : "", "family" : "Meyer", "given" : "Christian", "non-dropping-particle" : "", "parse-names" : false, "suffix" : "" }, { "dropping-particle" : "", "family" : "Wunder", "given" : "Bernd", "non-dropping-particle" : "", "parse-names" : false, "suffix" : "" }, { "dropping-particle" : "", "family" : "Meixner", "given" : "Anette", "non-dropping-particle" : "", "parse-names" : false, "suffix" : "" }, { "dropping-particle" : "", "family" : "Romer", "given" : "Rolf L.", "non-dropping-particle" : "", "parse-names" : false, "suffix" : "" }, { "dropping-particle" : "", "family" : "Heinrich", "given" : "Wilhelm", "non-dropping-particle" : "", "parse-names" : false, "suffix" : "" } ], "container-title" : "Contributions to Mineralogy and Petrology", "id" : "ITEM-1", "issue" : "2", "issued" : { "date-parts" : [ [ "2008" ] ] }, "page" : "259-267", "title" : "Boron-isotope fractionation between tourmaline and fluid: An experimental re-investigation", "type" : "article-journal", "volume" : "156" }, "uris" : [ "http://www.mendeley.com/documents/?uuid=02c37c62-9b3e-4dfe-99ce-a807defc9a6f" ] }, { "id" : "ITEM-2", "itemData" : { "DOI" : "http://dx.doi.org/10.1016/0009-2541(92)90209-N", "ISBN" : "0168-9622", "ISSN" : "00092541", "abstract" : "The extent of boron isotope fractionation between tourmaline and aqueous vapor has been determined over theP-T range 50-200 MPa and 350-750\u00b0C. The results show that the extent of fractionation is inversely dependent on temperature. An unusual feature of the reaction is that the isotope fractionation is less of extensive at higher pressures for an equivalent temperature. Due to its refractory nature the experiments involved synthesis of tourmaline from constituents rather than equilibration of the preformed mineral with an isotopically distinct aqueous phase. For this reason we cannot, as yet, be certain whether the pressure effect is the result of equilibrium or kinetic processes.", "author" : [ { "dropping-particle" : "", "family" : "Palmer", "given" : "MR", "non-dropping-particle" : "", "parse-names" : false, "suffix" : "" }, { "dropping-particle" : "", "family" : "London", "given" : "D", "non-dropping-particle" : "", "parse-names" : false, "suffix" : "" }, { "dropping-particle" : "", "family" : "Morgan VI", "given" : "GB", "non-dropping-particle" : "", "parse-names" : false, "suffix" : "" }, { "dropping-particle" : "", "family" : "Babb", "given" : "HA", "non-dropping-particle" : "", "parse-names" : false, "suffix" : "" } ], "container-title" : "Chemical Geology", "id" : "ITEM-2", "issued" : { "date-parts" : [ [ "1992" ] ] }, "page" : "123-129", "title" : "Experimental determination of fractionation of 11B/10B between tourmaline and aqueous vapor: A temperature- and pressure-dependent isotopic system", "type" : "article-journal", "volume" : "101" }, "uris" : [ "http://www.mendeley.com/documents/?uuid=551614f3-36a5-485e-9b7a-dec99baa6926" ] } ], "mendeley" : { "formattedCitation" : "(Meyer et al., 2008; Palmer et al., 1992)", "plainTextFormattedCitation" : "(Meyer et al., 2008; Palmer et al., 1992)", "previouslyFormattedCitation" : "(Palmer et al. 1992; Meyer et al. 2008)" }, "properties" : { "noteIndex" : 0 }, "schema" : "https://github.com/citation-style-language/schema/raw/master/csl-citation.json" }</w:instrText>
      </w:r>
      <w:r>
        <w:rPr>
          <w:rFonts w:cs="Times New Roman"/>
        </w:rPr>
        <w:fldChar w:fldCharType="separate"/>
      </w:r>
      <w:r w:rsidR="00266290" w:rsidRPr="00266290">
        <w:rPr>
          <w:rFonts w:cs="Times New Roman"/>
          <w:noProof/>
        </w:rPr>
        <w:t>(Meyer et al., 2008; Palmer et al., 1992)</w:t>
      </w:r>
      <w:r>
        <w:rPr>
          <w:rFonts w:cs="Times New Roman"/>
        </w:rPr>
        <w:fldChar w:fldCharType="end"/>
      </w:r>
      <w:r>
        <w:rPr>
          <w:rFonts w:cs="Times New Roman"/>
        </w:rPr>
        <w:t xml:space="preserve"> and calculated using </w:t>
      </w:r>
      <w:r>
        <w:rPr>
          <w:rFonts w:cs="Times New Roman"/>
          <w:i/>
        </w:rPr>
        <w:t>ab initio</w:t>
      </w:r>
      <w:r>
        <w:rPr>
          <w:rFonts w:cs="Times New Roman"/>
        </w:rPr>
        <w:t xml:space="preserve"> first-principles methods </w:t>
      </w:r>
      <w:r>
        <w:rPr>
          <w:rFonts w:cs="Times New Roman"/>
        </w:rPr>
        <w:fldChar w:fldCharType="begin" w:fldLock="1"/>
      </w:r>
      <w:r w:rsidR="00266290">
        <w:rPr>
          <w:rFonts w:cs="Times New Roman"/>
        </w:rPr>
        <w:instrText>ADDIN CSL_CITATION { "citationItems" : [ { "id" : "ITEM-1", "itemData" : { "DOI" : "10.1016/j.gca.2012.10.007", "ISSN" : "0016-7037", "author" : [ { "dropping-particle" : "", "family" : "Kowalski", "given" : "Piotr M", "non-dropping-particle" : "", "parse-names" : false, "suffix" : "" }, { "dropping-particle" : "", "family" : "Wunder", "given" : "Bernd", "non-dropping-particle" : "", "parse-names" : false, "suffix" : "" }, { "dropping-particle" : "", "family" : "Jahn", "given" : "Sandro", "non-dropping-particle" : "", "parse-names" : false, "suffix" : "" } ], "container-title" : "Geochimica et Cosmochimica Acta", "id" : "ITEM-1", "issued" : { "date-parts" : [ [ "2013" ] ] }, "page" : "285-301", "publisher" : "Elsevier Ltd", "title" : "Ab initio prediction of equilibrium boron isotope fractionation between minerals and aqueous fluids at high P and T", "type" : "article-journal", "volume" : "101" }, "uris" : [ "http://www.mendeley.com/documents/?uuid=2b6916a8-729a-4980-908b-d7815713dbe1" ] } ], "mendeley" : { "formattedCitation" : "(Kowalski et al., 2013)", "plainTextFormattedCitation" : "(Kowalski et al., 2013)", "previouslyFormattedCitation" : "(Kowalski et al. 2013)" }, "properties" : { "noteIndex" : 0 }, "schema" : "https://github.com/citation-style-language/schema/raw/master/csl-citation.json" }</w:instrText>
      </w:r>
      <w:r>
        <w:rPr>
          <w:rFonts w:cs="Times New Roman"/>
        </w:rPr>
        <w:fldChar w:fldCharType="separate"/>
      </w:r>
      <w:r w:rsidR="00266290" w:rsidRPr="00266290">
        <w:rPr>
          <w:rFonts w:cs="Times New Roman"/>
          <w:noProof/>
        </w:rPr>
        <w:t>(Kowalski et al., 2013)</w:t>
      </w:r>
      <w:r>
        <w:rPr>
          <w:rFonts w:cs="Times New Roman"/>
        </w:rPr>
        <w:fldChar w:fldCharType="end"/>
      </w:r>
      <w:r>
        <w:rPr>
          <w:rFonts w:cs="Times New Roman"/>
        </w:rPr>
        <w:t xml:space="preserve">. The results of each study reveal that tourmaline crystallizing from an aqueous solution will be isotopically lighter than the aqueous solution. In a closed system, the isotopic composition of the aqueous fluid and of tourmaline will evolve toward heavier compositions with progressive growth of tourmaline. Fractionation factors for ‘rhyolite’ melt-aqueous fluid have been experimentally measured </w:t>
      </w:r>
      <w:r>
        <w:rPr>
          <w:rFonts w:cs="Times New Roman"/>
        </w:rPr>
        <w:fldChar w:fldCharType="begin" w:fldLock="1"/>
      </w:r>
      <w:r w:rsidR="00266290">
        <w:rPr>
          <w:rFonts w:cs="Times New Roman"/>
        </w:rPr>
        <w:instrText>ADDIN CSL_CITATION { "citationItems" : [ { "id" : "ITEM-1",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"ITEM-1", "issue" : "5-6", "issued" : { "date-parts" : [ [ "2002" ] ] }, "page" : "769-774", "title" : "Isotopic and elemental partitioning of boron between hydrous fluid and silicate melt", "type" : "article-journal", "volume" : "87" }, "uris" : [ "http://www.mendeley.com/documents/?uuid=6b1d0590-ae63-44d0-990b-7cd3b5a05b06" ] } ], "mendeley" : { "formattedCitation" : "(Hervig et al., 2002)", "plainTextFormattedCitation" : "(Hervig et al., 2002)", "previouslyFormattedCitation" : "(Hervig et al. 2002)" }, "properties" : { "noteIndex" : 0 }, "schema" : "https://github.com/citation-style-language/schema/raw/master/csl-citation.json" }</w:instrText>
      </w:r>
      <w:r>
        <w:rPr>
          <w:rFonts w:cs="Times New Roman"/>
        </w:rPr>
        <w:fldChar w:fldCharType="separate"/>
      </w:r>
      <w:r w:rsidR="00266290" w:rsidRPr="00266290">
        <w:rPr>
          <w:rFonts w:cs="Times New Roman"/>
          <w:noProof/>
        </w:rPr>
        <w:t>(Hervig et al., 2002)</w:t>
      </w:r>
      <w:r>
        <w:rPr>
          <w:rFonts w:cs="Times New Roman"/>
        </w:rPr>
        <w:fldChar w:fldCharType="end"/>
      </w:r>
      <w:r>
        <w:rPr>
          <w:rFonts w:cs="Times New Roman"/>
        </w:rPr>
        <w:t>, and these results (two experiments utilizing the Macusani obsidian as representative of rhyolitic melts) predict that an aqueous fluid that exsolves from melt will be isotopically heavier than the melt. The accuracy of these values has been questioned based on the δ</w:t>
      </w:r>
      <w:r>
        <w:rPr>
          <w:rFonts w:cs="Times New Roman"/>
          <w:vertAlign w:val="superscript"/>
        </w:rPr>
        <w:t>11</w:t>
      </w:r>
      <w:r>
        <w:rPr>
          <w:rFonts w:cs="Times New Roman"/>
        </w:rPr>
        <w:t xml:space="preserve">B of tourmaline in, presumably, water-saturated pegmatites </w:t>
      </w:r>
      <w:r>
        <w:rPr>
          <w:rFonts w:cs="Times New Roman"/>
        </w:rPr>
        <w:fldChar w:fldCharType="begin" w:fldLock="1"/>
      </w:r>
      <w:r w:rsidR="00266290">
        <w:rPr>
          <w:rFonts w:cs="Times New Roman"/>
        </w:rPr>
        <w:instrText>ADDIN CSL_CITATION { "citationItems" : [ { "id" : "ITEM-1", "itemData" : { "author" : [ { "dropping-particle" : "", "family" : "Maner", "given" : "James L.", "non-dropping-particle" : "", "parse-names" : false, "suffix" : "" }, { "dropping-particle" : "", "family" : "London", "given" : "David", "non-dropping-particle" : "", "parse-names" : false, "suffix" : "" } ], "container-title" : "Chemical Geology", "id" : "ITEM-1", "issued" : { "date-parts" : [ [ "2017" ] ] }, "page" : "70-83", "title" : "The boron isotopic evolution of the Little Three pegmatites, Ramona, CA", "type" : "article-journal", "volume" : "460" }, "uris" : [ "http://www.mendeley.com/documents/?uuid=11cc18a9-0371-405e-94da-26e69fba70f0" ] }, { "id" : "ITEM-2", "itemData" : { "DOI" : "10.1016/j.chemgeo.2015.11.025", "ISSN" : "00092541", "abstract" : "The internal evolution of the Varutr\u00e4sk rare-element pegmatite (Skellefte District, Northern Sweden) has been investigated using stable isotope (B, H, O) geochemistry of tourmaline and coexisting micas, feldspar and quartz. Varutr\u00e4sk is a classic and typical example of highly fractionated LCT-type pegmatites, with a pronounced concentric zoning pattern composed of well-developed border, wall and intermediate zones and a quartz core. The pegmatite displays considerable rare-element enrichment, culminating in the formation of albite-lepidolite and pollucite units in the innermost zones. Major and trace element variations in tourmaline from the main pegmatite zones correlate well with the internal zoning pattern. Mineral compositions record an abrupt change in fractionation trends between the barren outer and intermediate zones and the inner, late-stage assemblages that carry rare-element mineralization. This change is also shown by the B-isotope variations of tourmaline. Early and mid-stage tourmalines record a systematic increase in \u03b411B from -14.6\u2030 to -6.2\u2030 which can be explained by closed-system melt-mineral isotope fractionation whereby crystallization of large amounts of muscovite preferentially removes 10B from the residual melt. In contrast, tourmaline from late-stage assemblages in the inner zones and cross-cutting veinlets shows a reversal in the B isotope trend, with a decrease in \u03b411B from -8\u2030 to -14.1\u2030. This reversal cannot be explained by mineral-melt isotope fractionation, but requires fluid-melt partitioning and partial fluid loss. Hydrogen isotope variations in mica support this model. The systematic increase in \u03b4D from -75\u2030 in the outer zones (muscovite) to -63\u2030 and -53\u2030 in the inner zones (Li-micas) cannot be explained by closed-system variations in temperature or melt-mica fractionation, but it is consistent with late fluid exsolution. Oxygen isotope compositions of tourmaline (\u03b418O from 9.7\u2030 to 11.6\u2030), quartz (13.3\u2030 to 14\u2030) and mica (10.3\u2030 to 11.3\u2030) show good agreement with equilibrium partitioning and yield temperatures in the range 450\u00b0C to 600\u00b0C. Combining this with the stability fields of Li-aluminosilicates petalite and spodumene indicates crystallization pressures of 2-3kbar. Taken together, the stable isotope and mineral chemistry data demonstrate that rare-element enrichment in the innermost fractionated assemblages in the Varutr\u00e4sk pegmatite was associated with the transition from purely magmatic crystallization to conditions \u2026", "author" : [ { "dropping-particle" : "", "family" : "Siegel", "given" : "Karin", "non-dropping-particle" : "", "parse-names" : false, "suffix" : "" }, { "dropping-particle" : "", "family" : "Wagner", "given" : "Thomas", "non-dropping-particle" : "", "parse-names" : false, "suffix" : "" }, { "dropping-particle" : "", "family" : "Trumbull", "given" : "Robert B.", "non-dropping-particle" : "", "parse-names" : false, "suffix" : "" }, { "dropping-particle" : "", "family" : "Jonsson", "given" : "Erik", "non-dropping-particle" : "", "parse-names" : false, "suffix" : "" }, { "dropping-particle" : "", "family" : "Matalin", "given" : "Gabriella", "non-dropping-particle" : "", "parse-names" : false, "suffix" : "" }, { "dropping-particle" : "", "family" : "W\u00e4lle", "given" : "Markus", "non-dropping-particle" : "", "parse-names" : false, "suffix" : "" }, { "dropping-particle" : "", "family" : "Heinrich", "given" : "Christoph A.", "non-dropping-particle" : "", "parse-names" : false, "suffix" : "" } ], "container-title" : "Chemical Geology", "id" : "ITEM-2", "issued" : { "date-parts" : [ [ "2016" ] ] }, "page" : "1-16", "publisher" : "Elsevier B.V.", "title" : "Stable isotope (B, H, O) and mineral-chemistry constraints on the magmatic to hydrothermal evolution of the Varutr\u00e4sk rare-element pegmatite (Northern Sweden)", "type" : "article-journal", "volume" : "421" }, "uris" : [ "http://www.mendeley.com/documents/?uuid=86c56466-e0c4-4297-83f2-ada62f7f82f2" ] }, { "id" : "ITEM-3", "itemData" : { "DOI" : "10.1016/j.chemgeo.2013.05.021", "ISSN" : "0009-2541", "author" : [ { "dropping-particle" : "", "family" : "Trumbull", "given" : "Robert B", "non-dropping-particle" : "", "parse-names" : false, "suffix" : "" }, { "dropping-particle" : "", "family" : "Beurlen", "given" : "Hartmut", "non-dropping-particle" : "", "parse-names" : false, "suffix" : "" }, { "dropping-particle" : "", "family" : "Wiedenbeck", "given" : "Michael", "non-dropping-particle" : "", "parse-names" : false, "suffix" : "" }, { "dropping-particle" : "", "family" : "Soares", "given" : "Dwight R", "non-dropping-particle" : "", "parse-names" : false, "suffix" : "" } ], "container-title" : "Chemical Geology", "id" : "ITEM-3", "issued" : { "date-parts" : [ [ "2013" ] ] }, "page" : "47-62", "publisher" : "Elsevier B.V.", "title" : "The diversity of B-isotope variations in tourmaline from rare-element pegmatites in the Borborema Province of Brazil", "type" : "article-journal", "volume" : "352" }, "uris" : [ "http://www.mendeley.com/documents/?uuid=42e5d20c-a3f5-4b24-9b2e-8f7ffb58d592" ] } ], "mendeley" : { "formattedCitation" : "(Maner and London, 2017; Siegel et al., 2016; Trumbull et al., 2013)", "plainTextFormattedCitation" : "(Maner and London, 2017; Siegel et al., 2016; Trumbull et al., 2013)", "previouslyFormattedCitation" : "(Trumbull et al. 2013; Siegel et al. 2016; Maner and London 2017)" }, "properties" : { "noteIndex" : 0 }, "schema" : "https://github.com/citation-style-language/schema/raw/master/csl-citation.json" }</w:instrText>
      </w:r>
      <w:r>
        <w:rPr>
          <w:rFonts w:cs="Times New Roman"/>
        </w:rPr>
        <w:fldChar w:fldCharType="separate"/>
      </w:r>
      <w:r w:rsidR="00266290" w:rsidRPr="00266290">
        <w:rPr>
          <w:rFonts w:cs="Times New Roman"/>
          <w:noProof/>
        </w:rPr>
        <w:t>(Maner and London, 2017; Siegel et al., 2016; Trumbull et al., 2013)</w:t>
      </w:r>
      <w:r>
        <w:rPr>
          <w:rFonts w:cs="Times New Roman"/>
        </w:rPr>
        <w:fldChar w:fldCharType="end"/>
      </w:r>
      <w:r>
        <w:rPr>
          <w:rFonts w:cs="Times New Roman"/>
        </w:rPr>
        <w:t xml:space="preserve">. Isotopic fractionation factors for tourmaline-melt have not been measured experimentally. Some studies </w:t>
      </w:r>
      <w:r>
        <w:rPr>
          <w:rFonts w:cs="Times New Roman"/>
        </w:rPr>
        <w:fldChar w:fldCharType="begin" w:fldLock="1"/>
      </w:r>
      <w:r w:rsidR="00266290">
        <w:rPr>
          <w:rFonts w:cs="Times New Roman"/>
        </w:rPr>
        <w:instrText>ADDIN CSL_CITATION { "citationItems" : [ { "id" : "ITEM-1", "itemData" : { "DOI" : "10.1007/s00410-007-0227-3", "ISBN" : "0041000702273", "ISSN" : "00107999", "abstract" : "Tourmaline is widespread in metapelites and pegmatites from the Neoproterozoic Damara Belt, which form the basement and potential source rocks of the Cretaceous Erongo granite. This study traces the B-isotope variations in tourmalines from the basement, from the Erongo granite and from its hydrothermal stage. Tourmalines from the basement are alkali-deficient schorl-dravites, with B-isotope ratios typical for continental crust (\u03b411B average \u22128.4\u2030 \u00b1 1.4, n = 11; one sample at \u221213\u2030, n = 2). Virtually all tourmaline in the Erongo granite occurs in distinctive tourmaline-quartz orbicules. This \u201cmain-stage\u201d tourmaline is alkali-deficient schorl (20\u201330% X-site vacancy, Fe/(Fe + Mg) 0.8\u20131), with uniform B-isotope compositions (\u03b411B \u22128.7\u2030 \u00b1 1.5, n = 49) that are indistinguishable from the basement average, suggesting that boron was derived from anatexis of the local basement rocks with no significant shift in isotopic composition. Secondary, hydrothermal tourmaline in the granite has a bimodal B-isotope distribution with one peak at about \u22129\u2030, like the main-stage tourmaline, and a second at \u22122\u2030. We propose that the tourmaline-rich orbicules formed late in the crystallization history from an immiscible Na\u2013B\u2013Fe-rich hydrous melt. The massive precipitation of orbicular tourmaline nearly exhausted the melt in boron and the shift of \u03b411B to \u22122\u2030 in secondary tourmaline can be explained by Rayleigh fractionation after about 90% B-depletion in the residual fluid.", "author" : [ { "dropping-particle" : "", "family" : "Trumbull", "given" : "R. Bobby", "non-dropping-particle" : "", "parse-names" : false, "suffix" : "" }, { "dropping-particle" : "", "family" : "Krienitz", "given" : "M. S.", "non-dropping-particle" : "", "parse-names" : false, "suffix" : "" }, { "dropping-particle" : "", "family" : "Gottesmann", "given" : "B.", "non-dropping-particle" : "", "parse-names" : false, "suffix" : "" }, { "dropping-particle" : "", "family" : "Wiedenbeck", "given" : "M.", "non-dropping-particle" : "", "parse-names" : false, "suffix" : "" } ], "container-title" : "Contributions to Mineralogy and Petrology", "id" : "ITEM-1", "issue" : "1", "issued" : { "date-parts" : [ [ "2008" ] ] }, "page" : "1-18", "title" : "Chemical and boron-isotope variations in tourmalines from an S-type granite and its source rocks: The Erongo granite and tourmalinites in the Damara Belt, Namibia", "type" : "article-journal", "volume" : "155" }, "uris" : [ "http://www.mendeley.com/documents/?uuid=72c52a9c-d73c-4e1d-ae65-cc0da41bc1a4" ] }, { "id" : "ITEM-2", "itemData" : { "author" : [ { "dropping-particle" : "", "family" : "Maner", "given" : "James L.", "non-dropping-particle" : "", "parse-names" : false, "suffix" : "" }, { "dropping-particle" : "", "family" : "London", "given" : "David", "non-dropping-particle" : "", "parse-names" : false, "suffix" : "" } ], "container-title" : "Chemical Geology", "id" : "ITEM-2", "issued" : { "date-parts" : [ [ "2017" ] ] }, "page" : "70-83", "title" : "The boron isotopic evolution of the Little Three pegmatites, Ramona, CA", "type" : "article-journal", "volume" : "460" }, "uris" : [ "http://www.mendeley.com/documents/?uuid=11cc18a9-0371-405e-94da-26e69fba70f0" ] }, { "id" : "ITEM-3", "itemData" : { "DOI" : "10.1016/j.chemgeo.2013.05.021", "ISSN" : "0009-2541", "author" : [ { "dropping-particle" : "", "family" : "Trumbull", "given" : "Robert B", "non-dropping-particle" : "", "parse-names" : false, "suffix" : "" }, { "dropping-particle" : "", "family" : "Beurlen", "given" : "Hartmut", "non-dropping-particle" : "", "parse-names" : false, "suffix" : "" }, { "dropping-particle" : "", "family" : "Wiedenbeck", "given" : "Michael", "non-dropping-particle" : "", "parse-names" : false, "suffix" : "" }, { "dropping-particle" : "", "family" : "Soares", "given" : "Dwight R", "non-dropping-particle" : "", "parse-names" : false, "suffix" : "" } ], "container-title" : "Chemical Geology", "id" : "ITEM-3", "issued" : { "date-parts" : [ [ "2013" ] ] }, "page" : "47-62", "publisher" : "Elsevier B.V.", "title" : "The diversity of B-isotope variations in tourmaline from rare-element pegmatites in the Borborema Province of Brazil", "type" : "article-journal", "volume" : "352" }, "uris" : [ "http://www.mendeley.com/documents/?uuid=42e5d20c-a3f5-4b24-9b2e-8f7ffb58d592" ] }, { "id" : "ITEM-4", "itemData" : { "DOI" : "10.1016/j.chemgeo.2015.11.025", "ISSN" : "00092541", "abstract" : "The internal evolution of the Varutr\u00e4sk rare-element pegmatite (Skellefte District, Northern Sweden) has been investigated using stable isotope (B, H, O) geochemistry of tourmaline and coexisting micas, feldspar and quartz. Varutr\u00e4sk is a classic and typical example of highly fractionated LCT-type pegmatites, with a pronounced concentric zoning pattern composed of well-developed border, wall and intermediate zones and a quartz core. The pegmatite displays considerable rare-element enrichment, culminating in the formation of albite-lepidolite and pollucite units in the innermost zones. Major and trace element variations in tourmaline from the main pegmatite zones correlate well with the internal zoning pattern. Mineral compositions record an abrupt change in fractionation trends between the barren outer and intermediate zones and the inner, late-stage assemblages that carry rare-element mineralization. This change is also shown by the B-isotope variations of tourmaline. Early and mid-stage tourmalines record a systematic increase in \u03b411B from -14.6\u2030 to -6.2\u2030 which can be explained by closed-system melt-mineral isotope fractionation whereby crystallization of large amounts of muscovite preferentially removes 10B from the residual melt. In contrast, tourmaline from late-stage assemblages in the inner zones and cross-cutting veinlets shows a reversal in the B isotope trend, with a decrease in \u03b411B from -8\u2030 to -14.1\u2030. This reversal cannot be explained by mineral-melt isotope fractionation, but requires fluid-melt partitioning and partial fluid loss. Hydrogen isotope variations in mica support this model. The systematic increase in \u03b4D from -75\u2030 in the outer zones (muscovite) to -63\u2030 and -53\u2030 in the inner zones (Li-micas) cannot be explained by closed-system variations in temperature or melt-mica fractionation, but it is consistent with late fluid exsolution. Oxygen isotope compositions of tourmaline (\u03b418O from 9.7\u2030 to 11.6\u2030), quartz (13.3\u2030 to 14\u2030) and mica (10.3\u2030 to 11.3\u2030) show good agreement with equilibrium partitioning and yield temperatures in the range 450\u00b0C to 600\u00b0C. Combining this with the stability fields of Li-aluminosilicates petalite and spodumene indicates crystallization pressures of 2-3kbar. Taken together, the stable isotope and mineral chemistry data demonstrate that rare-element enrichment in the innermost fractionated assemblages in the Varutr\u00e4sk pegmatite was associated with the transition from purely magmatic crystallization to conditions \u2026", "author" : [ { "dropping-particle" : "", "family" : "Siegel", "given" : "Karin", "non-dropping-particle" : "", "parse-names" : false, "suffix" : "" }, { "dropping-particle" : "", "family" : "Wagner", "given" : "Thomas", "non-dropping-particle" : "", "parse-names" : false, "suffix" : "" }, { "dropping-particle" : "", "family" : "Trumbull", "given" : "Robert B.", "non-dropping-particle" : "", "parse-names" : false, "suffix" : "" }, { "dropping-particle" : "", "family" : "Jonsson", "given" : "Erik", "non-dropping-particle" : "", "parse-names" : false, "suffix" : "" }, { "dropping-particle" : "", "family" : "Matalin", "given" : "Gabriella", "non-dropping-particle" : "", "parse-names" : false, "suffix" : "" }, { "dropping-particle" : "", "family" : "W\u00e4lle", "given" : "Markus", "non-dropping-particle" : "", "parse-names" : false, "suffix" : "" }, { "dropping-particle" : "", "family" : "Heinrich", "given" : "Christoph A.", "non-dropping-particle" : "", "parse-names" : false, "suffix" : "" } ], "container-title" : "Chemical Geology", "id" : "ITEM-4", "issued" : { "date-parts" : [ [ "2016" ] ] }, "page" : "1-16", "publisher" : "Elsevier B.V.", "title" : "Stable isotope (B, H, O) and mineral-chemistry constraints on the magmatic to hydrothermal evolution of the Varutr\u00e4sk rare-element pegmatite (Northern Sweden)", "type" : "article-journal", "volume" : "421" }, "uris" : [ "http://www.mendeley.com/documents/?uuid=86c56466-e0c4-4297-83f2-ada62f7f82f2" ] } ], "mendeley" : { "formattedCitation" : "(Maner and London, 2017; Siegel et al., 2016; Trumbull et al., 2013, 2008)", "plainTextFormattedCitation" : "(Maner and London, 2017; Siegel et al., 2016; Trumbull et al., 2013, 2008)", "previouslyFormattedCitation" : "(Trumbull et al. 2008, 2013; Siegel et al. 2016; Maner and London 2017)" }, "properties" : { "noteIndex" : 0 }, "schema" : "https://github.com/citation-style-language/schema/raw/master/csl-citation.json" }</w:instrText>
      </w:r>
      <w:r>
        <w:rPr>
          <w:rFonts w:cs="Times New Roman"/>
        </w:rPr>
        <w:fldChar w:fldCharType="separate"/>
      </w:r>
      <w:r w:rsidR="00266290" w:rsidRPr="00266290">
        <w:rPr>
          <w:rFonts w:cs="Times New Roman"/>
          <w:noProof/>
        </w:rPr>
        <w:t>(Maner and London, 2017; Siegel et al., 2016; Trumbull et al., 2013, 2008)</w:t>
      </w:r>
      <w:r>
        <w:rPr>
          <w:rFonts w:cs="Times New Roman"/>
        </w:rPr>
        <w:fldChar w:fldCharType="end"/>
      </w:r>
      <w:r>
        <w:rPr>
          <w:rFonts w:cs="Times New Roman"/>
        </w:rPr>
        <w:t xml:space="preserve"> calculated a fractionation factor for tourmaline-melt using the datasets of </w:t>
      </w:r>
      <w:r>
        <w:rPr>
          <w:rFonts w:cs="Times New Roman"/>
        </w:rPr>
        <w:fldChar w:fldCharType="begin" w:fldLock="1"/>
      </w:r>
      <w:r w:rsidR="00266290">
        <w:rPr>
          <w:rFonts w:cs="Times New Roman"/>
        </w:rPr>
        <w:instrText>ADDIN CSL_CITATION { "citationItems" : [ { "id" : "ITEM-1",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"ITEM-1", "issue" : "5-6", "issued" : { "date-parts" : [ [ "2002" ] ] }, "page" : "769-774", "title" : "Isotopic and elemental partitioning of boron between hydrous fluid and silicate melt", "type" : "article-journal", "volume" : "87" }, "uris" : [ "http://www.mendeley.com/documents/?uuid=6b1d0590-ae63-44d0-990b-7cd3b5a05b06" ] }, { "id" : "ITEM-2", "itemData" : { "DOI" : "http://dx.doi.org/10.1016/0009-2541(92)90209-N", "ISBN" : "0168-9622", "ISSN" : "00092541", "abstract" : "The extent of boron isotope fractionation between tourmaline and aqueous vapor has been determined over theP-T range 50-200 MPa and 350-750\u00b0C. The results show that the extent of fractionation is inversely dependent on temperature. An unusual feature of the reaction is that the isotope fractionation is less of extensive at higher pressures for an equivalent temperature. Due to its refractory nature the experiments involved synthesis of tourmaline from constituents rather than equilibration of the preformed mineral with an isotopically distinct aqueous phase. For this reason we cannot, as yet, be certain whether the pressure effect is the result of equilibrium or kinetic processes.", "author" : [ { "dropping-particle" : "", "family" : "Palmer", "given" : "MR", "non-dropping-particle" : "", "parse-names" : false, "suffix" : "" }, { "dropping-particle" : "", "family" : "London", "given" : "D", "non-dropping-particle" : "", "parse-names" : false, "suffix" : "" }, { "dropping-particle" : "", "family" : "Morgan VI", "given" : "GB", "non-dropping-particle" : "", "parse-names" : false, "suffix" : "" }, { "dropping-particle" : "", "family" : "Babb", "given" : "HA", "non-dropping-particle" : "", "parse-names" : false, "suffix" : "" } ], "container-title" : "Chemical Geology", "id" : "ITEM-2", "issued" : { "date-parts" : [ [ "1992" ] ] }, "page" : "123-129", "title" : "Experimental determination of fractionation of 11B/10B between tourmaline and aqueous vapor: A temperature- and pressure-dependent isotopic system", "type" : "article-journal", "volume" : "101" }, "uris" : [ "http://www.mendeley.com/documents/?uuid=551614f3-36a5-485e-9b7a-dec99baa6926" ] }, { "id" : "ITEM-3", "itemData" : { "DOI" : "10.1007/s00410-008-0285-1", "ISBN" : "0010-7999", "ISSN" : "00107999", "abstract" : "The fractionation of boron isotopes between synthetic dravitic tourmaline and fluid was determined by hydrothermal experiments between 400 and 700 degrees C at 200 MPa and at 500 degrees C, 500 MPa. Tourmaline was crystallized from an oxide mix in presence of water that contained boron in excess. In one series of experiments, [B](fluid)/[B](tour) was 9 after the run; in another series it was 0.1. All experiments produced tourmaline as the sole boron-bearing solid, along with traces of quartz and talc. Powder XRD and Rietveld refinements revealed no significant amounts of tetrahedrally coordinated boron in tourmaline. B-11 always preferentially fractionated into the fluid. For experiments where [B](fluid)/[B](tour) was 9, a consistent temperature-dependent boron isotope fractionation curve resulted, approximated by Delta B-11((tour-fluid)) = -4.20 . [1,000/T (K)] + 3.52; R-2 = 0.77, and valid from 400 to 700 degrees C. No pressure dependence was observed. The fractionation (-2.7 +/- 0.5 parts per thousand at 400 degrees C; and -0.8 +/- 0.5 parts per thousand at 700 degrees C) is much lower than that previously presented by Palmer et al. (1992). Experiments where [B](fluid)/[B](tour) was 0.1 showed a significant larger apparent fractionation of up to -4.7 parts per thousand. In one of these runs, the isotopic composition of handpicked tourmaline crystals of different size varied by 1.3%. This is interpreted as resulting from fractional crystallization of boron isotopes during tourmaline growth due to the small boron reservoir of the fluid relative to tourmaline, thus indicating larger fractionation than observed at equilibrium. The effect is eliminated or minimized in experiments with very high boron excess in the fluid. We therefore suggest that values given by the above relation represent the true equilibrium fractionations.", "author" : [ { "dropping-particle" : "", "family" : "Meyer", "given" : "Christian", "non-dropping-particle" : "", "parse-names" : false, "suffix" : "" }, { "dropping-particle" : "", "family" : "Wunder", "given" : "Bernd", "non-dropping-particle" : "", "parse-names" : false, "suffix" : "" }, { "dropping-particle" : "", "family" : "Meixner", "given" : "Anette", "non-dropping-particle" : "", "parse-names" : false, "suffix" : "" }, { "dropping-particle" : "", "family" : "Romer", "given" : "Rolf L.", "non-dropping-particle" : "", "parse-names" : false, "suffix" : "" }, { "dropping-particle" : "", "family" : "Heinrich", "given" : "Wilhelm", "non-dropping-particle" : "", "parse-names" : false, "suffix" : "" } ], "container-title" : "Contributions to Mineralogy and Petrology", "id" : "ITEM-3", "issue" : "2", "issued" : { "date-parts" : [ [ "2008" ] ] }, "page" : "259-267", "title" : "Boron-isotope fractionation between tourmaline and fluid: An experimental re-investigation", "type" : "article-journal", "volume" : "156" }, "uris" : [ "http://www.mendeley.com/documents/?uuid=02c37c62-9b3e-4dfe-99ce-a807defc9a6f" ] } ], "mendeley" : { "formattedCitation" : "(Hervig et al., 2002; Meyer et al., 2008; Palmer et al., 1992)", "manualFormatting" : "Hervig et al. (2002), Meyer et al. (2008), and Palmer et al. (1992)", "plainTextFormattedCitation" : "(Hervig et al., 2002; Meyer et al., 2008; Palmer et al., 1992)", "previouslyFormattedCitation" : "(Palmer et al. 1992; Hervig et al. 2002; Meyer et al. 2008)" }, "properties" : { "noteIndex" : 0 }, "schema" : "https://github.com/citation-style-language/schema/raw/master/csl-citation.json" }</w:instrText>
      </w:r>
      <w:r>
        <w:rPr>
          <w:rFonts w:cs="Times New Roman"/>
        </w:rPr>
        <w:fldChar w:fldCharType="separate"/>
      </w:r>
      <w:r>
        <w:rPr>
          <w:rFonts w:cs="Times New Roman"/>
          <w:noProof/>
        </w:rPr>
        <w:t>Hervig et al. (</w:t>
      </w:r>
      <w:r w:rsidRPr="00955A0A">
        <w:rPr>
          <w:rFonts w:cs="Times New Roman"/>
          <w:noProof/>
        </w:rPr>
        <w:t>2002</w:t>
      </w:r>
      <w:r>
        <w:rPr>
          <w:rFonts w:cs="Times New Roman"/>
          <w:noProof/>
        </w:rPr>
        <w:t>), Meyer et al. (2008), and Palmer et al. (</w:t>
      </w:r>
      <w:r w:rsidRPr="00955A0A">
        <w:rPr>
          <w:rFonts w:cs="Times New Roman"/>
          <w:noProof/>
        </w:rPr>
        <w:t>1992)</w:t>
      </w:r>
      <w:r>
        <w:rPr>
          <w:rFonts w:cs="Times New Roman"/>
        </w:rPr>
        <w:fldChar w:fldCharType="end"/>
      </w:r>
      <w:r>
        <w:rPr>
          <w:rFonts w:cs="Times New Roman"/>
        </w:rPr>
        <w:t>.</w:t>
      </w:r>
      <w:r w:rsidRPr="009C4671">
        <w:rPr>
          <w:rFonts w:cs="Times New Roman"/>
        </w:rPr>
        <w:t xml:space="preserve"> </w:t>
      </w:r>
      <w:r>
        <w:rPr>
          <w:rFonts w:cs="Times New Roman"/>
        </w:rPr>
        <w:t>Differences in values of Δ</w:t>
      </w:r>
      <w:r>
        <w:rPr>
          <w:rFonts w:cs="Times New Roman"/>
          <w:vertAlign w:val="superscript"/>
        </w:rPr>
        <w:t>11</w:t>
      </w:r>
      <w:r>
        <w:rPr>
          <w:rFonts w:cs="Times New Roman"/>
        </w:rPr>
        <w:t xml:space="preserve">B for different mineral-fluid pairs at a given temperature and pressure are controlled by the change in coordination of B in each phase (cf. </w:t>
      </w:r>
      <w:r>
        <w:rPr>
          <w:rFonts w:cs="Times New Roman"/>
        </w:rPr>
        <w:fldChar w:fldCharType="begin" w:fldLock="1"/>
      </w:r>
      <w:r w:rsidR="00266290">
        <w:rPr>
          <w:rFonts w:cs="Times New Roman"/>
        </w:rPr>
        <w:instrText>ADDIN CSL_CITATION { "citationItems" : [ { "id" : "ITEM-1", "itemData" : { "DOI" : "10.1016/j.lithos.2005.02.003", "ISBN" : "0024-4937", "ISSN" : "00244937", "abstract" : "The fractionation of boron isotopes between synthetic boromuscovite and fluid was experimentally determined at 3.0 GPa/500 \u00b0C and 3.0 GPa/700 \u00b0C. For near-neutral fluids Delta;11 B(mica-fluid) = \u03b411B(mica) - \u03b411B(fluid) is - 10.9 \u00b1 1.3\u2030 at 500 deg;C, and - 6.5 \u00b1 0.4\u2030 at 700 \u00b0C. This supports earlier assumptions that the main fractionation effect is due to the change from trigonal coordination of boron in neutral fluids to tetrahedrally coordinated boron in micas, clays and melts. The T-dependence of this effect is approximated by the equation \u039411B(mica,clay,melt-neutral-fluid) = - 10.69 \u00b7 (1000/T [K]) + 3.88; R2 = 0.992, valid from 25 \u00b0C for fluid-clay up to about 1000 \u00b0C for fluid-silicate melt. Experiments at 0.4 GPa that used strongly basic fluids produced significantly lower fractionations with \u039411 B(mica-fluid) of - 7.4 \u00b1 1.0\u2030 at 400 \u00b0C, and - 4.8 \u00b1 1.0\u2030 at 500 \u00b0C, showing the reduced fractionation effect when large amounts of boron in basic fluids are tetrahedrally coordinated. Field studies have shown that boron concentrations and 11B/10B-ratios in volcanic arcs systematically decrease across the arc with increasing distance from the trench, thus reflecting the thermal structure of the subducting slab. Our experiments show that the boron isotopic signature in volcanic arcs probably results from continuous dehydration of micas along a distinct P-T range. Continuous slab dehydration and boron transport via fluid into the mantle wedge is responsible for the boron isotopic signature in volcanic arcs. \u00a9 2005 Elsevier B.V. All rights reserved.", "author" : [ { "dropping-particle" : "", "family" : "Wunder", "given" : "Bernd", "non-dropping-particle" : "", "parse-names" : false, "suffix" : "" }, { "dropping-particle" : "", "family" : "Meixner", "given" : "Anette", "non-dropping-particle" : "", "parse-names" : false, "suffix" : "" }, { "dropping-particle" : "", "family" : "Romer", "given" : "Rolf L.", "non-dropping-particle" : "", "parse-names" : false, "suffix" : "" }, { "dropping-particle" : "", "family" : "Wirth", "given" : "Richard", "non-dropping-particle" : "", "parse-names" : false, "suffix" : "" }, { "dropping-particle" : "", "family" : "Heinrich", "given" : "Wilhelm", "non-dropping-particle" : "", "parse-names" : false, "suffix" : "" } ], "container-title" : "Lithos", "id" : "ITEM-1", "issue" : "3-4", "issued" : { "date-parts" : [ [ "2005" ] ] }, "page" : "206-216", "title" : "The geochemical cycle of boron: Constraints from boron isotope partitioning experiments between mica and fluid", "type" : "article-journal", "volume" : "84" }, "uris" : [ "http://www.mendeley.com/documents/?uuid=a550b27f-b759-47cd-8d15-7c79966ee99a" ] }, { "id" : "ITEM-2", "itemData" : { "DOI" : "10.1007/s00410-008-0285-1", "ISBN" : "0010-7999", "ISSN" : "00107999", "abstract" : "The fractionation of boron isotopes between synthetic dravitic tourmaline and fluid was determined by hydrothermal experiments between 400 and 700 degrees C at 200 MPa and at 500 degrees C, 500 MPa. Tourmaline was crystallized from an oxide mix in presence of water that contained boron in excess. In one series of experiments, [B](fluid)/[B](tour) was 9 after the run; in another series it was 0.1. All experiments produced tourmaline as the sole boron-bearing solid, along with traces of quartz and talc. Powder XRD and Rietveld refinements revealed no significant amounts of tetrahedrally coordinated boron in tourmaline. B-11 always preferentially fractionated into the fluid. For experiments where [B](fluid)/[B](tour) was 9, a consistent temperature-dependent boron isotope fractionation curve resulted, approximated by Delta B-11((tour-fluid)) = -4.20 . [1,000/T (K)] + 3.52; R-2 = 0.77, and valid from 400 to 700 degrees C. No pressure dependence was observed. The fractionation (-2.7 +/- 0.5 parts per thousand at 400 degrees C; and -0.8 +/- 0.5 parts per thousand at 700 degrees C) is much lower than that previously presented by Palmer et al. (1992). Experiments where [B](fluid)/[B](tour) was 0.1 showed a significant larger apparent fractionation of up to -4.7 parts per thousand. In one of these runs, the isotopic composition of handpicked tourmaline crystals of different size varied by 1.3%. This is interpreted as resulting from fractional crystallization of boron isotopes during tourmaline growth due to the small boron reservoir of the fluid relative to tourmaline, thus indicating larger fractionation than observed at equilibrium. The effect is eliminated or minimized in experiments with very high boron excess in the fluid. We therefore suggest that values given by the above relation represent the true equilibrium fractionations.", "author" : [ { "dropping-particle" : "", "family" : "Meyer", "given" : "Christian", "non-dropping-particle" : "", "parse-names" : false, "suffix" : "" }, { "dropping-particle" : "", "family" : "Wunder", "given" : "Bernd", "non-dropping-particle" : "", "parse-names" : false, "suffix" : "" }, { "dropping-particle" : "", "family" : "Meixner", "given" : "Anette", "non-dropping-particle" : "", "parse-names" : false, "suffix" : "" }, { "dropping-particle" : "", "family" : "Romer", "given" : "Rolf L.", "non-dropping-particle" : "", "parse-names" : false, "suffix" : "" }, { "dropping-particle" : "", "family" : "Heinrich", "given" : "Wilhelm", "non-dropping-particle" : "", "parse-names" : false, "suffix" : "" } ], "container-title" : "Contributions to Mineralogy and Petrology", "id" : "ITEM-2", "issue" : "2", "issued" : { "date-parts" : [ [ "2008" ] ] }, "page" : "259-267", "title" : "Boron-isotope fractionation between tourmaline and fluid: An experimental re-investigation", "type" : "article-journal", "volume" : "156" }, "uris" : [ "http://www.mendeley.com/documents/?uuid=02c37c62-9b3e-4dfe-99ce-a807defc9a6f" ] } ], "mendeley" : { "formattedCitation" : "(Meyer et al., 2008; Wunder et al., 2005)", "manualFormatting" : "Meyer et al., 2008, Wunder et al. (2005)", "plainTextFormattedCitation" : "(Meyer et al., 2008; Wunder et al., 2005)", "previouslyFormattedCitation" : "(Wunder et al. 2005; Meyer et al. 2008)" }, "properties" : { "noteIndex" : 0 }, "schema" : "https://github.com/citation-style-language/schema/raw/master/csl-citation.json" }</w:instrText>
      </w:r>
      <w:r>
        <w:rPr>
          <w:rFonts w:cs="Times New Roman"/>
        </w:rPr>
        <w:fldChar w:fldCharType="separate"/>
      </w:r>
      <w:r>
        <w:rPr>
          <w:rFonts w:cs="Times New Roman"/>
          <w:noProof/>
        </w:rPr>
        <w:t>Meyer et al.,</w:t>
      </w:r>
      <w:r w:rsidRPr="009C4671">
        <w:rPr>
          <w:rFonts w:cs="Times New Roman"/>
          <w:noProof/>
        </w:rPr>
        <w:t xml:space="preserve"> 2008</w:t>
      </w:r>
      <w:r w:rsidR="00C17CC7">
        <w:rPr>
          <w:rFonts w:cs="Times New Roman"/>
          <w:noProof/>
        </w:rPr>
        <w:t>;</w:t>
      </w:r>
      <w:r>
        <w:rPr>
          <w:rFonts w:cs="Times New Roman"/>
          <w:noProof/>
        </w:rPr>
        <w:t xml:space="preserve"> </w:t>
      </w:r>
      <w:r w:rsidRPr="009C4671">
        <w:rPr>
          <w:rFonts w:cs="Times New Roman"/>
          <w:noProof/>
        </w:rPr>
        <w:t>Wunder et</w:t>
      </w:r>
      <w:r w:rsidR="00C17CC7">
        <w:rPr>
          <w:rFonts w:cs="Times New Roman"/>
          <w:noProof/>
        </w:rPr>
        <w:t xml:space="preserve"> al., </w:t>
      </w:r>
      <w:r w:rsidRPr="009C4671">
        <w:rPr>
          <w:rFonts w:cs="Times New Roman"/>
          <w:noProof/>
        </w:rPr>
        <w:t>2005)</w:t>
      </w:r>
      <w:r>
        <w:rPr>
          <w:rFonts w:cs="Times New Roman"/>
        </w:rPr>
        <w:fldChar w:fldCharType="end"/>
      </w:r>
      <w:r>
        <w:rPr>
          <w:rFonts w:cs="Times New Roman"/>
        </w:rPr>
        <w:t>.</w:t>
      </w:r>
      <w:r w:rsidRPr="00760FBE">
        <w:rPr>
          <w:rFonts w:cs="Times New Roman"/>
        </w:rPr>
        <w:t xml:space="preserve"> </w:t>
      </w:r>
      <w:r>
        <w:rPr>
          <w:rFonts w:cs="Times New Roman"/>
        </w:rPr>
        <w:t>The maximum amount of isotopic fractionation between two phases is expected when the coordination of B in one phase is different than the coordination of B in the other phase.</w:t>
      </w:r>
    </w:p>
    <w:p w:rsidR="00665C0F" w:rsidRDefault="00665C0F" w:rsidP="000F00BF">
      <w:pPr>
        <w:pStyle w:val="Heading3"/>
        <w:spacing w:line="480" w:lineRule="auto"/>
        <w:rPr>
          <w:rFonts w:cs="Times New Roman"/>
        </w:rPr>
      </w:pPr>
      <w:bookmarkStart w:id="120" w:name="_Toc491246032"/>
      <w:r>
        <w:rPr>
          <w:rFonts w:cs="Times New Roman"/>
        </w:rPr>
        <w:lastRenderedPageBreak/>
        <w:t>1.2</w:t>
      </w:r>
      <w:r w:rsidR="000F00BF">
        <w:rPr>
          <w:rFonts w:cs="Times New Roman"/>
        </w:rPr>
        <w:t>.</w:t>
      </w:r>
      <w:r>
        <w:rPr>
          <w:rFonts w:cs="Times New Roman"/>
        </w:rPr>
        <w:t xml:space="preserve"> The coordination of B in melt and aqueous solution</w:t>
      </w:r>
      <w:bookmarkEnd w:id="120"/>
      <w:r>
        <w:rPr>
          <w:rFonts w:cs="Times New Roman"/>
        </w:rPr>
        <w:t xml:space="preserve"> </w:t>
      </w:r>
    </w:p>
    <w:p w:rsidR="00665C0F" w:rsidRPr="00760FBE" w:rsidRDefault="00665C0F" w:rsidP="00665C0F">
      <w:pPr>
        <w:spacing w:line="480" w:lineRule="auto"/>
        <w:ind w:firstLine="720"/>
        <w:rPr>
          <w:rFonts w:cs="Times New Roman"/>
        </w:rPr>
      </w:pPr>
      <w:r>
        <w:rPr>
          <w:rFonts w:cs="Times New Roman"/>
        </w:rPr>
        <w:t xml:space="preserve">Boron adopts two different coordination polyhedra when bonded with oxygen: 3-fold trigonal planar, </w:t>
      </w:r>
      <w:r>
        <w:rPr>
          <w:rFonts w:cs="Times New Roman"/>
          <w:vertAlign w:val="superscript"/>
        </w:rPr>
        <w:t>III</w:t>
      </w:r>
      <w:r>
        <w:rPr>
          <w:rFonts w:cs="Times New Roman"/>
        </w:rPr>
        <w:t xml:space="preserve">B, and 4-fold tetrahedral, </w:t>
      </w:r>
      <w:r>
        <w:rPr>
          <w:rFonts w:cs="Times New Roman"/>
          <w:vertAlign w:val="superscript"/>
        </w:rPr>
        <w:t>IV</w:t>
      </w:r>
      <w:r>
        <w:rPr>
          <w:rFonts w:cs="Times New Roman"/>
        </w:rPr>
        <w:t xml:space="preserve">B </w:t>
      </w:r>
      <w:r>
        <w:rPr>
          <w:rFonts w:cs="Times New Roman"/>
        </w:rPr>
        <w:fldChar w:fldCharType="begin" w:fldLock="1"/>
      </w:r>
      <w:r w:rsidR="00266290">
        <w:rPr>
          <w:rFonts w:cs="Times New Roman"/>
        </w:rPr>
        <w:instrText>ADDIN CSL_CITATION { "citationItems" : [ { "id" : "ITEM-1", "itemData" : { "author" : [ { "dropping-particle" : "", "family" : "Palmer", "given" : "Martin R.", "non-dropping-particle" : "", "parse-names" : false, "suffix" : "" }, { "dropping-particle" : "", "family" : "Swihart", "given" : "George H.", "non-dropping-particle" : "", "parse-names" : false, "suffix" : "" } ], "container-title" : "Reviews in Mineralogy and Geochemistry", "id" : "ITEM-1", "issued" : { "date-parts" : [ [ "1996" ] ] }, "page" : "709-744", "title" : "Boron isotope geochemistry: An overview", "type" : "article-journal", "volume" : "33" }, "uris" : [ "http://www.mendeley.com/documents/?uuid=ab8e9ce6-1d5a-4804-a08f-4d627381885e" ] }, { "id" : "ITEM-2", "itemData" : { "author" : [ { "dropping-particle" : "", "family" : "Dingwell", "given" : "Donald B.", "non-dropping-particle" : "", "parse-names" : false, "suffix" : "" }, { "dropping-particle" : "", "family" : "Pichavant", "given" : "Michel", "non-dropping-particle" : "", "parse-names" : false, "suffix" : "" }, { "dropping-particle" : "", "family" : "Holtz", "given" : "Fran\u00e7ois", "non-dropping-particle" : "", "parse-names" : false, "suffix" : "" } ], "container-title" : "Reviews in Mineralogy and Geochemistry", "id" : "ITEM-2", "issued" : { "date-parts" : [ [ "1996" ] ] }, "page" : "331-386", "title" : "Experimental studies of boron in granitic melts", "type" : "article-journal", "volume" : "33" }, "uris" : [ "http://www.mendeley.com/documents/?uuid=f91399bf-3037-4c0a-9ad0-79227834e333" ] } ], "mendeley" : { "formattedCitation" : "(Dingwell et al., 1996; Palmer and Swihart, 1996)", "plainTextFormattedCitation" : "(Dingwell et al., 1996; Palmer and Swihart, 1996)", "previouslyFormattedCitation" : "(Dingwell et al. 1996; Palmer and Swihart 1996)" }, "properties" : { "noteIndex" : 0 }, "schema" : "https://github.com/citation-style-language/schema/raw/master/csl-citation.json" }</w:instrText>
      </w:r>
      <w:r>
        <w:rPr>
          <w:rFonts w:cs="Times New Roman"/>
        </w:rPr>
        <w:fldChar w:fldCharType="separate"/>
      </w:r>
      <w:r w:rsidR="00266290" w:rsidRPr="00266290">
        <w:rPr>
          <w:rFonts w:cs="Times New Roman"/>
          <w:noProof/>
        </w:rPr>
        <w:t>(Dingwell et al., 1996; Palmer and Swihart, 1996)</w:t>
      </w:r>
      <w:r>
        <w:rPr>
          <w:rFonts w:cs="Times New Roman"/>
        </w:rPr>
        <w:fldChar w:fldCharType="end"/>
      </w:r>
      <w:r>
        <w:rPr>
          <w:rFonts w:cs="Times New Roman"/>
        </w:rPr>
        <w:t xml:space="preserve">. The </w:t>
      </w:r>
      <w:r>
        <w:rPr>
          <w:rFonts w:cs="Times New Roman"/>
          <w:vertAlign w:val="superscript"/>
        </w:rPr>
        <w:t>III</w:t>
      </w:r>
      <w:r>
        <w:rPr>
          <w:rFonts w:cs="Times New Roman"/>
        </w:rPr>
        <w:t xml:space="preserve">B-O bond is shorter than the </w:t>
      </w:r>
      <w:r>
        <w:rPr>
          <w:rFonts w:cs="Times New Roman"/>
          <w:vertAlign w:val="superscript"/>
        </w:rPr>
        <w:t>IV</w:t>
      </w:r>
      <w:r>
        <w:rPr>
          <w:rFonts w:cs="Times New Roman"/>
        </w:rPr>
        <w:t xml:space="preserve">B-O bond </w:t>
      </w:r>
      <w:r>
        <w:rPr>
          <w:rFonts w:cs="Times New Roman"/>
        </w:rPr>
        <w:fldChar w:fldCharType="begin" w:fldLock="1"/>
      </w:r>
      <w:r w:rsidR="00266290">
        <w:rPr>
          <w:rFonts w:cs="Times New Roman"/>
        </w:rPr>
        <w:instrText>ADDIN CSL_CITATION { "citationItems" : [ { "id" : "ITEM-1", "itemData" : { "author" : [ { "dropping-particle" : "", "family" : "Hawthorne", "given" : "Frank C", "non-dropping-particle" : "", "parse-names" : false, "suffix" : "" }, { "dropping-particle" : "", "family" : "Burns", "given" : "P.C.", "non-dropping-particle" : "", "parse-names" : false, "suffix" : "" }, { "dropping-particle" : "", "family" : "Grice", "given" : "J.D.", "non-dropping-particle" : "", "parse-names" : false, "suffix" : "" } ], "container-title" : "Reviews in Mineralogy and Geochemistry", "id" : "ITEM-1", "issued" : { "date-parts" : [ [ "1996" ] ] }, "page" : "41-116", "title" : "The Crystal Chemistry of Boron", "type" : "article-journal", "volume" : "33" }, "uris" : [ "http://www.mendeley.com/documents/?uuid=3c42cf66-3b82-4dbc-8bb0-8e3cd275f502" ] } ], "mendeley" : { "formattedCitation" : "(Hawthorne et al., 1996)", "plainTextFormattedCitation" : "(Hawthorne et al., 1996)", "previouslyFormattedCitation" : "(Hawthorne et al. 1996)" }, "properties" : { "noteIndex" : 0 }, "schema" : "https://github.com/citation-style-language/schema/raw/master/csl-citation.json" }</w:instrText>
      </w:r>
      <w:r>
        <w:rPr>
          <w:rFonts w:cs="Times New Roman"/>
        </w:rPr>
        <w:fldChar w:fldCharType="separate"/>
      </w:r>
      <w:r w:rsidR="00266290" w:rsidRPr="00266290">
        <w:rPr>
          <w:rFonts w:cs="Times New Roman"/>
          <w:noProof/>
        </w:rPr>
        <w:t>(Hawthorne et al., 1996)</w:t>
      </w:r>
      <w:r>
        <w:rPr>
          <w:rFonts w:cs="Times New Roman"/>
        </w:rPr>
        <w:fldChar w:fldCharType="end"/>
      </w:r>
      <w:r>
        <w:rPr>
          <w:rFonts w:cs="Times New Roman"/>
        </w:rPr>
        <w:t xml:space="preserve">, resulting in a preference of </w:t>
      </w:r>
      <w:r>
        <w:rPr>
          <w:rFonts w:cs="Times New Roman"/>
          <w:vertAlign w:val="superscript"/>
        </w:rPr>
        <w:t>10</w:t>
      </w:r>
      <w:r>
        <w:rPr>
          <w:rFonts w:cs="Times New Roman"/>
        </w:rPr>
        <w:t xml:space="preserve">B in the longer </w:t>
      </w:r>
      <w:r>
        <w:rPr>
          <w:rFonts w:cs="Times New Roman"/>
          <w:vertAlign w:val="superscript"/>
        </w:rPr>
        <w:t>IV</w:t>
      </w:r>
      <w:r>
        <w:rPr>
          <w:rFonts w:cs="Times New Roman"/>
        </w:rPr>
        <w:t xml:space="preserve">B-O bond </w:t>
      </w:r>
      <w:r>
        <w:rPr>
          <w:rFonts w:cs="Times New Roman"/>
        </w:rPr>
        <w:fldChar w:fldCharType="begin" w:fldLock="1"/>
      </w:r>
      <w:r w:rsidR="00266290">
        <w:rPr>
          <w:rFonts w:cs="Times New Roman"/>
        </w:rPr>
        <w:instrText>ADDIN CSL_CITATION { "citationItems" : [ { "id" : "ITEM-1", "itemData" : { "author" : [ { "dropping-particle" : "", "family" : "Palmer", "given" : "Martin R.", "non-dropping-particle" : "", "parse-names" : false, "suffix" : "" }, { "dropping-particle" : "", "family" : "Swihart", "given" : "George H.", "non-dropping-particle" : "", "parse-names" : false, "suffix" : "" } ], "container-title" : "Reviews in Mineralogy and Geochemistry", "id" : "ITEM-1", "issued" : { "date-parts" : [ [ "1996" ] ] }, "page" : "709-744", "title" : "Boron isotope geochemistry: An overview", "type" : "article-journal", "volume" : "33" }, "uris" : [ "http://www.mendeley.com/documents/?uuid=ae2ad9bb-18c7-414a-9833-d182e3cb0e6f" ] } ], "mendeley" : { "formattedCitation" : "(Palmer and Swihart, 1996)", "plainTextFormattedCitation" : "(Palmer and Swihart, 1996)", "previouslyFormattedCitation" : "(Palmer and Swihart 1996)" }, "properties" : { "noteIndex" : 0 }, "schema" : "https://github.com/citation-style-language/schema/raw/master/csl-citation.json" }</w:instrText>
      </w:r>
      <w:r>
        <w:rPr>
          <w:rFonts w:cs="Times New Roman"/>
        </w:rPr>
        <w:fldChar w:fldCharType="separate"/>
      </w:r>
      <w:r w:rsidR="00266290" w:rsidRPr="00266290">
        <w:rPr>
          <w:rFonts w:cs="Times New Roman"/>
          <w:noProof/>
        </w:rPr>
        <w:t>(Palmer and Swihart, 1996)</w:t>
      </w:r>
      <w:r>
        <w:rPr>
          <w:rFonts w:cs="Times New Roman"/>
        </w:rPr>
        <w:fldChar w:fldCharType="end"/>
      </w:r>
      <w:r>
        <w:rPr>
          <w:rFonts w:cs="Times New Roman"/>
        </w:rPr>
        <w:t xml:space="preserve">. In aqueous solution at room temperature, the majority of B adopts 4-fold coordination when pH is &gt; 10 and 3-fold when pH </w:t>
      </w:r>
      <w:r w:rsidR="00BB5A23">
        <w:rPr>
          <w:rFonts w:cs="Times New Roman"/>
        </w:rPr>
        <w:t xml:space="preserve">is </w:t>
      </w:r>
      <w:r>
        <w:rPr>
          <w:rFonts w:cs="Times New Roman"/>
        </w:rPr>
        <w:t xml:space="preserve">&lt; 6 </w:t>
      </w:r>
      <w:r>
        <w:rPr>
          <w:rFonts w:cs="Times New Roman"/>
        </w:rPr>
        <w:fldChar w:fldCharType="begin" w:fldLock="1"/>
      </w:r>
      <w:r w:rsidR="00266290">
        <w:rPr>
          <w:rFonts w:cs="Times New Roman"/>
        </w:rPr>
        <w:instrText>ADDIN CSL_CITATION { "citationItems" : [ { "id" : "ITEM-1", "itemData" : { "DOI" : "10.1246/bcsj.50.158", "ISBN" : "0009-2673", "ISSN" : "0009-2673", "abstract" : "The single-stage separation factors for boron isotopes between an ion-exchange resin and an external solution were determined, using an ion-exchange breakthrough operation. The lighter isotope boron-10 was considerably enriched in the anion-exchange resin phase. The separation factor was very much influenced by the boric acid concentration in the external solution, but not as much influenced by the kind of the anion exchange resin used and operation temperature. The separation factor increased with a decrease in the boric acid concentration of external solution from 1.008 (0.501 mol/l) to 1.016 (0.010 mol/l). The value of the separation factors obtained experimentally were compared with those estimated on the basis of the theory of the two-phase distribution of isotopes.", "author" : [ { "dropping-particle" : "", "family" : "Kakihana", "given" : "Hidetake", "non-dropping-particle" : "", "parse-names" : false, "suffix" : "" }, { "dropping-particle" : "", "family" : "Kotaka", "given" : "Masahiro", "non-dropping-particle" : "", "parse-names" : false, "suffix" : "" }, { "dropping-particle" : "", "family" : "Satoh", "given" : "Shohei", "non-dropping-particle" : "", "parse-names" : false, "suffix" : "" }, { "dropping-particle" : "", "family" : "Nomura", "given" : "Masao", "non-dropping-particle" : "", "parse-names" : false, "suffix" : "" }, { "dropping-particle" : "", "family" : "Okamoto", "given" : "Makoto", "non-dropping-particle" : "", "parse-names" : false, "suffix" : "" } ], "container-title" : "Bulletin of the Chemical Society of Japan", "id" : "ITEM-1", "issue" : "1", "issued" : { "date-parts" : [ [ "1977" ] ] }, "page" : "158-163", "title" : "Fundamental Studies on the Ion-Exchange Separation of Boron Isotopes", "type" : "article", "volume" : "50" }, "uris" : [ "http://www.mendeley.com/documents/?uuid=d4d8205a-8487-4e10-8b36-3ffb99acc54b" ] } ], "mendeley" : { "formattedCitation" : "(Kakihana et al., 1977)", "plainTextFormattedCitation" : "(Kakihana et al., 1977)", "previouslyFormattedCitation" : "(Kakihana et al. 1977)" }, "properties" : { "noteIndex" : 0 }, "schema" : "https://github.com/citation-style-language/schema/raw/master/csl-citation.json" }</w:instrText>
      </w:r>
      <w:r>
        <w:rPr>
          <w:rFonts w:cs="Times New Roman"/>
        </w:rPr>
        <w:fldChar w:fldCharType="separate"/>
      </w:r>
      <w:r w:rsidR="00266290" w:rsidRPr="00266290">
        <w:rPr>
          <w:rFonts w:cs="Times New Roman"/>
          <w:noProof/>
        </w:rPr>
        <w:t>(Kakihana et al., 1977)</w:t>
      </w:r>
      <w:r>
        <w:rPr>
          <w:rFonts w:cs="Times New Roman"/>
        </w:rPr>
        <w:fldChar w:fldCharType="end"/>
      </w:r>
      <w:r>
        <w:rPr>
          <w:rFonts w:cs="Times New Roman"/>
        </w:rPr>
        <w:t xml:space="preserve">. Polyborate rings comprising </w:t>
      </w:r>
      <w:r>
        <w:rPr>
          <w:rFonts w:cs="Times New Roman"/>
          <w:vertAlign w:val="superscript"/>
        </w:rPr>
        <w:t>III</w:t>
      </w:r>
      <w:r>
        <w:rPr>
          <w:rFonts w:cs="Times New Roman"/>
        </w:rPr>
        <w:t>B-</w:t>
      </w:r>
      <w:r>
        <w:rPr>
          <w:rFonts w:cs="Times New Roman"/>
          <w:vertAlign w:val="superscript"/>
        </w:rPr>
        <w:t>III</w:t>
      </w:r>
      <w:r>
        <w:rPr>
          <w:rFonts w:cs="Times New Roman"/>
        </w:rPr>
        <w:t xml:space="preserve">B, </w:t>
      </w:r>
      <w:r>
        <w:rPr>
          <w:rFonts w:cs="Times New Roman"/>
          <w:vertAlign w:val="superscript"/>
        </w:rPr>
        <w:t>IV</w:t>
      </w:r>
      <w:r>
        <w:rPr>
          <w:rFonts w:cs="Times New Roman"/>
        </w:rPr>
        <w:t>B-</w:t>
      </w:r>
      <w:r>
        <w:rPr>
          <w:rFonts w:cs="Times New Roman"/>
          <w:vertAlign w:val="superscript"/>
        </w:rPr>
        <w:t>IV</w:t>
      </w:r>
      <w:r>
        <w:rPr>
          <w:rFonts w:cs="Times New Roman"/>
        </w:rPr>
        <w:t xml:space="preserve">B, and </w:t>
      </w:r>
      <w:r>
        <w:rPr>
          <w:rFonts w:cs="Times New Roman"/>
          <w:vertAlign w:val="superscript"/>
        </w:rPr>
        <w:t>III</w:t>
      </w:r>
      <w:r>
        <w:rPr>
          <w:rFonts w:cs="Times New Roman"/>
        </w:rPr>
        <w:t>B-</w:t>
      </w:r>
      <w:r>
        <w:rPr>
          <w:rFonts w:cs="Times New Roman"/>
          <w:vertAlign w:val="superscript"/>
        </w:rPr>
        <w:t>IV</w:t>
      </w:r>
      <w:r>
        <w:rPr>
          <w:rFonts w:cs="Times New Roman"/>
        </w:rPr>
        <w:t xml:space="preserve">B linkages form in solution when the concentration of B is greater than 0.5 mol/L B </w:t>
      </w:r>
      <w:r>
        <w:rPr>
          <w:rFonts w:cs="Times New Roman"/>
        </w:rPr>
        <w:fldChar w:fldCharType="begin" w:fldLock="1"/>
      </w:r>
      <w:r w:rsidR="00266290">
        <w:rPr>
          <w:rFonts w:cs="Times New Roman"/>
        </w:rPr>
        <w:instrText>ADDIN CSL_CITATION { "citationItems" : [ { "id" : "ITEM-1", "itemData" : { "DOI" : "10.1246/bcsj.50.158", "ISBN" : "0009-2673", "ISSN" : "0009-2673", "abstract" : "The single-stage separation factors for boron isotopes between an ion-exchange resin and an external solution were determined, using an ion-exchange breakthrough operation. The lighter isotope boron-10 was considerably enriched in the anion-exchange resin phase. The separation factor was very much influenced by the boric acid concentration in the external solution, but not as much influenced by the kind of the anion exchange resin used and operation temperature. The separation factor increased with a decrease in the boric acid concentration of external solution from 1.008 (0.501 mol/l) to 1.016 (0.010 mol/l). The value of the separation factors obtained experimentally were compared with those estimated on the basis of the theory of the two-phase distribution of isotopes.", "author" : [ { "dropping-particle" : "", "family" : "Kakihana", "given" : "Hidetake", "non-dropping-particle" : "", "parse-names" : false, "suffix" : "" }, { "dropping-particle" : "", "family" : "Kotaka", "given" : "Masahiro", "non-dropping-particle" : "", "parse-names" : false, "suffix" : "" }, { "dropping-particle" : "", "family" : "Satoh", "given" : "Shohei", "non-dropping-particle" : "", "parse-names" : false, "suffix" : "" }, { "dropping-particle" : "", "family" : "Nomura", "given" : "Masao", "non-dropping-particle" : "", "parse-names" : false, "suffix" : "" }, { "dropping-particle" : "", "family" : "Okamoto", "given" : "Makoto", "non-dropping-particle" : "", "parse-names" : false, "suffix" : "" } ], "container-title" : "Bulletin of the Chemical Society of Japan", "id" : "ITEM-1", "issue" : "1", "issued" : { "date-parts" : [ [ "1977" ] ] }, "page" : "158-163", "title" : "Fundamental Studies on the Ion-Exchange Separation of Boron Isotopes", "type" : "article", "volume" : "50" }, "uris" : [ "http://www.mendeley.com/documents/?uuid=d4d8205a-8487-4e10-8b36-3ffb99acc54b" ] }, { "id" : "ITEM-2", "itemData" : { "DOI" : "10.1021/ic50163a036", "ISSN" : "0020-1669", "author" : [ { "dropping-particle" : "", "family" : "Maya", "given" : "L.", "non-dropping-particle" : "", "parse-names" : false, "suffix" : "" } ], "container-title" : "Inorganic Chemistry", "id" : "ITEM-2", "issue" : "9", "issued" : { "date-parts" : [ [ "1976" ] ] }, "page" : "2179-2184", "title" : "Identification of polyborate and fluoropolyborate ions in solution by Raman spectroscopy", "type" : "article-journal", "volume" : "15" }, "uris" : [ "http://www.mendeley.com/documents/?uuid=1d3dfa25-fbcf-40d0-abb8-bb3cd604c1d7" ] } ], "mendeley" : { "formattedCitation" : "(Kakihana et al., 1977; Maya, 1976)", "plainTextFormattedCitation" : "(Kakihana et al., 1977; Maya, 1976)", "previouslyFormattedCitation" : "(Maya 1976; Kakihana et al. 1977)" }, "properties" : { "noteIndex" : 0 }, "schema" : "https://github.com/citation-style-language/schema/raw/master/csl-citation.json" }</w:instrText>
      </w:r>
      <w:r>
        <w:rPr>
          <w:rFonts w:cs="Times New Roman"/>
        </w:rPr>
        <w:fldChar w:fldCharType="separate"/>
      </w:r>
      <w:r w:rsidR="00266290" w:rsidRPr="00266290">
        <w:rPr>
          <w:rFonts w:cs="Times New Roman"/>
          <w:noProof/>
        </w:rPr>
        <w:t>(Kakihana et al., 1977; Maya, 1976)</w:t>
      </w:r>
      <w:r>
        <w:rPr>
          <w:rFonts w:cs="Times New Roman"/>
        </w:rPr>
        <w:fldChar w:fldCharType="end"/>
      </w:r>
      <w:r>
        <w:rPr>
          <w:rFonts w:cs="Times New Roman"/>
        </w:rPr>
        <w:t xml:space="preserve">. </w:t>
      </w:r>
      <w:r>
        <w:rPr>
          <w:rFonts w:cs="Times New Roman"/>
        </w:rPr>
        <w:fldChar w:fldCharType="begin" w:fldLock="1"/>
      </w:r>
      <w:r w:rsidR="00266290">
        <w:rPr>
          <w:rFonts w:cs="Times New Roman"/>
        </w:rPr>
        <w:instrText>ADDIN CSL_CITATION { "citationItems" : [ { "id" : "ITEM-1", "itemData" : { "DOI" : "10.1016/j.gca.2004.06.018", "ISBN" : "0016-7037", "ISSN" : "00167037", "abstract" : "The speciation of boron in H2O+H3 BO3??NaCl and H2O+Na2 B4O7 fluids was studied in situ at temperatures between 22 and 600??C and pressures from 0.1 MPa to ???2 GPa using Raman spectroscopy and a hydrothermal diamond anvil cell. Additionally, we determined the frequency shifts of the 877 cm-1 Raman line of [B(OH)3]0 in aqueous fluids with temperature (?????877/???T)p=0.1MPa = -0.02532 cm-1K-1 and pressure (?????877/???P)T=22??C = 4.06 cm-1GPa-1. The observed species in acidic fluids were [B(OH)3]0 and smaller amounts of a four-coordinated boron species which may be attributed to dissolved metaboric acid HBO2(aq). The ratio of this B[4]-O species to [B(OH)3]0 increases with temperature and decreases slightly with addition of NaCl. In alkaline solutions, polyboric ions depolymerize rapidly with temperature. Thus, [B(OH)3]0 and [B(OH)4]- were the only remaining detectable species at 500 and 600??C. The Raman spectra showed an increase of [B(OH)3]0 relative to [B(OH)4] - with temperature and an increase of [B(OH)4] - relative to [B(OH)3]0 with pressure. The general trend in the boron speciation is a higher stability of simpler complexes with temperature. The experimental observations strongly indicate that planar three-coordinated [B(OH)3] 0 is the predominant boron species in the aqueous phase over a wide range of P-T-pH conditions. This supports the validity of previous assumptions on boron coordination in crustal and mantle wedge fluids. Copyright ?? 2005 Elsevier Ltd.", "author" : [ { "dropping-particle" : "", "family" : "Schmidt", "given" : "C.", "non-dropping-particle" : "", "parse-names" : false, "suffix" : "" }, { "dropping-particle" : "", "family" : "Thomas", "given" : "R.", "non-dropping-particle" : "", "parse-names" : false, "suffix" : "" }, { "dropping-particle" : "", "family" : "Heinrich", "given" : "W.", "non-dropping-particle" : "", "parse-names" : false, "suffix" : "" } ], "container-title" : "Geochimica et Cosmochimica Acta", "id" : "ITEM-1", "issue" : "2", "issued" : { "date-parts" : [ [ "2005" ] ] }, "page" : "275-281", "title" : "Boron speciation in aqueous fluids at 22 to 600??C and 0.1 MPa to 2 GPa", "type" : "article-journal", "volume" : "69" }, "uris" : [ "http://www.mendeley.com/documents/?uuid=fdaf0934-e3de-4bbe-b754-f830c3c168cb" ] } ], "mendeley" : { "formattedCitation" : "(Schmidt et al., 2005)", "manualFormatting" : "Schmidt et al. (2005)", "plainTextFormattedCitation" : "(Schmidt et al., 2005)", "previouslyFormattedCitation" : "(Schmidt et al. 2005)" }, "properties" : { "noteIndex" : 0 }, "schema" : "https://github.com/citation-style-language/schema/raw/master/csl-citation.json" }</w:instrText>
      </w:r>
      <w:r>
        <w:rPr>
          <w:rFonts w:cs="Times New Roman"/>
        </w:rPr>
        <w:fldChar w:fldCharType="separate"/>
      </w:r>
      <w:r>
        <w:rPr>
          <w:rFonts w:cs="Times New Roman"/>
          <w:noProof/>
        </w:rPr>
        <w:t>Schmidt et al. (</w:t>
      </w:r>
      <w:r w:rsidRPr="00926B50">
        <w:rPr>
          <w:rFonts w:cs="Times New Roman"/>
          <w:noProof/>
        </w:rPr>
        <w:t>2005)</w:t>
      </w:r>
      <w:r>
        <w:rPr>
          <w:rFonts w:cs="Times New Roman"/>
        </w:rPr>
        <w:fldChar w:fldCharType="end"/>
      </w:r>
      <w:r>
        <w:rPr>
          <w:rFonts w:cs="Times New Roman"/>
        </w:rPr>
        <w:t xml:space="preserve"> reported that increasing temperature results in the disappearance of polyborate rings and the formation of orthoborate </w:t>
      </w:r>
      <w:r>
        <w:rPr>
          <w:rFonts w:cs="Times New Roman"/>
          <w:vertAlign w:val="superscript"/>
        </w:rPr>
        <w:t>III</w:t>
      </w:r>
      <w:r>
        <w:rPr>
          <w:rFonts w:cs="Times New Roman"/>
        </w:rPr>
        <w:t xml:space="preserve">B species. In acidic solutions, the amount of </w:t>
      </w:r>
      <w:r>
        <w:rPr>
          <w:rFonts w:cs="Times New Roman"/>
          <w:vertAlign w:val="superscript"/>
        </w:rPr>
        <w:t>IV</w:t>
      </w:r>
      <w:r>
        <w:rPr>
          <w:rFonts w:cs="Times New Roman"/>
        </w:rPr>
        <w:t xml:space="preserve">B increases with temperature </w:t>
      </w:r>
      <w:r>
        <w:rPr>
          <w:rFonts w:cs="Times New Roman"/>
        </w:rPr>
        <w:fldChar w:fldCharType="begin" w:fldLock="1"/>
      </w:r>
      <w:r w:rsidR="00266290">
        <w:rPr>
          <w:rFonts w:cs="Times New Roman"/>
        </w:rPr>
        <w:instrText>ADDIN CSL_CITATION { "citationItems" : [ { "id" : "ITEM-1", "itemData" : { "DOI" : "10.1016/j.gca.2004.06.018", "ISBN" : "0016-7037", "ISSN" : "00167037", "abstract" : "The speciation of boron in H2O+H3 BO3??NaCl and H2O+Na2 B4O7 fluids was studied in situ at temperatures between 22 and 600??C and pressures from 0.1 MPa to ???2 GPa using Raman spectroscopy and a hydrothermal diamond anvil cell. Additionally, we determined the frequency shifts of the 877 cm-1 Raman line of [B(OH)3]0 in aqueous fluids with temperature (?????877/???T)p=0.1MPa = -0.02532 cm-1K-1 and pressure (?????877/???P)T=22??C = 4.06 cm-1GPa-1. The observed species in acidic fluids were [B(OH)3]0 and smaller amounts of a four-coordinated boron species which may be attributed to dissolved metaboric acid HBO2(aq). The ratio of this B[4]-O species to [B(OH)3]0 increases with temperature and decreases slightly with addition of NaCl. In alkaline solutions, polyboric ions depolymerize rapidly with temperature. Thus, [B(OH)3]0 and [B(OH)4]- were the only remaining detectable species at 500 and 600??C. The Raman spectra showed an increase of [B(OH)3]0 relative to [B(OH)4] - with temperature and an increase of [B(OH)4] - relative to [B(OH)3]0 with pressure. The general trend in the boron speciation is a higher stability of simpler complexes with temperature. The experimental observations strongly indicate that planar three-coordinated [B(OH)3] 0 is the predominant boron species in the aqueous phase over a wide range of P-T-pH conditions. This supports the validity of previous assumptions on boron coordination in crustal and mantle wedge fluids. Copyright ?? 2005 Elsevier Ltd.", "author" : [ { "dropping-particle" : "", "family" : "Schmidt", "given" : "C.", "non-dropping-particle" : "", "parse-names" : false, "suffix" : "" }, { "dropping-particle" : "", "family" : "Thomas", "given" : "R.", "non-dropping-particle" : "", "parse-names" : false, "suffix" : "" }, { "dropping-particle" : "", "family" : "Heinrich", "given" : "W.", "non-dropping-particle" : "", "parse-names" : false, "suffix" : "" } ], "container-title" : "Geochimica et Cosmochimica Acta", "id" : "ITEM-1", "issue" : "2", "issued" : { "date-parts" : [ [ "2005" ] ] }, "page" : "275-281", "title" : "Boron speciation in aqueous fluids at 22 to 600??C and 0.1 MPa to 2 GPa", "type" : "article-journal", "volume" : "69" }, "uris" : [ "http://www.mendeley.com/documents/?uuid=fdaf0934-e3de-4bbe-b754-f830c3c168cb" ] } ], "mendeley" : { "formattedCitation" : "(Schmidt et al., 2005)", "plainTextFormattedCitation" : "(Schmidt et al., 2005)", "previouslyFormattedCitation" : "(Schmidt et al. 2005)" }, "properties" : { "noteIndex" : 0 }, "schema" : "https://github.com/citation-style-language/schema/raw/master/csl-citation.json" }</w:instrText>
      </w:r>
      <w:r>
        <w:rPr>
          <w:rFonts w:cs="Times New Roman"/>
        </w:rPr>
        <w:fldChar w:fldCharType="separate"/>
      </w:r>
      <w:r w:rsidR="00266290" w:rsidRPr="00266290">
        <w:rPr>
          <w:rFonts w:cs="Times New Roman"/>
          <w:noProof/>
        </w:rPr>
        <w:t>(Schmidt et al., 2005)</w:t>
      </w:r>
      <w:r>
        <w:rPr>
          <w:rFonts w:cs="Times New Roman"/>
        </w:rPr>
        <w:fldChar w:fldCharType="end"/>
      </w:r>
      <w:r>
        <w:rPr>
          <w:rFonts w:cs="Times New Roman"/>
        </w:rPr>
        <w:t>.</w:t>
      </w:r>
      <w:r w:rsidRPr="00760FBE">
        <w:rPr>
          <w:rFonts w:cs="Times New Roman"/>
        </w:rPr>
        <w:t xml:space="preserve"> </w:t>
      </w:r>
      <w:r>
        <w:rPr>
          <w:rFonts w:cs="Times New Roman"/>
        </w:rPr>
        <w:t xml:space="preserve">The dominant coordination of B in aqueous solution at magmatic temperatures, i.e. ≥ 500°C, is as </w:t>
      </w:r>
      <w:r>
        <w:rPr>
          <w:rFonts w:cs="Times New Roman"/>
          <w:vertAlign w:val="superscript"/>
        </w:rPr>
        <w:t>III</w:t>
      </w:r>
      <w:r>
        <w:rPr>
          <w:rFonts w:cs="Times New Roman"/>
        </w:rPr>
        <w:t xml:space="preserve">B </w:t>
      </w:r>
      <w:r>
        <w:rPr>
          <w:rFonts w:cs="Times New Roman"/>
        </w:rPr>
        <w:fldChar w:fldCharType="begin" w:fldLock="1"/>
      </w:r>
      <w:r w:rsidR="00266290">
        <w:rPr>
          <w:rFonts w:cs="Times New Roman"/>
        </w:rPr>
        <w:instrText>ADDIN CSL_CITATION { "citationItems" : [ { "id" : "ITEM-1", "itemData" : { "DOI" : "10.1016/j.gca.2004.06.018", "ISBN" : "0016-7037", "ISSN" : "00167037", "abstract" : "The speciation of boron in H2O+H3 BO3??NaCl and H2O+Na2 B4O7 fluids was studied in situ at temperatures between 22 and 600??C and pressures from 0.1 MPa to ???2 GPa using Raman spectroscopy and a hydrothermal diamond anvil cell. Additionally, we determined the frequency shifts of the 877 cm-1 Raman line of [B(OH)3]0 in aqueous fluids with temperature (?????877/???T)p=0.1MPa = -0.02532 cm-1K-1 and pressure (?????877/???P)T=22??C = 4.06 cm-1GPa-1. The observed species in acidic fluids were [B(OH)3]0 and smaller amounts of a four-coordinated boron species which may be attributed to dissolved metaboric acid HBO2(aq). The ratio of this B[4]-O species to [B(OH)3]0 increases with temperature and decreases slightly with addition of NaCl. In alkaline solutions, polyboric ions depolymerize rapidly with temperature. Thus, [B(OH)3]0 and [B(OH)4]- were the only remaining detectable species at 500 and 600??C. The Raman spectra showed an increase of [B(OH)3]0 relative to [B(OH)4] - with temperature and an increase of [B(OH)4] - relative to [B(OH)3]0 with pressure. The general trend in the boron speciation is a higher stability of simpler complexes with temperature. The experimental observations strongly indicate that planar three-coordinated [B(OH)3] 0 is the predominant boron species in the aqueous phase over a wide range of P-T-pH conditions. This supports the validity of previous assumptions on boron coordination in crustal and mantle wedge fluids. Copyright ?? 2005 Elsevier Ltd.", "author" : [ { "dropping-particle" : "", "family" : "Schmidt", "given" : "C.", "non-dropping-particle" : "", "parse-names" : false, "suffix" : "" }, { "dropping-particle" : "", "family" : "Thomas", "given" : "R.", "non-dropping-particle" : "", "parse-names" : false, "suffix" : "" }, { "dropping-particle" : "", "family" : "Heinrich", "given" : "W.", "non-dropping-particle" : "", "parse-names" : false, "suffix" : "" } ], "container-title" : "Geochimica et Cosmochimica Acta", "id" : "ITEM-1", "issue" : "2", "issued" : { "date-parts" : [ [ "2005" ] ] }, "page" : "275-281", "title" : "Boron speciation in aqueous fluids at 22 to 600??C and 0.1 MPa to 2 GPa", "type" : "article-journal", "volume" : "69" }, "uris" : [ "http://www.mendeley.com/documents/?uuid=fdaf0934-e3de-4bbe-b754-f830c3c168cb" ] } ], "mendeley" : { "formattedCitation" : "(Schmidt et al., 2005)", "plainTextFormattedCitation" : "(Schmidt et al., 2005)", "previouslyFormattedCitation" : "(Schmidt et al. 2005)" }, "properties" : { "noteIndex" : 0 }, "schema" : "https://github.com/citation-style-language/schema/raw/master/csl-citation.json" }</w:instrText>
      </w:r>
      <w:r>
        <w:rPr>
          <w:rFonts w:cs="Times New Roman"/>
        </w:rPr>
        <w:fldChar w:fldCharType="separate"/>
      </w:r>
      <w:r w:rsidR="00266290" w:rsidRPr="00266290">
        <w:rPr>
          <w:rFonts w:cs="Times New Roman"/>
          <w:noProof/>
        </w:rPr>
        <w:t>(Schmidt et al., 2005)</w:t>
      </w:r>
      <w:r>
        <w:rPr>
          <w:rFonts w:cs="Times New Roman"/>
        </w:rPr>
        <w:fldChar w:fldCharType="end"/>
      </w:r>
      <w:r>
        <w:rPr>
          <w:rFonts w:cs="Times New Roman"/>
        </w:rPr>
        <w:t xml:space="preserve">. Therefore, the fractionation of </w:t>
      </w:r>
      <w:r>
        <w:rPr>
          <w:rFonts w:cs="Times New Roman"/>
          <w:vertAlign w:val="superscript"/>
        </w:rPr>
        <w:t>11</w:t>
      </w:r>
      <w:r>
        <w:rPr>
          <w:rFonts w:cs="Times New Roman"/>
        </w:rPr>
        <w:t xml:space="preserve">B and </w:t>
      </w:r>
      <w:r w:rsidRPr="00F36D18">
        <w:rPr>
          <w:rFonts w:cs="Times New Roman"/>
          <w:vertAlign w:val="superscript"/>
        </w:rPr>
        <w:t>1</w:t>
      </w:r>
      <w:r>
        <w:rPr>
          <w:rFonts w:cs="Times New Roman"/>
          <w:vertAlign w:val="superscript"/>
        </w:rPr>
        <w:t>0</w:t>
      </w:r>
      <w:r>
        <w:rPr>
          <w:rFonts w:cs="Times New Roman"/>
        </w:rPr>
        <w:t xml:space="preserve">B between their III- and IV-fold coordination polyhedra, respectively, which is the principal determinant in their fractionation, should be nil at magmatic temperatures. </w:t>
      </w:r>
    </w:p>
    <w:p w:rsidR="00665C0F" w:rsidRPr="000F00BF" w:rsidRDefault="00665C0F" w:rsidP="000F00BF">
      <w:pPr>
        <w:pStyle w:val="Heading4"/>
        <w:spacing w:line="480" w:lineRule="auto"/>
        <w:rPr>
          <w:rFonts w:cs="Times New Roman"/>
          <w:i w:val="0"/>
        </w:rPr>
      </w:pPr>
      <w:bookmarkStart w:id="121" w:name="_Toc491246033"/>
      <w:r w:rsidRPr="000F00BF">
        <w:rPr>
          <w:rFonts w:cs="Times New Roman"/>
          <w:i w:val="0"/>
        </w:rPr>
        <w:t>1.2.1</w:t>
      </w:r>
      <w:r w:rsidR="000F00BF" w:rsidRPr="000F00BF">
        <w:rPr>
          <w:rFonts w:cs="Times New Roman"/>
          <w:i w:val="0"/>
        </w:rPr>
        <w:t>.</w:t>
      </w:r>
      <w:r w:rsidRPr="000F00BF">
        <w:rPr>
          <w:rFonts w:cs="Times New Roman"/>
          <w:i w:val="0"/>
        </w:rPr>
        <w:t xml:space="preserve"> Boron in anhydrous glasses</w:t>
      </w:r>
      <w:bookmarkEnd w:id="121"/>
    </w:p>
    <w:p w:rsidR="00665C0F" w:rsidRDefault="00665C0F" w:rsidP="00665C0F">
      <w:pPr>
        <w:spacing w:line="480" w:lineRule="auto"/>
        <w:ind w:firstLine="720"/>
        <w:rPr>
          <w:rFonts w:cs="Times New Roman"/>
        </w:rPr>
      </w:pPr>
      <w:r>
        <w:rPr>
          <w:rFonts w:cs="Times New Roman"/>
        </w:rPr>
        <w:t xml:space="preserve">In silicate melt, boron can form large clusters of polyborate rings comprised of </w:t>
      </w:r>
      <w:r>
        <w:rPr>
          <w:rFonts w:cs="Times New Roman"/>
          <w:vertAlign w:val="superscript"/>
        </w:rPr>
        <w:t>III</w:t>
      </w:r>
      <w:r>
        <w:rPr>
          <w:rFonts w:cs="Times New Roman"/>
        </w:rPr>
        <w:t>B-</w:t>
      </w:r>
      <w:r>
        <w:rPr>
          <w:rFonts w:cs="Times New Roman"/>
          <w:vertAlign w:val="superscript"/>
        </w:rPr>
        <w:t>III</w:t>
      </w:r>
      <w:r>
        <w:rPr>
          <w:rFonts w:cs="Times New Roman"/>
        </w:rPr>
        <w:t xml:space="preserve">B, </w:t>
      </w:r>
      <w:r>
        <w:rPr>
          <w:rFonts w:cs="Times New Roman"/>
          <w:vertAlign w:val="superscript"/>
        </w:rPr>
        <w:t>IV</w:t>
      </w:r>
      <w:r>
        <w:rPr>
          <w:rFonts w:cs="Times New Roman"/>
        </w:rPr>
        <w:t>B-</w:t>
      </w:r>
      <w:r>
        <w:rPr>
          <w:rFonts w:cs="Times New Roman"/>
          <w:vertAlign w:val="superscript"/>
        </w:rPr>
        <w:t>IV</w:t>
      </w:r>
      <w:r>
        <w:rPr>
          <w:rFonts w:cs="Times New Roman"/>
        </w:rPr>
        <w:t xml:space="preserve">B, or </w:t>
      </w:r>
      <w:r>
        <w:rPr>
          <w:rFonts w:cs="Times New Roman"/>
          <w:vertAlign w:val="superscript"/>
        </w:rPr>
        <w:t>III</w:t>
      </w:r>
      <w:r>
        <w:rPr>
          <w:rFonts w:cs="Times New Roman"/>
        </w:rPr>
        <w:t>B-</w:t>
      </w:r>
      <w:r>
        <w:rPr>
          <w:rFonts w:cs="Times New Roman"/>
          <w:vertAlign w:val="superscript"/>
        </w:rPr>
        <w:t>IV</w:t>
      </w:r>
      <w:r>
        <w:rPr>
          <w:rFonts w:cs="Times New Roman"/>
        </w:rPr>
        <w:t xml:space="preserve">B polyanionic domains </w:t>
      </w:r>
      <w:r>
        <w:rPr>
          <w:rFonts w:cs="Times New Roman"/>
        </w:rPr>
        <w:fldChar w:fldCharType="begin" w:fldLock="1"/>
      </w:r>
      <w:r w:rsidR="00266290">
        <w:rPr>
          <w:rFonts w:cs="Times New Roman"/>
        </w:rPr>
        <w:instrText>ADDIN CSL_CITATION { "citationItems" : [ { "id" : "ITEM-1", "itemData" : { "author" : [ { "dropping-particle" : "", "family" : "Morgan", "given" : "George B.", "non-dropping-particle" : "", "parse-names" : false, "suffix" : "" }, { "dropping-particle" : "", "family" : "London", "given" : "David", "non-dropping-particle" : "", "parse-names" : false, "suffix" : "" }, { "dropping-particle" : "", "family" : "Kirkpatrick", "given" : "R. J.", "non-dropping-particle" : "", "parse-names" : false, "suffix" : "" } ], "container-title" : "Geological Society of America Abstracts with Programs", "id" : "ITEM-1", "issued" : { "date-parts" : [ [ "1990" ] ] }, "page" : "A167", "title" : "Reconnaissance spectroscopic study of hydrous sodium aluminum borosilicate glasses", "type" : "article-journal", "volume" : "22" }, "uris" : [ "http://www.mendeley.com/documents/?uuid=cc3e70f0-c557-4ebd-8dc5-d93f4d9372b4" ] } ], "mendeley" : { "formattedCitation" : "(Morgan et al., 1990)", "plainTextFormattedCitation" : "(Morgan et al., 1990)", "previouslyFormattedCitation" : "(Morgan et al. 1990)" }, "properties" : { "noteIndex" : 0 }, "schema" : "https://github.com/citation-style-language/schema/raw/master/csl-citation.json" }</w:instrText>
      </w:r>
      <w:r>
        <w:rPr>
          <w:rFonts w:cs="Times New Roman"/>
        </w:rPr>
        <w:fldChar w:fldCharType="separate"/>
      </w:r>
      <w:r w:rsidR="00266290" w:rsidRPr="00266290">
        <w:rPr>
          <w:rFonts w:cs="Times New Roman"/>
          <w:noProof/>
        </w:rPr>
        <w:t>(Morgan et al., 1990)</w:t>
      </w:r>
      <w:r>
        <w:rPr>
          <w:rFonts w:cs="Times New Roman"/>
        </w:rPr>
        <w:fldChar w:fldCharType="end"/>
      </w:r>
      <w:r>
        <w:rPr>
          <w:rFonts w:cs="Times New Roman"/>
        </w:rPr>
        <w:t xml:space="preserve"> in addition to the orthoborate </w:t>
      </w:r>
      <w:r>
        <w:rPr>
          <w:rFonts w:cs="Times New Roman"/>
          <w:vertAlign w:val="superscript"/>
        </w:rPr>
        <w:t>III</w:t>
      </w:r>
      <w:r>
        <w:rPr>
          <w:rFonts w:cs="Times New Roman"/>
        </w:rPr>
        <w:t xml:space="preserve">B and </w:t>
      </w:r>
      <w:r>
        <w:rPr>
          <w:rFonts w:cs="Times New Roman"/>
          <w:vertAlign w:val="superscript"/>
        </w:rPr>
        <w:t>IV</w:t>
      </w:r>
      <w:r>
        <w:rPr>
          <w:rFonts w:cs="Times New Roman"/>
        </w:rPr>
        <w:t xml:space="preserve">B geometries mentioned above </w:t>
      </w:r>
      <w:r>
        <w:rPr>
          <w:rFonts w:cs="Times New Roman"/>
        </w:rPr>
        <w:fldChar w:fldCharType="begin" w:fldLock="1"/>
      </w:r>
      <w:r w:rsidR="00266290">
        <w:rPr>
          <w:rFonts w:cs="Times New Roman"/>
        </w:rPr>
        <w:instrText>ADDIN CSL_CITATION { "citationItems" : [ { "id" : "ITEM-1", "itemData" : { "DOI" : "10.1016/0016-7037(88)90297-9", "ISSN" : "00167037", "PMID" : "12837", "abstract" : "Glasses along the join NaAlSi3O8-NaBSi3O8 and the end-member crystalline phases albite and reedmergnerite were investigated using 11B, 23Na, 27Al and 29Si MAS NMR spectroscopy and oxide-melt solution calorimetry. The glasses have substantial positive enthalpies of mixing described by the equation ??Hmix (kcal ?? mol t ??1) = 4.4(??1.0)X(1 - X), where X is the mole fraction Rd component. 11B MAS NMR spectra show that boron occurs in both trigonal and tetrahedral coordination in the glasses, with the percentage of B in trigonal coordination decreasing from about 60% at Rd20Ab80 to about 29% at Rd100. Thus, the glasses are structurally more complex than the end-member crystals which are tetrahedral framework minerals. The NMR data suggest that all or most of the Si, Al and tetrahedral B occur in Q4 (framework) sites. They are also consistent with the ideas that most of the tetrahedral B does not extensively copolymerize with trigonal boron, that at least some of the non-bridging oxygens formed by the presence of trigonal boron are located on SiO4 tetrahedra, and that Si and trigonal B do not occur as next-nearest neighbors. Both the NMR and the ?? Hmix results indicate the presence of clustering. Such clustering might involve separation into framework regions and regions dominated by trigonal boron and/or into B-rich and Al-rich framework regions. ?? 1988.", "author" : [ { "dropping-particle" : "", "family" : "Geisinger", "given" : "K. L.", "non-dropping-particle" : "", "parse-names" : false, "suffix" : "" }, { "dropping-particle" : "", "family" : "Oestrike", "given" : "R.", "non-dropping-particle" : "", "parse-names" : false, "suffix" : "" }, { "dropping-particle" : "", "family" : "Navrotsky", "given" : "A.", "non-dropping-particle" : "", "parse-names" : false, "suffix" : "" }, { "dropping-particle" : "", "family" : "Turner", "given" : "G. L.", "non-dropping-particle" : "", "parse-names" : false, "suffix" : "" }, { "dropping-particle" : "", "family" : "Kirkpatrick", "given" : "R. J.", "non-dropping-particle" : "", "parse-names" : false, "suffix" : "" } ], "container-title" : "Geochimica et Cosmochimica Acta", "id" : "ITEM-1", "issue" : "10", "issued" : { "date-parts" : [ [ "1988" ] ] }, "page" : "2405-2414", "title" : "Thermochemistry and structure of glasses along the join NaAlSi3O8-NaBSi3O8", "type" : "article-journal", "volume" : "52" }, "uris" : [ "http://www.mendeley.com/documents/?uuid=5e15e836-7536-4e66-9bb9-baac1709a3f6" ] } ], "mendeley" : { "formattedCitation" : "(Geisinger et al., 1988)", "plainTextFormattedCitation" : "(Geisinger et al., 1988)", "previouslyFormattedCitation" : "(Geisinger et al. 1988)" }, "properties" : { "noteIndex" : 0 }, "schema" : "https://github.com/citation-style-language/schema/raw/master/csl-citation.json" }</w:instrText>
      </w:r>
      <w:r>
        <w:rPr>
          <w:rFonts w:cs="Times New Roman"/>
        </w:rPr>
        <w:fldChar w:fldCharType="separate"/>
      </w:r>
      <w:r w:rsidR="00266290" w:rsidRPr="00266290">
        <w:rPr>
          <w:rFonts w:cs="Times New Roman"/>
          <w:noProof/>
        </w:rPr>
        <w:t>(Geisinger et al., 1988)</w:t>
      </w:r>
      <w:r>
        <w:rPr>
          <w:rFonts w:cs="Times New Roman"/>
        </w:rPr>
        <w:fldChar w:fldCharType="end"/>
      </w:r>
      <w:r>
        <w:rPr>
          <w:rFonts w:cs="Times New Roman"/>
        </w:rPr>
        <w:t xml:space="preserve">. Spectroscopic data of anhydrous sodium and calcium aluminosilicate compositions shows that </w:t>
      </w:r>
      <w:r w:rsidRPr="00DF3977">
        <w:rPr>
          <w:rFonts w:cs="Times New Roman"/>
        </w:rPr>
        <w:t xml:space="preserve">the fraction of </w:t>
      </w:r>
      <w:r w:rsidRPr="00DF3977">
        <w:rPr>
          <w:rFonts w:cs="Times New Roman"/>
          <w:vertAlign w:val="superscript"/>
        </w:rPr>
        <w:t>III</w:t>
      </w:r>
      <w:r w:rsidRPr="00DF3977">
        <w:rPr>
          <w:rFonts w:cs="Times New Roman"/>
        </w:rPr>
        <w:t>B increases with increasing temperature, field strength of the modifier</w:t>
      </w:r>
      <w:r>
        <w:rPr>
          <w:rFonts w:cs="Times New Roman"/>
        </w:rPr>
        <w:t xml:space="preserve"> cation (Ca</w:t>
      </w:r>
      <w:r w:rsidRPr="00762A03">
        <w:rPr>
          <w:rFonts w:cs="Times New Roman"/>
          <w:vertAlign w:val="superscript"/>
        </w:rPr>
        <w:t>2+</w:t>
      </w:r>
      <w:r>
        <w:rPr>
          <w:rFonts w:cs="Times New Roman"/>
        </w:rPr>
        <w:t xml:space="preserve"> &gt; Na</w:t>
      </w:r>
      <w:r w:rsidRPr="00762A03">
        <w:rPr>
          <w:rFonts w:cs="Times New Roman"/>
          <w:vertAlign w:val="superscript"/>
        </w:rPr>
        <w:t>+</w:t>
      </w:r>
      <w:r>
        <w:rPr>
          <w:rFonts w:cs="Times New Roman"/>
        </w:rPr>
        <w:t xml:space="preserve">), B content, and aluminosity of melt </w:t>
      </w:r>
      <w:r>
        <w:rPr>
          <w:rFonts w:cs="Times New Roman"/>
        </w:rPr>
        <w:fldChar w:fldCharType="begin" w:fldLock="1"/>
      </w:r>
      <w:r w:rsidR="00266290">
        <w:rPr>
          <w:rFonts w:cs="Times New Roman"/>
        </w:rPr>
        <w:instrText>ADDIN CSL_CITATION { "citationItems" : [ { "id" : "ITEM-1", "itemData" : { "DOI" : "10.1016/j.jnoncrysol.2009.01.025", "ISBN" : "0022-3093", "ISSN" : "00223093", "abstract" : "Among the most important adjustable compositional variables in controlling glass and glass-melt properties are the relative proportions of network modifiers with varying cation field strength (ratio of charge to radius). Here we determine the details of structural changes caused by variations in the ratio CaO/Na2O in two series of aluminoborosilicate glasses with different contents of boron oxide. Using high-resolution, high field 11B and 27Al MAS NMR, we report precise values of contents of three- and four-coordinated boron (N4) and of four- and five-coordinated aluminum ([5]Al), and calculate fractions of non-bridging oxygens (NBOs). Increasing CaO/Na2O dramatically lowers N4 and increases NBO and [5]Al, but effects are non-linear with composition. Boron content affects these trends because of energetic constraints of mixing of various network cations. 23Na spectra reveal slight but systematic increases in the mean Na-O distance with increasing CaO/Na2O, suggesting that in Ca-rich glasses, Na+ has a higher ratio of bridging to non-bridging oxygens in its coordination shell. All of these changes can be understood by the tendency of higher field strength modifier cations to promote the concentration of negative charges on non-bridging oxygens in their local coordination environment, systematically converting four- to three-coordinated boron. ?? 2009 Elsevier B.V. All rights reserved.", "author" : [ { "dropping-particle" : "", "family" : "Wu", "given" : "Jingshi", "non-dropping-particle" : "", "parse-names" : false, "suffix" : "" }, { "dropping-particle" : "", "family" : "Stebbins", "given" : "Jonathan F.", "non-dropping-particle" : "", "parse-names" : false, "suffix" : "" } ], "container-title" : "Journal of Non-Crystalline Solids", "id" : "ITEM-1", "issue" : "9", "issued" : { "date-parts" : [ [ "2009" ] ] }, "page" : "556-562", "publisher" : "Elsevier B.V.", "title" : "Effects of cation field strength on the structure of aluminoborosilicate glasses: High-resolution 11B, 27Al and 23Na MAS NMR", "type" : "article-journal", "volume" : "355" }, "uris" : [ "http://www.mendeley.com/documents/?uuid=a09909c3-bc13-42dc-8c5a-c9b9358a59c8" ] }, { "id" : "ITEM-2", "itemData" : { "DOI" : "10.1016/j.jnoncrysol.2012.11.005", "ISBN" : "0022-3093", "ISSN" : "00223093", "abstract" : "The effect of temperature on the structure of barium aluminoborosilicate liquids has been studied by 11B, 27Al, and 17O MAS NMR spectroscopies using glass samples prepared with different cooling rates and thus different fictive temperatures. Concentrations of BO3 groups and of non-bridging oxygen (NBO) increase with increasing fictive temperature. The abundance of boron structural groups and NBO quantified by 11B MAS NMR and 17O MAS NMR confirms that the change of NBO corresponds to the boron coordination change through the structural reaction BO4 ?????. ?? 2012 Elsevier B.V. All rights reserved.", "author" : [ { "dropping-particle" : "", "family" : "Wu", "given" : "Jingshi", "non-dropping-particle" : "", "parse-names" : false, "suffix" : "" }, { "dropping-particle" : "", "family" : "Stebbins", "given" : "Jonathan F.", "non-dropping-particle" : "", "parse-names" : false, "suffix" : "" } ], "container-title" : "Journal of Non-Crystalline Solids", "id" : "ITEM-2", "issue" : "1", "issued" : { "date-parts" : [ [ "2013" ] ] }, "page" : "73-81", "title" : "Temperature and modifier cation field strength effects on aluminoborosilicate glass network structure", "type" : "article-journal", "volume" : "362" }, "uris" : [ "http://www.mendeley.com/documents/?uuid=5f266968-e2f4-4a27-b34e-fb65824ed6fc" ] }, { "id" : "ITEM-3", "itemData" : { "DOI" : "10.1016/j.jnoncrysol.2010.08.015", "ISBN" : "0022-3093", "ISSN" : "00223093", "abstract" : "The effect of temperature on the structure of aluminoborosilicate liquids has been studied by 11B MAS NMR, 11B 3QMAS NMR, 23Na and 27Al MAS NMR spectroscopies using glass samples prepared with different cooling rates and thus different fictive temperatures. The abundance of BO3 group and non-bridging oxygen (NBO) increases with increasing fictive temperature, indicating that the reaction BO4 ? BO3 + NBO shifts to the right with increasing temperature. The observed temperature dependence of BO4 species abundance allows us to estimate the ?H of this reaction to be 24 to 50 kJ mol-1 in different glass compositions, and closely related with the amount of NBOs in the glass. Configurational heat capacities have been measured by differential scanning calorimetry (DSC). We found that the redistribution of boron species (BO4/BO3) contributes a varying range of configurational heat capacity, from 7% to 30%, with different glass compositions. 11B 3QMAS NMR indicates two different BO3 sites, the populations of which are also affected by fictive temperature. The exchange between two different BO3 sites should also contribute to configurational heat capacity. ?? 2010 Elsevier B.V.", "author" : [ { "dropping-particle" : "", "family" : "Wu", "given" : "Jingshi", "non-dropping-particle" : "", "parse-names" : false, "suffix" : "" }, { "dropping-particle" : "", "family" : "Stebbins", "given" : "Jonathan F.", "non-dropping-particle" : "", "parse-names" : false, "suffix" : "" } ], "container-title" : "Journal of Non-Crystalline Solids", "id" : "ITEM-3", "issue" : "41-42", "issued" : { "date-parts" : [ [ "2010" ] ] }, "page" : "2097-2108", "publisher" : "Elsevier B.V.", "title" : "Quench rate and temperature effects on boron coordination in aluminoborosilicate melts", "type" : "article-journal", "volume" : "356" }, "uris" : [ "http://www.mendeley.com/documents/?uuid=7352c2af-34f3-4dee-9fde-1eb40a3e94cf" ] }, { "id" : "ITEM-4", "itemData" : { "DOI" : "10.1016/j.jnoncrysol.2011.08.013", "ISSN" : "00223093", "abstract" : "In situ high-temperature nuclear magnetic resonance (NMR) spectroscopy can be very useful for probing changes in structure and dynamics in glass-forming liquids, and is a unique method for observing chemical exchange among structural species (e.g. BO3-BO4, Qn-Qn+1, and NBO-BO) at the seconds to microseconds time scales. High-temperature 11B MAS NMR line shape measurements were made at about 100 K above the glass transitions on (Na2O)0.3(B2O 3)0.7 and (Na2O)0.2(B 2O3)0.21(Al2O3) 0.08(SiO2)0.51 glass-forming liquids. BO 3 and BO4 groups are well resolved in 11B MAS NMR spectra at 14.1 T with sample spinning at 5000 Hz. At higher temperatures, partial peak coalescence occurred due to exchange of BO3 and BO 4. Temperature effects on borate speciation were also determined by varying the fictive temperature (Tf) of glasses, where Tf estimated from differential scanning calorimetry measurements. We combined these complementary data sets to model structural exchange in the liquid state. The time scale of BO3-BO4 exchange from NMR data, ??NMR, appears to be \"decoupled\" from that of the macroscopic shear relaxation process ??s derived from the viscosity, however, at higher temperatures, ??s approaches ??NMR. The \"decoupling\" at lower temperature may be related to intermediate-range compositional heterogeneities, and/or fast modifier cation diffusivities which trigger \"unsuccessful\" network exchange events. ?? 2011 Elsevier B.V. All Rights Reserved.", "author" : [ { "dropping-particle" : "", "family" : "Wu", "given" : "Jingshi", "non-dropping-particle" : "", "parse-names" : false, "suffix" : "" }, { "dropping-particle" : "", "family" : "Potuzak", "given" : "Marcel", "non-dropping-particle" : "", "parse-names" : false, "suffix" : "" }, { "dropping-particle" : "", "family" : "Stebbins", "given" : "Jonathan F.", "non-dropping-particle" : "", "parse-names" : false, "suffix" : "" } ], "container-title" : "Journal of Non-Crystalline Solids", "id" : "ITEM-4", "issue" : "24", "issued" : { "date-parts" : [ [ "2011" ] ] }, "page" : "3944-3951", "publisher" : "Elsevier B.V.", "title" : "High-temperature in situ 11B NMR study of network dynamics in boron-containing glass-forming liquids", "type" : "article-journal", "volume" : "357" }, "uris" : [ "http://www.mendeley.com/documents/?uuid=abbb2021-7053-44da-8e4d-9282696252f2" ] } ], "mendeley" : { "formattedCitation" : "(Wu et al., 2011; Wu and Stebbins, 2013, 2010, 2009)", "plainTextFormattedCitation" : "(Wu et al., 2011; Wu and Stebbins, 2013, 2010, 2009)", "previouslyFormattedCitation" : "(Wu and Stebbins 2009, 2010, 2013; Wu et al. 2011)" }, "properties" : { "noteIndex" : 0 }, "schema" : "https://github.com/citation-style-language/schema/raw/master/csl-citation.json" }</w:instrText>
      </w:r>
      <w:r>
        <w:rPr>
          <w:rFonts w:cs="Times New Roman"/>
        </w:rPr>
        <w:fldChar w:fldCharType="separate"/>
      </w:r>
      <w:r w:rsidR="00266290" w:rsidRPr="00266290">
        <w:rPr>
          <w:rFonts w:cs="Times New Roman"/>
          <w:noProof/>
        </w:rPr>
        <w:t xml:space="preserve">(Wu et al., 2011; </w:t>
      </w:r>
      <w:r w:rsidR="00266290" w:rsidRPr="00266290">
        <w:rPr>
          <w:rFonts w:cs="Times New Roman"/>
          <w:noProof/>
        </w:rPr>
        <w:lastRenderedPageBreak/>
        <w:t>Wu and Stebbins, 2013, 2010, 2009)</w:t>
      </w:r>
      <w:r>
        <w:rPr>
          <w:rFonts w:cs="Times New Roman"/>
        </w:rPr>
        <w:fldChar w:fldCharType="end"/>
      </w:r>
      <w:r>
        <w:rPr>
          <w:rFonts w:cs="Times New Roman"/>
        </w:rPr>
        <w:t xml:space="preserve">. </w:t>
      </w:r>
      <w:r>
        <w:rPr>
          <w:rFonts w:cs="Times New Roman"/>
        </w:rPr>
        <w:fldChar w:fldCharType="begin" w:fldLock="1"/>
      </w:r>
      <w:r w:rsidR="00266290">
        <w:rPr>
          <w:rFonts w:cs="Times New Roman"/>
        </w:rPr>
        <w:instrText>ADDIN CSL_CITATION { "citationItems" : [ { "id" : "ITEM-1", "itemData" : { "DOI" : "10.1016/0016-7037(88)90297-9", "ISSN" : "00167037", "PMID" : "12837", "abstract" : "Glasses along the join NaAlSi3O8-NaBSi3O8 and the end-member crystalline phases albite and reedmergnerite were investigated using 11B, 23Na, 27Al and 29Si MAS NMR spectroscopy and oxide-melt solution calorimetry. The glasses have substantial positive enthalpies of mixing described by the equation ??Hmix (kcal ?? mol t ??1) = 4.4(??1.0)X(1 - X), where X is the mole fraction Rd component. 11B MAS NMR spectra show that boron occurs in both trigonal and tetrahedral coordination in the glasses, with the percentage of B in trigonal coordination decreasing from about 60% at Rd20Ab80 to about 29% at Rd100. Thus, the glasses are structurally more complex than the end-member crystals which are tetrahedral framework minerals. The NMR data suggest that all or most of the Si, Al and tetrahedral B occur in Q4 (framework) sites. They are also consistent with the ideas that most of the tetrahedral B does not extensively copolymerize with trigonal boron, that at least some of the non-bridging oxygens formed by the presence of trigonal boron are located on SiO4 tetrahedra, and that Si and trigonal B do not occur as next-nearest neighbors. Both the NMR and the ?? Hmix results indicate the presence of clustering. Such clustering might involve separation into framework regions and regions dominated by trigonal boron and/or into B-rich and Al-rich framework regions. ?? 1988.", "author" : [ { "dropping-particle" : "", "family" : "Geisinger", "given" : "K. L.", "non-dropping-particle" : "", "parse-names" : false, "suffix" : "" }, { "dropping-particle" : "", "family" : "Oestrike", "given" : "R.", "non-dropping-particle" : "", "parse-names" : false, "suffix" : "" }, { "dropping-particle" : "", "family" : "Navrotsky", "given" : "A.", "non-dropping-particle" : "", "parse-names" : false, "suffix" : "" }, { "dropping-particle" : "", "family" : "Turner", "given" : "G. L.", "non-dropping-particle" : "", "parse-names" : false, "suffix" : "" }, { "dropping-particle" : "", "family" : "Kirkpatrick", "given" : "R. J.", "non-dropping-particle" : "", "parse-names" : false, "suffix" : "" } ], "container-title" : "Geochimica et Cosmochimica Acta", "id" : "ITEM-1", "issue" : "10", "issued" : { "date-parts" : [ [ "1988" ] ] }, "page" : "2405-2414", "title" : "Thermochemistry and structure of glasses along the join NaAlSi3O8-NaBSi3O8", "type" : "article-journal", "volume" : "52" }, "uris" : [ "http://www.mendeley.com/documents/?uuid=5e15e836-7536-4e66-9bb9-baac1709a3f6" ] } ], "mendeley" : { "formattedCitation" : "(Geisinger et al., 1988)", "manualFormatting" : "Geisinger et al. (1988)", "plainTextFormattedCitation" : "(Geisinger et al., 1988)", "previouslyFormattedCitation" : "(Geisinger et al. 1988)" }, "properties" : { "noteIndex" : 0 }, "schema" : "https://github.com/citation-style-language/schema/raw/master/csl-citation.json" }</w:instrText>
      </w:r>
      <w:r>
        <w:rPr>
          <w:rFonts w:cs="Times New Roman"/>
        </w:rPr>
        <w:fldChar w:fldCharType="separate"/>
      </w:r>
      <w:r>
        <w:rPr>
          <w:rFonts w:cs="Times New Roman"/>
          <w:noProof/>
        </w:rPr>
        <w:t>Geisinger et al. (</w:t>
      </w:r>
      <w:r w:rsidRPr="00345FB7">
        <w:rPr>
          <w:rFonts w:cs="Times New Roman"/>
          <w:noProof/>
        </w:rPr>
        <w:t>1988)</w:t>
      </w:r>
      <w:r>
        <w:rPr>
          <w:rFonts w:cs="Times New Roman"/>
        </w:rPr>
        <w:fldChar w:fldCharType="end"/>
      </w:r>
      <w:r>
        <w:rPr>
          <w:rFonts w:cs="Times New Roman"/>
        </w:rPr>
        <w:t xml:space="preserve"> measured the coordination of B in melt along the dry albite (Ab: NaAlSi</w:t>
      </w:r>
      <w:r>
        <w:rPr>
          <w:rFonts w:cs="Times New Roman"/>
          <w:vertAlign w:val="subscript"/>
        </w:rPr>
        <w:t>3</w:t>
      </w:r>
      <w:r>
        <w:rPr>
          <w:rFonts w:cs="Times New Roman"/>
        </w:rPr>
        <w:t>O</w:t>
      </w:r>
      <w:r>
        <w:rPr>
          <w:rFonts w:cs="Times New Roman"/>
          <w:vertAlign w:val="subscript"/>
        </w:rPr>
        <w:t>8</w:t>
      </w:r>
      <w:r>
        <w:rPr>
          <w:rFonts w:cs="Times New Roman"/>
        </w:rPr>
        <w:t>)-reedmergnerite (Rd: NaBSi</w:t>
      </w:r>
      <w:r>
        <w:rPr>
          <w:rFonts w:cs="Times New Roman"/>
          <w:vertAlign w:val="subscript"/>
        </w:rPr>
        <w:t>3</w:t>
      </w:r>
      <w:r>
        <w:rPr>
          <w:rFonts w:cs="Times New Roman"/>
        </w:rPr>
        <w:t>O</w:t>
      </w:r>
      <w:r>
        <w:rPr>
          <w:rFonts w:cs="Times New Roman"/>
          <w:vertAlign w:val="subscript"/>
        </w:rPr>
        <w:t>8</w:t>
      </w:r>
      <w:r>
        <w:rPr>
          <w:rFonts w:cs="Times New Roman"/>
        </w:rPr>
        <w:t xml:space="preserve">) join and found that the amount of </w:t>
      </w:r>
      <w:r>
        <w:rPr>
          <w:rFonts w:cs="Times New Roman"/>
          <w:vertAlign w:val="superscript"/>
        </w:rPr>
        <w:t>III</w:t>
      </w:r>
      <w:r>
        <w:rPr>
          <w:rFonts w:cs="Times New Roman"/>
        </w:rPr>
        <w:t>B decreases from ~ 60% at Ab</w:t>
      </w:r>
      <w:r w:rsidRPr="00BA1ECA">
        <w:rPr>
          <w:rFonts w:cs="Times New Roman"/>
          <w:vertAlign w:val="subscript"/>
        </w:rPr>
        <w:t>80</w:t>
      </w:r>
      <w:r>
        <w:rPr>
          <w:rFonts w:cs="Times New Roman"/>
        </w:rPr>
        <w:t>Rd</w:t>
      </w:r>
      <w:r w:rsidRPr="00BA1ECA">
        <w:rPr>
          <w:rFonts w:cs="Times New Roman"/>
          <w:vertAlign w:val="subscript"/>
        </w:rPr>
        <w:t>20</w:t>
      </w:r>
      <w:r>
        <w:rPr>
          <w:rFonts w:cs="Times New Roman"/>
        </w:rPr>
        <w:t xml:space="preserve"> to ~ 25%Rd</w:t>
      </w:r>
      <w:r w:rsidRPr="00BA1ECA">
        <w:rPr>
          <w:rFonts w:cs="Times New Roman"/>
          <w:vertAlign w:val="subscript"/>
        </w:rPr>
        <w:t>100</w:t>
      </w:r>
      <w:r>
        <w:rPr>
          <w:rFonts w:cs="Times New Roman"/>
        </w:rPr>
        <w:t xml:space="preserve">. </w:t>
      </w:r>
    </w:p>
    <w:p w:rsidR="00665C0F" w:rsidRPr="000F00BF" w:rsidRDefault="00665C0F" w:rsidP="000F00BF">
      <w:pPr>
        <w:pStyle w:val="Heading4"/>
        <w:spacing w:line="480" w:lineRule="auto"/>
        <w:rPr>
          <w:rFonts w:cs="Times New Roman"/>
          <w:i w:val="0"/>
        </w:rPr>
      </w:pPr>
      <w:bookmarkStart w:id="122" w:name="_Toc491246034"/>
      <w:r w:rsidRPr="000F00BF">
        <w:rPr>
          <w:rFonts w:cs="Times New Roman"/>
          <w:i w:val="0"/>
        </w:rPr>
        <w:t>1.2.2</w:t>
      </w:r>
      <w:r w:rsidR="000F00BF" w:rsidRPr="000F00BF">
        <w:rPr>
          <w:rFonts w:cs="Times New Roman"/>
          <w:i w:val="0"/>
        </w:rPr>
        <w:t>.</w:t>
      </w:r>
      <w:r w:rsidRPr="000F00BF">
        <w:rPr>
          <w:rFonts w:cs="Times New Roman"/>
          <w:i w:val="0"/>
        </w:rPr>
        <w:t xml:space="preserve"> Boron in hydrous glasses</w:t>
      </w:r>
      <w:bookmarkEnd w:id="122"/>
    </w:p>
    <w:p w:rsidR="00665C0F" w:rsidRDefault="00665C0F" w:rsidP="00665C0F">
      <w:pPr>
        <w:spacing w:line="480" w:lineRule="auto"/>
        <w:ind w:firstLine="720"/>
        <w:rPr>
          <w:rFonts w:cs="Times New Roman"/>
        </w:rPr>
      </w:pPr>
      <w:r>
        <w:rPr>
          <w:rFonts w:cs="Times New Roman"/>
        </w:rPr>
        <w:fldChar w:fldCharType="begin" w:fldLock="1"/>
      </w:r>
      <w:r w:rsidR="00266290">
        <w:rPr>
          <w:rFonts w:cs="Times New Roman"/>
        </w:rPr>
        <w:instrText>ADDIN CSL_CITATION { "citationItems" : [ { "id" : "ITEM-1", "itemData" : { "DOI" : "10.1016/j.jnoncrysol.2004.04.007", "ISSN" : "00223093", "abstract" : "A combined nuclear magnetic resonance, infrared and Raman spectroscopic study on the effect of water dissolution on the structure of B-bearing aluminosilicate glasses is presented. The base composition was albite (NaAlSi3O8) to which different amounts of B 2O3 (4.8, 9.1, 16.7 wt%) were added. Hydrous glasses containing 4.4??0.1 wt% water were synthesized at pressures of 2000 bar. The results show that B dissolves in both dry and hydrous glasses by forming predominantly trigonal BO3 groups although some tetrahedral BO 4 is also present. In anhydrous glasses prepared at high pressures (above 10 kbar) the fraction of BO4 increased. The hydrous glasses contain more BO4 groups compared to the dry counterparts, suggesting that this species is stabilized by water. The Raman and NMR (17O, 27Al, 29Si) spectra show that B interacts with the aluminosilicate network by formation of Si-O-B and probably Al-O-B units. In the hydrous glasses the water speciation changes significantly towards higher hydroxyl concentrations with increasing B-content. The NIR peaks, which are related to OH groups and molecular H2O, develop additional shoulders, suggesting that possibly B-OH complexes are formed. ?? 2004 Elsevier B.V. All rights reserved.", "author" : [ { "dropping-particle" : "", "family" : "Schmidt", "given" : "Burkhard C.", "non-dropping-particle" : "", "parse-names" : false, "suffix" : "" }, { "dropping-particle" : "", "family" : "Zotov", "given" : "Nikolay", "non-dropping-particle" : "", "parse-names" : false, "suffix" : "" }, { "dropping-particle" : "", "family" : "Dupree", "given" : "Ray", "non-dropping-particle" : "", "parse-names" : false, "suffix" : "" } ], "container-title" : "Journal of Non-Crystalline Solids", "id" : "ITEM-1", "issue" : "3", "issued" : { "date-parts" : [ [ "2004" ] ] }, "page" : "207-219", "title" : "Structural implications of water and boron dissolution in albite glass", "type" : "article-journal", "volume" : "337" }, "uris" : [ "http://www.mendeley.com/documents/?uuid=895c2d89-f5d3-433c-8db1-5f9d45da1199" ] } ], "mendeley" : { "formattedCitation" : "(Schmidt et al., 2004)", "manualFormatting" : "Schmidt et al. (2004)", "plainTextFormattedCitation" : "(Schmidt et al., 2004)", "previouslyFormattedCitation" : "(Schmidt et al. 2004)" }, "properties" : { "noteIndex" : 0 }, "schema" : "https://github.com/citation-style-language/schema/raw/master/csl-citation.json" }</w:instrText>
      </w:r>
      <w:r>
        <w:rPr>
          <w:rFonts w:cs="Times New Roman"/>
        </w:rPr>
        <w:fldChar w:fldCharType="separate"/>
      </w:r>
      <w:r w:rsidRPr="00BA1ECA">
        <w:rPr>
          <w:rFonts w:cs="Times New Roman"/>
          <w:noProof/>
        </w:rPr>
        <w:t xml:space="preserve">Schmidt et </w:t>
      </w:r>
      <w:r>
        <w:rPr>
          <w:rFonts w:cs="Times New Roman"/>
          <w:noProof/>
        </w:rPr>
        <w:t>al. (</w:t>
      </w:r>
      <w:r w:rsidRPr="00BA1ECA">
        <w:rPr>
          <w:rFonts w:cs="Times New Roman"/>
          <w:noProof/>
        </w:rPr>
        <w:t>2004)</w:t>
      </w:r>
      <w:r>
        <w:rPr>
          <w:rFonts w:cs="Times New Roman"/>
        </w:rPr>
        <w:fldChar w:fldCharType="end"/>
      </w:r>
      <w:r>
        <w:rPr>
          <w:rFonts w:cs="Times New Roman"/>
        </w:rPr>
        <w:t xml:space="preserve"> observed that the fraction of </w:t>
      </w:r>
      <w:r w:rsidRPr="00AF41D8">
        <w:rPr>
          <w:rFonts w:cs="Times New Roman"/>
          <w:vertAlign w:val="superscript"/>
        </w:rPr>
        <w:t>III</w:t>
      </w:r>
      <w:r>
        <w:rPr>
          <w:rFonts w:cs="Times New Roman"/>
        </w:rPr>
        <w:t>B in anhydrous and hydrous (~ 4 wt% H</w:t>
      </w:r>
      <w:r>
        <w:rPr>
          <w:rFonts w:cs="Times New Roman"/>
          <w:vertAlign w:val="subscript"/>
        </w:rPr>
        <w:t>2</w:t>
      </w:r>
      <w:r>
        <w:rPr>
          <w:rFonts w:cs="Times New Roman"/>
        </w:rPr>
        <w:t>O) albite glasses with B contents of 4.8, 9.1, and 16.7 wt% B</w:t>
      </w:r>
      <w:r>
        <w:rPr>
          <w:rFonts w:cs="Times New Roman"/>
          <w:vertAlign w:val="subscript"/>
        </w:rPr>
        <w:t>2</w:t>
      </w:r>
      <w:r>
        <w:rPr>
          <w:rFonts w:cs="Times New Roman"/>
        </w:rPr>
        <w:t>O</w:t>
      </w:r>
      <w:r>
        <w:rPr>
          <w:rFonts w:cs="Times New Roman"/>
          <w:vertAlign w:val="subscript"/>
        </w:rPr>
        <w:t>3</w:t>
      </w:r>
      <w:r>
        <w:rPr>
          <w:rFonts w:cs="Times New Roman"/>
        </w:rPr>
        <w:t xml:space="preserve"> is ~ 0.94. Increasing B</w:t>
      </w:r>
      <w:r>
        <w:rPr>
          <w:rFonts w:cs="Times New Roman"/>
          <w:vertAlign w:val="subscript"/>
        </w:rPr>
        <w:t>2</w:t>
      </w:r>
      <w:r>
        <w:rPr>
          <w:rFonts w:cs="Times New Roman"/>
        </w:rPr>
        <w:t>O</w:t>
      </w:r>
      <w:r>
        <w:rPr>
          <w:rFonts w:cs="Times New Roman"/>
          <w:vertAlign w:val="subscript"/>
        </w:rPr>
        <w:t>3</w:t>
      </w:r>
      <w:r>
        <w:rPr>
          <w:rFonts w:cs="Times New Roman"/>
        </w:rPr>
        <w:t xml:space="preserve"> and H</w:t>
      </w:r>
      <w:r>
        <w:rPr>
          <w:rFonts w:cs="Times New Roman"/>
          <w:vertAlign w:val="subscript"/>
        </w:rPr>
        <w:t>2</w:t>
      </w:r>
      <w:r>
        <w:rPr>
          <w:rFonts w:cs="Times New Roman"/>
        </w:rPr>
        <w:t xml:space="preserve">O led to a slight (&lt; 2 %) increase in the fraction of </w:t>
      </w:r>
      <w:r w:rsidRPr="00AF41D8">
        <w:rPr>
          <w:rFonts w:cs="Times New Roman"/>
          <w:vertAlign w:val="superscript"/>
        </w:rPr>
        <w:t>IV</w:t>
      </w:r>
      <w:r>
        <w:rPr>
          <w:rFonts w:cs="Times New Roman"/>
        </w:rPr>
        <w:t xml:space="preserve">B. </w:t>
      </w:r>
      <w:r>
        <w:rPr>
          <w:rFonts w:cs="Times New Roman"/>
        </w:rPr>
        <w:fldChar w:fldCharType="begin" w:fldLock="1"/>
      </w:r>
      <w:r w:rsidR="00266290">
        <w:rPr>
          <w:rFonts w:cs="Times New Roman"/>
        </w:rPr>
        <w:instrText>ADDIN CSL_CITATION { "citationItems" : [ { "id" : "ITEM-1", "itemData" : { "DOI" : "10.1016/j.jnoncrysol.2004.04.007", "ISSN" : "00223093", "abstract" : "A combined nuclear magnetic resonance, infrared and Raman spectroscopic study on the effect of water dissolution on the structure of B-bearing aluminosilicate glasses is presented. The base composition was albite (NaAlSi3O8) to which different amounts of B 2O3 (4.8, 9.1, 16.7 wt%) were added. Hydrous glasses containing 4.4??0.1 wt% water were synthesized at pressures of 2000 bar. The results show that B dissolves in both dry and hydrous glasses by forming predominantly trigonal BO3 groups although some tetrahedral BO 4 is also present. In anhydrous glasses prepared at high pressures (above 10 kbar) the fraction of BO4 increased. The hydrous glasses contain more BO4 groups compared to the dry counterparts, suggesting that this species is stabilized by water. The Raman and NMR (17O, 27Al, 29Si) spectra show that B interacts with the aluminosilicate network by formation of Si-O-B and probably Al-O-B units. In the hydrous glasses the water speciation changes significantly towards higher hydroxyl concentrations with increasing B-content. The NIR peaks, which are related to OH groups and molecular H2O, develop additional shoulders, suggesting that possibly B-OH complexes are formed. ?? 2004 Elsevier B.V. All rights reserved.", "author" : [ { "dropping-particle" : "", "family" : "Schmidt", "given" : "Burkhard C.", "non-dropping-particle" : "", "parse-names" : false, "suffix" : "" }, { "dropping-particle" : "", "family" : "Zotov", "given" : "Nikolay", "non-dropping-particle" : "", "parse-names" : false, "suffix" : "" }, { "dropping-particle" : "", "family" : "Dupree", "given" : "Ray", "non-dropping-particle" : "", "parse-names" : false, "suffix" : "" } ], "container-title" : "Journal of Non-Crystalline Solids", "id" : "ITEM-1", "issue" : "3", "issued" : { "date-parts" : [ [ "2004" ] ] }, "page" : "207-219", "title" : "Structural implications of water and boron dissolution in albite glass", "type" : "article-journal", "volume" : "337" }, "uris" : [ "http://www.mendeley.com/documents/?uuid=895c2d89-f5d3-433c-8db1-5f9d45da1199" ] } ], "mendeley" : { "formattedCitation" : "(Schmidt et al., 2004)", "manualFormatting" : "Schmidt et al. (2004)", "plainTextFormattedCitation" : "(Schmidt et al., 2004)", "previouslyFormattedCitation" : "(Schmidt et al. 2004)" }, "properties" : { "noteIndex" : 0 }, "schema" : "https://github.com/citation-style-language/schema/raw/master/csl-citation.json" }</w:instrText>
      </w:r>
      <w:r>
        <w:rPr>
          <w:rFonts w:cs="Times New Roman"/>
        </w:rPr>
        <w:fldChar w:fldCharType="separate"/>
      </w:r>
      <w:r>
        <w:rPr>
          <w:rFonts w:cs="Times New Roman"/>
          <w:noProof/>
        </w:rPr>
        <w:t>Schmidt et al. (</w:t>
      </w:r>
      <w:r w:rsidRPr="00CD7EE2">
        <w:rPr>
          <w:rFonts w:cs="Times New Roman"/>
          <w:noProof/>
        </w:rPr>
        <w:t>2004)</w:t>
      </w:r>
      <w:r>
        <w:rPr>
          <w:rFonts w:cs="Times New Roman"/>
        </w:rPr>
        <w:fldChar w:fldCharType="end"/>
      </w:r>
      <w:r>
        <w:rPr>
          <w:rFonts w:cs="Times New Roman"/>
        </w:rPr>
        <w:t xml:space="preserve"> conclude by suggesting that B forms trigonal units that strongly interact with the aluminosilicate framework, forming Al-O-B and Si-O-B bonds. </w:t>
      </w:r>
      <w:r>
        <w:rPr>
          <w:rFonts w:cs="Times New Roman"/>
        </w:rPr>
        <w:fldChar w:fldCharType="begin" w:fldLock="1"/>
      </w:r>
      <w:r w:rsidR="00266290">
        <w:rPr>
          <w:rFonts w:cs="Times New Roman"/>
        </w:rPr>
        <w:instrText>ADDIN CSL_CITATION { "citationItems" : [ { "id" : "ITEM-1", "itemData" : { "author" : [ { "dropping-particle" : "", "family" : "Morgan", "given" : "George B.", "non-dropping-particle" : "", "parse-names" : false, "suffix" : "" }, { "dropping-particle" : "", "family" : "London", "given" : "David", "non-dropping-particle" : "", "parse-names" : false, "suffix" : "" }, { "dropping-particle" : "", "family" : "Kirkpatrick", "given" : "R. J.", "non-dropping-particle" : "", "parse-names" : false, "suffix" : "" } ], "container-title" : "Geological Society of America Abstracts with Programs", "id" : "ITEM-1", "issued" : { "date-parts" : [ [ "1990" ] ] }, "page" : "A167", "title" : "Reconnaissance spectroscopic study of hydrous sodium aluminum borosilicate glasses", "type" : "article-journal", "volume" : "22" }, "uris" : [ "http://www.mendeley.com/documents/?uuid=cc3e70f0-c557-4ebd-8dc5-d93f4d9372b4" ] } ], "mendeley" : { "formattedCitation" : "(Morgan et al., 1990)", "manualFormatting" : "Morgan et al. (1990)", "plainTextFormattedCitation" : "(Morgan et al., 1990)", "previouslyFormattedCitation" : "(Morgan et al. 1990)" }, "properties" : { "noteIndex" : 0 }, "schema" : "https://github.com/citation-style-language/schema/raw/master/csl-citation.json" }</w:instrText>
      </w:r>
      <w:r>
        <w:rPr>
          <w:rFonts w:cs="Times New Roman"/>
        </w:rPr>
        <w:fldChar w:fldCharType="separate"/>
      </w:r>
      <w:r>
        <w:rPr>
          <w:rFonts w:cs="Times New Roman"/>
          <w:noProof/>
        </w:rPr>
        <w:t>Morgan et al. (</w:t>
      </w:r>
      <w:r w:rsidRPr="00345FB7">
        <w:rPr>
          <w:rFonts w:cs="Times New Roman"/>
          <w:noProof/>
        </w:rPr>
        <w:t>1990)</w:t>
      </w:r>
      <w:r>
        <w:rPr>
          <w:rFonts w:cs="Times New Roman"/>
        </w:rPr>
        <w:fldChar w:fldCharType="end"/>
      </w:r>
      <w:r>
        <w:rPr>
          <w:rFonts w:cs="Times New Roman"/>
        </w:rPr>
        <w:t xml:space="preserve"> found that a large fraction of B forms insular clusters with </w:t>
      </w:r>
      <w:r w:rsidRPr="00762A03">
        <w:rPr>
          <w:rFonts w:cs="Times New Roman"/>
          <w:vertAlign w:val="superscript"/>
        </w:rPr>
        <w:t>11</w:t>
      </w:r>
      <w:r>
        <w:rPr>
          <w:rFonts w:cs="Times New Roman"/>
        </w:rPr>
        <w:t>B in 3-fold coordination in a hydrous metaluminous (A/CNK = 1) sodium aluminosilicate glass containing 4 wt% H</w:t>
      </w:r>
      <w:r w:rsidRPr="00762A03">
        <w:rPr>
          <w:rFonts w:cs="Times New Roman"/>
          <w:vertAlign w:val="subscript"/>
        </w:rPr>
        <w:t>2</w:t>
      </w:r>
      <w:r>
        <w:rPr>
          <w:rFonts w:cs="Times New Roman"/>
        </w:rPr>
        <w:t>O and 15 wt% B</w:t>
      </w:r>
      <w:r w:rsidRPr="00762A03">
        <w:rPr>
          <w:rFonts w:cs="Times New Roman"/>
          <w:vertAlign w:val="subscript"/>
        </w:rPr>
        <w:t>2</w:t>
      </w:r>
      <w:r>
        <w:rPr>
          <w:rFonts w:cs="Times New Roman"/>
        </w:rPr>
        <w:t>O</w:t>
      </w:r>
      <w:r w:rsidRPr="00762A03">
        <w:rPr>
          <w:rFonts w:cs="Times New Roman"/>
          <w:vertAlign w:val="subscript"/>
        </w:rPr>
        <w:t>3</w:t>
      </w:r>
      <w:r>
        <w:rPr>
          <w:rFonts w:cs="Times New Roman"/>
        </w:rPr>
        <w:t xml:space="preserve"> derived from standard reagent boric acid. They observed a negligible component of </w:t>
      </w:r>
      <w:r w:rsidRPr="00762A03">
        <w:rPr>
          <w:rFonts w:cs="Times New Roman"/>
          <w:vertAlign w:val="superscript"/>
        </w:rPr>
        <w:t>11</w:t>
      </w:r>
      <w:r>
        <w:rPr>
          <w:rFonts w:cs="Times New Roman"/>
        </w:rPr>
        <w:t>B in 4-fold coordination; however, we would expect TO</w:t>
      </w:r>
      <w:r w:rsidRPr="00762A03">
        <w:rPr>
          <w:rFonts w:cs="Times New Roman"/>
          <w:vertAlign w:val="subscript"/>
        </w:rPr>
        <w:t>4</w:t>
      </w:r>
      <w:r>
        <w:rPr>
          <w:rFonts w:cs="Times New Roman"/>
        </w:rPr>
        <w:t xml:space="preserve"> units to be populated mostly by </w:t>
      </w:r>
      <w:r w:rsidRPr="00762A03">
        <w:rPr>
          <w:rFonts w:cs="Times New Roman"/>
          <w:vertAlign w:val="superscript"/>
        </w:rPr>
        <w:t>10</w:t>
      </w:r>
      <w:r>
        <w:rPr>
          <w:rFonts w:cs="Times New Roman"/>
        </w:rPr>
        <w:t xml:space="preserve">B. Borate domains exhibited little interaction with the aluminosilicate framework components of the glass, except to scavenge Na and H (as OH) to the borate domains and thereby create a component of </w:t>
      </w:r>
      <w:r w:rsidRPr="00762A03">
        <w:rPr>
          <w:rFonts w:cs="Times New Roman"/>
          <w:vertAlign w:val="superscript"/>
        </w:rPr>
        <w:t>VI</w:t>
      </w:r>
      <w:r>
        <w:rPr>
          <w:rFonts w:cs="Times New Roman"/>
        </w:rPr>
        <w:t xml:space="preserve">Al in the glass. In summary, based on what is known or inferred about the coordination of B in hydrous granitic melt, most B is expected to be in 3-fold coordination. </w:t>
      </w:r>
    </w:p>
    <w:p w:rsidR="00665C0F" w:rsidRDefault="00665C0F" w:rsidP="00665C0F">
      <w:pPr>
        <w:spacing w:line="480" w:lineRule="auto"/>
        <w:ind w:firstLine="720"/>
        <w:rPr>
          <w:rFonts w:cs="Times New Roman"/>
        </w:rPr>
      </w:pPr>
      <w:r>
        <w:rPr>
          <w:rFonts w:cs="Times New Roman"/>
        </w:rPr>
        <w:t xml:space="preserve">The available data indicate that </w:t>
      </w:r>
      <w:r w:rsidRPr="00F36D18">
        <w:rPr>
          <w:rFonts w:cs="Times New Roman"/>
          <w:vertAlign w:val="superscript"/>
        </w:rPr>
        <w:t>III</w:t>
      </w:r>
      <w:r>
        <w:rPr>
          <w:rFonts w:cs="Times New Roman"/>
        </w:rPr>
        <w:t xml:space="preserve">B should predominate in hydrous granitic or pegmatite-forming melts and in aqueous solutions in equilibrium with those melts. If that is the case, then we would anticipate only slight fractionation of boron's isotopes between melt and aqueous solution at magmatic temperatures as a function of their </w:t>
      </w:r>
      <w:r>
        <w:rPr>
          <w:rFonts w:cs="Times New Roman"/>
        </w:rPr>
        <w:lastRenderedPageBreak/>
        <w:t xml:space="preserve">difference in mass, but not influenced by the extent of </w:t>
      </w:r>
      <w:r w:rsidRPr="00F36D18">
        <w:rPr>
          <w:rFonts w:cs="Times New Roman"/>
          <w:vertAlign w:val="superscript"/>
        </w:rPr>
        <w:t>III</w:t>
      </w:r>
      <w:r>
        <w:rPr>
          <w:rFonts w:cs="Times New Roman"/>
        </w:rPr>
        <w:t>B-</w:t>
      </w:r>
      <w:r w:rsidRPr="00F36D18">
        <w:rPr>
          <w:rFonts w:cs="Times New Roman"/>
          <w:vertAlign w:val="superscript"/>
        </w:rPr>
        <w:t>IV</w:t>
      </w:r>
      <w:r>
        <w:rPr>
          <w:rFonts w:cs="Times New Roman"/>
        </w:rPr>
        <w:t xml:space="preserve">B coordination in either fluid. This prediction is at odds with the large and negative fractionation factor for </w:t>
      </w:r>
      <w:bookmarkStart w:id="123" w:name=""/>
      <w:bookmarkEnd w:id="123"/>
      <w:r w:rsidRPr="00F36D18">
        <w:rPr>
          <w:rFonts w:ascii="Symbol" w:hAnsi="Symbol" w:cs="Times New Roman"/>
        </w:rPr>
        <w:t></w:t>
      </w:r>
      <w:r w:rsidRPr="00F36D18">
        <w:rPr>
          <w:rFonts w:cs="Times New Roman"/>
          <w:vertAlign w:val="superscript"/>
        </w:rPr>
        <w:t>11</w:t>
      </w:r>
      <w:r>
        <w:rPr>
          <w:rFonts w:cs="Times New Roman"/>
        </w:rPr>
        <w:t>B</w:t>
      </w:r>
      <w:r w:rsidRPr="00F36D18">
        <w:rPr>
          <w:rFonts w:cs="Times New Roman"/>
          <w:vertAlign w:val="subscript"/>
        </w:rPr>
        <w:t>melt</w:t>
      </w:r>
      <w:r>
        <w:rPr>
          <w:rFonts w:cs="Times New Roman"/>
          <w:vertAlign w:val="subscript"/>
        </w:rPr>
        <w:t>-aq.sln.</w:t>
      </w:r>
      <w:r>
        <w:rPr>
          <w:rFonts w:cs="Times New Roman"/>
        </w:rPr>
        <w:t xml:space="preserve"> reported by </w:t>
      </w:r>
      <w:r>
        <w:rPr>
          <w:rFonts w:cs="Times New Roman"/>
        </w:rPr>
        <w:fldChar w:fldCharType="begin" w:fldLock="1"/>
      </w:r>
      <w:r w:rsidR="00266290">
        <w:rPr>
          <w:rFonts w:cs="Times New Roman"/>
        </w:rPr>
        <w:instrText>ADDIN CSL_CITATION { "citationItems" : [ { "id" : "ITEM-1",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"ITEM-1", "issue" : "5-6", "issued" : { "date-parts" : [ [ "2002" ] ] }, "page" : "769-774", "title" : "Isotopic and elemental partitioning of boron between hydrous fluid and silicate melt", "type" : "article-journal", "volume" : "87" }, "uris" : [ "http://www.mendeley.com/documents/?uuid=6b1d0590-ae63-44d0-990b-7cd3b5a05b06" ] } ], "mendeley" : { "formattedCitation" : "(Hervig et al., 2002)", "manualFormatting" : "Hervig et al. (2002)", "plainTextFormattedCitation" : "(Hervig et al., 2002)", "previouslyFormattedCitation" : "(Hervig et al. 2002)" }, "properties" : { "noteIndex" : 0 }, "schema" : "https://github.com/citation-style-language/schema/raw/master/csl-citation.json" }</w:instrText>
      </w:r>
      <w:r>
        <w:rPr>
          <w:rFonts w:cs="Times New Roman"/>
        </w:rPr>
        <w:fldChar w:fldCharType="separate"/>
      </w:r>
      <w:r>
        <w:rPr>
          <w:rFonts w:cs="Times New Roman"/>
          <w:noProof/>
        </w:rPr>
        <w:t>Hervig et al. (</w:t>
      </w:r>
      <w:r w:rsidRPr="00926B50">
        <w:rPr>
          <w:rFonts w:cs="Times New Roman"/>
          <w:noProof/>
        </w:rPr>
        <w:t>2002)</w:t>
      </w:r>
      <w:r>
        <w:rPr>
          <w:rFonts w:cs="Times New Roman"/>
        </w:rPr>
        <w:fldChar w:fldCharType="end"/>
      </w:r>
      <w:r>
        <w:rPr>
          <w:rFonts w:cs="Times New Roman"/>
        </w:rPr>
        <w:t xml:space="preserve">, which they attribute to a large fraction of </w:t>
      </w:r>
      <w:r w:rsidRPr="00F36D18">
        <w:rPr>
          <w:rFonts w:cs="Times New Roman"/>
          <w:vertAlign w:val="superscript"/>
        </w:rPr>
        <w:t>IV</w:t>
      </w:r>
      <w:r>
        <w:rPr>
          <w:rFonts w:cs="Times New Roman"/>
        </w:rPr>
        <w:t xml:space="preserve">B in the melt. </w:t>
      </w:r>
    </w:p>
    <w:p w:rsidR="00665C0F" w:rsidRPr="00F0089A" w:rsidRDefault="00665C0F" w:rsidP="000F00BF">
      <w:pPr>
        <w:pStyle w:val="Heading3"/>
        <w:spacing w:line="480" w:lineRule="auto"/>
        <w:rPr>
          <w:rFonts w:cs="Times New Roman"/>
        </w:rPr>
      </w:pPr>
      <w:bookmarkStart w:id="124" w:name="_Toc491246035"/>
      <w:r>
        <w:rPr>
          <w:rFonts w:cs="Times New Roman"/>
        </w:rPr>
        <w:t>1.3</w:t>
      </w:r>
      <w:r w:rsidR="000F00BF">
        <w:rPr>
          <w:rFonts w:cs="Times New Roman"/>
        </w:rPr>
        <w:t>.</w:t>
      </w:r>
      <w:r>
        <w:rPr>
          <w:rFonts w:cs="Times New Roman"/>
        </w:rPr>
        <w:t xml:space="preserve"> Goal of the present study</w:t>
      </w:r>
      <w:bookmarkEnd w:id="124"/>
    </w:p>
    <w:p w:rsidR="00665C0F" w:rsidRDefault="00665C0F" w:rsidP="00665C0F">
      <w:pPr>
        <w:spacing w:line="480" w:lineRule="auto"/>
        <w:ind w:firstLine="720"/>
        <w:rPr>
          <w:rFonts w:cs="Times New Roman"/>
        </w:rPr>
      </w:pPr>
      <w:r>
        <w:rPr>
          <w:rFonts w:cs="Times New Roman"/>
        </w:rPr>
        <w:t xml:space="preserve">Disparities between the predicted and measured values of </w:t>
      </w:r>
      <w:r w:rsidRPr="0059779D">
        <w:rPr>
          <w:rFonts w:ascii="Symbol" w:hAnsi="Symbol" w:cs="Times New Roman"/>
        </w:rPr>
        <w:t></w:t>
      </w:r>
      <w:r w:rsidRPr="0059779D">
        <w:rPr>
          <w:rFonts w:cs="Times New Roman"/>
          <w:vertAlign w:val="superscript"/>
        </w:rPr>
        <w:t>11</w:t>
      </w:r>
      <w:r>
        <w:rPr>
          <w:rFonts w:cs="Times New Roman"/>
        </w:rPr>
        <w:t>B</w:t>
      </w:r>
      <w:r w:rsidRPr="0059779D">
        <w:rPr>
          <w:rFonts w:cs="Times New Roman"/>
          <w:vertAlign w:val="subscript"/>
        </w:rPr>
        <w:t>melt</w:t>
      </w:r>
      <w:r>
        <w:rPr>
          <w:rFonts w:cs="Times New Roman"/>
          <w:vertAlign w:val="subscript"/>
        </w:rPr>
        <w:t>-aq.sln.</w:t>
      </w:r>
      <w:r>
        <w:rPr>
          <w:rFonts w:cs="Times New Roman"/>
        </w:rPr>
        <w:t xml:space="preserve">, and the limited data (two experiments) of </w:t>
      </w:r>
      <w:r>
        <w:rPr>
          <w:rFonts w:cs="Times New Roman"/>
        </w:rPr>
        <w:fldChar w:fldCharType="begin" w:fldLock="1"/>
      </w:r>
      <w:r w:rsidR="00266290">
        <w:rPr>
          <w:rFonts w:cs="Times New Roman"/>
        </w:rPr>
        <w:instrText>ADDIN CSL_CITATION { "citationItems" : [ { "id" : "ITEM-1",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"ITEM-1", "issue" : "5-6", "issued" : { "date-parts" : [ [ "2002" ] ] }, "page" : "769-774", "title" : "Isotopic and elemental partitioning of boron between hydrous fluid and silicate melt", "type" : "article-journal", "volume" : "87" }, "uris" : [ "http://www.mendeley.com/documents/?uuid=6b1d0590-ae63-44d0-990b-7cd3b5a05b06" ] } ], "mendeley" : { "formattedCitation" : "(Hervig et al., 2002)", "manualFormatting" : "Hervig et al. (2002)", "plainTextFormattedCitation" : "(Hervig et al., 2002)", "previouslyFormattedCitation" : "(Hervig et al. 2002)" }, "properties" : { "noteIndex" : 0 }, "schema" : "https://github.com/citation-style-language/schema/raw/master/csl-citation.json" }</w:instrText>
      </w:r>
      <w:r>
        <w:rPr>
          <w:rFonts w:cs="Times New Roman"/>
        </w:rPr>
        <w:fldChar w:fldCharType="separate"/>
      </w:r>
      <w:r>
        <w:rPr>
          <w:rFonts w:cs="Times New Roman"/>
          <w:noProof/>
        </w:rPr>
        <w:t>Hervig et al. (</w:t>
      </w:r>
      <w:r w:rsidRPr="00926B50">
        <w:rPr>
          <w:rFonts w:cs="Times New Roman"/>
          <w:noProof/>
        </w:rPr>
        <w:t>2002)</w:t>
      </w:r>
      <w:r>
        <w:rPr>
          <w:rFonts w:cs="Times New Roman"/>
        </w:rPr>
        <w:fldChar w:fldCharType="end"/>
      </w:r>
      <w:r>
        <w:rPr>
          <w:rFonts w:cs="Times New Roman"/>
        </w:rPr>
        <w:t xml:space="preserve"> prompt</w:t>
      </w:r>
      <w:r w:rsidR="00BB5A23">
        <w:rPr>
          <w:rFonts w:cs="Times New Roman"/>
        </w:rPr>
        <w:t>ed the</w:t>
      </w:r>
      <w:r>
        <w:rPr>
          <w:rFonts w:cs="Times New Roman"/>
        </w:rPr>
        <w:t xml:space="preserve"> present study. The goal of this investigation is to quantify the isotopic fractionation factors for boron between granitic melt and aqueous solution at 700°C and 800°C, 200 MPa</w:t>
      </w:r>
      <w:r>
        <w:rPr>
          <w:rFonts w:cs="Times New Roman"/>
          <w:vertAlign w:val="subscript"/>
        </w:rPr>
        <w:t>H2O</w:t>
      </w:r>
      <w:r>
        <w:rPr>
          <w:rFonts w:cs="Times New Roman"/>
        </w:rPr>
        <w:t xml:space="preserve">. Fractionation factors are presented for two hydrous, B-bearing, metaluminous granitic compositions and for the Macusani obsidian </w:t>
      </w:r>
      <w:r>
        <w:rPr>
          <w:rFonts w:cs="Times New Roman"/>
        </w:rPr>
        <w:fldChar w:fldCharType="begin" w:fldLock="1"/>
      </w:r>
      <w:r w:rsidR="00266290">
        <w:rPr>
          <w:rFonts w:cs="Times New Roman"/>
        </w:rPr>
        <w:instrText>ADDIN CSL_CITATION { "citationItems" : [ { "id" : "ITEM-1", "itemData" : { "DOI" : "10.1007/BF00375368", "ISBN" : "0010-7999", "ISSN" : "00107999", "author" : [ { "dropping-particle" : "", "family" : "London", "given" : "David", "non-dropping-particle" : "", "parse-names" : false, "suffix" : "" }, { "dropping-particle" : "", "family" : "Hervig", "given" : "Richard L.", "non-dropping-particle" : "", "parse-names" : false, "suffix" : "" }, { "dropping-particle" : "", "family" : "Morgan VI", "given" : "George B.", "non-dropping-particle" : "", "parse-names" : false, "suffix" : "" } ], "container-title" : "Contributions to Mineralogy and Petrology", "id" : "ITEM-1", "issue" : "3", "issued" : { "date-parts" : [ [ "1988" ] ] }, "page" : "360-373", "title" : "Melt-vapor solubilities and elemental partitioning in peraluminous granite-pegmatite systems: experimental results with Macusani glass at 200 MPa", "type" : "article-journal", "volume" : "99" }, "uris" : [ "http://www.mendeley.com/documents/?uuid=d3741f24-96af-4bcd-8a43-4ab927eb82f1" ] } ], "mendeley" : { "formattedCitation" : "(London et al., 1988)", "plainTextFormattedCitation" : "(London et al., 1988)", "previouslyFormattedCitation" : "(London et al. 1988)" }, "properties" : { "noteIndex" : 0 }, "schema" : "https://github.com/citation-style-language/schema/raw/master/csl-citation.json" }</w:instrText>
      </w:r>
      <w:r>
        <w:rPr>
          <w:rFonts w:cs="Times New Roman"/>
        </w:rPr>
        <w:fldChar w:fldCharType="separate"/>
      </w:r>
      <w:r w:rsidR="00266290" w:rsidRPr="00266290">
        <w:rPr>
          <w:rFonts w:cs="Times New Roman"/>
          <w:noProof/>
        </w:rPr>
        <w:t>(London et al., 1988)</w:t>
      </w:r>
      <w:r>
        <w:rPr>
          <w:rFonts w:cs="Times New Roman"/>
        </w:rPr>
        <w:fldChar w:fldCharType="end"/>
      </w:r>
      <w:r>
        <w:rPr>
          <w:rFonts w:cs="Times New Roman"/>
        </w:rPr>
        <w:t xml:space="preserve">. The results are compared with the melt-aqueous solution data reported by </w:t>
      </w:r>
      <w:r>
        <w:rPr>
          <w:rFonts w:cs="Times New Roman"/>
        </w:rPr>
        <w:fldChar w:fldCharType="begin" w:fldLock="1"/>
      </w:r>
      <w:r w:rsidR="00266290">
        <w:rPr>
          <w:rFonts w:cs="Times New Roman"/>
        </w:rPr>
        <w:instrText>ADDIN CSL_CITATION { "citationItems" : [ { "id" : "ITEM-1",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"ITEM-1", "issue" : "5-6", "issued" : { "date-parts" : [ [ "2002" ] ] }, "page" : "769-774", "title" : "Isotopic and elemental partitioning of boron between hydrous fluid and silicate melt", "type" : "article-journal", "volume" : "87" }, "uris" : [ "http://www.mendeley.com/documents/?uuid=6b1d0590-ae63-44d0-990b-7cd3b5a05b06" ] } ], "mendeley" : { "formattedCitation" : "(Hervig et al., 2002)", "manualFormatting" : "Hervig et al. (2002)", "plainTextFormattedCitation" : "(Hervig et al., 2002)", "previouslyFormattedCitation" : "(Hervig et al. 2002)" }, "properties" : { "noteIndex" : 0 }, "schema" : "https://github.com/citation-style-language/schema/raw/master/csl-citation.json" }</w:instrText>
      </w:r>
      <w:r>
        <w:rPr>
          <w:rFonts w:cs="Times New Roman"/>
        </w:rPr>
        <w:fldChar w:fldCharType="separate"/>
      </w:r>
      <w:r>
        <w:rPr>
          <w:rFonts w:cs="Times New Roman"/>
          <w:noProof/>
        </w:rPr>
        <w:t>Hervig et al. (</w:t>
      </w:r>
      <w:r w:rsidRPr="00450194">
        <w:rPr>
          <w:rFonts w:cs="Times New Roman"/>
          <w:noProof/>
        </w:rPr>
        <w:t>2002)</w:t>
      </w:r>
      <w:r>
        <w:rPr>
          <w:rFonts w:cs="Times New Roman"/>
        </w:rPr>
        <w:fldChar w:fldCharType="end"/>
      </w:r>
      <w:r>
        <w:rPr>
          <w:rFonts w:cs="Times New Roman"/>
        </w:rPr>
        <w:t>. Based on the results of this study, we include a preliminary assessment of the coordination of B in hydrous granitic melt based on the Δ</w:t>
      </w:r>
      <w:r>
        <w:rPr>
          <w:rFonts w:cs="Times New Roman"/>
          <w:vertAlign w:val="superscript"/>
        </w:rPr>
        <w:t>11</w:t>
      </w:r>
      <w:r>
        <w:rPr>
          <w:rFonts w:cs="Times New Roman"/>
        </w:rPr>
        <w:t>B data. Lastly, we discuss implications of the data on the isotopic composition of aqueous fluids exsolving from granitic melt and the isotopic composition of tourmaline in granites and pegmatites.</w:t>
      </w:r>
    </w:p>
    <w:p w:rsidR="00665C0F" w:rsidRPr="00380C49" w:rsidRDefault="00665C0F" w:rsidP="00380C49">
      <w:pPr>
        <w:pStyle w:val="Heading2"/>
        <w:spacing w:line="480" w:lineRule="auto"/>
        <w:rPr>
          <w:rFonts w:cs="Times New Roman"/>
          <w:sz w:val="24"/>
        </w:rPr>
      </w:pPr>
      <w:bookmarkStart w:id="125" w:name="_Toc491246036"/>
      <w:r w:rsidRPr="00380C49">
        <w:rPr>
          <w:rFonts w:cs="Times New Roman"/>
          <w:sz w:val="24"/>
        </w:rPr>
        <w:t>2. Methods</w:t>
      </w:r>
      <w:bookmarkEnd w:id="125"/>
    </w:p>
    <w:p w:rsidR="00665C0F" w:rsidRPr="00B9718C" w:rsidRDefault="00665C0F" w:rsidP="00380C49">
      <w:pPr>
        <w:pStyle w:val="Heading3"/>
        <w:spacing w:line="480" w:lineRule="auto"/>
        <w:rPr>
          <w:rFonts w:cs="Times New Roman"/>
        </w:rPr>
      </w:pPr>
      <w:bookmarkStart w:id="126" w:name="_Toc491246037"/>
      <w:r>
        <w:rPr>
          <w:rFonts w:cs="Times New Roman"/>
        </w:rPr>
        <w:t>2.1. Preparation of starting materials</w:t>
      </w:r>
      <w:bookmarkEnd w:id="126"/>
      <w:r>
        <w:rPr>
          <w:rFonts w:cs="Times New Roman"/>
        </w:rPr>
        <w:t xml:space="preserve"> </w:t>
      </w:r>
    </w:p>
    <w:p w:rsidR="00665C0F" w:rsidRDefault="00665C0F" w:rsidP="00380C49">
      <w:pPr>
        <w:spacing w:line="480" w:lineRule="auto"/>
        <w:rPr>
          <w:rFonts w:cs="Times New Roman"/>
        </w:rPr>
      </w:pPr>
      <w:r>
        <w:rPr>
          <w:rFonts w:cs="Times New Roman"/>
        </w:rPr>
        <w:tab/>
        <w:t xml:space="preserve">Glass HG (Table </w:t>
      </w:r>
      <w:r w:rsidR="0083401A">
        <w:rPr>
          <w:rFonts w:cs="Times New Roman"/>
        </w:rPr>
        <w:t>4-</w:t>
      </w:r>
      <w:r>
        <w:rPr>
          <w:rFonts w:cs="Times New Roman"/>
        </w:rPr>
        <w:t>1) was prepared to match the thermal minimum in the hydrous, metaluminous haplogranite system at 200 MPa</w:t>
      </w:r>
      <w:r>
        <w:rPr>
          <w:rFonts w:cs="Times New Roman"/>
          <w:vertAlign w:val="subscript"/>
        </w:rPr>
        <w:t>H2O</w:t>
      </w:r>
      <w:r>
        <w:rPr>
          <w:rFonts w:cs="Times New Roman"/>
        </w:rPr>
        <w:t xml:space="preserve">. The glass was fused from mixed powdered chemical reagents in Pt dishes in a Deltech bottom-loading furnace at 1600°C for 1 to 4 hours. Chips of this glass were analyzed by an electron microprobe for their chemical composition and to assess chemical homogeneity. Upon creating a </w:t>
      </w:r>
      <w:r>
        <w:rPr>
          <w:rFonts w:cs="Times New Roman"/>
        </w:rPr>
        <w:lastRenderedPageBreak/>
        <w:t xml:space="preserve">homogeneous glass, it was crushed and milled to a fine powder. Boron, as NIST SRM 951a boric acid </w:t>
      </w:r>
      <w:r>
        <w:rPr>
          <w:rFonts w:cs="Times New Roman"/>
        </w:rPr>
        <w:fldChar w:fldCharType="begin" w:fldLock="1"/>
      </w:r>
      <w:r w:rsidR="00266290">
        <w:rPr>
          <w:rFonts w:cs="Times New Roman"/>
        </w:rPr>
        <w:instrText>ADDIN CSL_CITATION { "citationItems" : [ { "id" : "ITEM-1", "itemData" : { "author" : [ { "dropping-particle" : "", "family" : "Catanzaro", "given" : "E.J.", "non-dropping-particle" : "", "parse-names" : false, "suffix" : "" }, { "dropping-particle" : "", "family" : "Champion", "given" : "C.E.", "non-dropping-particle" : "", "parse-names" : false, "suffix" : "" }, { "dropping-particle" : "", "family" : "Garner", "given" : "E.L.", "non-dropping-particle" : "", "parse-names" : false, "suffix" : "" }, { "dropping-particle" : "", "family" : "Marinenko", "given" : "G.", "non-dropping-particle" : "", "parse-names" : false, "suffix" : "" }, { "dropping-particle" : "", "family" : "Sappenfield", "given" : "K.M.", "non-dropping-particle" : "", "parse-names" : false, "suffix" : "" }, { "dropping-particle" : "", "family" : "Shields", "given" : "W.R.", "non-dropping-particle" : "", "parse-names" : false, "suffix" : "" } ], "container-title" : "NBS (US) Spec. Publ.", "id" : "ITEM-1", "issued" : { "date-parts" : [ [ "1970" ] ] }, "page" : "1-70", "title" : "Standard Reference Materials: Boric Acid; Isotopic, and Assay Standard Reference Materials", "type" : "article-journal", "volume" : "260" }, "uris" : [ "http://www.mendeley.com/documents/?uuid=b842342a-4d73-423c-b668-0801c69eeb33" ] } ], "mendeley" : { "formattedCitation" : "(Catanzaro et al., 1970)", "plainTextFormattedCitation" : "(Catanzaro et al., 1970)", "previouslyFormattedCitation" : "(Catanzaro et al. 1970)" }, "properties" : { "noteIndex" : 0 }, "schema" : "https://github.com/citation-style-language/schema/raw/master/csl-citation.json" }</w:instrText>
      </w:r>
      <w:r>
        <w:rPr>
          <w:rFonts w:cs="Times New Roman"/>
        </w:rPr>
        <w:fldChar w:fldCharType="separate"/>
      </w:r>
      <w:r w:rsidR="00266290" w:rsidRPr="00266290">
        <w:rPr>
          <w:rFonts w:cs="Times New Roman"/>
          <w:noProof/>
        </w:rPr>
        <w:t>(Catanzaro et al., 1970)</w:t>
      </w:r>
      <w:r>
        <w:rPr>
          <w:rFonts w:cs="Times New Roman"/>
        </w:rPr>
        <w:fldChar w:fldCharType="end"/>
      </w:r>
      <w:r>
        <w:rPr>
          <w:rFonts w:cs="Times New Roman"/>
        </w:rPr>
        <w:t>, was added to two aliquots of the powdered glass to bring the concentration of B</w:t>
      </w:r>
      <w:r>
        <w:rPr>
          <w:rFonts w:cs="Times New Roman"/>
          <w:vertAlign w:val="subscript"/>
        </w:rPr>
        <w:t>2</w:t>
      </w:r>
      <w:r>
        <w:rPr>
          <w:rFonts w:cs="Times New Roman"/>
        </w:rPr>
        <w:t>O</w:t>
      </w:r>
      <w:r>
        <w:rPr>
          <w:rFonts w:cs="Times New Roman"/>
          <w:vertAlign w:val="subscript"/>
        </w:rPr>
        <w:t>3</w:t>
      </w:r>
      <w:r>
        <w:rPr>
          <w:rFonts w:cs="Times New Roman"/>
        </w:rPr>
        <w:t xml:space="preserve"> to 2.5 wt% and 5 wt% B</w:t>
      </w:r>
      <w:r>
        <w:rPr>
          <w:rFonts w:cs="Times New Roman"/>
          <w:vertAlign w:val="subscript"/>
        </w:rPr>
        <w:t>2</w:t>
      </w:r>
      <w:r>
        <w:rPr>
          <w:rFonts w:cs="Times New Roman"/>
        </w:rPr>
        <w:t>O</w:t>
      </w:r>
      <w:r>
        <w:rPr>
          <w:rFonts w:cs="Times New Roman"/>
          <w:vertAlign w:val="subscript"/>
        </w:rPr>
        <w:t>3</w:t>
      </w:r>
      <w:r>
        <w:rPr>
          <w:rFonts w:cs="Times New Roman"/>
        </w:rPr>
        <w:t>, respectively.</w:t>
      </w:r>
    </w:p>
    <w:p w:rsidR="00665C0F" w:rsidRPr="00DF3977" w:rsidRDefault="00665C0F" w:rsidP="00665C0F">
      <w:pPr>
        <w:spacing w:line="480" w:lineRule="auto"/>
        <w:rPr>
          <w:rFonts w:cs="Times New Roman"/>
        </w:rPr>
      </w:pPr>
      <w:r>
        <w:rPr>
          <w:rFonts w:cs="Times New Roman"/>
        </w:rPr>
        <w:tab/>
        <w:t>Mixtures of powdered glass plus boric acid were loaded into 5 different gold capsules with enough H</w:t>
      </w:r>
      <w:r>
        <w:rPr>
          <w:rFonts w:cs="Times New Roman"/>
          <w:vertAlign w:val="subscript"/>
        </w:rPr>
        <w:t>2</w:t>
      </w:r>
      <w:r>
        <w:rPr>
          <w:rFonts w:cs="Times New Roman"/>
        </w:rPr>
        <w:t>O to bring the concentration of H</w:t>
      </w:r>
      <w:r>
        <w:rPr>
          <w:rFonts w:cs="Times New Roman"/>
          <w:vertAlign w:val="subscript"/>
        </w:rPr>
        <w:t>2</w:t>
      </w:r>
      <w:r>
        <w:rPr>
          <w:rFonts w:cs="Times New Roman"/>
        </w:rPr>
        <w:t>O in the resultant glass to ~ 7 wt% H</w:t>
      </w:r>
      <w:r w:rsidRPr="00287EEB">
        <w:rPr>
          <w:rFonts w:cs="Times New Roman"/>
          <w:vertAlign w:val="subscript"/>
        </w:rPr>
        <w:t>2</w:t>
      </w:r>
      <w:r>
        <w:rPr>
          <w:rFonts w:cs="Times New Roman"/>
        </w:rPr>
        <w:t>O. This produced 5 glasses containing 2.5 wt% B</w:t>
      </w:r>
      <w:r>
        <w:rPr>
          <w:rFonts w:cs="Times New Roman"/>
          <w:vertAlign w:val="subscript"/>
        </w:rPr>
        <w:t>2</w:t>
      </w:r>
      <w:r>
        <w:rPr>
          <w:rFonts w:cs="Times New Roman"/>
        </w:rPr>
        <w:t>O</w:t>
      </w:r>
      <w:r>
        <w:rPr>
          <w:rFonts w:cs="Times New Roman"/>
          <w:vertAlign w:val="subscript"/>
        </w:rPr>
        <w:t>3</w:t>
      </w:r>
      <w:r>
        <w:rPr>
          <w:rFonts w:cs="Times New Roman"/>
        </w:rPr>
        <w:t xml:space="preserve"> and 5 glasses containing 5 wt% B</w:t>
      </w:r>
      <w:r>
        <w:rPr>
          <w:rFonts w:cs="Times New Roman"/>
          <w:vertAlign w:val="subscript"/>
        </w:rPr>
        <w:t>2</w:t>
      </w:r>
      <w:r>
        <w:rPr>
          <w:rFonts w:cs="Times New Roman"/>
        </w:rPr>
        <w:t>O</w:t>
      </w:r>
      <w:r>
        <w:rPr>
          <w:rFonts w:cs="Times New Roman"/>
          <w:vertAlign w:val="subscript"/>
        </w:rPr>
        <w:t>3</w:t>
      </w:r>
      <w:r>
        <w:rPr>
          <w:rFonts w:cs="Times New Roman"/>
        </w:rPr>
        <w:t xml:space="preserve">. Sealed capsules were pressurized at room temperature and then heated to 800°C at 200 MPa for 30 days. After 30 days, the vessels were quenched to room temperature (section 2.2) at which point the capsules were removed from the vessel. Each capsule was reweighed to check for leaks that might have occurred while at P and T in the pressure vessels. Capsules showing no signs of leaks were prepared for chemical and isotopic analysis and experimentation (section 2.3). Some hydrous, B-bearing glasses were sectioned into ~ 1 mm thick wafers using a low-speed saw with a diamond-embedded blade. These wafers were used in experiments designed to measure B isotopic fractionation and elemental partitioning. One capsule from </w:t>
      </w:r>
      <w:r w:rsidRPr="00DF3977">
        <w:rPr>
          <w:rFonts w:cs="Times New Roman"/>
        </w:rPr>
        <w:t xml:space="preserve">the 2.5 wt% (2.5CN: Table </w:t>
      </w:r>
      <w:r w:rsidR="0083401A">
        <w:rPr>
          <w:rFonts w:cs="Times New Roman"/>
        </w:rPr>
        <w:t>4-</w:t>
      </w:r>
      <w:r w:rsidRPr="00DF3977">
        <w:rPr>
          <w:rFonts w:cs="Times New Roman"/>
        </w:rPr>
        <w:t xml:space="preserve">1) and 5 wt% (5DN: Table </w:t>
      </w:r>
      <w:r w:rsidR="0083401A">
        <w:rPr>
          <w:rFonts w:cs="Times New Roman"/>
        </w:rPr>
        <w:t>4-</w:t>
      </w:r>
      <w:r w:rsidRPr="00DF3977">
        <w:rPr>
          <w:rFonts w:cs="Times New Roman"/>
        </w:rPr>
        <w:t>1) glass series was sectioned such that only one 1 mm thick wafer was cut from the end of the capsule; the remainder of each glass was</w:t>
      </w:r>
      <w:r>
        <w:rPr>
          <w:rFonts w:cs="Times New Roman"/>
        </w:rPr>
        <w:t xml:space="preserve"> sent to </w:t>
      </w:r>
      <w:r w:rsidRPr="00470A92">
        <w:rPr>
          <w:rFonts w:cs="Times New Roman"/>
        </w:rPr>
        <w:t>ALS</w:t>
      </w:r>
      <w:r>
        <w:rPr>
          <w:rFonts w:cs="Times New Roman"/>
        </w:rPr>
        <w:t xml:space="preserve"> Scandinavia (Luleå, Sweden) for boron isotopic analyses. The boron isotopic compositions of all other synthetic starting material </w:t>
      </w:r>
      <w:r w:rsidRPr="00DF3977">
        <w:rPr>
          <w:rFonts w:cs="Times New Roman"/>
        </w:rPr>
        <w:t xml:space="preserve">glasses (Table </w:t>
      </w:r>
      <w:r w:rsidR="0083401A">
        <w:rPr>
          <w:rFonts w:cs="Times New Roman"/>
        </w:rPr>
        <w:t>4-</w:t>
      </w:r>
      <w:r w:rsidRPr="00DF3977">
        <w:rPr>
          <w:rFonts w:cs="Times New Roman"/>
        </w:rPr>
        <w:t>1) were measured by SIMS (section 2.5) using the two glasses sent to ALS Scandinavia as boron isotope standards. The concentration of B in each starting material glass was measured by EMPA and SIMS.</w:t>
      </w:r>
    </w:p>
    <w:p w:rsidR="00665C0F" w:rsidRPr="00D64C83" w:rsidRDefault="00665C0F" w:rsidP="00665C0F">
      <w:pPr>
        <w:spacing w:line="480" w:lineRule="auto"/>
        <w:rPr>
          <w:rFonts w:cs="Times New Roman"/>
        </w:rPr>
      </w:pPr>
      <w:r w:rsidRPr="00DF3977">
        <w:rPr>
          <w:rFonts w:cs="Times New Roman"/>
        </w:rPr>
        <w:lastRenderedPageBreak/>
        <w:tab/>
        <w:t xml:space="preserve">The Macusani obsidian, hereafter referred to as MAC (Table </w:t>
      </w:r>
      <w:r w:rsidR="0083401A">
        <w:rPr>
          <w:rFonts w:cs="Times New Roman"/>
        </w:rPr>
        <w:t>4-</w:t>
      </w:r>
      <w:r w:rsidRPr="00DF3977">
        <w:rPr>
          <w:rFonts w:cs="Times New Roman"/>
        </w:rPr>
        <w:t>1), was</w:t>
      </w:r>
      <w:r>
        <w:rPr>
          <w:rFonts w:cs="Times New Roman"/>
        </w:rPr>
        <w:t xml:space="preserve"> used in series of experiments to re-assess the fractionation factors </w:t>
      </w:r>
      <w:r w:rsidRPr="005A09E8">
        <w:rPr>
          <w:rFonts w:cs="Times New Roman"/>
        </w:rPr>
        <w:t xml:space="preserve">measured by </w:t>
      </w:r>
      <w:r>
        <w:rPr>
          <w:rFonts w:cs="Times New Roman"/>
        </w:rPr>
        <w:fldChar w:fldCharType="begin" w:fldLock="1"/>
      </w:r>
      <w:r w:rsidR="00266290">
        <w:rPr>
          <w:rFonts w:cs="Times New Roman"/>
        </w:rPr>
        <w:instrText>ADDIN CSL_CITATION { "citationItems" : [ { "id" : "ITEM-1",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"ITEM-1", "issue" : "5-6", "issued" : { "date-parts" : [ [ "2002" ] ] }, "page" : "769-774", "title" : "Isotopic and elemental partitioning of boron between hydrous fluid and silicate melt", "type" : "article-journal", "volume" : "87" }, "uris" : [ "http://www.mendeley.com/documents/?uuid=6b1d0590-ae63-44d0-990b-7cd3b5a05b06" ] } ], "mendeley" : { "formattedCitation" : "(Hervig et al., 2002)", "manualFormatting" : "Hervig et al. (2002)", "plainTextFormattedCitation" : "(Hervig et al., 2002)", "previouslyFormattedCitation" : "(Hervig et al. 2002)" }, "properties" : { "noteIndex" : 0 }, "schema" : "https://github.com/citation-style-language/schema/raw/master/csl-citation.json" }</w:instrText>
      </w:r>
      <w:r>
        <w:rPr>
          <w:rFonts w:cs="Times New Roman"/>
        </w:rPr>
        <w:fldChar w:fldCharType="separate"/>
      </w:r>
      <w:r>
        <w:rPr>
          <w:rFonts w:cs="Times New Roman"/>
          <w:noProof/>
        </w:rPr>
        <w:t>Hervig et al. (</w:t>
      </w:r>
      <w:r w:rsidRPr="005A09E8">
        <w:rPr>
          <w:rFonts w:cs="Times New Roman"/>
          <w:noProof/>
        </w:rPr>
        <w:t>2002)</w:t>
      </w:r>
      <w:r>
        <w:rPr>
          <w:rFonts w:cs="Times New Roman"/>
        </w:rPr>
        <w:fldChar w:fldCharType="end"/>
      </w:r>
      <w:r w:rsidRPr="005A09E8">
        <w:rPr>
          <w:rFonts w:cs="Times New Roman"/>
        </w:rPr>
        <w:t>. A</w:t>
      </w:r>
      <w:r>
        <w:rPr>
          <w:rFonts w:cs="Times New Roman"/>
        </w:rPr>
        <w:t xml:space="preserve"> 0.5 cm thick section was cut from one pebble of MAC. Cores measuring ~ 3 x 4 mm were taken from the 0.5 cm thick section of MAC. One core was sent to </w:t>
      </w:r>
      <w:r w:rsidRPr="00470A92">
        <w:rPr>
          <w:rFonts w:cs="Times New Roman"/>
        </w:rPr>
        <w:t>ALS</w:t>
      </w:r>
      <w:r>
        <w:rPr>
          <w:rFonts w:cs="Times New Roman"/>
        </w:rPr>
        <w:t xml:space="preserve"> Scandinavia for boron isotopic analysis. Wafers ~ 1 mm thick were sectioned from several MAC cores to be used in experiments.</w:t>
      </w:r>
    </w:p>
    <w:p w:rsidR="00665C0F" w:rsidRDefault="00665C0F" w:rsidP="00380C49">
      <w:pPr>
        <w:pStyle w:val="Heading3"/>
        <w:spacing w:line="480" w:lineRule="auto"/>
        <w:rPr>
          <w:rFonts w:cs="Times New Roman"/>
        </w:rPr>
      </w:pPr>
      <w:bookmarkStart w:id="127" w:name="_Toc491246038"/>
      <w:r>
        <w:rPr>
          <w:rFonts w:cs="Times New Roman"/>
        </w:rPr>
        <w:t>2.2</w:t>
      </w:r>
      <w:r w:rsidR="00380C49">
        <w:rPr>
          <w:rFonts w:cs="Times New Roman"/>
        </w:rPr>
        <w:t>.</w:t>
      </w:r>
      <w:r>
        <w:rPr>
          <w:rFonts w:cs="Times New Roman"/>
        </w:rPr>
        <w:t xml:space="preserve"> Experimental methods</w:t>
      </w:r>
      <w:bookmarkEnd w:id="127"/>
    </w:p>
    <w:p w:rsidR="00665C0F" w:rsidRDefault="00665C0F" w:rsidP="00665C0F">
      <w:pPr>
        <w:spacing w:line="480" w:lineRule="auto"/>
        <w:ind w:firstLine="720"/>
        <w:rPr>
          <w:rFonts w:cs="Times New Roman"/>
        </w:rPr>
      </w:pPr>
      <w:r>
        <w:rPr>
          <w:rFonts w:cs="Times New Roman"/>
        </w:rPr>
        <w:t xml:space="preserve">Loaded gold capsules containing borosilicate glass plus deionized ultra-filtered water were weighed before and after welding with a TIG-welder.  Capsules that did not lose weight during welding or in a drying oven at ~ 125°C for ≥ 4 hrs were loaded into NIMONIC 105 cold-seal reaction vessels. Most experiments were heated to either 700°C or 800°C and 200 MPa for 30 days. One experiment using MAC was heated to 750°C for 90 days at 200 MPa. Two experiments were heated to 750°C and 850°C, 200 MPa, for 1 and 2 days, respectively, to compare to the experimental results of </w:t>
      </w:r>
      <w:r>
        <w:rPr>
          <w:rFonts w:cs="Times New Roman"/>
        </w:rPr>
        <w:fldChar w:fldCharType="begin" w:fldLock="1"/>
      </w:r>
      <w:r w:rsidR="00266290">
        <w:rPr>
          <w:rFonts w:cs="Times New Roman"/>
        </w:rPr>
        <w:instrText>ADDIN CSL_CITATION { "citationItems" : [ { "id" : "ITEM-1",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"ITEM-1", "issue" : "5-6", "issued" : { "date-parts" : [ [ "2002" ] ] }, "page" : "769-774", "title" : "Isotopic and elemental partitioning of boron between hydrous fluid and silicate melt", "type" : "article-journal", "volume" : "87" }, "uris" : [ "http://www.mendeley.com/documents/?uuid=6b1d0590-ae63-44d0-990b-7cd3b5a05b06" ] } ], "mendeley" : { "formattedCitation" : "(Hervig et al., 2002)", "manualFormatting" : "Hervig et al. (2002)", "plainTextFormattedCitation" : "(Hervig et al., 2002)", "previouslyFormattedCitation" : "(Hervig et al. 2002)" }, "properties" : { "noteIndex" : 0 }, "schema" : "https://github.com/citation-style-language/schema/raw/master/csl-citation.json" }</w:instrText>
      </w:r>
      <w:r>
        <w:rPr>
          <w:rFonts w:cs="Times New Roman"/>
        </w:rPr>
        <w:fldChar w:fldCharType="separate"/>
      </w:r>
      <w:r>
        <w:rPr>
          <w:rFonts w:cs="Times New Roman"/>
          <w:noProof/>
        </w:rPr>
        <w:t>Hervig et al. (</w:t>
      </w:r>
      <w:r w:rsidRPr="005A09E8">
        <w:rPr>
          <w:rFonts w:cs="Times New Roman"/>
          <w:noProof/>
        </w:rPr>
        <w:t>2002)</w:t>
      </w:r>
      <w:r>
        <w:rPr>
          <w:rFonts w:cs="Times New Roman"/>
        </w:rPr>
        <w:fldChar w:fldCharType="end"/>
      </w:r>
      <w:r w:rsidRPr="005A09E8">
        <w:rPr>
          <w:rFonts w:cs="Times New Roman"/>
        </w:rPr>
        <w:t>.</w:t>
      </w:r>
      <w:r>
        <w:rPr>
          <w:rFonts w:cs="Times New Roman"/>
        </w:rPr>
        <w:t xml:space="preserve"> </w:t>
      </w:r>
    </w:p>
    <w:p w:rsidR="00665C0F" w:rsidRPr="00C263DF" w:rsidRDefault="00665C0F" w:rsidP="00665C0F">
      <w:pPr>
        <w:spacing w:line="480" w:lineRule="auto"/>
        <w:ind w:firstLine="720"/>
        <w:rPr>
          <w:rFonts w:cs="Times New Roman"/>
        </w:rPr>
      </w:pPr>
      <w:r>
        <w:rPr>
          <w:rFonts w:cs="Times New Roman"/>
        </w:rPr>
        <w:t>All experiments were quenched nearly isobarically at an average rate of ~30°C/min to room temperature. All capsules were weighed again after quench to check for leaks produced during the experiment. Capsules showing no signs of leakage were punctured to allow water to evaporate. Punctured capsules were placed in an ultrasonic bath filled by deionized and distilled water to dissolve any soluble borates that may have crystallized during quench and evaporation. The mass of the final, equilibrated glass was recorded and the mass of the aqueous solution was calculated using mass-balance (section 3). Glasses were then prepared for chemical and/or isotopic analyses.</w:t>
      </w:r>
    </w:p>
    <w:p w:rsidR="00665C0F" w:rsidRPr="00546121" w:rsidRDefault="00665C0F" w:rsidP="00380C49">
      <w:pPr>
        <w:pStyle w:val="Heading3"/>
        <w:spacing w:line="480" w:lineRule="auto"/>
        <w:rPr>
          <w:rFonts w:cs="Times New Roman"/>
        </w:rPr>
      </w:pPr>
      <w:bookmarkStart w:id="128" w:name="_Toc491246039"/>
      <w:r>
        <w:rPr>
          <w:rFonts w:cs="Times New Roman"/>
        </w:rPr>
        <w:lastRenderedPageBreak/>
        <w:t xml:space="preserve">2.3. Preparation of glasses </w:t>
      </w:r>
      <w:r w:rsidRPr="00546121">
        <w:rPr>
          <w:rFonts w:cs="Times New Roman"/>
        </w:rPr>
        <w:t>for analysis</w:t>
      </w:r>
      <w:bookmarkEnd w:id="128"/>
    </w:p>
    <w:p w:rsidR="00665C0F" w:rsidRPr="00F66B69" w:rsidRDefault="00665C0F" w:rsidP="00665C0F">
      <w:pPr>
        <w:spacing w:line="480" w:lineRule="auto"/>
        <w:rPr>
          <w:rFonts w:cs="Times New Roman"/>
        </w:rPr>
      </w:pPr>
      <w:r>
        <w:rPr>
          <w:rFonts w:cs="Times New Roman"/>
        </w:rPr>
        <w:tab/>
        <w:t>Five to six pieces of glass from experiments and starting material glasses were embedded in a 1” circular mold using EpoThin</w:t>
      </w:r>
      <w:r>
        <w:rPr>
          <w:rFonts w:cs="Times New Roman"/>
          <w:vertAlign w:val="superscript"/>
        </w:rPr>
        <w:t>TM</w:t>
      </w:r>
      <w:r>
        <w:rPr>
          <w:rFonts w:cs="Times New Roman"/>
        </w:rPr>
        <w:t xml:space="preserve"> (Beuhler) epoxy. Molds were initially ground using diamond-embedded plates on a lapidary wheel followed by a polish using a combination of diamond-embedded films. A final, fine-finish polish was applied to each sample using a series of solutions containing 3 µm to ¼ µm diamond grit. Polished mounts were cleaned, dried, and coated with either C (for EMPA) or Au (for SIMS) prior to analysis.</w:t>
      </w:r>
    </w:p>
    <w:p w:rsidR="00665C0F" w:rsidRPr="00546121" w:rsidRDefault="00665C0F" w:rsidP="00380C49">
      <w:pPr>
        <w:pStyle w:val="Heading3"/>
        <w:spacing w:line="480" w:lineRule="auto"/>
        <w:rPr>
          <w:rFonts w:cs="Times New Roman"/>
        </w:rPr>
      </w:pPr>
      <w:bookmarkStart w:id="129" w:name="_Toc491246040"/>
      <w:r w:rsidRPr="00546121">
        <w:rPr>
          <w:rFonts w:cs="Times New Roman"/>
        </w:rPr>
        <w:t>2.4. Electron microprobe (EMPA)</w:t>
      </w:r>
      <w:bookmarkEnd w:id="129"/>
    </w:p>
    <w:p w:rsidR="00665C0F" w:rsidRPr="00F66B69" w:rsidRDefault="00665C0F" w:rsidP="00665C0F">
      <w:pPr>
        <w:spacing w:line="480" w:lineRule="auto"/>
        <w:ind w:firstLine="720"/>
        <w:rPr>
          <w:rFonts w:cs="Times New Roman"/>
        </w:rPr>
      </w:pPr>
      <w:r>
        <w:rPr>
          <w:rFonts w:cs="Times New Roman"/>
        </w:rPr>
        <w:t>The Cameca SX-100 at the University of Oklahoma (OU) was used to chemically characterize all glasses. Glasses were analyzed for Si, Al, K, Na, and B using a 2-condition analytical routine. The first condition used a 10 kV accelerating voltage, 2 nA beam current, and 20 µm spot diameter to analyze Si, Al, K, and Na. The second condition used the same accelerating voltage and spot size, but a 40 nA beam current to analyze B. Individual point analyses were dispersed evenly across each glass forming a linear transect from one edge of the glass to the other. Counting times were chosen to yield the best possible detection limits while obviating beam damage to the sample and the need for a time-dependent intensity correction. Detection limits for SiO</w:t>
      </w:r>
      <w:r>
        <w:rPr>
          <w:rFonts w:cs="Times New Roman"/>
          <w:vertAlign w:val="subscript"/>
        </w:rPr>
        <w:t>2</w:t>
      </w:r>
      <w:r>
        <w:rPr>
          <w:rFonts w:cs="Times New Roman"/>
        </w:rPr>
        <w:t>, Al</w:t>
      </w:r>
      <w:r w:rsidRPr="00470A92">
        <w:rPr>
          <w:rFonts w:cs="Times New Roman"/>
          <w:vertAlign w:val="subscript"/>
        </w:rPr>
        <w:t>2</w:t>
      </w:r>
      <w:r>
        <w:rPr>
          <w:rFonts w:cs="Times New Roman"/>
        </w:rPr>
        <w:t>O</w:t>
      </w:r>
      <w:r w:rsidRPr="00470A92">
        <w:rPr>
          <w:rFonts w:cs="Times New Roman"/>
          <w:vertAlign w:val="subscript"/>
        </w:rPr>
        <w:t>3</w:t>
      </w:r>
      <w:r>
        <w:rPr>
          <w:rFonts w:cs="Times New Roman"/>
        </w:rPr>
        <w:t>, Na</w:t>
      </w:r>
      <w:r w:rsidRPr="00470A92">
        <w:rPr>
          <w:rFonts w:cs="Times New Roman"/>
          <w:vertAlign w:val="subscript"/>
        </w:rPr>
        <w:t>2</w:t>
      </w:r>
      <w:r>
        <w:rPr>
          <w:rFonts w:cs="Times New Roman"/>
        </w:rPr>
        <w:t>O, and K</w:t>
      </w:r>
      <w:r>
        <w:rPr>
          <w:rFonts w:cs="Times New Roman"/>
          <w:vertAlign w:val="subscript"/>
        </w:rPr>
        <w:t>2</w:t>
      </w:r>
      <w:r>
        <w:rPr>
          <w:rFonts w:cs="Times New Roman"/>
        </w:rPr>
        <w:t xml:space="preserve">O of ~ </w:t>
      </w:r>
      <w:r w:rsidRPr="00DF290F">
        <w:rPr>
          <w:rFonts w:cs="Times New Roman"/>
        </w:rPr>
        <w:t>0.1</w:t>
      </w:r>
      <w:r>
        <w:rPr>
          <w:rFonts w:cs="Times New Roman"/>
        </w:rPr>
        <w:t xml:space="preserve"> wt.% and ~ 0.5 wt.% for B</w:t>
      </w:r>
      <w:r>
        <w:rPr>
          <w:rFonts w:cs="Times New Roman"/>
          <w:vertAlign w:val="subscript"/>
        </w:rPr>
        <w:t>2</w:t>
      </w:r>
      <w:r>
        <w:rPr>
          <w:rFonts w:cs="Times New Roman"/>
        </w:rPr>
        <w:t>O</w:t>
      </w:r>
      <w:r>
        <w:rPr>
          <w:rFonts w:cs="Times New Roman"/>
          <w:vertAlign w:val="subscript"/>
        </w:rPr>
        <w:t>3</w:t>
      </w:r>
      <w:r>
        <w:rPr>
          <w:rFonts w:cs="Times New Roman"/>
        </w:rPr>
        <w:t xml:space="preserve">. Data reduction used the PAP </w:t>
      </w:r>
      <w:r w:rsidRPr="00DF3977">
        <w:rPr>
          <w:rFonts w:cs="Times New Roman"/>
        </w:rPr>
        <w:t xml:space="preserve">method </w:t>
      </w:r>
      <w:r w:rsidRPr="00DF3977">
        <w:rPr>
          <w:rFonts w:cs="Times New Roman"/>
        </w:rPr>
        <w:fldChar w:fldCharType="begin" w:fldLock="1"/>
      </w:r>
      <w:r w:rsidR="00266290">
        <w:rPr>
          <w:rFonts w:cs="Times New Roman"/>
        </w:rPr>
        <w:instrText>ADDIN CSL_CITATION { "citationItems" : [ { "id" : "ITEM-1", "itemData" : { "author" : [ { "dropping-particle" : "", "family" : "Pouchou", "given" : "J.L.", "non-dropping-particle" : "", "parse-names" : false, "suffix" : "" }, { "dropping-particle" : "", "family" : "Pichoir", "given" : "F.", "non-dropping-particle" : "", "parse-names" : false, "suffix" : "" } ], "container-title" : "Microbeam Analysis", "id" : "ITEM-1", "issued" : { "date-parts" : [ [ "1985" ] ] }, "page" : "104-106", "publisher" : "San Francisco Press, California", "title" : "\"PAP\" (\u0278-\u03c1-z) correction procedure for improved quantitative microanalysis", "type" : "chapter" }, "uris" : [ "http://www.mendeley.com/documents/?uuid=6e588b2f-7a78-44c6-b4d1-8c2f08cd1f56" ] } ], "mendeley" : { "formattedCitation" : "(Pouchou and Pichoir, 1985)", "plainTextFormattedCitation" : "(Pouchou and Pichoir, 1985)", "previouslyFormattedCitation" : "(Pouchou and Pichoir 1985)" }, "properties" : { "noteIndex" : 0 }, "schema" : "https://github.com/citation-style-language/schema/raw/master/csl-citation.json" }</w:instrText>
      </w:r>
      <w:r w:rsidRPr="00DF3977">
        <w:rPr>
          <w:rFonts w:cs="Times New Roman"/>
        </w:rPr>
        <w:fldChar w:fldCharType="separate"/>
      </w:r>
      <w:r w:rsidR="00266290" w:rsidRPr="00266290">
        <w:rPr>
          <w:rFonts w:cs="Times New Roman"/>
          <w:noProof/>
        </w:rPr>
        <w:t>(Pouchou and Pichoir, 1985)</w:t>
      </w:r>
      <w:r w:rsidRPr="00DF3977">
        <w:rPr>
          <w:rFonts w:cs="Times New Roman"/>
        </w:rPr>
        <w:fldChar w:fldCharType="end"/>
      </w:r>
      <w:r w:rsidRPr="00DF3977">
        <w:rPr>
          <w:rFonts w:cs="Times New Roman"/>
        </w:rPr>
        <w:t xml:space="preserve">. Chemical compositions of starting material glasses are reported in Table </w:t>
      </w:r>
      <w:r w:rsidR="0083401A">
        <w:rPr>
          <w:rFonts w:cs="Times New Roman"/>
        </w:rPr>
        <w:t>4-</w:t>
      </w:r>
      <w:r w:rsidRPr="00DF3977">
        <w:rPr>
          <w:rFonts w:cs="Times New Roman"/>
        </w:rPr>
        <w:t>1.</w:t>
      </w:r>
    </w:p>
    <w:p w:rsidR="00665C0F" w:rsidRPr="00546121" w:rsidRDefault="00665C0F" w:rsidP="00380C49">
      <w:pPr>
        <w:pStyle w:val="Heading3"/>
        <w:spacing w:line="480" w:lineRule="auto"/>
        <w:rPr>
          <w:rFonts w:cs="Times New Roman"/>
        </w:rPr>
      </w:pPr>
      <w:bookmarkStart w:id="130" w:name="_Toc491246041"/>
      <w:r w:rsidRPr="00546121">
        <w:rPr>
          <w:rFonts w:cs="Times New Roman"/>
        </w:rPr>
        <w:lastRenderedPageBreak/>
        <w:t>2.5. Secondary ion mass spectrometry (SIMS)</w:t>
      </w:r>
      <w:bookmarkEnd w:id="130"/>
    </w:p>
    <w:p w:rsidR="00665C0F" w:rsidRDefault="00665C0F" w:rsidP="00665C0F">
      <w:pPr>
        <w:spacing w:line="480" w:lineRule="auto"/>
        <w:ind w:firstLine="720"/>
        <w:rPr>
          <w:rFonts w:cs="Times New Roman"/>
        </w:rPr>
      </w:pPr>
      <w:r>
        <w:rPr>
          <w:rFonts w:cs="Times New Roman"/>
        </w:rPr>
        <w:t>Boron concentrations and isotopic ratios were measured using the Cameca 6f secondary ion mass spectrometer (SIMS) at the Arizona State University. Individual point analyses were measured as transects from a location as close to the edge of the glass as reasonably possible toward the center of the glass. Measurement of B and δ</w:t>
      </w:r>
      <w:r>
        <w:rPr>
          <w:rFonts w:cs="Times New Roman"/>
          <w:vertAlign w:val="superscript"/>
        </w:rPr>
        <w:t>11</w:t>
      </w:r>
      <w:r>
        <w:rPr>
          <w:rFonts w:cs="Times New Roman"/>
        </w:rPr>
        <w:t xml:space="preserve">B used an instrument setup similar to that reported by </w:t>
      </w:r>
      <w:r>
        <w:rPr>
          <w:rFonts w:cs="Times New Roman"/>
        </w:rPr>
        <w:fldChar w:fldCharType="begin" w:fldLock="1"/>
      </w:r>
      <w:r w:rsidR="00266290">
        <w:rPr>
          <w:rFonts w:cs="Times New Roman"/>
        </w:rPr>
        <w:instrText>ADDIN CSL_CITATION { "citationItems" : [ { "id" : "ITEM-1", "itemData" : { "author" : [ { "dropping-particle" : "", "family" : "Maner", "given" : "James L.", "non-dropping-particle" : "", "parse-names" : false, "suffix" : "" }, { "dropping-particle" : "", "family" : "London", "given" : "David", "non-dropping-particle" : "", "parse-names" : false, "suffix" : "" } ], "container-title" : "Chemical Geology", "id" : "ITEM-1", "issued" : { "date-parts" : [ [ "2017" ] ] }, "page" : "70-83", "title" : "The boron isotopic evolution of the Little Three pegmatites, Ramona, CA", "type" : "article-journal", "volume" : "460" }, "uris" : [ "http://www.mendeley.com/documents/?uuid=11cc18a9-0371-405e-94da-26e69fba70f0" ] } ], "mendeley" : { "formattedCitation" : "(Maner and London, 2017)", "manualFormatting" : "Maner and London (2017)", "plainTextFormattedCitation" : "(Maner and London, 2017)", "previouslyFormattedCitation" : "(Maner and London 2017)" }, "properties" : { "noteIndex" : 0 }, "schema" : "https://github.com/citation-style-language/schema/raw/master/csl-citation.json" }</w:instrText>
      </w:r>
      <w:r>
        <w:rPr>
          <w:rFonts w:cs="Times New Roman"/>
        </w:rPr>
        <w:fldChar w:fldCharType="separate"/>
      </w:r>
      <w:r>
        <w:rPr>
          <w:rFonts w:cs="Times New Roman"/>
          <w:noProof/>
        </w:rPr>
        <w:t>Maner and London (</w:t>
      </w:r>
      <w:r w:rsidRPr="002629C7">
        <w:rPr>
          <w:rFonts w:cs="Times New Roman"/>
          <w:noProof/>
        </w:rPr>
        <w:t>2017)</w:t>
      </w:r>
      <w:r>
        <w:rPr>
          <w:rFonts w:cs="Times New Roman"/>
        </w:rPr>
        <w:fldChar w:fldCharType="end"/>
      </w:r>
      <w:r>
        <w:rPr>
          <w:rFonts w:cs="Times New Roman"/>
        </w:rPr>
        <w:t xml:space="preserve">. The total impact energy was 21.5 kV with a primary ion beam current between 1 and 5 nA for all analyses. Boron content was calculated using a calibration </w:t>
      </w:r>
      <w:r w:rsidRPr="008F75E1">
        <w:rPr>
          <w:rFonts w:cs="Times New Roman"/>
        </w:rPr>
        <w:t>reported by</w:t>
      </w:r>
      <w:r>
        <w:rPr>
          <w:rFonts w:cs="Times New Roman"/>
        </w:rPr>
        <w:t xml:space="preserve"> Maner and London (submitted)</w:t>
      </w:r>
      <w:r w:rsidRPr="008F75E1">
        <w:rPr>
          <w:rFonts w:cs="Times New Roman"/>
        </w:rPr>
        <w:t>. For</w:t>
      </w:r>
      <w:r>
        <w:rPr>
          <w:rFonts w:cs="Times New Roman"/>
        </w:rPr>
        <w:t xml:space="preserve"> measurement of B, the SIMS instrument was setup to measure </w:t>
      </w:r>
      <w:r>
        <w:rPr>
          <w:rFonts w:cs="Times New Roman"/>
          <w:vertAlign w:val="superscript"/>
        </w:rPr>
        <w:t>11</w:t>
      </w:r>
      <w:r>
        <w:rPr>
          <w:rFonts w:cs="Times New Roman"/>
        </w:rPr>
        <w:t xml:space="preserve">B, </w:t>
      </w:r>
      <w:r>
        <w:rPr>
          <w:rFonts w:cs="Times New Roman"/>
          <w:vertAlign w:val="superscript"/>
        </w:rPr>
        <w:t>10</w:t>
      </w:r>
      <w:r>
        <w:rPr>
          <w:rFonts w:cs="Times New Roman"/>
        </w:rPr>
        <w:t xml:space="preserve">B, and </w:t>
      </w:r>
      <w:r>
        <w:rPr>
          <w:rFonts w:cs="Times New Roman"/>
          <w:vertAlign w:val="superscript"/>
        </w:rPr>
        <w:t>30</w:t>
      </w:r>
      <w:r>
        <w:rPr>
          <w:rFonts w:cs="Times New Roman"/>
        </w:rPr>
        <w:t xml:space="preserve">Si for 1s each using an energy window offset of -75 V and a window of ± 20 V.  </w:t>
      </w:r>
    </w:p>
    <w:p w:rsidR="00665C0F" w:rsidRPr="00DF3977" w:rsidRDefault="00665C0F" w:rsidP="00665C0F">
      <w:pPr>
        <w:spacing w:line="480" w:lineRule="auto"/>
        <w:ind w:firstLine="720"/>
        <w:rPr>
          <w:rFonts w:cs="Times New Roman"/>
        </w:rPr>
      </w:pPr>
      <w:r>
        <w:rPr>
          <w:rFonts w:cs="Times New Roman"/>
        </w:rPr>
        <w:t xml:space="preserve">Boron isotopic ratios were measured by counting </w:t>
      </w:r>
      <w:r>
        <w:rPr>
          <w:rFonts w:cs="Times New Roman"/>
          <w:vertAlign w:val="superscript"/>
        </w:rPr>
        <w:t>11</w:t>
      </w:r>
      <w:r>
        <w:rPr>
          <w:rFonts w:cs="Times New Roman"/>
        </w:rPr>
        <w:t xml:space="preserve">B for 8 seconds and </w:t>
      </w:r>
      <w:r>
        <w:rPr>
          <w:rFonts w:cs="Times New Roman"/>
          <w:vertAlign w:val="superscript"/>
        </w:rPr>
        <w:t>10</w:t>
      </w:r>
      <w:r>
        <w:rPr>
          <w:rFonts w:cs="Times New Roman"/>
        </w:rPr>
        <w:t xml:space="preserve">B for 2 seconds, using a mass resolving power (MRP) ≥ 1400. An energy window offset was not applied and the width of the window was ± 20 V. Count rates for the abundant isotope, </w:t>
      </w:r>
      <w:r>
        <w:rPr>
          <w:rFonts w:cs="Times New Roman"/>
          <w:vertAlign w:val="superscript"/>
        </w:rPr>
        <w:t>11</w:t>
      </w:r>
      <w:r>
        <w:rPr>
          <w:rFonts w:cs="Times New Roman"/>
        </w:rPr>
        <w:t xml:space="preserve">B, were kept at or below 300 kcps to obviate dead time issues on the photoelectron multiplier. Standard errors (2σ) are less than 1 ‰ for individual spots (internal errors) and less than 2 ‰ based on spot-to-spot reproducibility on standards (external errors). All boron isotopic ratios are reported using standard units (‰) and isotopic notation and the zero point reference of </w:t>
      </w:r>
      <w:r>
        <w:rPr>
          <w:rFonts w:cs="Times New Roman"/>
        </w:rPr>
        <w:fldChar w:fldCharType="begin" w:fldLock="1"/>
      </w:r>
      <w:r w:rsidR="00266290">
        <w:rPr>
          <w:rFonts w:cs="Times New Roman"/>
        </w:rPr>
        <w:instrText>ADDIN CSL_CITATION { "citationItems" : [ { "id" : "ITEM-1", "itemData" : { "author" : [ { "dropping-particle" : "", "family" : "Catanzaro", "given" : "E.J.", "non-dropping-particle" : "", "parse-names" : false, "suffix" : "" }, { "dropping-particle" : "", "family" : "Champion", "given" : "C.E.", "non-dropping-particle" : "", "parse-names" : false, "suffix" : "" }, { "dropping-particle" : "", "family" : "Garner", "given" : "E.L.", "non-dropping-particle" : "", "parse-names" : false, "suffix" : "" }, { "dropping-particle" : "", "family" : "Marinenko", "given" : "G.", "non-dropping-particle" : "", "parse-names" : false, "suffix" : "" }, { "dropping-particle" : "", "family" : "Sappenfield", "given" : "K.M.", "non-dropping-particle" : "", "parse-names" : false, "suffix" : "" }, { "dropping-particle" : "", "family" : "Shields", "given" : "W.R.", "non-dropping-particle" : "", "parse-names" : false, "suffix" : "" } ], "container-title" : "NBS (US) Spec. Publ.", "id" : "ITEM-1", "issued" : { "date-parts" : [ [ "1970" ] ] }, "page" : "1-70", "title" : "Standard Reference Materials: Boric Acid; Isotopic, and Assay Standard Reference Materials", "type" : "article-journal", "volume" : "260" }, "uris" : [ "http://www.mendeley.com/documents/?uuid=b842342a-4d73-423c-b668-0801c69eeb33" ] } ], "mendeley" : { "formattedCitation" : "(Catanzaro et al., 1970)", "manualFormatting" : "Catanzaro et al. (1970)", "plainTextFormattedCitation" : "(Catanzaro et al., 1970)", "previouslyFormattedCitation" : "(Catanzaro et al. 1970)" }, "properties" : { "noteIndex" : 0 }, "schema" : "https://github.com/citation-style-language/schema/raw/master/csl-citation.json" }</w:instrText>
      </w:r>
      <w:r>
        <w:rPr>
          <w:rFonts w:cs="Times New Roman"/>
        </w:rPr>
        <w:fldChar w:fldCharType="separate"/>
      </w:r>
      <w:r>
        <w:rPr>
          <w:rFonts w:cs="Times New Roman"/>
          <w:noProof/>
        </w:rPr>
        <w:t>Catanzaro et al. (</w:t>
      </w:r>
      <w:r w:rsidRPr="002629C7">
        <w:rPr>
          <w:rFonts w:cs="Times New Roman"/>
          <w:noProof/>
        </w:rPr>
        <w:t>1970)</w:t>
      </w:r>
      <w:r>
        <w:rPr>
          <w:rFonts w:cs="Times New Roman"/>
        </w:rPr>
        <w:fldChar w:fldCharType="end"/>
      </w:r>
      <w:r>
        <w:rPr>
          <w:rFonts w:cs="Times New Roman"/>
        </w:rPr>
        <w:t xml:space="preserve">. Boron isotopic compositions of the starting material glasses are </w:t>
      </w:r>
      <w:r w:rsidRPr="00DF3977">
        <w:rPr>
          <w:rFonts w:cs="Times New Roman"/>
        </w:rPr>
        <w:t xml:space="preserve">reported in Table </w:t>
      </w:r>
      <w:r w:rsidR="0083401A">
        <w:rPr>
          <w:rFonts w:cs="Times New Roman"/>
        </w:rPr>
        <w:t>4-</w:t>
      </w:r>
      <w:r w:rsidRPr="00DF3977">
        <w:rPr>
          <w:rFonts w:cs="Times New Roman"/>
        </w:rPr>
        <w:t>1.</w:t>
      </w:r>
    </w:p>
    <w:p w:rsidR="00665C0F" w:rsidRPr="00DF3977" w:rsidRDefault="00665C0F" w:rsidP="00380C49">
      <w:pPr>
        <w:pStyle w:val="Heading2"/>
        <w:spacing w:line="480" w:lineRule="auto"/>
        <w:rPr>
          <w:rFonts w:cs="Times New Roman"/>
        </w:rPr>
      </w:pPr>
      <w:bookmarkStart w:id="131" w:name="_Toc491246042"/>
      <w:r w:rsidRPr="00DF3977">
        <w:rPr>
          <w:rFonts w:cs="Times New Roman"/>
        </w:rPr>
        <w:lastRenderedPageBreak/>
        <w:t>3. Mass-balance calculation of isotopic fractionation factors and partition coefficients</w:t>
      </w:r>
      <w:bookmarkEnd w:id="131"/>
    </w:p>
    <w:p w:rsidR="00665C0F" w:rsidRDefault="00665C0F" w:rsidP="00665C0F">
      <w:pPr>
        <w:spacing w:line="480" w:lineRule="auto"/>
        <w:rPr>
          <w:rFonts w:cs="Times New Roman"/>
        </w:rPr>
      </w:pPr>
      <w:r w:rsidRPr="00DF3977">
        <w:rPr>
          <w:rFonts w:cs="Times New Roman"/>
        </w:rPr>
        <w:tab/>
        <w:t>Partition coefficients for B, D</w:t>
      </w:r>
      <w:r w:rsidRPr="00DF3977">
        <w:rPr>
          <w:rFonts w:cs="Times New Roman"/>
          <w:vertAlign w:val="subscript"/>
        </w:rPr>
        <w:t>B</w:t>
      </w:r>
      <w:r w:rsidRPr="00DF3977">
        <w:rPr>
          <w:rFonts w:cs="Times New Roman"/>
          <w:vertAlign w:val="superscript"/>
        </w:rPr>
        <w:t>M/V</w:t>
      </w:r>
      <w:r w:rsidRPr="00DF3977">
        <w:rPr>
          <w:rFonts w:cs="Times New Roman"/>
        </w:rPr>
        <w:t>, between melt (M) and aqueous solution (V) were calculated using mass-balance equations and B content measured by SIMS. The masses of the starting glass, initial H</w:t>
      </w:r>
      <w:r w:rsidRPr="00DF3977">
        <w:rPr>
          <w:rFonts w:cs="Times New Roman"/>
          <w:vertAlign w:val="subscript"/>
        </w:rPr>
        <w:t>2</w:t>
      </w:r>
      <w:r w:rsidRPr="00DF3977">
        <w:rPr>
          <w:rFonts w:cs="Times New Roman"/>
        </w:rPr>
        <w:t>O, final glass, and final H</w:t>
      </w:r>
      <w:r w:rsidRPr="00DF3977">
        <w:rPr>
          <w:rFonts w:cs="Times New Roman"/>
          <w:vertAlign w:val="subscript"/>
        </w:rPr>
        <w:t>2</w:t>
      </w:r>
      <w:r w:rsidRPr="00DF3977">
        <w:rPr>
          <w:rFonts w:cs="Times New Roman"/>
        </w:rPr>
        <w:t xml:space="preserve">O are presented in Table </w:t>
      </w:r>
      <w:r w:rsidR="0083401A">
        <w:rPr>
          <w:rFonts w:cs="Times New Roman"/>
        </w:rPr>
        <w:t>4-</w:t>
      </w:r>
      <w:r w:rsidRPr="00DF3977">
        <w:rPr>
          <w:rFonts w:cs="Times New Roman"/>
        </w:rPr>
        <w:t>2.</w:t>
      </w:r>
      <w:r>
        <w:rPr>
          <w:rFonts w:cs="Times New Roman"/>
        </w:rPr>
        <w:t xml:space="preserve"> The mass of B in the starting glass was calculated by dividing the measured concentration of B</w:t>
      </w:r>
      <w:r>
        <w:rPr>
          <w:rFonts w:cs="Times New Roman"/>
          <w:vertAlign w:val="subscript"/>
        </w:rPr>
        <w:t>2</w:t>
      </w:r>
      <w:r>
        <w:rPr>
          <w:rFonts w:cs="Times New Roman"/>
        </w:rPr>
        <w:t>O</w:t>
      </w:r>
      <w:r>
        <w:rPr>
          <w:rFonts w:cs="Times New Roman"/>
          <w:vertAlign w:val="subscript"/>
        </w:rPr>
        <w:t>3</w:t>
      </w:r>
      <w:r>
        <w:rPr>
          <w:rFonts w:cs="Times New Roman"/>
        </w:rPr>
        <w:t xml:space="preserve"> (in wt%) by 100 and then multiplying that figure by the mass of the starting glass. The B</w:t>
      </w:r>
      <w:r>
        <w:rPr>
          <w:rFonts w:cs="Times New Roman"/>
          <w:vertAlign w:val="subscript"/>
        </w:rPr>
        <w:t>2</w:t>
      </w:r>
      <w:r>
        <w:rPr>
          <w:rFonts w:cs="Times New Roman"/>
        </w:rPr>
        <w:t>O</w:t>
      </w:r>
      <w:r>
        <w:rPr>
          <w:rFonts w:cs="Times New Roman"/>
          <w:vertAlign w:val="subscript"/>
        </w:rPr>
        <w:t>3</w:t>
      </w:r>
      <w:r>
        <w:rPr>
          <w:rFonts w:cs="Times New Roman"/>
        </w:rPr>
        <w:t xml:space="preserve"> content of the final glass was calculated in the same way as the starting glass. The difference, by mass, of B</w:t>
      </w:r>
      <w:r>
        <w:rPr>
          <w:rFonts w:cs="Times New Roman"/>
          <w:vertAlign w:val="subscript"/>
        </w:rPr>
        <w:t>2</w:t>
      </w:r>
      <w:r>
        <w:rPr>
          <w:rFonts w:cs="Times New Roman"/>
        </w:rPr>
        <w:t>O</w:t>
      </w:r>
      <w:r>
        <w:rPr>
          <w:rFonts w:cs="Times New Roman"/>
          <w:vertAlign w:val="subscript"/>
        </w:rPr>
        <w:t>3</w:t>
      </w:r>
      <w:r>
        <w:rPr>
          <w:rFonts w:cs="Times New Roman"/>
        </w:rPr>
        <w:t xml:space="preserve"> in the starting and final glasses is the B</w:t>
      </w:r>
      <w:r>
        <w:rPr>
          <w:rFonts w:cs="Times New Roman"/>
          <w:vertAlign w:val="subscript"/>
        </w:rPr>
        <w:t>2</w:t>
      </w:r>
      <w:r>
        <w:rPr>
          <w:rFonts w:cs="Times New Roman"/>
        </w:rPr>
        <w:t>O</w:t>
      </w:r>
      <w:r>
        <w:rPr>
          <w:rFonts w:cs="Times New Roman"/>
          <w:vertAlign w:val="subscript"/>
        </w:rPr>
        <w:t>3</w:t>
      </w:r>
      <w:r>
        <w:rPr>
          <w:rFonts w:cs="Times New Roman"/>
        </w:rPr>
        <w:t xml:space="preserve"> content of the aqueous solution at run conditions. The concentration of B</w:t>
      </w:r>
      <w:r>
        <w:rPr>
          <w:rFonts w:cs="Times New Roman"/>
          <w:vertAlign w:val="subscript"/>
        </w:rPr>
        <w:t>2</w:t>
      </w:r>
      <w:r>
        <w:rPr>
          <w:rFonts w:cs="Times New Roman"/>
        </w:rPr>
        <w:t>O</w:t>
      </w:r>
      <w:r>
        <w:rPr>
          <w:rFonts w:cs="Times New Roman"/>
          <w:vertAlign w:val="subscript"/>
        </w:rPr>
        <w:t>3</w:t>
      </w:r>
      <w:r>
        <w:rPr>
          <w:rFonts w:cs="Times New Roman"/>
        </w:rPr>
        <w:t xml:space="preserve"> in the aqueous solution was calculated by dividing the mass of B</w:t>
      </w:r>
      <w:r>
        <w:rPr>
          <w:rFonts w:cs="Times New Roman"/>
          <w:vertAlign w:val="subscript"/>
        </w:rPr>
        <w:t>2</w:t>
      </w:r>
      <w:r>
        <w:rPr>
          <w:rFonts w:cs="Times New Roman"/>
        </w:rPr>
        <w:t>O</w:t>
      </w:r>
      <w:r>
        <w:rPr>
          <w:rFonts w:cs="Times New Roman"/>
          <w:vertAlign w:val="subscript"/>
        </w:rPr>
        <w:t>3</w:t>
      </w:r>
      <w:r>
        <w:rPr>
          <w:rFonts w:cs="Times New Roman"/>
        </w:rPr>
        <w:t xml:space="preserve"> by the mass of the aqueous solution and multiplying by 100, to arrive at units of wt%. Partition coefficients for B, as B</w:t>
      </w:r>
      <w:r>
        <w:rPr>
          <w:rFonts w:cs="Times New Roman"/>
          <w:vertAlign w:val="subscript"/>
        </w:rPr>
        <w:t>2</w:t>
      </w:r>
      <w:r>
        <w:rPr>
          <w:rFonts w:cs="Times New Roman"/>
        </w:rPr>
        <w:t>O</w:t>
      </w:r>
      <w:r>
        <w:rPr>
          <w:rFonts w:cs="Times New Roman"/>
          <w:vertAlign w:val="subscript"/>
        </w:rPr>
        <w:t>3</w:t>
      </w:r>
      <w:r>
        <w:rPr>
          <w:rFonts w:cs="Times New Roman"/>
        </w:rPr>
        <w:t>, between melt and aqueous solution were calculated by dividing the concentration of B</w:t>
      </w:r>
      <w:r>
        <w:rPr>
          <w:rFonts w:cs="Times New Roman"/>
          <w:vertAlign w:val="subscript"/>
        </w:rPr>
        <w:t>2</w:t>
      </w:r>
      <w:r>
        <w:rPr>
          <w:rFonts w:cs="Times New Roman"/>
        </w:rPr>
        <w:t>O</w:t>
      </w:r>
      <w:r>
        <w:rPr>
          <w:rFonts w:cs="Times New Roman"/>
          <w:vertAlign w:val="subscript"/>
        </w:rPr>
        <w:t>3</w:t>
      </w:r>
      <w:r>
        <w:rPr>
          <w:rFonts w:cs="Times New Roman"/>
        </w:rPr>
        <w:t xml:space="preserve"> in the aqueous solution by the B</w:t>
      </w:r>
      <w:r>
        <w:rPr>
          <w:rFonts w:cs="Times New Roman"/>
          <w:vertAlign w:val="subscript"/>
        </w:rPr>
        <w:t>2</w:t>
      </w:r>
      <w:r>
        <w:rPr>
          <w:rFonts w:cs="Times New Roman"/>
        </w:rPr>
        <w:t>O</w:t>
      </w:r>
      <w:r>
        <w:rPr>
          <w:rFonts w:cs="Times New Roman"/>
          <w:vertAlign w:val="subscript"/>
        </w:rPr>
        <w:t>3</w:t>
      </w:r>
      <w:r>
        <w:rPr>
          <w:rFonts w:cs="Times New Roman"/>
        </w:rPr>
        <w:t xml:space="preserve"> in glass (Equation 1). </w:t>
      </w:r>
    </w:p>
    <w:p w:rsidR="00665C0F" w:rsidRDefault="00B920BD" w:rsidP="00665C0F">
      <w:pPr>
        <w:spacing w:line="480" w:lineRule="auto"/>
        <w:rPr>
          <w:rFonts w:cs="Times New Roman"/>
        </w:rPr>
      </w:pPr>
      <m:oMathPara>
        <m:oMath>
          <m:d>
            <m:dPr>
              <m:ctrlPr>
                <w:rPr>
                  <w:rFonts w:ascii="Cambria Math" w:hAnsi="Cambria Math" w:cs="Times New Roman"/>
                  <w:i/>
                </w:rPr>
              </m:ctrlPr>
            </m:dPr>
            <m:e>
              <m:r>
                <w:rPr>
                  <w:rFonts w:ascii="Cambria Math" w:hAnsi="Cambria Math" w:cs="Times New Roman"/>
                </w:rPr>
                <m:t>1</m:t>
              </m:r>
            </m:e>
          </m:d>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D</m:t>
              </m:r>
            </m:e>
            <m:sub>
              <m:r>
                <w:rPr>
                  <w:rFonts w:ascii="Cambria Math" w:hAnsi="Cambria Math" w:cs="Times New Roman"/>
                </w:rPr>
                <m:t>B</m:t>
              </m:r>
            </m:sub>
            <m:sup>
              <m:r>
                <w:rPr>
                  <w:rFonts w:ascii="Cambria Math" w:hAnsi="Cambria Math" w:cs="Times New Roman"/>
                </w:rPr>
                <m:t>V/M</m:t>
              </m:r>
            </m:sup>
          </m:sSubSup>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3(V)</m:t>
                  </m:r>
                </m:sub>
              </m:sSub>
            </m:num>
            <m:den>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3(M)</m:t>
                  </m:r>
                </m:sub>
              </m:sSub>
            </m:den>
          </m:f>
        </m:oMath>
      </m:oMathPara>
    </w:p>
    <w:p w:rsidR="00665C0F" w:rsidRDefault="00665C0F" w:rsidP="00665C0F">
      <w:pPr>
        <w:spacing w:line="480" w:lineRule="auto"/>
        <w:rPr>
          <w:rFonts w:cs="Times New Roman"/>
        </w:rPr>
      </w:pPr>
      <w:r>
        <w:rPr>
          <w:rFonts w:cs="Times New Roman"/>
        </w:rPr>
        <w:tab/>
        <w:t xml:space="preserve">Boron isotopic fractionation factors were calculated in much the same way as the partition coefficients, with one exception. The B isotope ratio of the starting and final glasses was used to calculate the B isotope ratio of the final aqueous </w:t>
      </w:r>
      <w:r w:rsidRPr="00DF3977">
        <w:rPr>
          <w:rFonts w:cs="Times New Roman"/>
        </w:rPr>
        <w:t xml:space="preserve">solution (Table </w:t>
      </w:r>
      <w:r w:rsidR="0083401A">
        <w:rPr>
          <w:rFonts w:cs="Times New Roman"/>
        </w:rPr>
        <w:t>4-</w:t>
      </w:r>
      <w:r w:rsidRPr="00DF3977">
        <w:rPr>
          <w:rFonts w:cs="Times New Roman"/>
        </w:rPr>
        <w:t>2).</w:t>
      </w:r>
      <w:r>
        <w:rPr>
          <w:rFonts w:cs="Times New Roman"/>
        </w:rPr>
        <w:t xml:space="preserve"> The mass of B was converted into moles of B. The moles of total B were converted into moles of </w:t>
      </w:r>
      <w:r>
        <w:rPr>
          <w:rFonts w:cs="Times New Roman"/>
          <w:vertAlign w:val="superscript"/>
        </w:rPr>
        <w:t>11</w:t>
      </w:r>
      <w:r>
        <w:rPr>
          <w:rFonts w:cs="Times New Roman"/>
        </w:rPr>
        <w:t xml:space="preserve">B and moles of </w:t>
      </w:r>
      <w:r>
        <w:rPr>
          <w:rFonts w:cs="Times New Roman"/>
          <w:vertAlign w:val="superscript"/>
        </w:rPr>
        <w:t>10</w:t>
      </w:r>
      <w:r>
        <w:rPr>
          <w:rFonts w:cs="Times New Roman"/>
        </w:rPr>
        <w:t xml:space="preserve">B using the B isotope ratio measured by SIMS. The moles of </w:t>
      </w:r>
      <w:r>
        <w:rPr>
          <w:rFonts w:cs="Times New Roman"/>
          <w:vertAlign w:val="superscript"/>
        </w:rPr>
        <w:t>11</w:t>
      </w:r>
      <w:r>
        <w:rPr>
          <w:rFonts w:cs="Times New Roman"/>
        </w:rPr>
        <w:t xml:space="preserve">B and </w:t>
      </w:r>
      <w:r>
        <w:rPr>
          <w:rFonts w:cs="Times New Roman"/>
          <w:vertAlign w:val="superscript"/>
        </w:rPr>
        <w:t>10</w:t>
      </w:r>
      <w:r>
        <w:rPr>
          <w:rFonts w:cs="Times New Roman"/>
        </w:rPr>
        <w:t xml:space="preserve">B in the aqueous solution were calculated by taking the </w:t>
      </w:r>
      <w:r>
        <w:rPr>
          <w:rFonts w:cs="Times New Roman"/>
        </w:rPr>
        <w:lastRenderedPageBreak/>
        <w:t xml:space="preserve">difference between the moles of </w:t>
      </w:r>
      <w:r>
        <w:rPr>
          <w:rFonts w:cs="Times New Roman"/>
          <w:vertAlign w:val="superscript"/>
        </w:rPr>
        <w:t>11</w:t>
      </w:r>
      <w:r>
        <w:rPr>
          <w:rFonts w:cs="Times New Roman"/>
        </w:rPr>
        <w:t xml:space="preserve">B and </w:t>
      </w:r>
      <w:r>
        <w:rPr>
          <w:rFonts w:cs="Times New Roman"/>
          <w:vertAlign w:val="superscript"/>
        </w:rPr>
        <w:t>10</w:t>
      </w:r>
      <w:r>
        <w:rPr>
          <w:rFonts w:cs="Times New Roman"/>
        </w:rPr>
        <w:t xml:space="preserve">B of the starting and final glasses. Boron isotopic fractionation factors are reported in two ways: in alpha, α (Equation 2), and delta, Δ (Equation 4), notation. The B isotope ratio of the aqueous solution (V) was divided by the B isotope ratio of the final glass (M) for α notation. </w:t>
      </w:r>
    </w:p>
    <w:p w:rsidR="00665C0F" w:rsidRDefault="00B920BD" w:rsidP="00665C0F">
      <w:pPr>
        <w:spacing w:line="480" w:lineRule="auto"/>
        <w:rPr>
          <w:rFonts w:cs="Times New Roman"/>
        </w:rPr>
      </w:pPr>
      <m:oMathPara>
        <m:oMath>
          <m:d>
            <m:dPr>
              <m:ctrlPr>
                <w:rPr>
                  <w:rFonts w:ascii="Cambria Math" w:hAnsi="Cambria Math" w:cs="Times New Roman"/>
                  <w:i/>
                </w:rPr>
              </m:ctrlPr>
            </m:dPr>
            <m:e>
              <m:r>
                <w:rPr>
                  <w:rFonts w:ascii="Cambria Math" w:hAnsi="Cambria Math" w:cs="Times New Roman"/>
                </w:rPr>
                <m:t>2</m:t>
              </m:r>
            </m:e>
          </m:d>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d>
                    <m:dPr>
                      <m:ctrlPr>
                        <w:rPr>
                          <w:rFonts w:ascii="Cambria Math" w:hAnsi="Cambria Math" w:cs="Times New Roman"/>
                          <w:i/>
                        </w:rPr>
                      </m:ctrlPr>
                    </m:dPr>
                    <m:e>
                      <m:f>
                        <m:fPr>
                          <m:type m:val="skw"/>
                          <m:ctrlPr>
                            <w:rPr>
                              <w:rFonts w:ascii="Cambria Math" w:hAnsi="Cambria Math" w:cs="Times New Roman"/>
                              <w:i/>
                            </w:rPr>
                          </m:ctrlPr>
                        </m:fPr>
                        <m:num>
                          <m:sPre>
                            <m:sPrePr>
                              <m:ctrlPr>
                                <w:rPr>
                                  <w:rFonts w:ascii="Cambria Math" w:hAnsi="Cambria Math" w:cs="Times New Roman"/>
                                  <w:i/>
                                </w:rPr>
                              </m:ctrlPr>
                            </m:sPrePr>
                            <m:sub/>
                            <m:sup>
                              <m:r>
                                <w:rPr>
                                  <w:rFonts w:ascii="Cambria Math" w:hAnsi="Cambria Math" w:cs="Times New Roman"/>
                                </w:rPr>
                                <m:t>11</m:t>
                              </m:r>
                            </m:sup>
                            <m:e>
                              <m:r>
                                <m:rPr>
                                  <m:sty m:val="p"/>
                                </m:rPr>
                                <w:rPr>
                                  <w:rFonts w:ascii="Cambria Math" w:hAnsi="Cambria Math" w:cs="Times New Roman"/>
                                </w:rPr>
                                <m:t>B</m:t>
                              </m:r>
                            </m:e>
                          </m:sPre>
                        </m:num>
                        <m:den>
                          <m:sPre>
                            <m:sPrePr>
                              <m:ctrlPr>
                                <w:rPr>
                                  <w:rFonts w:ascii="Cambria Math" w:hAnsi="Cambria Math" w:cs="Times New Roman"/>
                                  <w:i/>
                                </w:rPr>
                              </m:ctrlPr>
                            </m:sPrePr>
                            <m:sub/>
                            <m:sup>
                              <m:r>
                                <w:rPr>
                                  <w:rFonts w:ascii="Cambria Math" w:hAnsi="Cambria Math" w:cs="Times New Roman"/>
                                </w:rPr>
                                <m:t>10</m:t>
                              </m:r>
                            </m:sup>
                            <m:e>
                              <m:r>
                                <m:rPr>
                                  <m:sty m:val="p"/>
                                </m:rPr>
                                <w:rPr>
                                  <w:rFonts w:ascii="Cambria Math" w:hAnsi="Cambria Math" w:cs="Times New Roman"/>
                                </w:rPr>
                                <m:t>B</m:t>
                              </m:r>
                            </m:e>
                          </m:sPre>
                        </m:den>
                      </m:f>
                    </m:e>
                  </m:d>
                </m:e>
                <m:sub>
                  <m:r>
                    <w:rPr>
                      <w:rFonts w:ascii="Cambria Math" w:hAnsi="Cambria Math" w:cs="Times New Roman"/>
                    </w:rPr>
                    <m:t>V</m:t>
                  </m:r>
                </m:sub>
              </m:sSub>
            </m:num>
            <m:den>
              <m:sSub>
                <m:sSubPr>
                  <m:ctrlPr>
                    <w:rPr>
                      <w:rFonts w:ascii="Cambria Math" w:hAnsi="Cambria Math" w:cs="Times New Roman"/>
                      <w:i/>
                    </w:rPr>
                  </m:ctrlPr>
                </m:sSubPr>
                <m:e>
                  <m:d>
                    <m:dPr>
                      <m:ctrlPr>
                        <w:rPr>
                          <w:rFonts w:ascii="Cambria Math" w:hAnsi="Cambria Math" w:cs="Times New Roman"/>
                          <w:i/>
                        </w:rPr>
                      </m:ctrlPr>
                    </m:dPr>
                    <m:e>
                      <m:f>
                        <m:fPr>
                          <m:type m:val="skw"/>
                          <m:ctrlPr>
                            <w:rPr>
                              <w:rFonts w:ascii="Cambria Math" w:hAnsi="Cambria Math" w:cs="Times New Roman"/>
                              <w:i/>
                            </w:rPr>
                          </m:ctrlPr>
                        </m:fPr>
                        <m:num>
                          <m:sPre>
                            <m:sPrePr>
                              <m:ctrlPr>
                                <w:rPr>
                                  <w:rFonts w:ascii="Cambria Math" w:hAnsi="Cambria Math" w:cs="Times New Roman"/>
                                  <w:i/>
                                </w:rPr>
                              </m:ctrlPr>
                            </m:sPrePr>
                            <m:sub/>
                            <m:sup>
                              <m:r>
                                <w:rPr>
                                  <w:rFonts w:ascii="Cambria Math" w:hAnsi="Cambria Math" w:cs="Times New Roman"/>
                                </w:rPr>
                                <m:t>11</m:t>
                              </m:r>
                            </m:sup>
                            <m:e>
                              <m:r>
                                <m:rPr>
                                  <m:sty m:val="p"/>
                                </m:rPr>
                                <w:rPr>
                                  <w:rFonts w:ascii="Cambria Math" w:hAnsi="Cambria Math" w:cs="Times New Roman"/>
                                </w:rPr>
                                <m:t>B</m:t>
                              </m:r>
                            </m:e>
                          </m:sPre>
                        </m:num>
                        <m:den>
                          <m:sPre>
                            <m:sPrePr>
                              <m:ctrlPr>
                                <w:rPr>
                                  <w:rFonts w:ascii="Cambria Math" w:hAnsi="Cambria Math" w:cs="Times New Roman"/>
                                  <w:i/>
                                </w:rPr>
                              </m:ctrlPr>
                            </m:sPrePr>
                            <m:sub/>
                            <m:sup>
                              <m:r>
                                <w:rPr>
                                  <w:rFonts w:ascii="Cambria Math" w:hAnsi="Cambria Math" w:cs="Times New Roman"/>
                                </w:rPr>
                                <m:t>10</m:t>
                              </m:r>
                            </m:sup>
                            <m:e>
                              <m:r>
                                <m:rPr>
                                  <m:sty m:val="p"/>
                                </m:rPr>
                                <w:rPr>
                                  <w:rFonts w:ascii="Cambria Math" w:hAnsi="Cambria Math" w:cs="Times New Roman"/>
                                </w:rPr>
                                <m:t>B</m:t>
                              </m:r>
                            </m:e>
                          </m:sPre>
                        </m:den>
                      </m:f>
                    </m:e>
                  </m:d>
                </m:e>
                <m:sub>
                  <m:r>
                    <w:rPr>
                      <w:rFonts w:ascii="Cambria Math" w:hAnsi="Cambria Math" w:cs="Times New Roman"/>
                    </w:rPr>
                    <m:t>M</m:t>
                  </m:r>
                </m:sub>
              </m:sSub>
            </m:den>
          </m:f>
        </m:oMath>
      </m:oMathPara>
    </w:p>
    <w:p w:rsidR="00665C0F" w:rsidRDefault="00665C0F" w:rsidP="00665C0F">
      <w:pPr>
        <w:spacing w:line="480" w:lineRule="auto"/>
        <w:rPr>
          <w:rFonts w:cs="Times New Roman"/>
        </w:rPr>
      </w:pPr>
      <w:r>
        <w:rPr>
          <w:rFonts w:cs="Times New Roman"/>
        </w:rPr>
        <w:t xml:space="preserve">For Δ notation, the calculated B isotope ratio of the aqueous solution (V) was converted into delta, δ (Equation 3), notation and subtracted from the B isotopic composition, in δ units, of the final glass (M). </w:t>
      </w:r>
    </w:p>
    <w:p w:rsidR="00665C0F" w:rsidRPr="005D00C7" w:rsidRDefault="00B920BD" w:rsidP="00665C0F">
      <w:pPr>
        <w:spacing w:line="480" w:lineRule="auto"/>
        <w:rPr>
          <w:rFonts w:cs="Times New Roman"/>
        </w:rPr>
      </w:pPr>
      <m:oMathPara>
        <m:oMath>
          <m:d>
            <m:dPr>
              <m:ctrlPr>
                <w:rPr>
                  <w:rFonts w:ascii="Cambria Math" w:hAnsi="Cambria Math" w:cs="Times New Roman"/>
                  <w:i/>
                </w:rPr>
              </m:ctrlPr>
            </m:dPr>
            <m:e>
              <m:r>
                <w:rPr>
                  <w:rFonts w:ascii="Cambria Math" w:hAnsi="Cambria Math" w:cs="Times New Roman"/>
                </w:rPr>
                <m:t>3</m:t>
              </m:r>
            </m:e>
          </m:d>
          <m:r>
            <w:rPr>
              <w:rFonts w:ascii="Cambria Math" w:hAnsi="Cambria Math" w:cs="Times New Roman"/>
            </w:rPr>
            <m:t xml:space="preserve"> </m:t>
          </m:r>
          <m:sSup>
            <m:sSupPr>
              <m:ctrlPr>
                <w:rPr>
                  <w:rFonts w:ascii="Cambria Math" w:hAnsi="Cambria Math" w:cs="Times New Roman"/>
                </w:rPr>
              </m:ctrlPr>
            </m:sSupPr>
            <m:e>
              <m:r>
                <m:rPr>
                  <m:sty m:val="p"/>
                </m:rPr>
                <w:rPr>
                  <w:rFonts w:ascii="Cambria Math" w:hAnsi="Cambria Math" w:cs="Times New Roman"/>
                </w:rPr>
                <m:t>δ</m:t>
              </m:r>
            </m:e>
            <m:sup>
              <m:r>
                <w:rPr>
                  <w:rFonts w:ascii="Cambria Math" w:hAnsi="Cambria Math" w:cs="Times New Roman"/>
                </w:rPr>
                <m:t>11</m:t>
              </m:r>
            </m:sup>
          </m:sSup>
          <m:r>
            <m:rPr>
              <m:sty m:val="p"/>
            </m:rPr>
            <w:rPr>
              <w:rFonts w:ascii="Cambria Math" w:hAnsi="Cambria Math" w:cs="Times New Roman"/>
            </w:rPr>
            <m:t>B=</m:t>
          </m:r>
          <m:d>
            <m:dPr>
              <m:ctrlPr>
                <w:rPr>
                  <w:rFonts w:ascii="Cambria Math" w:hAnsi="Cambria Math" w:cs="Times New Roman"/>
                </w:rPr>
              </m:ctrlPr>
            </m:dPr>
            <m:e>
              <m:d>
                <m:dPr>
                  <m:ctrlPr>
                    <w:rPr>
                      <w:rFonts w:ascii="Cambria Math" w:hAnsi="Cambria Math" w:cs="Times New Roman"/>
                    </w:rPr>
                  </m:ctrlPr>
                </m:dPr>
                <m:e>
                  <m:f>
                    <m:fPr>
                      <m:ctrlPr>
                        <w:rPr>
                          <w:rFonts w:ascii="Cambria Math" w:hAnsi="Cambria Math" w:cs="Times New Roman"/>
                        </w:rPr>
                      </m:ctrlPr>
                    </m:fPr>
                    <m:num>
                      <m:sSub>
                        <m:sSubPr>
                          <m:ctrlPr>
                            <w:rPr>
                              <w:rFonts w:ascii="Cambria Math" w:hAnsi="Cambria Math" w:cs="Times New Roman"/>
                            </w:rPr>
                          </m:ctrlPr>
                        </m:sSubPr>
                        <m:e>
                          <m:f>
                            <m:fPr>
                              <m:ctrlPr>
                                <w:rPr>
                                  <w:rFonts w:ascii="Cambria Math" w:hAnsi="Cambria Math" w:cs="Times New Roman"/>
                                </w:rPr>
                              </m:ctrlPr>
                            </m:fPr>
                            <m:num>
                              <m:sPre>
                                <m:sPrePr>
                                  <m:ctrlPr>
                                    <w:rPr>
                                      <w:rFonts w:ascii="Cambria Math" w:hAnsi="Cambria Math" w:cs="Times New Roman"/>
                                      <w:i/>
                                    </w:rPr>
                                  </m:ctrlPr>
                                </m:sPrePr>
                                <m:sub/>
                                <m:sup>
                                  <m:r>
                                    <w:rPr>
                                      <w:rFonts w:ascii="Cambria Math" w:hAnsi="Cambria Math" w:cs="Times New Roman"/>
                                    </w:rPr>
                                    <m:t>11</m:t>
                                  </m:r>
                                </m:sup>
                                <m:e>
                                  <m:r>
                                    <m:rPr>
                                      <m:sty m:val="p"/>
                                    </m:rPr>
                                    <w:rPr>
                                      <w:rFonts w:ascii="Cambria Math" w:hAnsi="Cambria Math" w:cs="Times New Roman"/>
                                    </w:rPr>
                                    <m:t>B</m:t>
                                  </m:r>
                                </m:e>
                              </m:sPre>
                            </m:num>
                            <m:den>
                              <m:sPre>
                                <m:sPrePr>
                                  <m:ctrlPr>
                                    <w:rPr>
                                      <w:rFonts w:ascii="Cambria Math" w:hAnsi="Cambria Math" w:cs="Times New Roman"/>
                                      <w:i/>
                                    </w:rPr>
                                  </m:ctrlPr>
                                </m:sPrePr>
                                <m:sub/>
                                <m:sup>
                                  <m:r>
                                    <w:rPr>
                                      <w:rFonts w:ascii="Cambria Math" w:hAnsi="Cambria Math" w:cs="Times New Roman"/>
                                    </w:rPr>
                                    <m:t>10</m:t>
                                  </m:r>
                                </m:sup>
                                <m:e>
                                  <m:r>
                                    <m:rPr>
                                      <m:sty m:val="p"/>
                                    </m:rPr>
                                    <w:rPr>
                                      <w:rFonts w:ascii="Cambria Math" w:hAnsi="Cambria Math" w:cs="Times New Roman"/>
                                    </w:rPr>
                                    <m:t>B</m:t>
                                  </m:r>
                                </m:e>
                              </m:sPre>
                            </m:den>
                          </m:f>
                        </m:e>
                        <m:sub>
                          <m:r>
                            <w:rPr>
                              <w:rFonts w:ascii="Cambria Math" w:hAnsi="Cambria Math" w:cs="Times New Roman"/>
                            </w:rPr>
                            <m:t>M or V</m:t>
                          </m:r>
                        </m:sub>
                      </m:sSub>
                    </m:num>
                    <m:den>
                      <m:sSub>
                        <m:sSubPr>
                          <m:ctrlPr>
                            <w:rPr>
                              <w:rFonts w:ascii="Cambria Math" w:hAnsi="Cambria Math" w:cs="Times New Roman"/>
                            </w:rPr>
                          </m:ctrlPr>
                        </m:sSubPr>
                        <m:e>
                          <m:f>
                            <m:fPr>
                              <m:ctrlPr>
                                <w:rPr>
                                  <w:rFonts w:ascii="Cambria Math" w:hAnsi="Cambria Math" w:cs="Times New Roman"/>
                                </w:rPr>
                              </m:ctrlPr>
                            </m:fPr>
                            <m:num>
                              <m:sPre>
                                <m:sPrePr>
                                  <m:ctrlPr>
                                    <w:rPr>
                                      <w:rFonts w:ascii="Cambria Math" w:hAnsi="Cambria Math" w:cs="Times New Roman"/>
                                      <w:i/>
                                    </w:rPr>
                                  </m:ctrlPr>
                                </m:sPrePr>
                                <m:sub/>
                                <m:sup>
                                  <m:r>
                                    <w:rPr>
                                      <w:rFonts w:ascii="Cambria Math" w:hAnsi="Cambria Math" w:cs="Times New Roman"/>
                                    </w:rPr>
                                    <m:t>11</m:t>
                                  </m:r>
                                </m:sup>
                                <m:e>
                                  <m:r>
                                    <m:rPr>
                                      <m:sty m:val="p"/>
                                    </m:rPr>
                                    <w:rPr>
                                      <w:rFonts w:ascii="Cambria Math" w:hAnsi="Cambria Math" w:cs="Times New Roman"/>
                                    </w:rPr>
                                    <m:t>B</m:t>
                                  </m:r>
                                </m:e>
                              </m:sPre>
                            </m:num>
                            <m:den>
                              <m:sPre>
                                <m:sPrePr>
                                  <m:ctrlPr>
                                    <w:rPr>
                                      <w:rFonts w:ascii="Cambria Math" w:hAnsi="Cambria Math" w:cs="Times New Roman"/>
                                      <w:i/>
                                    </w:rPr>
                                  </m:ctrlPr>
                                </m:sPrePr>
                                <m:sub/>
                                <m:sup>
                                  <m:r>
                                    <w:rPr>
                                      <w:rFonts w:ascii="Cambria Math" w:hAnsi="Cambria Math" w:cs="Times New Roman"/>
                                    </w:rPr>
                                    <m:t>10</m:t>
                                  </m:r>
                                </m:sup>
                                <m:e>
                                  <m:r>
                                    <m:rPr>
                                      <m:sty m:val="p"/>
                                    </m:rPr>
                                    <w:rPr>
                                      <w:rFonts w:ascii="Cambria Math" w:hAnsi="Cambria Math" w:cs="Times New Roman"/>
                                    </w:rPr>
                                    <m:t>B</m:t>
                                  </m:r>
                                </m:e>
                              </m:sPre>
                            </m:den>
                          </m:f>
                        </m:e>
                        <m:sub>
                          <m:r>
                            <w:rPr>
                              <w:rFonts w:ascii="Cambria Math" w:hAnsi="Cambria Math" w:cs="Times New Roman"/>
                            </w:rPr>
                            <m:t>NIST SRM 91a</m:t>
                          </m:r>
                        </m:sub>
                      </m:sSub>
                    </m:den>
                  </m:f>
                  <m:ctrlPr>
                    <w:rPr>
                      <w:rFonts w:ascii="Cambria Math" w:hAnsi="Cambria Math" w:cs="Times New Roman"/>
                      <w:i/>
                    </w:rPr>
                  </m:ctrlPr>
                </m:e>
              </m:d>
              <m:r>
                <w:rPr>
                  <w:rFonts w:ascii="Cambria Math" w:hAnsi="Cambria Math" w:cs="Times New Roman"/>
                </w:rPr>
                <m:t>-1</m:t>
              </m:r>
              <m:ctrlPr>
                <w:rPr>
                  <w:rFonts w:ascii="Cambria Math" w:hAnsi="Cambria Math" w:cs="Times New Roman"/>
                  <w:i/>
                </w:rPr>
              </m:ctrlPr>
            </m:e>
          </m:d>
          <m:r>
            <w:rPr>
              <w:rFonts w:ascii="Cambria Math" w:hAnsi="Cambria Math" w:cs="Times New Roman"/>
            </w:rPr>
            <m:t>*1000</m:t>
          </m:r>
        </m:oMath>
      </m:oMathPara>
    </w:p>
    <w:p w:rsidR="00665C0F" w:rsidRDefault="00B920BD" w:rsidP="00665C0F">
      <w:pPr>
        <w:spacing w:line="480" w:lineRule="auto"/>
        <w:rPr>
          <w:rFonts w:cs="Times New Roman"/>
        </w:rPr>
      </w:pPr>
      <m:oMathPara>
        <m:oMath>
          <m:d>
            <m:dPr>
              <m:ctrlPr>
                <w:rPr>
                  <w:rFonts w:ascii="Cambria Math" w:hAnsi="Cambria Math" w:cs="Times New Roman"/>
                  <w:i/>
                </w:rPr>
              </m:ctrlPr>
            </m:dPr>
            <m:e>
              <m:r>
                <w:rPr>
                  <w:rFonts w:ascii="Cambria Math" w:hAnsi="Cambria Math" w:cs="Times New Roman"/>
                </w:rPr>
                <m:t>4</m:t>
              </m:r>
            </m:e>
          </m:d>
          <m:sSup>
            <m:sSupPr>
              <m:ctrlPr>
                <w:rPr>
                  <w:rFonts w:ascii="Cambria Math" w:hAnsi="Cambria Math" w:cs="Times New Roman"/>
                  <w:i/>
                </w:rPr>
              </m:ctrlPr>
            </m:sSupPr>
            <m:e>
              <m:r>
                <w:rPr>
                  <w:rFonts w:ascii="Cambria Math" w:hAnsi="Cambria Math" w:cs="Times New Roman"/>
                </w:rPr>
                <m:t xml:space="preserve"> ∆</m:t>
              </m:r>
            </m:e>
            <m:sup>
              <m:r>
                <w:rPr>
                  <w:rFonts w:ascii="Cambria Math" w:hAnsi="Cambria Math" w:cs="Times New Roman"/>
                </w:rPr>
                <m:t>11</m:t>
              </m:r>
            </m:sup>
          </m:sSup>
          <m:r>
            <m:rPr>
              <m:sty m:val="p"/>
            </m:rPr>
            <w:rPr>
              <w:rFonts w:ascii="Cambria Math" w:hAnsi="Cambria Math" w:cs="Times New Roman"/>
            </w:rPr>
            <m:t>B=</m:t>
          </m:r>
          <m:sSup>
            <m:sSupPr>
              <m:ctrlPr>
                <w:rPr>
                  <w:rFonts w:ascii="Cambria Math" w:hAnsi="Cambria Math" w:cs="Times New Roman"/>
                </w:rPr>
              </m:ctrlPr>
            </m:sSupPr>
            <m:e>
              <m:r>
                <m:rPr>
                  <m:sty m:val="p"/>
                </m:rPr>
                <w:rPr>
                  <w:rFonts w:ascii="Cambria Math" w:hAnsi="Cambria Math" w:cs="Times New Roman"/>
                </w:rPr>
                <m:t>δ</m:t>
              </m:r>
            </m:e>
            <m:sup>
              <m:r>
                <w:rPr>
                  <w:rFonts w:ascii="Cambria Math" w:hAnsi="Cambria Math" w:cs="Times New Roman"/>
                </w:rPr>
                <m:t>11</m:t>
              </m:r>
            </m:sup>
          </m:sSup>
          <m:sSub>
            <m:sSubPr>
              <m:ctrlPr>
                <w:rPr>
                  <w:rFonts w:ascii="Cambria Math" w:hAnsi="Cambria Math" w:cs="Times New Roman"/>
                  <w:i/>
                </w:rPr>
              </m:ctrlPr>
            </m:sSubPr>
            <m:e>
              <m:r>
                <m:rPr>
                  <m:sty m:val="p"/>
                </m:rPr>
                <w:rPr>
                  <w:rFonts w:ascii="Cambria Math" w:hAnsi="Cambria Math" w:cs="Times New Roman"/>
                </w:rPr>
                <m:t>B</m:t>
              </m:r>
            </m:e>
            <m:sub>
              <m:r>
                <w:rPr>
                  <w:rFonts w:ascii="Cambria Math" w:hAnsi="Cambria Math" w:cs="Times New Roman"/>
                </w:rPr>
                <m:t>M</m:t>
              </m:r>
            </m:sub>
          </m:sSub>
          <m:r>
            <w:rPr>
              <w:rFonts w:ascii="Cambria Math" w:hAnsi="Cambria Math" w:cs="Times New Roman"/>
            </w:rPr>
            <m:t>-</m:t>
          </m:r>
          <m:sSup>
            <m:sSupPr>
              <m:ctrlPr>
                <w:rPr>
                  <w:rFonts w:ascii="Cambria Math" w:hAnsi="Cambria Math" w:cs="Times New Roman"/>
                </w:rPr>
              </m:ctrlPr>
            </m:sSupPr>
            <m:e>
              <m:r>
                <m:rPr>
                  <m:sty m:val="p"/>
                </m:rPr>
                <w:rPr>
                  <w:rFonts w:ascii="Cambria Math" w:hAnsi="Cambria Math" w:cs="Times New Roman"/>
                </w:rPr>
                <m:t>δ</m:t>
              </m:r>
            </m:e>
            <m:sup>
              <m:r>
                <w:rPr>
                  <w:rFonts w:ascii="Cambria Math" w:hAnsi="Cambria Math" w:cs="Times New Roman"/>
                </w:rPr>
                <m:t>11</m:t>
              </m:r>
            </m:sup>
          </m:sSup>
          <m:sSub>
            <m:sSubPr>
              <m:ctrlPr>
                <w:rPr>
                  <w:rFonts w:ascii="Cambria Math" w:hAnsi="Cambria Math" w:cs="Times New Roman"/>
                  <w:i/>
                </w:rPr>
              </m:ctrlPr>
            </m:sSubPr>
            <m:e>
              <m:r>
                <m:rPr>
                  <m:sty m:val="p"/>
                </m:rPr>
                <w:rPr>
                  <w:rFonts w:ascii="Cambria Math" w:hAnsi="Cambria Math" w:cs="Times New Roman"/>
                </w:rPr>
                <m:t>B</m:t>
              </m:r>
            </m:e>
            <m:sub>
              <m:r>
                <w:rPr>
                  <w:rFonts w:ascii="Cambria Math" w:hAnsi="Cambria Math" w:cs="Times New Roman"/>
                </w:rPr>
                <m:t>V</m:t>
              </m:r>
            </m:sub>
          </m:sSub>
        </m:oMath>
      </m:oMathPara>
    </w:p>
    <w:p w:rsidR="00665C0F" w:rsidRPr="00380C49" w:rsidRDefault="00665C0F" w:rsidP="00380C49">
      <w:pPr>
        <w:pStyle w:val="Heading2"/>
        <w:spacing w:line="480" w:lineRule="auto"/>
        <w:rPr>
          <w:rFonts w:cs="Times New Roman"/>
          <w:sz w:val="24"/>
          <w:szCs w:val="24"/>
        </w:rPr>
      </w:pPr>
      <w:bookmarkStart w:id="132" w:name="_Toc491246043"/>
      <w:r w:rsidRPr="00380C49">
        <w:rPr>
          <w:rFonts w:cs="Times New Roman"/>
          <w:sz w:val="24"/>
          <w:szCs w:val="24"/>
        </w:rPr>
        <w:t>4. Results and Discussion</w:t>
      </w:r>
      <w:bookmarkEnd w:id="132"/>
    </w:p>
    <w:p w:rsidR="00665C0F" w:rsidRDefault="00665C0F" w:rsidP="00380C49">
      <w:pPr>
        <w:pStyle w:val="Heading3"/>
        <w:spacing w:line="480" w:lineRule="auto"/>
        <w:rPr>
          <w:rFonts w:cs="Times New Roman"/>
        </w:rPr>
      </w:pPr>
      <w:bookmarkStart w:id="133" w:name="_Toc491246044"/>
      <w:r w:rsidRPr="00380C49">
        <w:rPr>
          <w:rFonts w:cs="Times New Roman"/>
        </w:rPr>
        <w:t>4.1</w:t>
      </w:r>
      <w:r w:rsidR="00380C49" w:rsidRPr="00380C49">
        <w:rPr>
          <w:rFonts w:cs="Times New Roman"/>
        </w:rPr>
        <w:t>.</w:t>
      </w:r>
      <w:r w:rsidRPr="00380C49">
        <w:rPr>
          <w:rFonts w:cs="Times New Roman"/>
        </w:rPr>
        <w:t xml:space="preserve"> Approach to equilibrium</w:t>
      </w:r>
      <w:bookmarkEnd w:id="133"/>
    </w:p>
    <w:p w:rsidR="00665C0F" w:rsidRDefault="00665C0F" w:rsidP="00665C0F">
      <w:pPr>
        <w:spacing w:line="480" w:lineRule="auto"/>
        <w:rPr>
          <w:rFonts w:cs="Times New Roman"/>
        </w:rPr>
      </w:pPr>
      <w:r>
        <w:rPr>
          <w:rFonts w:cs="Times New Roman"/>
        </w:rPr>
        <w:tab/>
        <w:t xml:space="preserve">The experiments reported in this manuscript were designed to transfer B from melt into aqueous solution. The duration of experiments was chosen by calculating the time required to diffuse B one millimeter through hydrous, granitic melt at 800°C and 200 MPa using the diffusion data of </w:t>
      </w:r>
      <w:r>
        <w:rPr>
          <w:rFonts w:cs="Times New Roman"/>
        </w:rPr>
        <w:fldChar w:fldCharType="begin" w:fldLock="1"/>
      </w:r>
      <w:r w:rsidR="00266290">
        <w:rPr>
          <w:rFonts w:cs="Times New Roman"/>
        </w:rPr>
        <w:instrText>ADDIN CSL_CITATION { "citationItems" : [ { "id" : "ITEM-1", "itemData" : { "DOI" : "10.3749/canmin.47.4.697", "ISSN" : "00084476", "abstract" : "abstract Many granitic pegmatites contain two textural domains. Anisotropic textures of the outer zones, including fine-grained units, graphic intergrowths, and unidirectional solidification textures, are dominated by the effects of liquidus undercooling. The coarse, blocky textures of the interior zones result mostly from the accumulation of fluxes that enhance the diffusion of Al and of Si. Those fluxes are likely to become enriched in a boundary-layer liquid that forms at the growth front of crystals. Experiments that entail the dissolution of acid solutions of H 3 BO 3 , H 3 PO 4 and HF into haplogranite glass at 800\u00b0C and 200 MPa serve as model subsystems for the boundary-layer liquid in granitic pegmatites. When the fluxes are added as acidic components, they promote an increase in the H 2 O content of granitic melts via a melt-speciation reaction, M +", "author" : [ { "dropping-particle" : "", "family" : "London", "given" : "David", "non-dropping-particle" : "", "parse-names" : false, "suffix" : "" } ], "container-title" : "Canadian Mineralogist", "id" : "ITEM-1", "issue" : "4", "issued" : { "date-parts" : [ [ "2009" ] ] }, "page" : "697-724", "title" : "The origin of primary textures in granitic pegmatites", "type" : "article-journal", "volume" : "47" }, "uris" : [ "http://www.mendeley.com/documents/?uuid=e5f39597-1738-43fb-a77c-571e491ee42d" ] } ], "mendeley" : { "formattedCitation" : "(London, 2009)", "manualFormatting" : "London (2009)", "plainTextFormattedCitation" : "(London, 2009)", "previouslyFormattedCitation" : "(London 2009)" }, "properties" : { "noteIndex" : 0 }, "schema" : "https://github.com/citation-style-language/schema/raw/master/csl-citation.json" }</w:instrText>
      </w:r>
      <w:r>
        <w:rPr>
          <w:rFonts w:cs="Times New Roman"/>
        </w:rPr>
        <w:fldChar w:fldCharType="separate"/>
      </w:r>
      <w:r>
        <w:rPr>
          <w:rFonts w:cs="Times New Roman"/>
          <w:noProof/>
        </w:rPr>
        <w:t>London (</w:t>
      </w:r>
      <w:r w:rsidRPr="00507EF7">
        <w:rPr>
          <w:rFonts w:cs="Times New Roman"/>
          <w:noProof/>
        </w:rPr>
        <w:t>2009)</w:t>
      </w:r>
      <w:r>
        <w:rPr>
          <w:rFonts w:cs="Times New Roman"/>
        </w:rPr>
        <w:fldChar w:fldCharType="end"/>
      </w:r>
      <w:r>
        <w:rPr>
          <w:rFonts w:cs="Times New Roman"/>
        </w:rPr>
        <w:t xml:space="preserve">; that value of the diffusion </w:t>
      </w:r>
      <w:r>
        <w:rPr>
          <w:rFonts w:cs="Times New Roman"/>
        </w:rPr>
        <w:lastRenderedPageBreak/>
        <w:t>coefficient, D</w:t>
      </w:r>
      <w:r w:rsidRPr="00762A03">
        <w:rPr>
          <w:rFonts w:cs="Times New Roman"/>
          <w:vertAlign w:val="subscript"/>
        </w:rPr>
        <w:t>B</w:t>
      </w:r>
      <w:r>
        <w:rPr>
          <w:rFonts w:cs="Times New Roman"/>
        </w:rPr>
        <w:t xml:space="preserve"> = 10</w:t>
      </w:r>
      <w:r w:rsidRPr="00762A03">
        <w:rPr>
          <w:rFonts w:cs="Times New Roman"/>
          <w:vertAlign w:val="superscript"/>
        </w:rPr>
        <w:t>-13</w:t>
      </w:r>
      <w:r>
        <w:rPr>
          <w:rFonts w:cs="Times New Roman"/>
        </w:rPr>
        <w:t xml:space="preserve"> m</w:t>
      </w:r>
      <w:r w:rsidRPr="00F36D18">
        <w:rPr>
          <w:rFonts w:cs="Times New Roman"/>
          <w:vertAlign w:val="superscript"/>
        </w:rPr>
        <w:t>2</w:t>
      </w:r>
      <w:r>
        <w:rPr>
          <w:rFonts w:cs="Times New Roman"/>
        </w:rPr>
        <w:t xml:space="preserve">/s, has been confirmed in a more </w:t>
      </w:r>
      <w:r w:rsidRPr="008F75E1">
        <w:rPr>
          <w:rFonts w:cs="Times New Roman"/>
        </w:rPr>
        <w:t>comprehensive series</w:t>
      </w:r>
      <w:r>
        <w:rPr>
          <w:rFonts w:cs="Times New Roman"/>
        </w:rPr>
        <w:t xml:space="preserve"> by Maner and London (submitted)</w:t>
      </w:r>
      <w:r w:rsidRPr="008F75E1">
        <w:rPr>
          <w:rFonts w:cs="Times New Roman"/>
        </w:rPr>
        <w:t>.</w:t>
      </w:r>
      <w:r>
        <w:rPr>
          <w:rFonts w:cs="Times New Roman"/>
        </w:rPr>
        <w:t xml:space="preserve"> </w:t>
      </w:r>
    </w:p>
    <w:p w:rsidR="00665C0F" w:rsidRDefault="00665C0F" w:rsidP="00665C0F">
      <w:pPr>
        <w:spacing w:line="480" w:lineRule="auto"/>
        <w:ind w:firstLine="720"/>
        <w:rPr>
          <w:rFonts w:cs="Times New Roman"/>
        </w:rPr>
      </w:pPr>
      <w:r>
        <w:rPr>
          <w:rFonts w:cs="Times New Roman"/>
        </w:rPr>
        <w:t xml:space="preserve">Experiments CGB86 and CGB87, using MAC obsidian, were conducted for 24 and 48 hrs at 750°C and 850°C, respectively. Boron isotopic measurements across each glass reveal no fractionation of the starting isotopic signature of the obsidian. However, the B content of the glass is strongly depleted within a ~ 10 </w:t>
      </w:r>
      <w:r w:rsidRPr="00762A03">
        <w:rPr>
          <w:rFonts w:ascii="Symbol" w:hAnsi="Symbol" w:cs="Times New Roman"/>
        </w:rPr>
        <w:t></w:t>
      </w:r>
      <w:r>
        <w:rPr>
          <w:rFonts w:cs="Times New Roman"/>
        </w:rPr>
        <w:t>m domain toward the glass-vapor interface. Therefore, the results from experiments CGB86 and CGB87 do not represent equilibrium distributions of B or its isotopes between melt and aqueous solution.</w:t>
      </w:r>
    </w:p>
    <w:p w:rsidR="00665C0F" w:rsidRDefault="00665C0F" w:rsidP="00665C0F">
      <w:pPr>
        <w:spacing w:line="480" w:lineRule="auto"/>
        <w:ind w:firstLine="720"/>
        <w:rPr>
          <w:rFonts w:cs="Times New Roman"/>
        </w:rPr>
      </w:pPr>
      <w:r>
        <w:rPr>
          <w:rFonts w:cs="Times New Roman"/>
        </w:rPr>
        <w:t xml:space="preserve">Experiments using the synthetic granitic glass were held at 700°C and 800°C for 30 days. The compositions of these experiments have small </w:t>
      </w:r>
      <w:r w:rsidRPr="00DF3977">
        <w:rPr>
          <w:rFonts w:cs="Times New Roman"/>
        </w:rPr>
        <w:t xml:space="preserve">analytical errors (Table </w:t>
      </w:r>
      <w:r w:rsidR="0083401A">
        <w:rPr>
          <w:rFonts w:cs="Times New Roman"/>
        </w:rPr>
        <w:t>4-</w:t>
      </w:r>
      <w:r w:rsidRPr="00DF3977">
        <w:rPr>
          <w:rFonts w:cs="Times New Roman"/>
        </w:rPr>
        <w:t>3), which indicates that the glasses (melts) equilibrated with the aqueous fluid. Moreover, the boron</w:t>
      </w:r>
      <w:r>
        <w:rPr>
          <w:rFonts w:cs="Times New Roman"/>
        </w:rPr>
        <w:t xml:space="preserve"> isotopic ratios of glass, measured from edge-to-center of each glass, lie within the 2‰ external error (section 2.5). The B content and B isotopic ratio of the glass from experiment CGB88, which was conducted at 750°C for 90 days using MAC glass, is homogeneous from edge-to-core. Based on the homogeneous nature of B and its isotopes across all glass products in experiments held at temperature for at least 30 days, we conclude that the isotopic fractionation factors and partition coefficients reported in this study represent near-equilibrium values.</w:t>
      </w:r>
    </w:p>
    <w:p w:rsidR="00665C0F" w:rsidRDefault="00665C0F" w:rsidP="00380C49">
      <w:pPr>
        <w:pStyle w:val="Heading3"/>
        <w:spacing w:line="480" w:lineRule="auto"/>
        <w:rPr>
          <w:rFonts w:cs="Times New Roman"/>
        </w:rPr>
      </w:pPr>
      <w:bookmarkStart w:id="134" w:name="_Toc491246045"/>
      <w:r>
        <w:rPr>
          <w:rFonts w:cs="Times New Roman"/>
        </w:rPr>
        <w:lastRenderedPageBreak/>
        <w:t>4.2</w:t>
      </w:r>
      <w:r w:rsidR="00380C49">
        <w:rPr>
          <w:rFonts w:cs="Times New Roman"/>
        </w:rPr>
        <w:t>.</w:t>
      </w:r>
      <w:r>
        <w:rPr>
          <w:rFonts w:cs="Times New Roman"/>
        </w:rPr>
        <w:t xml:space="preserve"> Chemical compositions of glass products and partitioning of B between melt and aqueous solution</w:t>
      </w:r>
      <w:bookmarkEnd w:id="134"/>
    </w:p>
    <w:p w:rsidR="00665C0F" w:rsidRPr="00380C49" w:rsidRDefault="00665C0F" w:rsidP="00380C49">
      <w:pPr>
        <w:pStyle w:val="Heading4"/>
        <w:spacing w:line="480" w:lineRule="auto"/>
        <w:rPr>
          <w:rFonts w:cs="Times New Roman"/>
          <w:i w:val="0"/>
        </w:rPr>
      </w:pPr>
      <w:bookmarkStart w:id="135" w:name="_Toc491246046"/>
      <w:r w:rsidRPr="00380C49">
        <w:rPr>
          <w:rFonts w:cs="Times New Roman"/>
          <w:i w:val="0"/>
        </w:rPr>
        <w:t>4.2.1</w:t>
      </w:r>
      <w:r w:rsidR="00380C49" w:rsidRPr="00380C49">
        <w:rPr>
          <w:rFonts w:cs="Times New Roman"/>
          <w:i w:val="0"/>
        </w:rPr>
        <w:t>.</w:t>
      </w:r>
      <w:r w:rsidRPr="00380C49">
        <w:rPr>
          <w:rFonts w:cs="Times New Roman"/>
          <w:i w:val="0"/>
        </w:rPr>
        <w:t xml:space="preserve"> Comparison of B</w:t>
      </w:r>
      <w:r w:rsidRPr="00380C49">
        <w:rPr>
          <w:rFonts w:cs="Times New Roman"/>
          <w:i w:val="0"/>
          <w:vertAlign w:val="subscript"/>
        </w:rPr>
        <w:t>2</w:t>
      </w:r>
      <w:r w:rsidRPr="00380C49">
        <w:rPr>
          <w:rFonts w:cs="Times New Roman"/>
          <w:i w:val="0"/>
        </w:rPr>
        <w:t>O</w:t>
      </w:r>
      <w:r w:rsidRPr="00380C49">
        <w:rPr>
          <w:rFonts w:cs="Times New Roman"/>
          <w:i w:val="0"/>
          <w:vertAlign w:val="subscript"/>
        </w:rPr>
        <w:t>3</w:t>
      </w:r>
      <w:r w:rsidRPr="00380C49">
        <w:rPr>
          <w:rFonts w:cs="Times New Roman"/>
          <w:i w:val="0"/>
        </w:rPr>
        <w:t xml:space="preserve"> by SIMS and EMPA</w:t>
      </w:r>
      <w:bookmarkEnd w:id="135"/>
    </w:p>
    <w:p w:rsidR="00665C0F" w:rsidRPr="002F6C5B" w:rsidRDefault="00665C0F" w:rsidP="00665C0F">
      <w:pPr>
        <w:spacing w:line="480" w:lineRule="auto"/>
        <w:rPr>
          <w:rFonts w:cs="Times New Roman"/>
        </w:rPr>
      </w:pPr>
      <w:r>
        <w:rPr>
          <w:rFonts w:cs="Times New Roman"/>
        </w:rPr>
        <w:tab/>
        <w:t xml:space="preserve">The chemical compositions of glass products are </w:t>
      </w:r>
      <w:r w:rsidRPr="00DF3977">
        <w:rPr>
          <w:rFonts w:cs="Times New Roman"/>
        </w:rPr>
        <w:t xml:space="preserve">reported in Table </w:t>
      </w:r>
      <w:r w:rsidR="0083401A">
        <w:rPr>
          <w:rFonts w:cs="Times New Roman"/>
        </w:rPr>
        <w:t>4-</w:t>
      </w:r>
      <w:r w:rsidRPr="00DF3977">
        <w:rPr>
          <w:rFonts w:cs="Times New Roman"/>
        </w:rPr>
        <w:t xml:space="preserve">3. A comparison of B content measured by EMPA and SIMS is shown in Figure </w:t>
      </w:r>
      <w:r w:rsidR="00815F07">
        <w:rPr>
          <w:rFonts w:cs="Times New Roman"/>
        </w:rPr>
        <w:t>4-</w:t>
      </w:r>
      <w:r w:rsidRPr="00DF3977">
        <w:rPr>
          <w:rFonts w:cs="Times New Roman"/>
        </w:rPr>
        <w:t>1. Bor</w:t>
      </w:r>
      <w:r>
        <w:rPr>
          <w:rFonts w:cs="Times New Roman"/>
        </w:rPr>
        <w:t>on measured using EMPA is ~ 10% higher relative to the B</w:t>
      </w:r>
      <w:r>
        <w:rPr>
          <w:rFonts w:cs="Times New Roman"/>
          <w:vertAlign w:val="subscript"/>
        </w:rPr>
        <w:t>2</w:t>
      </w:r>
      <w:r>
        <w:rPr>
          <w:rFonts w:cs="Times New Roman"/>
        </w:rPr>
        <w:t>O</w:t>
      </w:r>
      <w:r>
        <w:rPr>
          <w:rFonts w:cs="Times New Roman"/>
        </w:rPr>
        <w:softHyphen/>
      </w:r>
      <w:r>
        <w:rPr>
          <w:rFonts w:cs="Times New Roman"/>
          <w:vertAlign w:val="subscript"/>
        </w:rPr>
        <w:t>3</w:t>
      </w:r>
      <w:r>
        <w:rPr>
          <w:rFonts w:cs="Times New Roman"/>
        </w:rPr>
        <w:t xml:space="preserve"> measured using SIMS. The relative difference between B</w:t>
      </w:r>
      <w:r>
        <w:rPr>
          <w:rFonts w:cs="Times New Roman"/>
          <w:vertAlign w:val="subscript"/>
        </w:rPr>
        <w:t>2</w:t>
      </w:r>
      <w:r>
        <w:rPr>
          <w:rFonts w:cs="Times New Roman"/>
        </w:rPr>
        <w:t>O</w:t>
      </w:r>
      <w:r>
        <w:rPr>
          <w:rFonts w:cs="Times New Roman"/>
          <w:vertAlign w:val="subscript"/>
        </w:rPr>
        <w:t>3</w:t>
      </w:r>
      <w:r>
        <w:rPr>
          <w:rFonts w:cs="Times New Roman"/>
        </w:rPr>
        <w:t xml:space="preserve"> measured by EMPA and SIMS is greatest at low concentrations where background measurements by EMPA become problematic, i.e. greater relative standard deviations near the detection limit. Though the relative difference between B</w:t>
      </w:r>
      <w:r>
        <w:rPr>
          <w:rFonts w:cs="Times New Roman"/>
          <w:vertAlign w:val="subscript"/>
        </w:rPr>
        <w:t>2</w:t>
      </w:r>
      <w:r>
        <w:rPr>
          <w:rFonts w:cs="Times New Roman"/>
        </w:rPr>
        <w:t>O</w:t>
      </w:r>
      <w:r>
        <w:rPr>
          <w:rFonts w:cs="Times New Roman"/>
          <w:vertAlign w:val="subscript"/>
        </w:rPr>
        <w:t>3</w:t>
      </w:r>
      <w:r>
        <w:rPr>
          <w:rFonts w:cs="Times New Roman"/>
        </w:rPr>
        <w:t xml:space="preserve"> measured by EMPA and SIMS improves with increasing B</w:t>
      </w:r>
      <w:r>
        <w:rPr>
          <w:rFonts w:cs="Times New Roman"/>
          <w:vertAlign w:val="subscript"/>
        </w:rPr>
        <w:t>2</w:t>
      </w:r>
      <w:r>
        <w:rPr>
          <w:rFonts w:cs="Times New Roman"/>
        </w:rPr>
        <w:t>O</w:t>
      </w:r>
      <w:r>
        <w:rPr>
          <w:rFonts w:cs="Times New Roman"/>
          <w:vertAlign w:val="subscript"/>
        </w:rPr>
        <w:t>3</w:t>
      </w:r>
      <w:r>
        <w:rPr>
          <w:rFonts w:cs="Times New Roman"/>
        </w:rPr>
        <w:t xml:space="preserve"> in the glass, the error associated with measuring B at low concentrations is much better for SIMS than EMPA. Therefore, the B</w:t>
      </w:r>
      <w:r>
        <w:rPr>
          <w:rFonts w:cs="Times New Roman"/>
          <w:vertAlign w:val="subscript"/>
        </w:rPr>
        <w:t>2</w:t>
      </w:r>
      <w:r>
        <w:rPr>
          <w:rFonts w:cs="Times New Roman"/>
        </w:rPr>
        <w:t>O</w:t>
      </w:r>
      <w:r>
        <w:rPr>
          <w:rFonts w:cs="Times New Roman"/>
          <w:vertAlign w:val="subscript"/>
        </w:rPr>
        <w:t>3</w:t>
      </w:r>
      <w:r>
        <w:rPr>
          <w:rFonts w:cs="Times New Roman"/>
        </w:rPr>
        <w:t xml:space="preserve"> content of glass determined by SIMS is used to calculate the B</w:t>
      </w:r>
      <w:r>
        <w:rPr>
          <w:rFonts w:cs="Times New Roman"/>
          <w:vertAlign w:val="subscript"/>
        </w:rPr>
        <w:t>2</w:t>
      </w:r>
      <w:r>
        <w:rPr>
          <w:rFonts w:cs="Times New Roman"/>
        </w:rPr>
        <w:t>O</w:t>
      </w:r>
      <w:r>
        <w:rPr>
          <w:rFonts w:cs="Times New Roman"/>
          <w:vertAlign w:val="subscript"/>
        </w:rPr>
        <w:t>3</w:t>
      </w:r>
      <w:r>
        <w:rPr>
          <w:rFonts w:cs="Times New Roman"/>
        </w:rPr>
        <w:t xml:space="preserve"> of the aqueous solution, melt-fluid partition coefficients, and melt-fluid isotopic fractionation factors.</w:t>
      </w:r>
    </w:p>
    <w:p w:rsidR="00665C0F" w:rsidRPr="00380C49" w:rsidRDefault="00665C0F" w:rsidP="00380C49">
      <w:pPr>
        <w:pStyle w:val="Heading4"/>
        <w:spacing w:line="480" w:lineRule="auto"/>
        <w:rPr>
          <w:rFonts w:cs="Times New Roman"/>
          <w:i w:val="0"/>
        </w:rPr>
      </w:pPr>
      <w:bookmarkStart w:id="136" w:name="_Toc491246047"/>
      <w:r w:rsidRPr="00380C49">
        <w:rPr>
          <w:rFonts w:cs="Times New Roman"/>
          <w:i w:val="0"/>
        </w:rPr>
        <w:t>4.2.2</w:t>
      </w:r>
      <w:r w:rsidR="00380C49" w:rsidRPr="00380C49">
        <w:rPr>
          <w:rFonts w:cs="Times New Roman"/>
          <w:i w:val="0"/>
        </w:rPr>
        <w:t>.</w:t>
      </w:r>
      <w:r w:rsidRPr="00380C49">
        <w:rPr>
          <w:rFonts w:cs="Times New Roman"/>
          <w:i w:val="0"/>
        </w:rPr>
        <w:t xml:space="preserve"> Analyses of SiO</w:t>
      </w:r>
      <w:r w:rsidRPr="00380C49">
        <w:rPr>
          <w:rFonts w:cs="Times New Roman"/>
          <w:i w:val="0"/>
          <w:vertAlign w:val="subscript"/>
        </w:rPr>
        <w:t>2</w:t>
      </w:r>
      <w:r w:rsidRPr="00380C49">
        <w:rPr>
          <w:rFonts w:cs="Times New Roman"/>
          <w:i w:val="0"/>
        </w:rPr>
        <w:t>, Al</w:t>
      </w:r>
      <w:r w:rsidRPr="00380C49">
        <w:rPr>
          <w:rFonts w:cs="Times New Roman"/>
          <w:i w:val="0"/>
          <w:vertAlign w:val="subscript"/>
        </w:rPr>
        <w:t>2</w:t>
      </w:r>
      <w:r w:rsidRPr="00380C49">
        <w:rPr>
          <w:rFonts w:cs="Times New Roman"/>
          <w:i w:val="0"/>
        </w:rPr>
        <w:t>O</w:t>
      </w:r>
      <w:r w:rsidRPr="00380C49">
        <w:rPr>
          <w:rFonts w:cs="Times New Roman"/>
          <w:i w:val="0"/>
          <w:vertAlign w:val="subscript"/>
        </w:rPr>
        <w:t>3</w:t>
      </w:r>
      <w:r w:rsidRPr="00380C49">
        <w:rPr>
          <w:rFonts w:cs="Times New Roman"/>
          <w:i w:val="0"/>
        </w:rPr>
        <w:t>, Na</w:t>
      </w:r>
      <w:r w:rsidRPr="00380C49">
        <w:rPr>
          <w:rFonts w:cs="Times New Roman"/>
          <w:i w:val="0"/>
          <w:vertAlign w:val="subscript"/>
        </w:rPr>
        <w:t>2</w:t>
      </w:r>
      <w:r w:rsidRPr="00380C49">
        <w:rPr>
          <w:rFonts w:cs="Times New Roman"/>
          <w:i w:val="0"/>
        </w:rPr>
        <w:t>O, K</w:t>
      </w:r>
      <w:r w:rsidRPr="00380C49">
        <w:rPr>
          <w:rFonts w:cs="Times New Roman"/>
          <w:i w:val="0"/>
          <w:vertAlign w:val="subscript"/>
        </w:rPr>
        <w:t>2</w:t>
      </w:r>
      <w:r w:rsidRPr="00380C49">
        <w:rPr>
          <w:rFonts w:cs="Times New Roman"/>
          <w:i w:val="0"/>
        </w:rPr>
        <w:t>O</w:t>
      </w:r>
      <w:bookmarkEnd w:id="136"/>
    </w:p>
    <w:p w:rsidR="00665C0F" w:rsidRDefault="00665C0F" w:rsidP="00665C0F">
      <w:pPr>
        <w:spacing w:line="480" w:lineRule="auto"/>
        <w:ind w:firstLine="720"/>
        <w:rPr>
          <w:rFonts w:cs="Times New Roman"/>
        </w:rPr>
      </w:pPr>
      <w:r>
        <w:rPr>
          <w:rFonts w:cs="Times New Roman"/>
        </w:rPr>
        <w:t>The difference between the starting and final glass compositions, excluding B, for the series of experiments that used the synthetic granitic composition is zero. Therefore, the metaluminous granitic melt seems to dissolve congruently into aqueous solution, regardless of the amount of B in melt or aqueous solution. On the contrary, data for the Macusani obsidian from the current study shows that Na</w:t>
      </w:r>
      <w:r>
        <w:rPr>
          <w:rFonts w:cs="Times New Roman"/>
          <w:vertAlign w:val="subscript"/>
        </w:rPr>
        <w:t>2</w:t>
      </w:r>
      <w:r>
        <w:rPr>
          <w:rFonts w:cs="Times New Roman"/>
        </w:rPr>
        <w:t>O is removed from melt to the aqueous solution (~ 5% relative) and that the concentration of K</w:t>
      </w:r>
      <w:r>
        <w:rPr>
          <w:rFonts w:cs="Times New Roman"/>
          <w:vertAlign w:val="subscript"/>
        </w:rPr>
        <w:t>2</w:t>
      </w:r>
      <w:r>
        <w:rPr>
          <w:rFonts w:cs="Times New Roman"/>
        </w:rPr>
        <w:t>O in the residual melt increases ~ 5% relative. Silica appears to dissolve congruently into the aqueous solution, and Al</w:t>
      </w:r>
      <w:r>
        <w:rPr>
          <w:rFonts w:cs="Times New Roman"/>
          <w:vertAlign w:val="subscript"/>
        </w:rPr>
        <w:t>2</w:t>
      </w:r>
      <w:r>
        <w:rPr>
          <w:rFonts w:cs="Times New Roman"/>
        </w:rPr>
        <w:t>O</w:t>
      </w:r>
      <w:r>
        <w:rPr>
          <w:rFonts w:cs="Times New Roman"/>
          <w:vertAlign w:val="subscript"/>
        </w:rPr>
        <w:t>3</w:t>
      </w:r>
      <w:r>
        <w:rPr>
          <w:rFonts w:cs="Times New Roman"/>
        </w:rPr>
        <w:t xml:space="preserve"> is enriched in the residual melt by ~ 2.4 %. The </w:t>
      </w:r>
      <w:r>
        <w:rPr>
          <w:rFonts w:cs="Times New Roman"/>
        </w:rPr>
        <w:lastRenderedPageBreak/>
        <w:t xml:space="preserve">experimental study of </w:t>
      </w:r>
      <w:r>
        <w:rPr>
          <w:rFonts w:cs="Times New Roman"/>
        </w:rPr>
        <w:fldChar w:fldCharType="begin" w:fldLock="1"/>
      </w:r>
      <w:r w:rsidR="00266290">
        <w:rPr>
          <w:rFonts w:cs="Times New Roman"/>
        </w:rPr>
        <w:instrText>ADDIN CSL_CITATION { "citationItems" : [ { "id" : "ITEM-1", "itemData" : { "DOI" : "10.1007/BF00375368", "ISBN" : "0010-7999", "ISSN" : "00107999", "author" : [ { "dropping-particle" : "", "family" : "London", "given" : "David", "non-dropping-particle" : "", "parse-names" : false, "suffix" : "" }, { "dropping-particle" : "", "family" : "Hervig", "given" : "Richard L.", "non-dropping-particle" : "", "parse-names" : false, "suffix" : "" }, { "dropping-particle" : "", "family" : "Morgan VI", "given" : "George B.", "non-dropping-particle" : "", "parse-names" : false, "suffix" : "" } ], "container-title" : "Contributions to Mineralogy and Petrology", "id" : "ITEM-1", "issue" : "3", "issued" : { "date-parts" : [ [ "1988" ] ] }, "page" : "360-373", "title" : "Melt-vapor solubilities and elemental partitioning in peraluminous granite-pegmatite systems: experimental results with Macusani glass at 200 MPa", "type" : "article-journal", "volume" : "99" }, "uris" : [ "http://www.mendeley.com/documents/?uuid=d3741f24-96af-4bcd-8a43-4ab927eb82f1" ] } ], "mendeley" : { "formattedCitation" : "(London et al., 1988)", "manualFormatting" : "London et al. (1988)", "plainTextFormattedCitation" : "(London et al., 1988)", "previouslyFormattedCitation" : "(London et al. 1988)" }, "properties" : { "noteIndex" : 0 }, "schema" : "https://github.com/citation-style-language/schema/raw/master/csl-citation.json" }</w:instrText>
      </w:r>
      <w:r>
        <w:rPr>
          <w:rFonts w:cs="Times New Roman"/>
        </w:rPr>
        <w:fldChar w:fldCharType="separate"/>
      </w:r>
      <w:r>
        <w:rPr>
          <w:rFonts w:cs="Times New Roman"/>
          <w:noProof/>
        </w:rPr>
        <w:t>London et al. (</w:t>
      </w:r>
      <w:r w:rsidRPr="007051CA">
        <w:rPr>
          <w:rFonts w:cs="Times New Roman"/>
          <w:noProof/>
        </w:rPr>
        <w:t>1988)</w:t>
      </w:r>
      <w:r>
        <w:rPr>
          <w:rFonts w:cs="Times New Roman"/>
        </w:rPr>
        <w:fldChar w:fldCharType="end"/>
      </w:r>
      <w:r>
        <w:rPr>
          <w:rFonts w:cs="Times New Roman"/>
        </w:rPr>
        <w:t>, using the Macusani obsidian, reported congruent dissolution of melt into aqueous fluid. Small (&lt; 1.5%) relative standard deviations associated with the calculation of Na</w:t>
      </w:r>
      <w:r>
        <w:rPr>
          <w:rFonts w:cs="Times New Roman"/>
          <w:vertAlign w:val="subscript"/>
        </w:rPr>
        <w:t>2</w:t>
      </w:r>
      <w:r>
        <w:rPr>
          <w:rFonts w:cs="Times New Roman"/>
        </w:rPr>
        <w:t>O and K</w:t>
      </w:r>
      <w:r>
        <w:rPr>
          <w:rFonts w:cs="Times New Roman"/>
          <w:vertAlign w:val="subscript"/>
        </w:rPr>
        <w:t>2</w:t>
      </w:r>
      <w:r>
        <w:rPr>
          <w:rFonts w:cs="Times New Roman"/>
        </w:rPr>
        <w:t>O between the starting and final glasses is evidence that the observed differences are real. The difference in SiO</w:t>
      </w:r>
      <w:r>
        <w:rPr>
          <w:rFonts w:cs="Times New Roman"/>
          <w:vertAlign w:val="subscript"/>
        </w:rPr>
        <w:t>2</w:t>
      </w:r>
      <w:r>
        <w:rPr>
          <w:rFonts w:cs="Times New Roman"/>
        </w:rPr>
        <w:t xml:space="preserve"> and Al</w:t>
      </w:r>
      <w:r>
        <w:rPr>
          <w:rFonts w:cs="Times New Roman"/>
          <w:vertAlign w:val="subscript"/>
        </w:rPr>
        <w:t>2</w:t>
      </w:r>
      <w:r>
        <w:rPr>
          <w:rFonts w:cs="Times New Roman"/>
        </w:rPr>
        <w:t>O</w:t>
      </w:r>
      <w:r>
        <w:rPr>
          <w:rFonts w:cs="Times New Roman"/>
          <w:vertAlign w:val="subscript"/>
        </w:rPr>
        <w:t>3</w:t>
      </w:r>
      <w:r>
        <w:rPr>
          <w:rFonts w:cs="Times New Roman"/>
        </w:rPr>
        <w:t xml:space="preserve"> between the starting and final glasses is negligible. Based on these observations, it appears that the solubility of granitic melt in aqueous solution is not perfectly congruent for complex granitic liquids such as the Macusani obsidian. </w:t>
      </w:r>
    </w:p>
    <w:p w:rsidR="00665C0F" w:rsidRPr="00380C49" w:rsidRDefault="00665C0F" w:rsidP="00380C49">
      <w:pPr>
        <w:pStyle w:val="Heading4"/>
        <w:spacing w:line="480" w:lineRule="auto"/>
        <w:rPr>
          <w:rFonts w:cs="Times New Roman"/>
          <w:i w:val="0"/>
        </w:rPr>
      </w:pPr>
      <w:bookmarkStart w:id="137" w:name="_Toc491246048"/>
      <w:r w:rsidRPr="00380C49">
        <w:rPr>
          <w:rFonts w:cs="Times New Roman"/>
          <w:i w:val="0"/>
        </w:rPr>
        <w:t>4.2.3</w:t>
      </w:r>
      <w:r w:rsidR="00380C49" w:rsidRPr="00380C49">
        <w:rPr>
          <w:rFonts w:cs="Times New Roman"/>
          <w:i w:val="0"/>
        </w:rPr>
        <w:t>.</w:t>
      </w:r>
      <w:r w:rsidRPr="00380C49">
        <w:rPr>
          <w:rFonts w:cs="Times New Roman"/>
          <w:i w:val="0"/>
        </w:rPr>
        <w:t xml:space="preserve"> Analyses of B</w:t>
      </w:r>
      <w:r w:rsidRPr="00380C49">
        <w:rPr>
          <w:rFonts w:cs="Times New Roman"/>
          <w:i w:val="0"/>
          <w:vertAlign w:val="subscript"/>
        </w:rPr>
        <w:t>2</w:t>
      </w:r>
      <w:r w:rsidRPr="00380C49">
        <w:rPr>
          <w:rFonts w:cs="Times New Roman"/>
          <w:i w:val="0"/>
        </w:rPr>
        <w:t>O</w:t>
      </w:r>
      <w:r w:rsidRPr="00380C49">
        <w:rPr>
          <w:rFonts w:cs="Times New Roman"/>
          <w:i w:val="0"/>
          <w:vertAlign w:val="subscript"/>
        </w:rPr>
        <w:t>3</w:t>
      </w:r>
      <w:r w:rsidRPr="00380C49">
        <w:rPr>
          <w:rFonts w:cs="Times New Roman"/>
          <w:i w:val="0"/>
        </w:rPr>
        <w:t xml:space="preserve"> and H</w:t>
      </w:r>
      <w:r w:rsidRPr="00380C49">
        <w:rPr>
          <w:rFonts w:cs="Times New Roman"/>
          <w:i w:val="0"/>
          <w:vertAlign w:val="subscript"/>
        </w:rPr>
        <w:t>2</w:t>
      </w:r>
      <w:r w:rsidRPr="00380C49">
        <w:rPr>
          <w:rFonts w:cs="Times New Roman"/>
          <w:i w:val="0"/>
        </w:rPr>
        <w:t>O</w:t>
      </w:r>
      <w:bookmarkEnd w:id="137"/>
    </w:p>
    <w:p w:rsidR="00665C0F" w:rsidRDefault="00665C0F" w:rsidP="00665C0F">
      <w:pPr>
        <w:spacing w:line="480" w:lineRule="auto"/>
        <w:ind w:firstLine="720"/>
        <w:rPr>
          <w:rFonts w:cs="Times New Roman"/>
        </w:rPr>
      </w:pPr>
      <w:r w:rsidRPr="004A1072">
        <w:rPr>
          <w:rFonts w:cs="Times New Roman"/>
        </w:rPr>
        <w:t>The</w:t>
      </w:r>
      <w:r>
        <w:rPr>
          <w:rFonts w:cs="Times New Roman"/>
        </w:rPr>
        <w:t xml:space="preserve">re is a negative correlation between </w:t>
      </w:r>
      <w:r w:rsidRPr="004A1072">
        <w:rPr>
          <w:rFonts w:cs="Times New Roman"/>
        </w:rPr>
        <w:t>B</w:t>
      </w:r>
      <w:r w:rsidRPr="004A1072">
        <w:rPr>
          <w:rFonts w:cs="Times New Roman"/>
          <w:vertAlign w:val="subscript"/>
        </w:rPr>
        <w:t>2</w:t>
      </w:r>
      <w:r w:rsidRPr="004A1072">
        <w:rPr>
          <w:rFonts w:cs="Times New Roman"/>
        </w:rPr>
        <w:t>O</w:t>
      </w:r>
      <w:r w:rsidRPr="004A1072">
        <w:rPr>
          <w:rFonts w:cs="Times New Roman"/>
          <w:vertAlign w:val="subscript"/>
        </w:rPr>
        <w:t>3</w:t>
      </w:r>
      <w:r w:rsidRPr="004A1072">
        <w:rPr>
          <w:rFonts w:cs="Times New Roman"/>
        </w:rPr>
        <w:t xml:space="preserve"> and H</w:t>
      </w:r>
      <w:r w:rsidRPr="004A1072">
        <w:rPr>
          <w:rFonts w:cs="Times New Roman"/>
          <w:vertAlign w:val="subscript"/>
        </w:rPr>
        <w:t>2</w:t>
      </w:r>
      <w:r w:rsidRPr="004A1072">
        <w:rPr>
          <w:rFonts w:cs="Times New Roman"/>
        </w:rPr>
        <w:t xml:space="preserve">O </w:t>
      </w:r>
      <w:r>
        <w:rPr>
          <w:rFonts w:cs="Times New Roman"/>
        </w:rPr>
        <w:t xml:space="preserve">in melt, and their concentrations are not sensitive to changes in </w:t>
      </w:r>
      <w:r w:rsidRPr="00DF3977">
        <w:rPr>
          <w:rFonts w:cs="Times New Roman"/>
        </w:rPr>
        <w:t xml:space="preserve">temperature (Table </w:t>
      </w:r>
      <w:r w:rsidR="0083401A">
        <w:rPr>
          <w:rFonts w:cs="Times New Roman"/>
        </w:rPr>
        <w:t>4-</w:t>
      </w:r>
      <w:r w:rsidRPr="00DF3977">
        <w:rPr>
          <w:rFonts w:cs="Times New Roman"/>
        </w:rPr>
        <w:t>3).</w:t>
      </w:r>
      <w:r w:rsidRPr="004A1072">
        <w:rPr>
          <w:rFonts w:cs="Times New Roman"/>
        </w:rPr>
        <w:t xml:space="preserve"> </w:t>
      </w:r>
      <w:r>
        <w:rPr>
          <w:rFonts w:cs="Times New Roman"/>
        </w:rPr>
        <w:t xml:space="preserve">In the experimental study of </w:t>
      </w:r>
      <w:r>
        <w:rPr>
          <w:rFonts w:cs="Times New Roman"/>
        </w:rPr>
        <w:fldChar w:fldCharType="begin" w:fldLock="1"/>
      </w:r>
      <w:r w:rsidR="00266290">
        <w:rPr>
          <w:rFonts w:cs="Times New Roman"/>
        </w:rPr>
        <w:instrText>ADDIN CSL_CITATION { "citationItems" : [ { "id" : "ITEM-1", "itemData" : { "author" : [ { "dropping-particle" : "", "family" : "Holtz", "given" : "Fran\u00e7ois", "non-dropping-particle" : "", "parse-names" : false, "suffix" : "" }, { "dropping-particle" : "", "family" : "Dingwell", "given" : "Donald B.", "non-dropping-particle" : "", "parse-names" : false, "suffix" : "" }, { "dropping-particle" : "", "family" : "Behrens", "given" : "Harald", "non-dropping-particle" : "", "parse-names" : false, "suffix" : "" } ], "container-title" : "Contributions to Mineralogy and Petrology", "id" : "ITEM-1", "issued" : { "date-parts" : [ [ "1993" ] ] }, "page" : "492-501", "title" : "Effects of F, B2O3, and P2O5 on the solubility of water in haplogranite melts compared to natural silicate melts", "type" : "article-journal", "volume" : "113" }, "uris" : [ "http://www.mendeley.com/documents/?uuid=e960e16c-55f4-4f87-a776-0094194c8d6a" ] } ], "mendeley" : { "formattedCitation" : "(Holtz et al., 1993)", "manualFormatting" : "Holtz et al. (1993)", "plainTextFormattedCitation" : "(Holtz et al., 1993)", "previouslyFormattedCitation" : "(Holtz et al. 1993)" }, "properties" : { "noteIndex" : 0 }, "schema" : "https://github.com/citation-style-language/schema/raw/master/csl-citation.json" }</w:instrText>
      </w:r>
      <w:r>
        <w:rPr>
          <w:rFonts w:cs="Times New Roman"/>
        </w:rPr>
        <w:fldChar w:fldCharType="separate"/>
      </w:r>
      <w:r>
        <w:rPr>
          <w:rFonts w:cs="Times New Roman"/>
          <w:noProof/>
        </w:rPr>
        <w:t>Holtz et al. (</w:t>
      </w:r>
      <w:r w:rsidRPr="003B59FA">
        <w:rPr>
          <w:rFonts w:cs="Times New Roman"/>
          <w:noProof/>
        </w:rPr>
        <w:t>1993)</w:t>
      </w:r>
      <w:r>
        <w:rPr>
          <w:rFonts w:cs="Times New Roman"/>
        </w:rPr>
        <w:fldChar w:fldCharType="end"/>
      </w:r>
      <w:r>
        <w:rPr>
          <w:rFonts w:cs="Times New Roman"/>
        </w:rPr>
        <w:t>, the authors found that the solubility of water, which was measured using Karl Fischer titration (KFT), increases with increasing B</w:t>
      </w:r>
      <w:r>
        <w:rPr>
          <w:rFonts w:cs="Times New Roman"/>
          <w:vertAlign w:val="subscript"/>
        </w:rPr>
        <w:t>2</w:t>
      </w:r>
      <w:r>
        <w:rPr>
          <w:rFonts w:cs="Times New Roman"/>
        </w:rPr>
        <w:t>O</w:t>
      </w:r>
      <w:r>
        <w:rPr>
          <w:rFonts w:cs="Times New Roman"/>
          <w:vertAlign w:val="subscript"/>
        </w:rPr>
        <w:t>3</w:t>
      </w:r>
      <w:r>
        <w:rPr>
          <w:rFonts w:cs="Times New Roman"/>
        </w:rPr>
        <w:t xml:space="preserve">. Similarly, </w:t>
      </w:r>
      <w:r>
        <w:rPr>
          <w:rFonts w:cs="Times New Roman"/>
        </w:rPr>
        <w:fldChar w:fldCharType="begin" w:fldLock="1"/>
      </w:r>
      <w:r w:rsidR="00266290">
        <w:rPr>
          <w:rFonts w:cs="Times New Roman"/>
        </w:rPr>
        <w:instrText>ADDIN CSL_CITATION { "citationItems" : [ { "id" : "ITEM-1", "itemData" : { "DOI" : "10.3749/canmin.47.4.697", "ISSN" : "00084476", "abstract" : "abstract Many granitic pegmatites contain two textural domains. Anisotropic textures of the outer zones, including fine-grained units, graphic intergrowths, and unidirectional solidification textures, are dominated by the effects of liquidus undercooling. The coarse, blocky textures of the interior zones result mostly from the accumulation of fluxes that enhance the diffusion of Al and of Si. Those fluxes are likely to become enriched in a boundary-layer liquid that forms at the growth front of crystals. Experiments that entail the dissolution of acid solutions of H 3 BO 3 , H 3 PO 4 and HF into haplogranite glass at 800\u00b0C and 200 MPa serve as model subsystems for the boundary-layer liquid in granitic pegmatites. When the fluxes are added as acidic components, they promote an increase in the H 2 O content of granitic melts via a melt-speciation reaction, M +", "author" : [ { "dropping-particle" : "", "family" : "London", "given" : "David", "non-dropping-particle" : "", "parse-names" : false, "suffix" : "" } ], "container-title" : "Canadian Mineralogist", "id" : "ITEM-1", "issue" : "4", "issued" : { "date-parts" : [ [ "2009" ] ] }, "page" : "697-724", "title" : "The origin of primary textures in granitic pegmatites", "type" : "article-journal", "volume" : "47" }, "uris" : [ "http://www.mendeley.com/documents/?uuid=e5f39597-1738-43fb-a77c-571e491ee42d" ] } ], "mendeley" : { "formattedCitation" : "(London, 2009)", "manualFormatting" : "London (2009)", "plainTextFormattedCitation" : "(London, 2009)", "previouslyFormattedCitation" : "(London 2009)" }, "properties" : { "noteIndex" : 0 }, "schema" : "https://github.com/citation-style-language/schema/raw/master/csl-citation.json" }</w:instrText>
      </w:r>
      <w:r>
        <w:rPr>
          <w:rFonts w:cs="Times New Roman"/>
        </w:rPr>
        <w:fldChar w:fldCharType="separate"/>
      </w:r>
      <w:r>
        <w:rPr>
          <w:rFonts w:cs="Times New Roman"/>
          <w:noProof/>
        </w:rPr>
        <w:t>London (</w:t>
      </w:r>
      <w:r w:rsidRPr="003B59FA">
        <w:rPr>
          <w:rFonts w:cs="Times New Roman"/>
          <w:noProof/>
        </w:rPr>
        <w:t>2009)</w:t>
      </w:r>
      <w:r>
        <w:rPr>
          <w:rFonts w:cs="Times New Roman"/>
        </w:rPr>
        <w:fldChar w:fldCharType="end"/>
      </w:r>
      <w:r>
        <w:rPr>
          <w:rFonts w:cs="Times New Roman"/>
        </w:rPr>
        <w:t xml:space="preserve"> conducted B diffusion experiments in which water, which was calculated as the difference of EMPA totals from 100%, was found to increase with increasing B content along a diffusion profile. The concentration of H</w:t>
      </w:r>
      <w:r>
        <w:rPr>
          <w:rFonts w:cs="Times New Roman"/>
          <w:vertAlign w:val="subscript"/>
        </w:rPr>
        <w:t>2</w:t>
      </w:r>
      <w:r>
        <w:rPr>
          <w:rFonts w:cs="Times New Roman"/>
        </w:rPr>
        <w:t xml:space="preserve">O in glass reported in this manuscript are within ~ 10% relative to those measured by </w:t>
      </w:r>
      <w:r>
        <w:rPr>
          <w:rFonts w:cs="Times New Roman"/>
        </w:rPr>
        <w:fldChar w:fldCharType="begin" w:fldLock="1"/>
      </w:r>
      <w:r w:rsidR="00266290">
        <w:rPr>
          <w:rFonts w:cs="Times New Roman"/>
        </w:rPr>
        <w:instrText>ADDIN CSL_CITATION { "citationItems" : [ { "id" : "ITEM-1", "itemData" : { "author" : [ { "dropping-particle" : "", "family" : "Holtz", "given" : "Fran\u00e7ois", "non-dropping-particle" : "", "parse-names" : false, "suffix" : "" }, { "dropping-particle" : "", "family" : "Dingwell", "given" : "Donald B.", "non-dropping-particle" : "", "parse-names" : false, "suffix" : "" }, { "dropping-particle" : "", "family" : "Behrens", "given" : "Harald", "non-dropping-particle" : "", "parse-names" : false, "suffix" : "" } ], "container-title" : "Contributions to Mineralogy and Petrology", "id" : "ITEM-1", "issued" : { "date-parts" : [ [ "1993" ] ] }, "page" : "492-501", "title" : "Effects of F, B2O3, and P2O5 on the solubility of water in haplogranite melts compared to natural silicate melts", "type" : "article-journal", "volume" : "113" }, "uris" : [ "http://www.mendeley.com/documents/?uuid=e960e16c-55f4-4f87-a776-0094194c8d6a" ] } ], "mendeley" : { "formattedCitation" : "(Holtz et al., 1993)", "manualFormatting" : "Holtz et al. (1993)", "plainTextFormattedCitation" : "(Holtz et al., 1993)", "previouslyFormattedCitation" : "(Holtz et al. 1993)" }, "properties" : { "noteIndex" : 0 }, "schema" : "https://github.com/citation-style-language/schema/raw/master/csl-citation.json" }</w:instrText>
      </w:r>
      <w:r>
        <w:rPr>
          <w:rFonts w:cs="Times New Roman"/>
        </w:rPr>
        <w:fldChar w:fldCharType="separate"/>
      </w:r>
      <w:r>
        <w:rPr>
          <w:rFonts w:cs="Times New Roman"/>
          <w:noProof/>
        </w:rPr>
        <w:t>Holtz et al. (</w:t>
      </w:r>
      <w:r w:rsidRPr="00086FE8">
        <w:rPr>
          <w:rFonts w:cs="Times New Roman"/>
          <w:noProof/>
        </w:rPr>
        <w:t>1993)</w:t>
      </w:r>
      <w:r>
        <w:rPr>
          <w:rFonts w:cs="Times New Roman"/>
        </w:rPr>
        <w:fldChar w:fldCharType="end"/>
      </w:r>
      <w:r>
        <w:rPr>
          <w:rFonts w:cs="Times New Roman"/>
        </w:rPr>
        <w:t>, which is within the relative error associated with calculating H</w:t>
      </w:r>
      <w:r>
        <w:rPr>
          <w:rFonts w:cs="Times New Roman"/>
          <w:vertAlign w:val="subscript"/>
        </w:rPr>
        <w:t>2</w:t>
      </w:r>
      <w:r>
        <w:rPr>
          <w:rFonts w:cs="Times New Roman"/>
        </w:rPr>
        <w:t xml:space="preserve">O as the difference of EMPA totals from 100% </w:t>
      </w:r>
      <w:r>
        <w:rPr>
          <w:rFonts w:cs="Times New Roman"/>
        </w:rPr>
        <w:fldChar w:fldCharType="begin" w:fldLock="1"/>
      </w:r>
      <w:r w:rsidR="00266290">
        <w:rPr>
          <w:rFonts w:cs="Times New Roman"/>
        </w:rPr>
        <w:instrText>ADDIN CSL_CITATION { "citationItems" : [ { "id" : "ITEM-1", "itemData" : { "DOI" : "10.2138/am.2005.1769", "ISBN" : "0003-004X", "ISSN" : "0003004X", "abstract" : "The time-dependent lose of Na Ka X-ray intensity during electron-beam irradiation of hydrous alkali aluminosilicate glasses is apparently more significant during the initial few seconds of beam exposure than it is for anhydrous glasses, and it is pronounced for incident beam currents &gt;2-5 nA (using 15-20 \u00b5m beam diameters). Exponential fits of Na Ka intensity vs. time show a progressive decrease in the apparent zero-time intercepts for incident beams from 2 to 20 nA, and thus methods for correcting Na concentrations solely on the basis of curve fitting and extrapolation to zero-time values may underestimate Na contents by almost 10% (relative) for higher beam currents. Similar exponential fits to the intensity-time data for Al Ka and Si Ka show that \"grow-in\" is greater for Al than for Si. For incident currents &gt;= 5 nA, the magnitudes of all intensity changes also increase with total H2O content of glass. In the basis of these observations, the optimal conditions for analysis of hydrous alkali aluminosilicate glasses include a 2 nA beam with 20 \u00b5m diameter and counting times of 20-40s for the analysis of alkali aluminosilicate components, with Na and Al analyzed first (simultaneously, if possible). These methods minimize Na loss and grow)in for Al and Si to the point that little or no correction is needed, provide good statistical accuracy, and work with a wide variety of standard materials (i.e., glass standards with compositions and H2O contents comparablee to the unknowns are not needed). For complete analysis of more complex multicomponent systems, two beam conditions are recommended: an initial 2 nA, 20 \u00b5m diameter beam for analysis of alkali aluminosilicate components, followed by a 20 nA, 20 \u00b5m diameter beam for analysis of all other components. With the use of these methods, the H2O contents of hydrous glasses (H2O as the only unknown) can be determined by difference with uncertainties mostly &lt;5% (relative to FTIR values) for glasses containing up to 10 wt% H2O. At beam currents &gt; 5 nA, corrections for Na loss ignoring Al (and Si) grow-in underestimate H2O contents by about 10-50% of concentration.", "author" : [ { "dropping-particle" : "", "family" : "Morgan VI", "given" : "George B.", "non-dropping-particle" : "", "parse-names" : false, "suffix" : "" }, { "dropping-particle" : "", "family" : "London", "given" : "David", "non-dropping-particle" : "", "parse-names" : false, "suffix" : "" } ], "container-title" : "American Mineralogist", "id" : "ITEM-1", "issue" : "9-10", "issued" : { "date-parts" : [ [ "1996" ] ] }, "page" : "1176-1185", "title" : "Optimizing the electron microprobe analysis of hydrous alkali aluminosilicate glasses", "type" : "article-journal", "volume" : "81" }, "uris" : [ "http://www.mendeley.com/documents/?uuid=6bd6752b-d00a-43e5-818c-223a0e122043" ] }, { "id" : "ITEM-2", "itemData" : { "author" : [ { "dropping-particle" : "", "family" : "Morgan", "given" : "George B.", "non-dropping-particle" : "", "parse-names" : false, "suffix" : "" }, { "dropping-particle" : "", "family" : "London", "given" : "David", "non-dropping-particle" : "", "parse-names" : false, "suffix" : "" } ], "container-title" : "American Mineralogist", "id" : "ITEM-2", "issued" : { "date-parts" : [ [ "2005" ] ] }, "page" : "1131-1138", "title" : "Effect of current density on the electron microprobe analysis of alkali aluminosilicate glasses", "type" : "article-journal", "volume" : "90" }, "uris" : [ "http://www.mendeley.com/documents/?uuid=c4174026-716a-4710-9685-ee7f80f740e5" ] } ], "mendeley" : { "formattedCitation" : "(Morgan and London, 2005; Morgan VI and London, 1996)", "manualFormatting" : "(Morgan and London, 2005; Morgan and London, 1996)", "plainTextFormattedCitation" : "(Morgan and London, 2005; Morgan VI and London, 1996)", "previouslyFormattedCitation" : "(Morgan VI and London 1996; Morgan and London 2005)" }, "properties" : { "noteIndex" : 0 }, "schema" : "https://github.com/citation-style-language/schema/raw/master/csl-citation.json" }</w:instrText>
      </w:r>
      <w:r>
        <w:rPr>
          <w:rFonts w:cs="Times New Roman"/>
        </w:rPr>
        <w:fldChar w:fldCharType="separate"/>
      </w:r>
      <w:r w:rsidRPr="00C22495">
        <w:rPr>
          <w:rFonts w:cs="Times New Roman"/>
          <w:noProof/>
        </w:rPr>
        <w:t>(Morgan and London, 2005; Morgan and London, 1996)</w:t>
      </w:r>
      <w:r>
        <w:rPr>
          <w:rFonts w:cs="Times New Roman"/>
        </w:rPr>
        <w:fldChar w:fldCharType="end"/>
      </w:r>
      <w:r>
        <w:rPr>
          <w:rFonts w:cs="Times New Roman"/>
        </w:rPr>
        <w:t>. The errors associated with SIMS analyses of B in glass are small (&lt; 1% relative). Therefore, the negative correlation between B</w:t>
      </w:r>
      <w:r>
        <w:rPr>
          <w:rFonts w:cs="Times New Roman"/>
          <w:vertAlign w:val="subscript"/>
        </w:rPr>
        <w:t>2</w:t>
      </w:r>
      <w:r>
        <w:rPr>
          <w:rFonts w:cs="Times New Roman"/>
        </w:rPr>
        <w:t>O</w:t>
      </w:r>
      <w:r>
        <w:rPr>
          <w:rFonts w:cs="Times New Roman"/>
          <w:vertAlign w:val="subscript"/>
        </w:rPr>
        <w:t>3</w:t>
      </w:r>
      <w:r>
        <w:rPr>
          <w:rFonts w:cs="Times New Roman"/>
        </w:rPr>
        <w:t xml:space="preserve"> and H</w:t>
      </w:r>
      <w:r>
        <w:rPr>
          <w:rFonts w:cs="Times New Roman"/>
          <w:vertAlign w:val="subscript"/>
        </w:rPr>
        <w:t>2</w:t>
      </w:r>
      <w:r>
        <w:rPr>
          <w:rFonts w:cs="Times New Roman"/>
        </w:rPr>
        <w:t>O in glass appears to be real.</w:t>
      </w:r>
    </w:p>
    <w:p w:rsidR="00665C0F" w:rsidRPr="00380C49" w:rsidRDefault="00665C0F" w:rsidP="00380C49">
      <w:pPr>
        <w:pStyle w:val="Heading4"/>
        <w:spacing w:line="480" w:lineRule="auto"/>
        <w:rPr>
          <w:rFonts w:cs="Times New Roman"/>
          <w:i w:val="0"/>
        </w:rPr>
      </w:pPr>
      <w:bookmarkStart w:id="138" w:name="_Toc491246049"/>
      <w:r w:rsidRPr="00380C49">
        <w:rPr>
          <w:rFonts w:cs="Times New Roman"/>
          <w:i w:val="0"/>
        </w:rPr>
        <w:lastRenderedPageBreak/>
        <w:t>4.2.4</w:t>
      </w:r>
      <w:r w:rsidR="00380C49" w:rsidRPr="00380C49">
        <w:rPr>
          <w:rFonts w:cs="Times New Roman"/>
          <w:i w:val="0"/>
        </w:rPr>
        <w:t>.</w:t>
      </w:r>
      <w:r w:rsidRPr="00380C49">
        <w:rPr>
          <w:rFonts w:cs="Times New Roman"/>
          <w:i w:val="0"/>
        </w:rPr>
        <w:t xml:space="preserve"> Concentrations of B</w:t>
      </w:r>
      <w:r w:rsidRPr="00380C49">
        <w:rPr>
          <w:rFonts w:cs="Times New Roman"/>
          <w:i w:val="0"/>
          <w:vertAlign w:val="subscript"/>
        </w:rPr>
        <w:t>2</w:t>
      </w:r>
      <w:r w:rsidRPr="00380C49">
        <w:rPr>
          <w:rFonts w:cs="Times New Roman"/>
          <w:i w:val="0"/>
        </w:rPr>
        <w:t>O</w:t>
      </w:r>
      <w:r w:rsidRPr="00380C49">
        <w:rPr>
          <w:rFonts w:cs="Times New Roman"/>
          <w:i w:val="0"/>
          <w:vertAlign w:val="subscript"/>
        </w:rPr>
        <w:t>3</w:t>
      </w:r>
      <w:r w:rsidRPr="00380C49">
        <w:rPr>
          <w:rFonts w:cs="Times New Roman"/>
          <w:i w:val="0"/>
        </w:rPr>
        <w:t xml:space="preserve"> in melt and aqueous solution</w:t>
      </w:r>
      <w:bookmarkEnd w:id="138"/>
    </w:p>
    <w:p w:rsidR="00665C0F" w:rsidRPr="00DF3977" w:rsidRDefault="00665C0F" w:rsidP="00665C0F">
      <w:pPr>
        <w:spacing w:line="480" w:lineRule="auto"/>
        <w:ind w:firstLine="720"/>
        <w:rPr>
          <w:rFonts w:cs="Times New Roman"/>
        </w:rPr>
      </w:pPr>
      <w:r w:rsidRPr="004A1072">
        <w:rPr>
          <w:rFonts w:cs="Times New Roman"/>
        </w:rPr>
        <w:t xml:space="preserve"> </w:t>
      </w:r>
      <w:r>
        <w:rPr>
          <w:rFonts w:cs="Times New Roman"/>
        </w:rPr>
        <w:t>The concentration of B</w:t>
      </w:r>
      <w:r>
        <w:rPr>
          <w:rFonts w:cs="Times New Roman"/>
          <w:vertAlign w:val="subscript"/>
        </w:rPr>
        <w:t>2</w:t>
      </w:r>
      <w:r>
        <w:rPr>
          <w:rFonts w:cs="Times New Roman"/>
        </w:rPr>
        <w:t>O</w:t>
      </w:r>
      <w:r>
        <w:rPr>
          <w:rFonts w:cs="Times New Roman"/>
          <w:vertAlign w:val="subscript"/>
        </w:rPr>
        <w:t>3</w:t>
      </w:r>
      <w:r>
        <w:rPr>
          <w:rFonts w:cs="Times New Roman"/>
        </w:rPr>
        <w:t xml:space="preserve"> </w:t>
      </w:r>
      <w:r w:rsidRPr="004A1072">
        <w:rPr>
          <w:rFonts w:cs="Times New Roman"/>
        </w:rPr>
        <w:t>in each glass from the series of experiments using the synthetic granite is depleted ~ 50% relative to the starting glass composition. The partition coefficient for B</w:t>
      </w:r>
      <w:r w:rsidRPr="004A1072">
        <w:rPr>
          <w:rFonts w:cs="Times New Roman"/>
          <w:vertAlign w:val="subscript"/>
        </w:rPr>
        <w:t>2</w:t>
      </w:r>
      <w:r w:rsidRPr="004A1072">
        <w:rPr>
          <w:rFonts w:cs="Times New Roman"/>
        </w:rPr>
        <w:t>O</w:t>
      </w:r>
      <w:r w:rsidRPr="004A1072">
        <w:rPr>
          <w:rFonts w:cs="Times New Roman"/>
          <w:vertAlign w:val="subscript"/>
        </w:rPr>
        <w:t>3</w:t>
      </w:r>
      <w:r w:rsidRPr="004A1072">
        <w:rPr>
          <w:rFonts w:cs="Times New Roman"/>
        </w:rPr>
        <w:t xml:space="preserve"> between melt and aqueous solution is ~ 1.3 and ~ 1 for the glasses with </w:t>
      </w:r>
      <w:r>
        <w:rPr>
          <w:rFonts w:cs="Times New Roman"/>
        </w:rPr>
        <w:t xml:space="preserve">an initial </w:t>
      </w:r>
      <w:r w:rsidRPr="004A1072">
        <w:rPr>
          <w:rFonts w:cs="Times New Roman"/>
        </w:rPr>
        <w:t>5 wt% and 2.5 wt% B</w:t>
      </w:r>
      <w:r w:rsidRPr="004A1072">
        <w:rPr>
          <w:rFonts w:cs="Times New Roman"/>
          <w:vertAlign w:val="subscript"/>
        </w:rPr>
        <w:t>2</w:t>
      </w:r>
      <w:r w:rsidRPr="004A1072">
        <w:rPr>
          <w:rFonts w:cs="Times New Roman"/>
        </w:rPr>
        <w:t>O</w:t>
      </w:r>
      <w:r w:rsidRPr="004A1072">
        <w:rPr>
          <w:rFonts w:cs="Times New Roman"/>
          <w:vertAlign w:val="subscript"/>
        </w:rPr>
        <w:t>3</w:t>
      </w:r>
      <w:r w:rsidRPr="004A1072">
        <w:rPr>
          <w:rFonts w:cs="Times New Roman"/>
        </w:rPr>
        <w:t xml:space="preserve">, </w:t>
      </w:r>
      <w:r w:rsidRPr="00DF3977">
        <w:rPr>
          <w:rFonts w:cs="Times New Roman"/>
        </w:rPr>
        <w:t xml:space="preserve">respectively (Table </w:t>
      </w:r>
      <w:r w:rsidR="0083401A">
        <w:rPr>
          <w:rFonts w:cs="Times New Roman"/>
        </w:rPr>
        <w:t>4-</w:t>
      </w:r>
      <w:r w:rsidRPr="00DF3977">
        <w:rPr>
          <w:rFonts w:cs="Times New Roman"/>
        </w:rPr>
        <w:t xml:space="preserve">4 and Figure </w:t>
      </w:r>
      <w:r w:rsidR="00815F07">
        <w:rPr>
          <w:rFonts w:cs="Times New Roman"/>
        </w:rPr>
        <w:t>4-</w:t>
      </w:r>
      <w:r w:rsidRPr="00DF3977">
        <w:rPr>
          <w:rFonts w:cs="Times New Roman"/>
        </w:rPr>
        <w:t xml:space="preserve">2). Partition coefficients are not temperature-dependent and agree with an earlier estimate provided by </w:t>
      </w:r>
      <w:r w:rsidRPr="00DF3977">
        <w:rPr>
          <w:rFonts w:cs="Times New Roman"/>
        </w:rPr>
        <w:fldChar w:fldCharType="begin" w:fldLock="1"/>
      </w:r>
      <w:r w:rsidR="00266290">
        <w:rPr>
          <w:rFonts w:cs="Times New Roman"/>
        </w:rPr>
        <w:instrText>ADDIN CSL_CITATION { "citationItems" : [ { "id" : "ITEM-1",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"ITEM-1", "issue" : "5-6", "issued" : { "date-parts" : [ [ "2002" ] ] }, "page" : "769-774", "title" : "Isotopic and elemental partitioning of boron between hydrous fluid and silicate melt", "type" : "article-journal", "volume" : "87" }, "uris" : [ "http://www.mendeley.com/documents/?uuid=6b1d0590-ae63-44d0-990b-7cd3b5a05b06" ] } ], "mendeley" : { "formattedCitation" : "(Hervig et al., 2002)", "manualFormatting" : "Hervig et al. (2002)", "plainTextFormattedCitation" : "(Hervig et al., 2002)", "previouslyFormattedCitation" : "(Hervig et al. 2002)" }, "properties" : { "noteIndex" : 0 }, "schema" : "https://github.com/citation-style-language/schema/raw/master/csl-citation.json" }</w:instrText>
      </w:r>
      <w:r w:rsidRPr="00DF3977">
        <w:rPr>
          <w:rFonts w:cs="Times New Roman"/>
        </w:rPr>
        <w:fldChar w:fldCharType="separate"/>
      </w:r>
      <w:r w:rsidRPr="00DF3977">
        <w:rPr>
          <w:rFonts w:cs="Times New Roman"/>
          <w:noProof/>
        </w:rPr>
        <w:t>Hervig et al. (2002)</w:t>
      </w:r>
      <w:r w:rsidRPr="00DF3977">
        <w:rPr>
          <w:rFonts w:cs="Times New Roman"/>
        </w:rPr>
        <w:fldChar w:fldCharType="end"/>
      </w:r>
      <w:r w:rsidRPr="00DF3977">
        <w:rPr>
          <w:rFonts w:cs="Times New Roman"/>
        </w:rPr>
        <w:t xml:space="preserve">. </w:t>
      </w:r>
      <w:r w:rsidRPr="00DF3977">
        <w:rPr>
          <w:rFonts w:cs="Times New Roman"/>
        </w:rPr>
        <w:fldChar w:fldCharType="begin" w:fldLock="1"/>
      </w:r>
      <w:r w:rsidR="00266290">
        <w:rPr>
          <w:rFonts w:cs="Times New Roman"/>
        </w:rPr>
        <w:instrText>ADDIN CSL_CITATION { "citationItems" : [ { "id" : "ITEM-1", "itemData" : { "DOI" : "10.1007/BF00375368", "ISBN" : "0010-7999", "ISSN" : "00107999", "author" : [ { "dropping-particle" : "", "family" : "London", "given" : "David", "non-dropping-particle" : "", "parse-names" : false, "suffix" : "" }, { "dropping-particle" : "", "family" : "Hervig", "given" : "Richard L.", "non-dropping-particle" : "", "parse-names" : false, "suffix" : "" }, { "dropping-particle" : "", "family" : "Morgan VI", "given" : "George B.", "non-dropping-particle" : "", "parse-names" : false, "suffix" : "" } ], "container-title" : "Contributions to Mineralogy and Petrology", "id" : "ITEM-1", "issue" : "3", "issued" : { "date-parts" : [ [ "1988" ] ] }, "page" : "360-373", "title" : "Melt-vapor solubilities and elemental partitioning in peraluminous granite-pegmatite systems: experimental results with Macusani glass at 200 MPa", "type" : "article-journal", "volume" : "99" }, "uris" : [ "http://www.mendeley.com/documents/?uuid=d3741f24-96af-4bcd-8a43-4ab927eb82f1" ] } ], "mendeley" : { "formattedCitation" : "(London et al., 1988)", "manualFormatting" : "London et al. (1988)", "plainTextFormattedCitation" : "(London et al., 1988)", "previouslyFormattedCitation" : "(London et al. 1988)" }, "properties" : { "noteIndex" : 0 }, "schema" : "https://github.com/citation-style-language/schema/raw/master/csl-citation.json" }</w:instrText>
      </w:r>
      <w:r w:rsidRPr="00DF3977">
        <w:rPr>
          <w:rFonts w:cs="Times New Roman"/>
        </w:rPr>
        <w:fldChar w:fldCharType="separate"/>
      </w:r>
      <w:r w:rsidRPr="00DF3977">
        <w:rPr>
          <w:rFonts w:cs="Times New Roman"/>
          <w:noProof/>
        </w:rPr>
        <w:t>London et al. (1988)</w:t>
      </w:r>
      <w:r w:rsidRPr="00DF3977">
        <w:rPr>
          <w:rFonts w:cs="Times New Roman"/>
        </w:rPr>
        <w:fldChar w:fldCharType="end"/>
      </w:r>
      <w:r w:rsidRPr="00DF3977">
        <w:rPr>
          <w:rFonts w:cs="Times New Roman"/>
        </w:rPr>
        <w:t xml:space="preserve">, however, observed a temperature-dependency on the partition coefficient for B between 675°C and 750°C. </w:t>
      </w:r>
    </w:p>
    <w:p w:rsidR="00665C0F" w:rsidRPr="00DF3977" w:rsidRDefault="00665C0F" w:rsidP="00380C49">
      <w:pPr>
        <w:pStyle w:val="Heading3"/>
        <w:spacing w:line="480" w:lineRule="auto"/>
        <w:rPr>
          <w:rFonts w:cs="Times New Roman"/>
        </w:rPr>
      </w:pPr>
      <w:bookmarkStart w:id="139" w:name="_Toc491246050"/>
      <w:r w:rsidRPr="00DF3977">
        <w:rPr>
          <w:rFonts w:cs="Times New Roman"/>
        </w:rPr>
        <w:t>4.3</w:t>
      </w:r>
      <w:r w:rsidR="00380C49">
        <w:rPr>
          <w:rFonts w:cs="Times New Roman"/>
        </w:rPr>
        <w:t>.</w:t>
      </w:r>
      <w:r w:rsidRPr="00DF3977">
        <w:rPr>
          <w:rFonts w:cs="Times New Roman"/>
        </w:rPr>
        <w:t xml:space="preserve"> Isotopic fractionation factors</w:t>
      </w:r>
      <w:bookmarkEnd w:id="139"/>
    </w:p>
    <w:p w:rsidR="00665C0F" w:rsidRDefault="00665C0F" w:rsidP="00665C0F">
      <w:pPr>
        <w:spacing w:line="480" w:lineRule="auto"/>
        <w:rPr>
          <w:rFonts w:cs="Times New Roman"/>
        </w:rPr>
      </w:pPr>
      <w:r w:rsidRPr="00DF3977">
        <w:rPr>
          <w:rFonts w:cs="Times New Roman"/>
        </w:rPr>
        <w:tab/>
        <w:t xml:space="preserve">The boron isotopic compositions of melt (glass) and aqueous solution, and the isotopic fractionation factors between these two phases, are found in Table </w:t>
      </w:r>
      <w:r w:rsidR="0083401A">
        <w:rPr>
          <w:rFonts w:cs="Times New Roman"/>
        </w:rPr>
        <w:t>4-</w:t>
      </w:r>
      <w:r w:rsidRPr="00DF3977">
        <w:rPr>
          <w:rFonts w:cs="Times New Roman"/>
        </w:rPr>
        <w:t xml:space="preserve">4. Figure </w:t>
      </w:r>
      <w:r w:rsidR="00815F07">
        <w:rPr>
          <w:rFonts w:cs="Times New Roman"/>
        </w:rPr>
        <w:t>4-</w:t>
      </w:r>
      <w:r w:rsidRPr="00DF3977">
        <w:rPr>
          <w:rFonts w:cs="Times New Roman"/>
        </w:rPr>
        <w:t>3 shows the Δ</w:t>
      </w:r>
      <w:r w:rsidRPr="00DF3977">
        <w:rPr>
          <w:rFonts w:cs="Times New Roman"/>
          <w:vertAlign w:val="superscript"/>
        </w:rPr>
        <w:t>11</w:t>
      </w:r>
      <w:r w:rsidRPr="00DF3977">
        <w:rPr>
          <w:rFonts w:cs="Times New Roman"/>
        </w:rPr>
        <w:t xml:space="preserve">B values for melt-aqueous solution measured in this study as a function of temperature, and compares the present data to the ‘III-IV’ fractionation trend </w:t>
      </w:r>
      <w:r w:rsidRPr="00DF3977">
        <w:rPr>
          <w:rFonts w:cs="Times New Roman"/>
        </w:rPr>
        <w:fldChar w:fldCharType="begin" w:fldLock="1"/>
      </w:r>
      <w:r w:rsidR="00266290">
        <w:rPr>
          <w:rFonts w:cs="Times New Roman"/>
        </w:rPr>
        <w:instrText>ADDIN CSL_CITATION { "citationItems" : [ { "id" : "ITEM-1", "itemData" : { "DOI" : "10.1016/j.lithos.2005.02.003", "ISBN" : "0024-4937", "ISSN" : "00244937", "abstract" : "The fractionation of boron isotopes between synthetic boromuscovite and fluid was experimentally determined at 3.0 GPa/500 \u00b0C and 3.0 GPa/700 \u00b0C. For near-neutral fluids Delta;11 B(mica-fluid) = \u03b411B(mica) - \u03b411B(fluid) is - 10.9 \u00b1 1.3\u2030 at 500 deg;C, and - 6.5 \u00b1 0.4\u2030 at 700 \u00b0C. This supports earlier assumptions that the main fractionation effect is due to the change from trigonal coordination of boron in neutral fluids to tetrahedrally coordinated boron in micas, clays and melts. The T-dependence of this effect is approximated by the equation \u039411B(mica,clay,melt-neutral-fluid) = - 10.69 \u00b7 (1000/T [K]) + 3.88; R2 = 0.992, valid from 25 \u00b0C for fluid-clay up to about 1000 \u00b0C for fluid-silicate melt. Experiments at 0.4 GPa that used strongly basic fluids produced significantly lower fractionations with \u039411 B(mica-fluid) of - 7.4 \u00b1 1.0\u2030 at 400 \u00b0C, and - 4.8 \u00b1 1.0\u2030 at 500 \u00b0C, showing the reduced fractionation effect when large amounts of boron in basic fluids are tetrahedrally coordinated. Field studies have shown that boron concentrations and 11B/10B-ratios in volcanic arcs systematically decrease across the arc with increasing distance from the trench, thus reflecting the thermal structure of the subducting slab. Our experiments show that the boron isotopic signature in volcanic arcs probably results from continuous dehydration of micas along a distinct P-T range. Continuous slab dehydration and boron transport via fluid into the mantle wedge is responsible for the boron isotopic signature in volcanic arcs. \u00a9 2005 Elsevier B.V. All rights reserved.", "author" : [ { "dropping-particle" : "", "family" : "Wunder", "given" : "Bernd", "non-dropping-particle" : "", "parse-names" : false, "suffix" : "" }, { "dropping-particle" : "", "family" : "Meixner", "given" : "Anette", "non-dropping-particle" : "", "parse-names" : false, "suffix" : "" }, { "dropping-particle" : "", "family" : "Romer", "given" : "Rolf L.", "non-dropping-particle" : "", "parse-names" : false, "suffix" : "" }, { "dropping-particle" : "", "family" : "Wirth", "given" : "Richard", "non-dropping-particle" : "", "parse-names" : false, "suffix" : "" }, { "dropping-particle" : "", "family" : "Heinrich", "given" : "Wilhelm", "non-dropping-particle" : "", "parse-names" : false, "suffix" : "" } ], "container-title" : "Lithos", "id" : "ITEM-1", "issue" : "3-4", "issued" : { "date-parts" : [ [ "2005" ] ] }, "page" : "206-216", "title" : "The geochemical cycle of boron: Constraints from boron isotope partitioning experiments between mica and fluid", "type" : "article-journal", "volume" : "84" }, "uris" : [ "http://www.mendeley.com/documents/?uuid=a550b27f-b759-47cd-8d15-7c79966ee99a" ] }, { "id" : "ITEM-2",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"ITEM-2", "issue" : "5-6", "issued" : { "date-parts" : [ [ "2002" ] ] }, "page" : "769-774", "title" : "Isotopic and elemental partitioning of boron between hydrous fluid and silicate melt", "type" : "article-journal", "volume" : "87" }, "uris" : [ "http://www.mendeley.com/documents/?uuid=6b1d0590-ae63-44d0-990b-7cd3b5a05b06" ] } ], "mendeley" : { "formattedCitation" : "(Hervig et al., 2002; Wunder et al., 2005)", "plainTextFormattedCitation" : "(Hervig et al., 2002; Wunder et al., 2005)", "previouslyFormattedCitation" : "(Hervig et al. 2002; Wunder et al. 2005)" }, "properties" : { "noteIndex" : 0 }, "schema" : "https://github.com/citation-style-language/schema/raw/master/csl-citation.json" }</w:instrText>
      </w:r>
      <w:r w:rsidRPr="00DF3977">
        <w:rPr>
          <w:rFonts w:cs="Times New Roman"/>
        </w:rPr>
        <w:fldChar w:fldCharType="separate"/>
      </w:r>
      <w:r w:rsidR="00266290" w:rsidRPr="00266290">
        <w:rPr>
          <w:rFonts w:cs="Times New Roman"/>
          <w:noProof/>
        </w:rPr>
        <w:t>(Hervig et al., 2002; Wunder et al., 2005)</w:t>
      </w:r>
      <w:r w:rsidRPr="00DF3977">
        <w:rPr>
          <w:rFonts w:cs="Times New Roman"/>
        </w:rPr>
        <w:fldChar w:fldCharType="end"/>
      </w:r>
      <w:r w:rsidRPr="00DF3977">
        <w:rPr>
          <w:rFonts w:cs="Times New Roman"/>
        </w:rPr>
        <w:t xml:space="preserve">. Figure </w:t>
      </w:r>
      <w:r w:rsidR="00815F07">
        <w:rPr>
          <w:rFonts w:cs="Times New Roman"/>
        </w:rPr>
        <w:t>4-</w:t>
      </w:r>
      <w:r w:rsidRPr="00DF3977">
        <w:rPr>
          <w:rFonts w:cs="Times New Roman"/>
        </w:rPr>
        <w:t>4 shows the Δ</w:t>
      </w:r>
      <w:r w:rsidRPr="00DF3977">
        <w:rPr>
          <w:rFonts w:cs="Times New Roman"/>
          <w:vertAlign w:val="superscript"/>
        </w:rPr>
        <w:t>11</w:t>
      </w:r>
      <w:r w:rsidRPr="00DF3977">
        <w:rPr>
          <w:rFonts w:cs="Times New Roman"/>
        </w:rPr>
        <w:t>B values for melt-aqueous</w:t>
      </w:r>
      <w:r>
        <w:rPr>
          <w:rFonts w:cs="Times New Roman"/>
        </w:rPr>
        <w:t xml:space="preserve"> solution reported in this study in addition to Δ</w:t>
      </w:r>
      <w:r>
        <w:rPr>
          <w:rFonts w:cs="Times New Roman"/>
          <w:vertAlign w:val="superscript"/>
        </w:rPr>
        <w:t>11</w:t>
      </w:r>
      <w:r>
        <w:rPr>
          <w:rFonts w:cs="Times New Roman"/>
        </w:rPr>
        <w:t xml:space="preserve">B values for tourmaline-aqueous solution </w:t>
      </w:r>
      <w:r>
        <w:rPr>
          <w:rFonts w:cs="Times New Roman"/>
        </w:rPr>
        <w:fldChar w:fldCharType="begin" w:fldLock="1"/>
      </w:r>
      <w:r w:rsidR="00266290">
        <w:rPr>
          <w:rFonts w:cs="Times New Roman"/>
        </w:rPr>
        <w:instrText>ADDIN CSL_CITATION { "citationItems" : [ { "id" : "ITEM-1", "itemData" : { "DOI" : "http://dx.doi.org/10.1016/0009-2541(92)90209-N", "ISBN" : "0168-9622", "ISSN" : "00092541", "abstract" : "The extent of boron isotope fractionation between tourmaline and aqueous vapor has been determined over theP-T range 50-200 MPa and 350-750\u00b0C. The results show that the extent of fractionation is inversely dependent on temperature. An unusual feature of the reaction is that the isotope fractionation is less of extensive at higher pressures for an equivalent temperature. Due to its refractory nature the experiments involved synthesis of tourmaline from constituents rather than equilibration of the preformed mineral with an isotopically distinct aqueous phase. For this reason we cannot, as yet, be certain whether the pressure effect is the result of equilibrium or kinetic processes.", "author" : [ { "dropping-particle" : "", "family" : "Palmer", "given" : "MR", "non-dropping-particle" : "", "parse-names" : false, "suffix" : "" }, { "dropping-particle" : "", "family" : "London", "given" : "D", "non-dropping-particle" : "", "parse-names" : false, "suffix" : "" }, { "dropping-particle" : "", "family" : "Morgan VI", "given" : "GB", "non-dropping-particle" : "", "parse-names" : false, "suffix" : "" }, { "dropping-particle" : "", "family" : "Babb", "given" : "HA", "non-dropping-particle" : "", "parse-names" : false, "suffix" : "" } ], "container-title" : "Chemical Geology", "id" : "ITEM-1", "issued" : { "date-parts" : [ [ "1992" ] ] }, "page" : "123-129", "title" : "Experimental determination of fractionation of 11B/10B between tourmaline and aqueous vapor: A temperature- and pressure-dependent isotopic system", "type" : "article-journal", "volume" : "101" }, "uris" : [ "http://www.mendeley.com/documents/?uuid=551614f3-36a5-485e-9b7a-dec99baa6926" ] }, { "id" : "ITEM-2", "itemData" : { "DOI" : "10.1007/s00410-008-0285-1", "ISBN" : "0010-7999", "ISSN" : "00107999", "abstract" : "The fractionation of boron isotopes between synthetic dravitic tourmaline and fluid was determined by hydrothermal experiments between 400 and 700 degrees C at 200 MPa and at 500 degrees C, 500 MPa. Tourmaline was crystallized from an oxide mix in presence of water that contained boron in excess. In one series of experiments, [B](fluid)/[B](tour) was 9 after the run; in another series it was 0.1. All experiments produced tourmaline as the sole boron-bearing solid, along with traces of quartz and talc. Powder XRD and Rietveld refinements revealed no significant amounts of tetrahedrally coordinated boron in tourmaline. B-11 always preferentially fractionated into the fluid. For experiments where [B](fluid)/[B](tour) was 9, a consistent temperature-dependent boron isotope fractionation curve resulted, approximated by Delta B-11((tour-fluid)) = -4.20 . [1,000/T (K)] + 3.52; R-2 = 0.77, and valid from 400 to 700 degrees C. No pressure dependence was observed. The fractionation (-2.7 +/- 0.5 parts per thousand at 400 degrees C; and -0.8 +/- 0.5 parts per thousand at 700 degrees C) is much lower than that previously presented by Palmer et al. (1992). Experiments where [B](fluid)/[B](tour) was 0.1 showed a significant larger apparent fractionation of up to -4.7 parts per thousand. In one of these runs, the isotopic composition of handpicked tourmaline crystals of different size varied by 1.3%. This is interpreted as resulting from fractional crystallization of boron isotopes during tourmaline growth due to the small boron reservoir of the fluid relative to tourmaline, thus indicating larger fractionation than observed at equilibrium. The effect is eliminated or minimized in experiments with very high boron excess in the fluid. We therefore suggest that values given by the above relation represent the true equilibrium fractionations.", "author" : [ { "dropping-particle" : "", "family" : "Meyer", "given" : "Christian", "non-dropping-particle" : "", "parse-names" : false, "suffix" : "" }, { "dropping-particle" : "", "family" : "Wunder", "given" : "Bernd", "non-dropping-particle" : "", "parse-names" : false, "suffix" : "" }, { "dropping-particle" : "", "family" : "Meixner", "given" : "Anette", "non-dropping-particle" : "", "parse-names" : false, "suffix" : "" }, { "dropping-particle" : "", "family" : "Romer", "given" : "Rolf L.", "non-dropping-particle" : "", "parse-names" : false, "suffix" : "" }, { "dropping-particle" : "", "family" : "Heinrich", "given" : "Wilhelm", "non-dropping-particle" : "", "parse-names" : false, "suffix" : "" } ], "container-title" : "Contributions to Mineralogy and Petrology", "id" : "ITEM-2", "issue" : "2", "issued" : { "date-parts" : [ [ "2008" ] ] }, "page" : "259-267", "title" : "Boron-isotope fractionation between tourmaline and fluid: An experimental re-investigation", "type" : "article-journal", "volume" : "156" }, "uris" : [ "http://www.mendeley.com/documents/?uuid=02c37c62-9b3e-4dfe-99ce-a807defc9a6f" ] } ], "mendeley" : { "formattedCitation" : "(Meyer et al., 2008; Palmer et al., 1992)", "plainTextFormattedCitation" : "(Meyer et al., 2008; Palmer et al., 1992)", "previouslyFormattedCitation" : "(Palmer et al. 1992; Meyer et al. 2008)" }, "properties" : { "noteIndex" : 0 }, "schema" : "https://github.com/citation-style-language/schema/raw/master/csl-citation.json" }</w:instrText>
      </w:r>
      <w:r>
        <w:rPr>
          <w:rFonts w:cs="Times New Roman"/>
        </w:rPr>
        <w:fldChar w:fldCharType="separate"/>
      </w:r>
      <w:r w:rsidR="00266290" w:rsidRPr="00266290">
        <w:rPr>
          <w:rFonts w:cs="Times New Roman"/>
          <w:noProof/>
        </w:rPr>
        <w:t>(Meyer et al., 2008; Palmer et al., 1992)</w:t>
      </w:r>
      <w:r>
        <w:rPr>
          <w:rFonts w:cs="Times New Roman"/>
        </w:rPr>
        <w:fldChar w:fldCharType="end"/>
      </w:r>
      <w:r>
        <w:rPr>
          <w:rFonts w:cs="Times New Roman"/>
        </w:rPr>
        <w:t xml:space="preserve">, melt-aqueous solution </w:t>
      </w:r>
      <w:r>
        <w:rPr>
          <w:rFonts w:cs="Times New Roman"/>
        </w:rPr>
        <w:fldChar w:fldCharType="begin" w:fldLock="1"/>
      </w:r>
      <w:r w:rsidR="00266290">
        <w:rPr>
          <w:rFonts w:cs="Times New Roman"/>
        </w:rPr>
        <w:instrText>ADDIN CSL_CITATION { "citationItems" : [ { "id" : "ITEM-1",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"ITEM-1", "issue" : "5-6", "issued" : { "date-parts" : [ [ "2002" ] ] }, "page" : "769-774", "title" : "Isotopic and elemental partitioning of boron between hydrous fluid and silicate melt", "type" : "article-journal", "volume" : "87" }, "uris" : [ "http://www.mendeley.com/documents/?uuid=6b1d0590-ae63-44d0-990b-7cd3b5a05b06" ] } ], "mendeley" : { "formattedCitation" : "(Hervig et al., 2002)", "plainTextFormattedCitation" : "(Hervig et al., 2002)", "previouslyFormattedCitation" : "(Hervig et al. 2002)" }, "properties" : { "noteIndex" : 0 }, "schema" : "https://github.com/citation-style-language/schema/raw/master/csl-citation.json" }</w:instrText>
      </w:r>
      <w:r>
        <w:rPr>
          <w:rFonts w:cs="Times New Roman"/>
        </w:rPr>
        <w:fldChar w:fldCharType="separate"/>
      </w:r>
      <w:r w:rsidR="00266290" w:rsidRPr="00266290">
        <w:rPr>
          <w:rFonts w:cs="Times New Roman"/>
          <w:noProof/>
        </w:rPr>
        <w:t>(Hervig et al., 2002)</w:t>
      </w:r>
      <w:r>
        <w:rPr>
          <w:rFonts w:cs="Times New Roman"/>
        </w:rPr>
        <w:fldChar w:fldCharType="end"/>
      </w:r>
      <w:r>
        <w:rPr>
          <w:rFonts w:cs="Times New Roman"/>
        </w:rPr>
        <w:t xml:space="preserve">, boromuscovite-aqueous solution </w:t>
      </w:r>
      <w:r>
        <w:rPr>
          <w:rFonts w:cs="Times New Roman"/>
        </w:rPr>
        <w:fldChar w:fldCharType="begin" w:fldLock="1"/>
      </w:r>
      <w:r w:rsidR="00266290">
        <w:rPr>
          <w:rFonts w:cs="Times New Roman"/>
        </w:rPr>
        <w:instrText>ADDIN CSL_CITATION { "citationItems" : [ { "id" : "ITEM-1", "itemData" : { "DOI" : "10.1016/j.lithos.2005.02.003", "ISBN" : "0024-4937", "ISSN" : "00244937", "abstract" : "The fractionation of boron isotopes between synthetic boromuscovite and fluid was experimentally determined at 3.0 GPa/500 \u00b0C and 3.0 GPa/700 \u00b0C. For near-neutral fluids Delta;11 B(mica-fluid) = \u03b411B(mica) - \u03b411B(fluid) is - 10.9 \u00b1 1.3\u2030 at 500 deg;C, and - 6.5 \u00b1 0.4\u2030 at 700 \u00b0C. This supports earlier assumptions that the main fractionation effect is due to the change from trigonal coordination of boron in neutral fluids to tetrahedrally coordinated boron in micas, clays and melts. The T-dependence of this effect is approximated by the equation \u039411B(mica,clay,melt-neutral-fluid) = - 10.69 \u00b7 (1000/T [K]) + 3.88; R2 = 0.992, valid from 25 \u00b0C for fluid-clay up to about 1000 \u00b0C for fluid-silicate melt. Experiments at 0.4 GPa that used strongly basic fluids produced significantly lower fractionations with \u039411 B(mica-fluid) of - 7.4 \u00b1 1.0\u2030 at 400 \u00b0C, and - 4.8 \u00b1 1.0\u2030 at 500 \u00b0C, showing the reduced fractionation effect when large amounts of boron in basic fluids are tetrahedrally coordinated. Field studies have shown that boron concentrations and 11B/10B-ratios in volcanic arcs systematically decrease across the arc with increasing distance from the trench, thus reflecting the thermal structure of the subducting slab. Our experiments show that the boron isotopic signature in volcanic arcs probably results from continuous dehydration of micas along a distinct P-T range. Continuous slab dehydration and boron transport via fluid into the mantle wedge is responsible for the boron isotopic signature in volcanic arcs. \u00a9 2005 Elsevier B.V. All rights reserved.", "author" : [ { "dropping-particle" : "", "family" : "Wunder", "given" : "Bernd", "non-dropping-particle" : "", "parse-names" : false, "suffix" : "" }, { "dropping-particle" : "", "family" : "Meixner", "given" : "Anette", "non-dropping-particle" : "", "parse-names" : false, "suffix" : "" }, { "dropping-particle" : "", "family" : "Romer", "given" : "Rolf L.", "non-dropping-particle" : "", "parse-names" : false, "suffix" : "" }, { "dropping-particle" : "", "family" : "Wirth", "given" : "Richard", "non-dropping-particle" : "", "parse-names" : false, "suffix" : "" }, { "dropping-particle" : "", "family" : "Heinrich", "given" : "Wilhelm", "non-dropping-particle" : "", "parse-names" : false, "suffix" : "" } ], "container-title" : "Lithos", "id" : "ITEM-1", "issue" : "3-4", "issued" : { "date-parts" : [ [ "2005" ] ] }, "page" : "206-216", "title" : "The geochemical cycle of boron: Constraints from boron isotope partitioning experiments between mica and fluid", "type" : "article-journal", "volume" : "84" }, "uris" : [ "http://www.mendeley.com/documents/?uuid=a550b27f-b759-47cd-8d15-7c79966ee99a" ] } ], "mendeley" : { "formattedCitation" : "(Wunder et al., 2005)", "plainTextFormattedCitation" : "(Wunder et al., 2005)", "previouslyFormattedCitation" : "(Wunder et al. 2005)" }, "properties" : { "noteIndex" : 0 }, "schema" : "https://github.com/citation-style-language/schema/raw/master/csl-citation.json" }</w:instrText>
      </w:r>
      <w:r>
        <w:rPr>
          <w:rFonts w:cs="Times New Roman"/>
        </w:rPr>
        <w:fldChar w:fldCharType="separate"/>
      </w:r>
      <w:r w:rsidR="00266290" w:rsidRPr="00266290">
        <w:rPr>
          <w:rFonts w:cs="Times New Roman"/>
          <w:noProof/>
        </w:rPr>
        <w:t>(Wunder et al., 2005)</w:t>
      </w:r>
      <w:r>
        <w:rPr>
          <w:rFonts w:cs="Times New Roman"/>
        </w:rPr>
        <w:fldChar w:fldCharType="end"/>
      </w:r>
      <w:r>
        <w:rPr>
          <w:rFonts w:cs="Times New Roman"/>
        </w:rPr>
        <w:t xml:space="preserve">, and illite-aqueous solution </w:t>
      </w:r>
      <w:r>
        <w:rPr>
          <w:rFonts w:cs="Times New Roman"/>
        </w:rPr>
        <w:fldChar w:fldCharType="begin" w:fldLock="1"/>
      </w:r>
      <w:r w:rsidR="00266290">
        <w:rPr>
          <w:rFonts w:cs="Times New Roman"/>
        </w:rPr>
        <w:instrText>ADDIN CSL_CITATION { "citationItems" : [ { "id" : "ITEM-1", "itemData" : { "DOI" : "10.1016/S0016-7037(01)00557-9", "ISBN" : "0016-7037", "ISSN" : "00167037", "abstract" : "Experiments were performed to measure the isotopic fractionation of boron between illite/smectite (I/S) clay minerals and water as a function of temperature (300?? and 350??C) and degree of illitization. Corresponding changes in the oxygen isotopes were monitored as an indication of the approach to equilibrium. The kinetics of the B-isotope exchange follows the mineralogical restructuring of smectite as it recrystallizes to illite. An initial decline in ??11BI/S occurs when the I/S is randomly ordered (RO). The ??11BI/S values reach a plateau during R1 ordering of the I/S, representing a metastable condition. The greatest change in ??11BI/S is observed during long-range (R3) ordering of the I/S when neoformation occurs. Values of ??11BI/S measured on the equilibrium reaction products were used to construct a B-isotope fraction curve. There is a linear correlation among data from these experiments and 1100??C basaltic melt-fluid fractionation experiments (Hervig and Moore, 2000) that can be extrapolated to include adsorption experiments at 25??C (Palmer et al., 1987). Unlike other stable isotopic systems (e.g., oxygen) there is no mineral-specific fractionation of B-isotopes, but rather a coordination dependence of the fractionation. Under diagenetic conditions B is predominantly in trigonal coordination in fluids but substitutes in tetrahedral sites of silicates. The preference of 10B for tetrahedral bonds is the major fractionating factor of B in silicates. Copyright ?? 2001 Elsevier Science Ltd.", "author" : [ { "dropping-particle" : "", "family" : "Williams", "given" : "Lynda B.", "non-dropping-particle" : "", "parse-names" : false, "suffix" : "" }, { "dropping-particle" : "", "family" : "Hervig", "given" : "Richard L.", "non-dropping-particle" : "", "parse-names" : false, "suffix" : "" }, { "dropping-particle" : "", "family" : "Holloway", "given" : "John R.", "non-dropping-particle" : "", "parse-names" : false, "suffix" : "" }, { "dropping-particle" : "", "family" : "Hutcheon", "given" : "Ian", "non-dropping-particle" : "", "parse-names" : false, "suffix" : "" } ], "container-title" : "Geochimica et Cosmochimica Acta", "id" : "ITEM-1", "issue" : "11", "issued" : { "date-parts" : [ [ "2001" ] ] }, "page" : "1769-1782", "title" : "Boron isotope geochemistry during diagenesis. Part I. Experimental determination of fractionation during illitization of smectite", "type" : "article-journal", "volume" : "65" }, "uris" : [ "http://www.mendeley.com/documents/?uuid=f43a922f-b5a8-43e2-9c5e-b2058843b297" ] } ], "mendeley" : { "formattedCitation" : "(Williams et al., 2001a)", "plainTextFormattedCitation" : "(Williams et al., 2001a)", "previouslyFormattedCitation" : "(Williams et al. 2001a)" }, "properties" : { "noteIndex" : 0 }, "schema" : "https://github.com/citation-style-language/schema/raw/master/csl-citation.json" }</w:instrText>
      </w:r>
      <w:r>
        <w:rPr>
          <w:rFonts w:cs="Times New Roman"/>
        </w:rPr>
        <w:fldChar w:fldCharType="separate"/>
      </w:r>
      <w:r w:rsidR="00266290" w:rsidRPr="00266290">
        <w:rPr>
          <w:rFonts w:cs="Times New Roman"/>
          <w:noProof/>
        </w:rPr>
        <w:t>(Williams et al., 2001a)</w:t>
      </w:r>
      <w:r>
        <w:rPr>
          <w:rFonts w:cs="Times New Roman"/>
        </w:rPr>
        <w:fldChar w:fldCharType="end"/>
      </w:r>
      <w:r>
        <w:rPr>
          <w:rFonts w:cs="Times New Roman"/>
        </w:rPr>
        <w:t xml:space="preserve">. </w:t>
      </w:r>
    </w:p>
    <w:p w:rsidR="00665C0F" w:rsidRDefault="00665C0F" w:rsidP="00665C0F">
      <w:pPr>
        <w:spacing w:line="480" w:lineRule="auto"/>
        <w:ind w:firstLine="720"/>
        <w:rPr>
          <w:rFonts w:cs="Times New Roman"/>
        </w:rPr>
      </w:pPr>
      <w:r>
        <w:rPr>
          <w:rFonts w:cs="Times New Roman"/>
        </w:rPr>
        <w:t>The Δ</w:t>
      </w:r>
      <w:r>
        <w:rPr>
          <w:rFonts w:cs="Times New Roman"/>
          <w:vertAlign w:val="superscript"/>
        </w:rPr>
        <w:t>11</w:t>
      </w:r>
      <w:r>
        <w:rPr>
          <w:rFonts w:cs="Times New Roman"/>
        </w:rPr>
        <w:t xml:space="preserve">B value from </w:t>
      </w:r>
      <w:r w:rsidRPr="00DF3977">
        <w:rPr>
          <w:rFonts w:cs="Times New Roman"/>
        </w:rPr>
        <w:t xml:space="preserve">experiment CGB88 (Figure </w:t>
      </w:r>
      <w:r w:rsidR="00815F07">
        <w:rPr>
          <w:rFonts w:cs="Times New Roman"/>
        </w:rPr>
        <w:t>4-</w:t>
      </w:r>
      <w:r w:rsidRPr="00DF3977">
        <w:rPr>
          <w:rFonts w:cs="Times New Roman"/>
        </w:rPr>
        <w:t xml:space="preserve">4), using MAC glass, is identical to the value reported by </w:t>
      </w:r>
      <w:r w:rsidRPr="00DF3977">
        <w:rPr>
          <w:rFonts w:cs="Times New Roman"/>
        </w:rPr>
        <w:fldChar w:fldCharType="begin" w:fldLock="1"/>
      </w:r>
      <w:r w:rsidR="00266290">
        <w:rPr>
          <w:rFonts w:cs="Times New Roman"/>
        </w:rPr>
        <w:instrText>ADDIN CSL_CITATION { "citationItems" : [ { "id" : "ITEM-1",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"ITEM-1", "issue" : "5-6", "issued" : { "date-parts" : [ [ "2002" ] ] }, "page" : "769-774", "title" : "Isotopic and elemental partitioning of boron between hydrous fluid and silicate melt", "type" : "article-journal", "volume" : "87" }, "uris" : [ "http://www.mendeley.com/documents/?uuid=6b1d0590-ae63-44d0-990b-7cd3b5a05b06" ] } ], "mendeley" : { "formattedCitation" : "(Hervig et al., 2002)", "manualFormatting" : "Hervig et al. (2002)", "plainTextFormattedCitation" : "(Hervig et al., 2002)", "previouslyFormattedCitation" : "(Hervig et al. 2002)" }, "properties" : { "noteIndex" : 0 }, "schema" : "https://github.com/citation-style-language/schema/raw/master/csl-citation.json" }</w:instrText>
      </w:r>
      <w:r w:rsidRPr="00DF3977">
        <w:rPr>
          <w:rFonts w:cs="Times New Roman"/>
        </w:rPr>
        <w:fldChar w:fldCharType="separate"/>
      </w:r>
      <w:r w:rsidRPr="00DF3977">
        <w:rPr>
          <w:rFonts w:cs="Times New Roman"/>
          <w:noProof/>
        </w:rPr>
        <w:t>Hervig et al. (2002)</w:t>
      </w:r>
      <w:r w:rsidRPr="00DF3977">
        <w:rPr>
          <w:rFonts w:cs="Times New Roman"/>
        </w:rPr>
        <w:fldChar w:fldCharType="end"/>
      </w:r>
      <w:r w:rsidRPr="00DF3977">
        <w:rPr>
          <w:rFonts w:cs="Times New Roman"/>
        </w:rPr>
        <w:t>. Moreover, the values</w:t>
      </w:r>
      <w:r>
        <w:rPr>
          <w:rFonts w:cs="Times New Roman"/>
        </w:rPr>
        <w:t xml:space="preserve"> of Δ</w:t>
      </w:r>
      <w:r>
        <w:rPr>
          <w:rFonts w:cs="Times New Roman"/>
          <w:vertAlign w:val="superscript"/>
        </w:rPr>
        <w:t>11</w:t>
      </w:r>
      <w:r>
        <w:rPr>
          <w:rFonts w:cs="Times New Roman"/>
        </w:rPr>
        <w:t>B for the synthetic granitic glasses tend to cluster around the Δ</w:t>
      </w:r>
      <w:r>
        <w:rPr>
          <w:rFonts w:cs="Times New Roman"/>
          <w:vertAlign w:val="superscript"/>
        </w:rPr>
        <w:t>11</w:t>
      </w:r>
      <w:r>
        <w:rPr>
          <w:rFonts w:cs="Times New Roman"/>
        </w:rPr>
        <w:t>B measured using MAC glass. The experiments labeled ‘Low B’ and ‘High B’ used the synthetic granitic glasses with 2.5 wt% and 5 wt% B</w:t>
      </w:r>
      <w:r>
        <w:rPr>
          <w:rFonts w:cs="Times New Roman"/>
          <w:vertAlign w:val="subscript"/>
        </w:rPr>
        <w:t>2</w:t>
      </w:r>
      <w:r>
        <w:rPr>
          <w:rFonts w:cs="Times New Roman"/>
        </w:rPr>
        <w:t>O</w:t>
      </w:r>
      <w:r>
        <w:rPr>
          <w:rFonts w:cs="Times New Roman"/>
          <w:vertAlign w:val="subscript"/>
        </w:rPr>
        <w:t>3</w:t>
      </w:r>
      <w:r>
        <w:rPr>
          <w:rFonts w:cs="Times New Roman"/>
        </w:rPr>
        <w:t xml:space="preserve">, respectively. There is a slight, ~ 3‰, difference between </w:t>
      </w:r>
      <w:r>
        <w:rPr>
          <w:rFonts w:cs="Times New Roman"/>
        </w:rPr>
        <w:lastRenderedPageBreak/>
        <w:t>the Δ</w:t>
      </w:r>
      <w:r>
        <w:rPr>
          <w:rFonts w:cs="Times New Roman"/>
          <w:vertAlign w:val="superscript"/>
        </w:rPr>
        <w:t>11</w:t>
      </w:r>
      <w:r>
        <w:rPr>
          <w:rFonts w:cs="Times New Roman"/>
        </w:rPr>
        <w:t>B values measured in this study for the ‘High B’ melt composition. It is possible that the larger, more negative, values of Δ</w:t>
      </w:r>
      <w:r>
        <w:rPr>
          <w:rFonts w:cs="Times New Roman"/>
          <w:vertAlign w:val="superscript"/>
        </w:rPr>
        <w:t>11</w:t>
      </w:r>
      <w:r>
        <w:rPr>
          <w:rFonts w:cs="Times New Roman"/>
        </w:rPr>
        <w:t xml:space="preserve">B in the ‘High B’ experiments are a result of a higher proportion of </w:t>
      </w:r>
      <w:r>
        <w:rPr>
          <w:rFonts w:cs="Times New Roman"/>
          <w:vertAlign w:val="superscript"/>
        </w:rPr>
        <w:t>IV</w:t>
      </w:r>
      <w:r>
        <w:rPr>
          <w:rFonts w:cs="Times New Roman"/>
        </w:rPr>
        <w:t>B in melt compared to experiments using the ‘Low B’ melt composition. Values of Δ</w:t>
      </w:r>
      <w:r>
        <w:rPr>
          <w:rFonts w:cs="Times New Roman"/>
          <w:vertAlign w:val="superscript"/>
        </w:rPr>
        <w:t>11</w:t>
      </w:r>
      <w:r>
        <w:rPr>
          <w:rFonts w:cs="Times New Roman"/>
        </w:rPr>
        <w:t>B</w:t>
      </w:r>
      <w:r>
        <w:rPr>
          <w:rFonts w:cs="Times New Roman"/>
          <w:vertAlign w:val="subscript"/>
        </w:rPr>
        <w:t>melt-aq.sln.</w:t>
      </w:r>
      <w:r>
        <w:rPr>
          <w:rFonts w:cs="Times New Roman"/>
        </w:rPr>
        <w:t xml:space="preserve"> measured in the ‘Low B’ experiments do not correlate with temperature, whereas, those measured from ‘High B’ experiments increase with increasing temperature. Because isotopic fractionation is expected to increase with decreasing temperature, we suspect that the coordination of B in the melt compositions in this study has a substantial effect on the Δ</w:t>
      </w:r>
      <w:r>
        <w:rPr>
          <w:rFonts w:cs="Times New Roman"/>
          <w:vertAlign w:val="superscript"/>
        </w:rPr>
        <w:t>11</w:t>
      </w:r>
      <w:r>
        <w:rPr>
          <w:rFonts w:cs="Times New Roman"/>
        </w:rPr>
        <w:t>B</w:t>
      </w:r>
      <w:r>
        <w:rPr>
          <w:rFonts w:cs="Times New Roman"/>
          <w:vertAlign w:val="subscript"/>
        </w:rPr>
        <w:t xml:space="preserve"> </w:t>
      </w:r>
      <w:r>
        <w:rPr>
          <w:rFonts w:cs="Times New Roman"/>
        </w:rPr>
        <w:t>between melt and aqueous solution.</w:t>
      </w:r>
    </w:p>
    <w:p w:rsidR="00665C0F" w:rsidRPr="007541B8" w:rsidRDefault="00665C0F" w:rsidP="00665C0F">
      <w:pPr>
        <w:spacing w:line="480" w:lineRule="auto"/>
        <w:ind w:firstLine="720"/>
        <w:rPr>
          <w:rFonts w:cs="Times New Roman"/>
        </w:rPr>
      </w:pPr>
      <w:r w:rsidRPr="007541B8">
        <w:rPr>
          <w:rFonts w:cs="Times New Roman"/>
        </w:rPr>
        <w:t xml:space="preserve">Also </w:t>
      </w:r>
      <w:r w:rsidRPr="00DF3977">
        <w:rPr>
          <w:rFonts w:cs="Times New Roman"/>
        </w:rPr>
        <w:t xml:space="preserve">shown in Figure </w:t>
      </w:r>
      <w:r w:rsidR="00815F07">
        <w:rPr>
          <w:rFonts w:cs="Times New Roman"/>
        </w:rPr>
        <w:t>4-</w:t>
      </w:r>
      <w:r w:rsidRPr="00DF3977">
        <w:rPr>
          <w:rFonts w:cs="Times New Roman"/>
        </w:rPr>
        <w:t xml:space="preserve">4 is a boron isotopic fractionation factor for melt-aqueous solution from experiment MAC230 </w:t>
      </w:r>
      <w:r>
        <w:rPr>
          <w:rFonts w:cs="Times New Roman"/>
        </w:rPr>
        <w:fldChar w:fldCharType="begin" w:fldLock="1"/>
      </w:r>
      <w:r w:rsidR="00266290">
        <w:rPr>
          <w:rFonts w:cs="Times New Roman"/>
        </w:rPr>
        <w:instrText>ADDIN CSL_CITATION { "citationItems" : [ { "id" : "ITEM-1", "itemData" : { "author" : [ { "dropping-particle" : "", "family" : "London", "given" : "David", "non-dropping-particle" : "", "parse-names" : false, "suffix" : "" }, { "dropping-particle" : "", "family" : "Morgan", "given" : "George B.", "non-dropping-particle" : "", "parse-names" : false, "suffix" : "" } ], "container-title" : "Journal of Petrology", "id" : "ITEM-1", "issued" : { "date-parts" : [ [ "2017" ] ] }, "title" : "Experimental crystallization of the Macusani obsidian, with applications to lithium-rich pegmatites", "type" : "article-journal", "volume" : "accepted" }, "uris" : [ "http://www.mendeley.com/documents/?uuid=11558134-43a6-489a-973c-d19a14c9c4ba" ] } ], "mendeley" : { "formattedCitation" : "(London and Morgan, 2017)", "plainTextFormattedCitation" : "(London and Morgan, 2017)", "previouslyFormattedCitation" : "(London and Morgan 2017)" }, "properties" : { "noteIndex" : 0 }, "schema" : "https://github.com/citation-style-language/schema/raw/master/csl-citation.json" }</w:instrText>
      </w:r>
      <w:r>
        <w:rPr>
          <w:rFonts w:cs="Times New Roman"/>
        </w:rPr>
        <w:fldChar w:fldCharType="separate"/>
      </w:r>
      <w:r w:rsidR="00266290" w:rsidRPr="00266290">
        <w:rPr>
          <w:rFonts w:cs="Times New Roman"/>
          <w:noProof/>
        </w:rPr>
        <w:t>(London and Morgan, 2017)</w:t>
      </w:r>
      <w:r>
        <w:rPr>
          <w:rFonts w:cs="Times New Roman"/>
        </w:rPr>
        <w:fldChar w:fldCharType="end"/>
      </w:r>
      <w:r w:rsidRPr="007541B8">
        <w:rPr>
          <w:rFonts w:cs="Times New Roman"/>
        </w:rPr>
        <w:t>.</w:t>
      </w:r>
      <w:r>
        <w:rPr>
          <w:rFonts w:cs="Times New Roman"/>
        </w:rPr>
        <w:t xml:space="preserve"> In that experiment, a core of the Macusani obsidian was hydrated to 5.4 wt.% H</w:t>
      </w:r>
      <w:r w:rsidRPr="00F36D18">
        <w:rPr>
          <w:rFonts w:cs="Times New Roman"/>
          <w:vertAlign w:val="subscript"/>
        </w:rPr>
        <w:t>2</w:t>
      </w:r>
      <w:r>
        <w:rPr>
          <w:rFonts w:cs="Times New Roman"/>
        </w:rPr>
        <w:t>O, then partially crystallized at 500</w:t>
      </w:r>
      <w:r>
        <w:rPr>
          <w:rFonts w:cs="Times New Roman"/>
        </w:rPr>
        <w:sym w:font="Symbol" w:char="F0B0"/>
      </w:r>
      <w:r>
        <w:rPr>
          <w:rFonts w:cs="Times New Roman"/>
        </w:rPr>
        <w:t xml:space="preserve">C, 200 MPa, for 1512 hrs. The resultant core contained 7 volume % of void space as miarolitic cavities in crystalline and glassy domains, together with 12.7 % of glass and 80.2% crystals. Crystals that terminate into miarolitic cavities are euhedral. Therefore, the aqueous solution exsolved from the melt in response to crystallization over the course of the experiment; that solution is not a sudden result of quenching. </w:t>
      </w:r>
      <w:r w:rsidRPr="007541B8">
        <w:rPr>
          <w:rFonts w:cs="Times New Roman"/>
        </w:rPr>
        <w:t xml:space="preserve">The isotopic composition of glass in experiment MAC230 was compared to an unreacted piece of MAC glass, both of which have the same composition. Therefore, at </w:t>
      </w:r>
      <w:r>
        <w:rPr>
          <w:rFonts w:cs="Times New Roman"/>
        </w:rPr>
        <w:t>500</w:t>
      </w:r>
      <w:r w:rsidRPr="007541B8">
        <w:rPr>
          <w:rFonts w:cs="Times New Roman"/>
        </w:rPr>
        <w:t>°C, Δ</w:t>
      </w:r>
      <w:r w:rsidRPr="007541B8">
        <w:rPr>
          <w:rFonts w:cs="Times New Roman"/>
          <w:vertAlign w:val="superscript"/>
        </w:rPr>
        <w:t>11</w:t>
      </w:r>
      <w:r w:rsidRPr="007541B8">
        <w:rPr>
          <w:rFonts w:cs="Times New Roman"/>
        </w:rPr>
        <w:t>B</w:t>
      </w:r>
      <w:r w:rsidRPr="007541B8">
        <w:rPr>
          <w:rFonts w:cs="Times New Roman"/>
          <w:vertAlign w:val="subscript"/>
        </w:rPr>
        <w:t>melt-aq.sln.</w:t>
      </w:r>
      <w:r w:rsidRPr="007541B8">
        <w:rPr>
          <w:rFonts w:cs="Times New Roman"/>
        </w:rPr>
        <w:t xml:space="preserve"> appears to be zero, at least for the compositionally complex MAC glass</w:t>
      </w:r>
      <w:r>
        <w:rPr>
          <w:rFonts w:cs="Times New Roman"/>
        </w:rPr>
        <w:t xml:space="preserve"> at this condition</w:t>
      </w:r>
      <w:r w:rsidRPr="007541B8">
        <w:rPr>
          <w:rFonts w:cs="Times New Roman"/>
        </w:rPr>
        <w:t>.</w:t>
      </w:r>
      <w:r>
        <w:rPr>
          <w:rFonts w:cs="Times New Roman"/>
        </w:rPr>
        <w:t xml:space="preserve"> </w:t>
      </w:r>
    </w:p>
    <w:p w:rsidR="00665C0F" w:rsidRPr="008A0D85" w:rsidRDefault="00665C0F" w:rsidP="00380C49">
      <w:pPr>
        <w:pStyle w:val="Heading3"/>
        <w:spacing w:line="480" w:lineRule="auto"/>
        <w:rPr>
          <w:rFonts w:cs="Times New Roman"/>
        </w:rPr>
      </w:pPr>
      <w:bookmarkStart w:id="140" w:name="_Toc491246051"/>
      <w:r>
        <w:rPr>
          <w:rFonts w:cs="Times New Roman"/>
        </w:rPr>
        <w:lastRenderedPageBreak/>
        <w:t>4.4</w:t>
      </w:r>
      <w:r w:rsidR="00380C49">
        <w:rPr>
          <w:rFonts w:cs="Times New Roman"/>
        </w:rPr>
        <w:t>.</w:t>
      </w:r>
      <w:r>
        <w:rPr>
          <w:rFonts w:cs="Times New Roman"/>
        </w:rPr>
        <w:t xml:space="preserve"> Assessment of B coordination in hydrous, granitic melt based on Δ</w:t>
      </w:r>
      <w:r>
        <w:rPr>
          <w:rFonts w:cs="Times New Roman"/>
          <w:vertAlign w:val="superscript"/>
        </w:rPr>
        <w:t>11</w:t>
      </w:r>
      <w:r>
        <w:rPr>
          <w:rFonts w:cs="Times New Roman"/>
        </w:rPr>
        <w:t>B</w:t>
      </w:r>
      <w:r>
        <w:rPr>
          <w:rFonts w:cs="Times New Roman"/>
          <w:vertAlign w:val="subscript"/>
        </w:rPr>
        <w:t xml:space="preserve">melt-aq.sln. </w:t>
      </w:r>
      <w:r>
        <w:rPr>
          <w:rFonts w:cs="Times New Roman"/>
        </w:rPr>
        <w:t>data</w:t>
      </w:r>
      <w:bookmarkEnd w:id="140"/>
    </w:p>
    <w:p w:rsidR="00665C0F" w:rsidRDefault="00665C0F" w:rsidP="00665C0F">
      <w:pPr>
        <w:spacing w:line="480" w:lineRule="auto"/>
        <w:rPr>
          <w:rFonts w:cs="Times New Roman"/>
        </w:rPr>
      </w:pPr>
      <w:r>
        <w:rPr>
          <w:rFonts w:cs="Times New Roman"/>
        </w:rPr>
        <w:tab/>
        <w:t xml:space="preserve">With one exception, the fractionation factors reported in this study are significantly non-zero, are substantially larger than fractionation factors for tourmaline-aqueous solution at comparable pressure and temperature, and lie near the ‘III-IV’ </w:t>
      </w:r>
      <w:r w:rsidRPr="00DF3977">
        <w:rPr>
          <w:rFonts w:cs="Times New Roman"/>
        </w:rPr>
        <w:t>fractionation trend (Figure</w:t>
      </w:r>
      <w:r>
        <w:rPr>
          <w:rFonts w:cs="Times New Roman"/>
        </w:rPr>
        <w:t xml:space="preserve">s </w:t>
      </w:r>
      <w:r w:rsidR="00815F07">
        <w:rPr>
          <w:rFonts w:cs="Times New Roman"/>
        </w:rPr>
        <w:t>4-</w:t>
      </w:r>
      <w:r>
        <w:rPr>
          <w:rFonts w:cs="Times New Roman"/>
        </w:rPr>
        <w:t>3 and</w:t>
      </w:r>
      <w:r w:rsidRPr="00DF3977">
        <w:rPr>
          <w:rFonts w:cs="Times New Roman"/>
        </w:rPr>
        <w:t xml:space="preserve"> </w:t>
      </w:r>
      <w:r w:rsidR="00815F07">
        <w:rPr>
          <w:rFonts w:cs="Times New Roman"/>
        </w:rPr>
        <w:t>4-</w:t>
      </w:r>
      <w:r w:rsidRPr="00DF3977">
        <w:rPr>
          <w:rFonts w:cs="Times New Roman"/>
        </w:rPr>
        <w:t xml:space="preserve">4). The negative signature of </w:t>
      </w:r>
      <w:r w:rsidRPr="00DF3977">
        <w:rPr>
          <w:rFonts w:ascii="Symbol" w:hAnsi="Symbol" w:cs="Times New Roman"/>
        </w:rPr>
        <w:t></w:t>
      </w:r>
      <w:r w:rsidRPr="00DF3977">
        <w:rPr>
          <w:rFonts w:cs="Times New Roman"/>
          <w:vertAlign w:val="superscript"/>
        </w:rPr>
        <w:t>11</w:t>
      </w:r>
      <w:r w:rsidRPr="00DF3977">
        <w:rPr>
          <w:rFonts w:cs="Times New Roman"/>
        </w:rPr>
        <w:t>B</w:t>
      </w:r>
      <w:r w:rsidRPr="00DF3977">
        <w:rPr>
          <w:rFonts w:cs="Times New Roman"/>
          <w:vertAlign w:val="subscript"/>
        </w:rPr>
        <w:t>melt-aq.sln.</w:t>
      </w:r>
      <w:r w:rsidRPr="00DF3977">
        <w:rPr>
          <w:rFonts w:cs="Times New Roman"/>
        </w:rPr>
        <w:t xml:space="preserve"> leads us to suggest, as did </w:t>
      </w:r>
      <w:r>
        <w:rPr>
          <w:rFonts w:cs="Times New Roman"/>
        </w:rPr>
        <w:fldChar w:fldCharType="begin" w:fldLock="1"/>
      </w:r>
      <w:r w:rsidR="00266290">
        <w:rPr>
          <w:rFonts w:cs="Times New Roman"/>
        </w:rPr>
        <w:instrText>ADDIN CSL_CITATION { "citationItems" : [ { "id" : "ITEM-1",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"ITEM-1", "issue" : "5-6", "issued" : { "date-parts" : [ [ "2002" ] ] }, "page" : "769-774", "title" : "Isotopic and elemental partitioning of boron between hydrous fluid and silicate melt", "type" : "article-journal", "volume" : "87" }, "uris" : [ "http://www.mendeley.com/documents/?uuid=6b1d0590-ae63-44d0-990b-7cd3b5a05b06" ] } ], "mendeley" : { "formattedCitation" : "(Hervig et al., 2002)", "manualFormatting" : "Hervig et al. (2002)", "plainTextFormattedCitation" : "(Hervig et al., 2002)", "previouslyFormattedCitation" : "(Hervig et al. 2002)" }, "properties" : { "noteIndex" : 0 }, "schema" : "https://github.com/citation-style-language/schema/raw/master/csl-citation.json" }</w:instrText>
      </w:r>
      <w:r>
        <w:rPr>
          <w:rFonts w:cs="Times New Roman"/>
        </w:rPr>
        <w:fldChar w:fldCharType="separate"/>
      </w:r>
      <w:r>
        <w:rPr>
          <w:rFonts w:cs="Times New Roman"/>
          <w:noProof/>
        </w:rPr>
        <w:t>Hervig et al. (</w:t>
      </w:r>
      <w:r w:rsidRPr="00926B50">
        <w:rPr>
          <w:rFonts w:cs="Times New Roman"/>
          <w:noProof/>
        </w:rPr>
        <w:t>2002)</w:t>
      </w:r>
      <w:r>
        <w:rPr>
          <w:rFonts w:cs="Times New Roman"/>
        </w:rPr>
        <w:fldChar w:fldCharType="end"/>
      </w:r>
      <w:r w:rsidRPr="00DF3977">
        <w:rPr>
          <w:rFonts w:cs="Times New Roman"/>
        </w:rPr>
        <w:t>, that a</w:t>
      </w:r>
      <w:r>
        <w:rPr>
          <w:rFonts w:cs="Times New Roman"/>
        </w:rPr>
        <w:t xml:space="preserve"> significant proportion of B in hydrous granitic melt must be in 4-fold coordination. Spectroscopic studies of these glasses would be the logical next step to quantifying the coordination number of boron oxyanions in hydrous, granitic melt.</w:t>
      </w:r>
    </w:p>
    <w:p w:rsidR="00665C0F" w:rsidRPr="00B0477C" w:rsidRDefault="00665C0F" w:rsidP="00665C0F">
      <w:pPr>
        <w:spacing w:line="480" w:lineRule="auto"/>
        <w:ind w:firstLine="720"/>
        <w:rPr>
          <w:rFonts w:cs="Times New Roman"/>
        </w:rPr>
      </w:pPr>
      <w:r>
        <w:rPr>
          <w:rFonts w:cs="Times New Roman"/>
        </w:rPr>
        <w:t>We have explained our reasoning that the high-temperature results of this study are consistent with an equilibrium distribution of boron's isotopes between granitic melt and aqueous solution. That is not the case for experiment MAC230, which was undercooled 245</w:t>
      </w:r>
      <w:r>
        <w:rPr>
          <w:rFonts w:cs="Times New Roman"/>
        </w:rPr>
        <w:sym w:font="Symbol" w:char="F0B0"/>
      </w:r>
      <w:r>
        <w:rPr>
          <w:rFonts w:cs="Times New Roman"/>
        </w:rPr>
        <w:t>C prior to the onset of crystallization, and may never have reached a final equilibrium among crystals, melt, and exsolved aqueous fluid. Though the apparent lack of isotopic fractionation of boron between the melt and aqueous solution could be related to the evolved composition of the resultant melt (e.g., 3.55 wt.% B</w:t>
      </w:r>
      <w:r w:rsidRPr="00F36D18">
        <w:rPr>
          <w:rFonts w:cs="Times New Roman"/>
          <w:vertAlign w:val="subscript"/>
        </w:rPr>
        <w:t>2</w:t>
      </w:r>
      <w:r>
        <w:rPr>
          <w:rFonts w:cs="Times New Roman"/>
        </w:rPr>
        <w:t>O</w:t>
      </w:r>
      <w:r w:rsidRPr="00F36D18">
        <w:rPr>
          <w:rFonts w:cs="Times New Roman"/>
          <w:vertAlign w:val="subscript"/>
        </w:rPr>
        <w:t>3</w:t>
      </w:r>
      <w:r>
        <w:rPr>
          <w:rFonts w:cs="Times New Roman"/>
        </w:rPr>
        <w:t xml:space="preserve">: see Electronic </w:t>
      </w:r>
      <w:r w:rsidRPr="008F75E1">
        <w:rPr>
          <w:rFonts w:cs="Times New Roman"/>
        </w:rPr>
        <w:t xml:space="preserve">Appendix 4 of </w:t>
      </w:r>
      <w:r w:rsidRPr="008F75E1">
        <w:rPr>
          <w:rFonts w:cs="Times New Roman"/>
        </w:rPr>
        <w:fldChar w:fldCharType="begin" w:fldLock="1"/>
      </w:r>
      <w:r w:rsidR="00266290">
        <w:rPr>
          <w:rFonts w:cs="Times New Roman"/>
        </w:rPr>
        <w:instrText>ADDIN CSL_CITATION { "citationItems" : [ { "id" : "ITEM-1", "itemData" : { "author" : [ { "dropping-particle" : "", "family" : "London", "given" : "David", "non-dropping-particle" : "", "parse-names" : false, "suffix" : "" }, { "dropping-particle" : "", "family" : "Morgan", "given" : "George B.", "non-dropping-particle" : "", "parse-names" : false, "suffix" : "" } ], "container-title" : "Journal of Petrology", "id" : "ITEM-1", "issued" : { "date-parts" : [ [ "2017" ] ] }, "title" : "Experimental crystallization of the Macusani obsidian, with applications to lithium-rich pegmatites", "type" : "article-journal", "volume" : "accepted" }, "uris" : [ "http://www.mendeley.com/documents/?uuid=11558134-43a6-489a-973c-d19a14c9c4ba" ] } ], "mendeley" : { "formattedCitation" : "(London and Morgan, 2017)", "manualFormatting" : "London and Morgan, 2017)", "plainTextFormattedCitation" : "(London and Morgan, 2017)", "previouslyFormattedCitation" : "(London and Morgan 2017)" }, "properties" : { "noteIndex" : 0 }, "schema" : "https://github.com/citation-style-language/schema/raw/master/csl-citation.json" }</w:instrText>
      </w:r>
      <w:r w:rsidRPr="008F75E1">
        <w:rPr>
          <w:rFonts w:cs="Times New Roman"/>
        </w:rPr>
        <w:fldChar w:fldCharType="separate"/>
      </w:r>
      <w:r w:rsidRPr="008F75E1">
        <w:rPr>
          <w:rFonts w:cs="Times New Roman"/>
          <w:noProof/>
        </w:rPr>
        <w:t>London and Morgan, 2017)</w:t>
      </w:r>
      <w:r w:rsidRPr="008F75E1">
        <w:rPr>
          <w:rFonts w:cs="Times New Roman"/>
        </w:rPr>
        <w:fldChar w:fldCharType="end"/>
      </w:r>
      <w:r w:rsidRPr="008F75E1">
        <w:rPr>
          <w:rFonts w:cs="Times New Roman"/>
        </w:rPr>
        <w:t>, low diffusivity</w:t>
      </w:r>
      <w:r>
        <w:rPr>
          <w:rFonts w:cs="Times New Roman"/>
        </w:rPr>
        <w:t xml:space="preserve"> of boron at these conditions might also account for the disparity with our high-temperature data. The diffusion coefficient for B in hydrous granitic liquid at 800</w:t>
      </w:r>
      <w:r>
        <w:rPr>
          <w:rFonts w:cs="Times New Roman"/>
        </w:rPr>
        <w:sym w:font="Symbol" w:char="F0B0"/>
      </w:r>
      <w:r>
        <w:rPr>
          <w:rFonts w:cs="Times New Roman"/>
        </w:rPr>
        <w:t>C, 200 MPa, is D</w:t>
      </w:r>
      <w:r w:rsidRPr="00F36D18">
        <w:rPr>
          <w:rFonts w:cs="Times New Roman"/>
          <w:vertAlign w:val="subscript"/>
        </w:rPr>
        <w:t>B</w:t>
      </w:r>
      <w:r>
        <w:rPr>
          <w:rFonts w:cs="Times New Roman"/>
        </w:rPr>
        <w:t xml:space="preserve"> = 10</w:t>
      </w:r>
      <w:r w:rsidRPr="00F36D18">
        <w:rPr>
          <w:rFonts w:cs="Times New Roman"/>
          <w:vertAlign w:val="superscript"/>
        </w:rPr>
        <w:t>-13</w:t>
      </w:r>
      <w:r>
        <w:rPr>
          <w:rFonts w:cs="Times New Roman"/>
        </w:rPr>
        <w:t xml:space="preserve"> m</w:t>
      </w:r>
      <w:r w:rsidRPr="00F36D18">
        <w:rPr>
          <w:rFonts w:cs="Times New Roman"/>
          <w:vertAlign w:val="superscript"/>
        </w:rPr>
        <w:t>2</w:t>
      </w:r>
      <w:r>
        <w:rPr>
          <w:rFonts w:cs="Times New Roman"/>
        </w:rPr>
        <w:t xml:space="preserve">/s </w:t>
      </w:r>
      <w:r>
        <w:rPr>
          <w:rFonts w:cs="Times New Roman"/>
        </w:rPr>
        <w:fldChar w:fldCharType="begin" w:fldLock="1"/>
      </w:r>
      <w:r w:rsidR="00266290">
        <w:rPr>
          <w:rFonts w:cs="Times New Roman"/>
        </w:rPr>
        <w:instrText>ADDIN CSL_CITATION { "citationItems" : [ { "id" : "ITEM-1", "itemData" : { "DOI" : "10.3749/canmin.47.4.697", "ISSN" : "00084476", "abstract" : "abstract Many granitic pegmatites contain two textural domains. Anisotropic textures of the outer zones, including fine-grained units, graphic intergrowths, and unidirectional solidification textures, are dominated by the effects of liquidus undercooling. The coarse, blocky textures of the interior zones result mostly from the accumulation of fluxes that enhance the diffusion of Al and of Si. Those fluxes are likely to become enriched in a boundary-layer liquid that forms at the growth front of crystals. Experiments that entail the dissolution of acid solutions of H 3 BO 3 , H 3 PO 4 and HF into haplogranite glass at 800\u00b0C and 200 MPa serve as model subsystems for the boundary-layer liquid in granitic pegmatites. When the fluxes are added as acidic components, they promote an increase in the H 2 O content of granitic melts via a melt-speciation reaction, M +", "author" : [ { "dropping-particle" : "", "family" : "London", "given" : "David", "non-dropping-particle" : "", "parse-names" : false, "suffix" : "" } ], "container-title" : "Canadian Mineralogist", "id" : "ITEM-1", "issue" : "4", "issued" : { "date-parts" : [ [ "2009" ] ] }, "page" : "697-724", "title" : "The origin of primary textures in granitic pegmatites", "type" : "article-journal", "volume" : "47" }, "uris" : [ "http://www.mendeley.com/documents/?uuid=e5f39597-1738-43fb-a77c-571e491ee42d" ] } ], "mendeley" : { "formattedCitation" : "(London, 2009)", "manualFormatting" : "(London, 2009; Maner and London, submitted)", "plainTextFormattedCitation" : "(London, 2009)", "previouslyFormattedCitation" : "(London 2009)" }, "properties" : { "noteIndex" : 0 }, "schema" : "https://github.com/citation-style-language/schema/raw/master/csl-citation.json" }</w:instrText>
      </w:r>
      <w:r>
        <w:rPr>
          <w:rFonts w:cs="Times New Roman"/>
        </w:rPr>
        <w:fldChar w:fldCharType="separate"/>
      </w:r>
      <w:r w:rsidRPr="00DD3F67">
        <w:rPr>
          <w:rFonts w:cs="Times New Roman"/>
          <w:noProof/>
        </w:rPr>
        <w:t>(London, 2009</w:t>
      </w:r>
      <w:r>
        <w:rPr>
          <w:rFonts w:cs="Times New Roman"/>
          <w:noProof/>
        </w:rPr>
        <w:t>; Maner and London, submitted</w:t>
      </w:r>
      <w:r w:rsidRPr="00DD3F67">
        <w:rPr>
          <w:rFonts w:cs="Times New Roman"/>
          <w:noProof/>
        </w:rPr>
        <w:t>)</w:t>
      </w:r>
      <w:r>
        <w:rPr>
          <w:rFonts w:cs="Times New Roman"/>
        </w:rPr>
        <w:fldChar w:fldCharType="end"/>
      </w:r>
      <w:r w:rsidRPr="008F75E1">
        <w:rPr>
          <w:rFonts w:cs="Times New Roman"/>
        </w:rPr>
        <w:t>, which</w:t>
      </w:r>
      <w:r>
        <w:rPr>
          <w:rFonts w:cs="Times New Roman"/>
        </w:rPr>
        <w:t xml:space="preserve"> is approximately that same diffusivity as Al (e.g., </w:t>
      </w:r>
      <w:r>
        <w:rPr>
          <w:rFonts w:cs="Times New Roman"/>
        </w:rPr>
        <w:fldChar w:fldCharType="begin" w:fldLock="1"/>
      </w:r>
      <w:r w:rsidR="00266290">
        <w:rPr>
          <w:rFonts w:cs="Times New Roman"/>
        </w:rPr>
        <w:instrText>ADDIN CSL_CITATION { "citationItems" : [ { "id" : "ITEM-1", "itemData" : { "DOI" : "10.1093/petrology/43.10.1885", "ISBN" : "0022-3530", "ISSN" : "14602415", "abstract" : "The mechanisms and kinetics of equilibration between peraluminous minerals and granitic melt were investigated experimentally by the dissolution of corundum and andalusite into H2O-saturated metaluminous haplogranitic melt at 800\u00b0C and 200 MPa. Mineral and haplogranitic glass rods were juxtaposed inside platinum capsules, and then subjected to experimental conditions for times ranging from 12 to 2900 h. Upon melting, the mineral \u2013melt interface retreats with the square root of time. The composition of the melt at the interface changes with time, but its ASI [aluminum saturation index = molar Al2O3/(CaO + Na2O + K2O)] remains constant at \u223c1\u00b720 after 480 h. This value is close to the ASI of an H2O-saturated haplogranitic melt in equilibrium with corundum or andalusite, which may indicate that the composition of the melt at the interface follows the liquidus of these minerals in the system. Sodium and potassium diffuse rapidly uphill across the entire length of the charge towards the interface, resulting in a rapid and uniform increase in ASI throughout the entire melt column. This uphill diffusion of alkalis is due to coupling with excess aluminum entering the melt at the interface, and involves long-range communication in the melt via chemical potential gradients. The evolution of oxide concentration profiles with time suggests that sodium, potassium, and a combination of aluminum and alkalis constitute three directions in composition space along which diffusion is uncoupled (eigenvectors) this system. The aluminum\u2013alkali eigenvector has a molar Al/(Na + K) ratio of \u223c1\u00b720; its Na/K ratio, however, changes with the composition of the liquid and with time as the entire melt column approaches equilibrium. The solubility of H2O shows a positive correlation with the excess aluminum content of melt, but conclusions about the stoichiometry of H2O in the aluminum\u2013 alkali eigenvector could not be obtained from our results. We propose that some H2O may provide charge balance for excess aluminum. Multicomponent diffusion models yield eigenvalues for the corresponding aluminum\u2013alkali eigenvector of 0\u00b73 \u00d7 10\u221210 to 1\u00b79 \u00d7 10\u221210 cm2/s. Calculated effective binary diffusion coefficients for Al2O3 are higher, 1\u00b70 \u00d7 10\u22129 to 3\u00b76 \u00d7 10\u22129 cm2/s. These diffusion coefficients are used to calculate equilibration times between peraluminous minerals and granitic melts in a model system in which two grains of corundum or andalusite 1 cm apart are connected via a narrow melt column. \u2026", "author" : [ { "dropping-particle" : "", "family" : "Acosta-Vigil", "given" : "Antonio", "non-dropping-particle" : "", "parse-names" : false, "suffix" : "" }, { "dropping-particle" : "", "family" : "London", "given" : "David", "non-dropping-particle" : "", "parse-names" : false, "suffix" : "" }, { "dropping-particle" : "", "family" : "Dewers", "given" : "Thomas A", "non-dropping-particle" : "", "parse-names" : false, "suffix" : "" }, { "dropping-particle" : "", "family" : "Morgan", "given" : "George B", "non-dropping-particle" : "", "parse-names" : false, "suffix" : "" } ], "container-title" : "Journal of Petrology", "id" : "ITEM-1", "issue" : "10", "issued" : { "date-parts" : [ [ "2002" ] ] }, "page" : "1885-1908", "title" : "Dissolution of Corundum and Andalusite in H2O-Saturated Haplogranitic Melts at 800\u00b0C and 200 MPa: Constraints on Diffusivities and the Generation of Peraluminous Melts", "type" : "article-journal", "volume" : "43" }, "uris" : [ "http://www.mendeley.com/documents/?uuid=2325ff7c-d53f-45a5-a77c-1c2eace266ec" ] } ], "mendeley" : { "formattedCitation" : "(Acosta-Vigil et al., 2002)", "manualFormatting" : "Acosta-Vigil et al., 2002)", "plainTextFormattedCitation" : "(Acosta-Vigil et al., 2002)", "previouslyFormattedCitation" : "(Acosta-Vigil et al. 2002)" }, "properties" : { "noteIndex" : 0 }, "schema" : "https://github.com/citation-style-language/schema/raw/master/csl-citation.json" }</w:instrText>
      </w:r>
      <w:r>
        <w:rPr>
          <w:rFonts w:cs="Times New Roman"/>
        </w:rPr>
        <w:fldChar w:fldCharType="separate"/>
      </w:r>
      <w:r w:rsidRPr="00926B50">
        <w:rPr>
          <w:rFonts w:cs="Times New Roman"/>
          <w:noProof/>
        </w:rPr>
        <w:t>Acosta-Vigil et al., 2002)</w:t>
      </w:r>
      <w:r>
        <w:rPr>
          <w:rFonts w:cs="Times New Roman"/>
        </w:rPr>
        <w:fldChar w:fldCharType="end"/>
      </w:r>
      <w:r>
        <w:rPr>
          <w:rFonts w:cs="Times New Roman"/>
        </w:rPr>
        <w:t xml:space="preserve">. As low as this diffusivity is, it would be orders of magnitude lower at the temperature of MAC230. </w:t>
      </w:r>
      <w:r>
        <w:rPr>
          <w:rFonts w:cs="Times New Roman"/>
        </w:rPr>
        <w:fldChar w:fldCharType="begin" w:fldLock="1"/>
      </w:r>
      <w:r w:rsidR="00266290">
        <w:rPr>
          <w:rFonts w:cs="Times New Roman"/>
        </w:rPr>
        <w:instrText>ADDIN CSL_CITATION { "citationItems" : [ { "id" : "ITEM-1", "itemData" : { "author" : [ { "dropping-particle" : "", "family" : "London", "given" : "David", "non-dropping-particle" : "", "parse-names" : false, "suffix" : "" }, { "dropping-particle" : "", "family" : "Morgan", "given" : "George B.", "non-dropping-particle" : "", "parse-names" : false, "suffix" : "" } ], "container-title" : "Journal of Petrology", "id" : "ITEM-1", "issued" : { "date-parts" : [ [ "2017" ] ] }, "title" : "Experimental crystallization of the Macusani obsidian, with applications to lithium-rich pegmatites", "type" : "article-journal", "volume" : "accepted" }, "uris" : [ "http://www.mendeley.com/documents/?uuid=11558134-43a6-489a-973c-d19a14c9c4ba" ] } ], "mendeley" : { "formattedCitation" : "(London and Morgan, 2017)", "manualFormatting" : "London and Morgan (2017)", "plainTextFormattedCitation" : "(London and Morgan, 2017)", "previouslyFormattedCitation" : "(London and Morgan 2017)" }, "properties" : { "noteIndex" : 0 }, "schema" : "https://github.com/citation-style-language/schema/raw/master/csl-citation.json" }</w:instrText>
      </w:r>
      <w:r>
        <w:rPr>
          <w:rFonts w:cs="Times New Roman"/>
        </w:rPr>
        <w:fldChar w:fldCharType="separate"/>
      </w:r>
      <w:r w:rsidRPr="008F75E1">
        <w:rPr>
          <w:rFonts w:cs="Times New Roman"/>
          <w:noProof/>
        </w:rPr>
        <w:t>London and Mo</w:t>
      </w:r>
      <w:r>
        <w:rPr>
          <w:rFonts w:cs="Times New Roman"/>
          <w:noProof/>
        </w:rPr>
        <w:t>rgan (</w:t>
      </w:r>
      <w:r w:rsidRPr="008F75E1">
        <w:rPr>
          <w:rFonts w:cs="Times New Roman"/>
          <w:noProof/>
        </w:rPr>
        <w:t>2017)</w:t>
      </w:r>
      <w:r>
        <w:rPr>
          <w:rFonts w:cs="Times New Roman"/>
        </w:rPr>
        <w:fldChar w:fldCharType="end"/>
      </w:r>
      <w:r>
        <w:rPr>
          <w:rFonts w:cs="Times New Roman"/>
        </w:rPr>
        <w:t xml:space="preserve"> cited textural evidence that the melts produced from the hydrous </w:t>
      </w:r>
      <w:r>
        <w:rPr>
          <w:rFonts w:cs="Times New Roman"/>
        </w:rPr>
        <w:lastRenderedPageBreak/>
        <w:t xml:space="preserve">Macusani obsidian at these conditions were sufficiently viscous as to sustain brittle fracture. To the extent that the residual melt and aqueous solution in MAC230 approached a chemical equilibrium, we suggest that this was achieved principally by the dissolution of the bulk melt into the aqueous vapor, such that partition coefficients for elements and isotopes remained essentially at unity. This is analogous to the conclusions reached by </w:t>
      </w:r>
      <w:r>
        <w:rPr>
          <w:rFonts w:cs="Times New Roman"/>
        </w:rPr>
        <w:fldChar w:fldCharType="begin" w:fldLock="1"/>
      </w:r>
      <w:r w:rsidR="00266290">
        <w:rPr>
          <w:rFonts w:cs="Times New Roman"/>
        </w:rPr>
        <w:instrText>ADDIN CSL_CITATION { "citationItems" : [ { "id" : "ITEM-1", "itemData" : { "author" : [ { "dropping-particle" : "", "family" : "Bea", "given" : "Fernando", "non-dropping-particle" : "", "parse-names" : false, "suffix" : "" } ], "container-title" : "The third Hutton symposium on the origin of granites and related rocks", "edition" : "315", "editor" : [ { "dropping-particle" : "", "family" : "Brown", "given" : "M.", "non-dropping-particle" : "", "parse-names" : false, "suffix" : "" }, { "dropping-particle" : "", "family" : "Candela", "given" : "P.A.", "non-dropping-particle" : "", "parse-names" : false, "suffix" : "" }, { "dropping-particle" : "", "family" : "Peck", "given" : "D.L.", "non-dropping-particle" : "", "parse-names" : false, "suffix" : "" }, { "dropping-particle" : "", "family" : "Stephens", "given" : "W.E.", "non-dropping-particle" : "", "parse-names" : false, "suffix" : "" }, { "dropping-particle" : "", "family" : "Walker", "given" : "R.J.", "non-dropping-particle" : "", "parse-names" : false, "suffix" : "" }, { "dropping-particle" : "", "family" : "Zen", "given" : "E.-A.", "non-dropping-particle" : "", "parse-names" : false, "suffix" : "" } ], "id" : "ITEM-1", "issued" : { "date-parts" : [ [ "1996" ] ] }, "page" : "33-41", "publisher" : "Geological Society of America Special Paper", "title" : "Controls on the trace element composition of crustal melts", "type" : "chapter" }, "uris" : [ "http://www.mendeley.com/documents/?uuid=d336ab7a-62d1-4ebf-b441-dd4e37ef03ae" ] } ], "mendeley" : { "formattedCitation" : "(Bea, 1996)", "manualFormatting" : "Bea (1996)", "plainTextFormattedCitation" : "(Bea, 1996)", "previouslyFormattedCitation" : "(Bea 1996)" }, "properties" : { "noteIndex" : 0 }, "schema" : "https://github.com/citation-style-language/schema/raw/master/csl-citation.json" }</w:instrText>
      </w:r>
      <w:r>
        <w:rPr>
          <w:rFonts w:cs="Times New Roman"/>
        </w:rPr>
        <w:fldChar w:fldCharType="separate"/>
      </w:r>
      <w:r>
        <w:rPr>
          <w:rFonts w:cs="Times New Roman"/>
          <w:noProof/>
        </w:rPr>
        <w:t>Bea (</w:t>
      </w:r>
      <w:r w:rsidRPr="00926B50">
        <w:rPr>
          <w:rFonts w:cs="Times New Roman"/>
          <w:noProof/>
        </w:rPr>
        <w:t>1996)</w:t>
      </w:r>
      <w:r>
        <w:rPr>
          <w:rFonts w:cs="Times New Roman"/>
        </w:rPr>
        <w:fldChar w:fldCharType="end"/>
      </w:r>
      <w:r>
        <w:rPr>
          <w:rFonts w:cs="Times New Roman"/>
        </w:rPr>
        <w:t xml:space="preserve"> for the partitioning of trace elements between minerals and partial melts.</w:t>
      </w:r>
    </w:p>
    <w:p w:rsidR="00665C0F" w:rsidRDefault="00665C0F" w:rsidP="00380C49">
      <w:pPr>
        <w:pStyle w:val="Heading3"/>
        <w:spacing w:line="480" w:lineRule="auto"/>
        <w:rPr>
          <w:rFonts w:cs="Times New Roman"/>
        </w:rPr>
      </w:pPr>
      <w:bookmarkStart w:id="141" w:name="_Toc491246052"/>
      <w:r>
        <w:rPr>
          <w:rFonts w:cs="Times New Roman"/>
        </w:rPr>
        <w:t>4.5</w:t>
      </w:r>
      <w:r w:rsidR="00380C49">
        <w:rPr>
          <w:rFonts w:cs="Times New Roman"/>
        </w:rPr>
        <w:t>.</w:t>
      </w:r>
      <w:r>
        <w:rPr>
          <w:rFonts w:cs="Times New Roman"/>
        </w:rPr>
        <w:t xml:space="preserve"> Applications to geologic systems</w:t>
      </w:r>
      <w:bookmarkEnd w:id="141"/>
    </w:p>
    <w:p w:rsidR="00665C0F" w:rsidRPr="00380C49" w:rsidRDefault="00665C0F" w:rsidP="00380C49">
      <w:pPr>
        <w:pStyle w:val="Heading4"/>
        <w:spacing w:line="480" w:lineRule="auto"/>
        <w:rPr>
          <w:rFonts w:cs="Times New Roman"/>
          <w:i w:val="0"/>
        </w:rPr>
      </w:pPr>
      <w:bookmarkStart w:id="142" w:name="_Toc491246053"/>
      <w:r w:rsidRPr="00380C49">
        <w:rPr>
          <w:rFonts w:cs="Times New Roman"/>
          <w:i w:val="0"/>
        </w:rPr>
        <w:t>4.5.1</w:t>
      </w:r>
      <w:r w:rsidR="00380C49" w:rsidRPr="00380C49">
        <w:rPr>
          <w:rFonts w:cs="Times New Roman"/>
          <w:i w:val="0"/>
        </w:rPr>
        <w:t>.</w:t>
      </w:r>
      <w:r w:rsidRPr="00380C49">
        <w:rPr>
          <w:rFonts w:cs="Times New Roman"/>
          <w:i w:val="0"/>
        </w:rPr>
        <w:t xml:space="preserve"> Degassing of granitic melt and crystallization of tourmaline from granitic melt and aqueous solution</w:t>
      </w:r>
      <w:bookmarkEnd w:id="142"/>
    </w:p>
    <w:p w:rsidR="00665C0F" w:rsidRDefault="00665C0F" w:rsidP="00665C0F">
      <w:pPr>
        <w:spacing w:line="480" w:lineRule="auto"/>
        <w:rPr>
          <w:rFonts w:cs="Times New Roman"/>
        </w:rPr>
      </w:pPr>
      <w:r>
        <w:rPr>
          <w:rFonts w:cs="Times New Roman"/>
        </w:rPr>
        <w:tab/>
        <w:t xml:space="preserve">The results of this study show significant fractionation of boron’s isotopes between granitic melt and aqueous fluid at liquidus temperatures. At isotopic equilibrium, an aqueous fluid will be enriched in </w:t>
      </w:r>
      <w:r w:rsidRPr="00762A03">
        <w:rPr>
          <w:rFonts w:cs="Times New Roman"/>
          <w:vertAlign w:val="superscript"/>
        </w:rPr>
        <w:t>11</w:t>
      </w:r>
      <w:r w:rsidR="00BB5A23">
        <w:rPr>
          <w:rFonts w:cs="Times New Roman"/>
        </w:rPr>
        <w:t>B relative to</w:t>
      </w:r>
      <w:r>
        <w:rPr>
          <w:rFonts w:cs="Times New Roman"/>
        </w:rPr>
        <w:t xml:space="preserve"> coexisting granitic melt. The δ</w:t>
      </w:r>
      <w:r>
        <w:rPr>
          <w:rFonts w:cs="Times New Roman"/>
          <w:vertAlign w:val="superscript"/>
        </w:rPr>
        <w:t>11</w:t>
      </w:r>
      <w:r>
        <w:rPr>
          <w:rFonts w:cs="Times New Roman"/>
        </w:rPr>
        <w:t>B of tourmaline that crystallizes from the aqueous solution should be markedly heavier than tourmaline that crystallizes from the melt, if tourmaline crystallization proceeds simultaneously</w:t>
      </w:r>
      <w:r w:rsidRPr="004C3BAC">
        <w:rPr>
          <w:rFonts w:cs="Times New Roman"/>
        </w:rPr>
        <w:t xml:space="preserve"> </w:t>
      </w:r>
      <w:r>
        <w:rPr>
          <w:rFonts w:cs="Times New Roman"/>
        </w:rPr>
        <w:t>from both fluids. The difference in the δ</w:t>
      </w:r>
      <w:r>
        <w:rPr>
          <w:rFonts w:cs="Times New Roman"/>
          <w:vertAlign w:val="superscript"/>
        </w:rPr>
        <w:t>11</w:t>
      </w:r>
      <w:r>
        <w:rPr>
          <w:rFonts w:cs="Times New Roman"/>
        </w:rPr>
        <w:t xml:space="preserve">B of tourmaline crystallizing in melt and aqueous fluid at high temperature (&gt; 700°C) should be small due to the convergence of fractionation factors for tourmaline-aqueous solution and granitic melt-aqueous solution. However, at ~450°C, the temperature at which pegmatites crystallize </w:t>
      </w:r>
      <w:r>
        <w:rPr>
          <w:rFonts w:cs="Times New Roman"/>
        </w:rPr>
        <w:fldChar w:fldCharType="begin" w:fldLock="1"/>
      </w:r>
      <w:r w:rsidR="00266290">
        <w:rPr>
          <w:rFonts w:cs="Times New Roman"/>
        </w:rPr>
        <w:instrText>ADDIN CSL_CITATION { "citationItems" : [ { "id" : "ITEM-1", "itemData" : { "ISBN" : "978-0-921294-47-4", "author" : [ { "dropping-particle" : "", "family" : "London", "given" : "D.", "non-dropping-particle" : "", "parse-names" : false, "suffix" : "" } ], "container-title" : "Canadian Mineralogist", "id" : "ITEM-1", "issued" : { "date-parts" : [ [ "2008" ] ] }, "number-of-pages" : "347", "title" : "Pegmatites", "type" : "book", "volume" : "10" }, "uris" : [ "http://www.mendeley.com/documents/?uuid=2df88fb7-6317-4eed-a606-ad41cf6dbe95" ] }, { "id" : "ITEM-2", "itemData" : { "DOI" : "10.1007/s004100050541", "ISSN" : "00107999", "author" : [ { "dropping-particle" : "", "family" : "Morgan", "given" : "George B.", "non-dropping-particle" : "", "parse-names" : false, "suffix" : "" }, { "dropping-particle" : "", "family" : "London", "given" : "David", "non-dropping-particle" : "", "parse-names" : false, "suffix" : "" } ], "container-title" : "Contributions to Mineralogy and Petrology", "id" : "ITEM-2", "issue" : "4", "issued" : { "date-parts" : [ [ "1999" ] ] }, "page" : "310-330", "title" : "Crystallization of the Little Three layered pegmatite-aplite dike, Ramona District, California", "type" : "article-journal", "volume" : "136" }, "uris" : [ "http://www.mendeley.com/documents/?uuid=5d1566b0-c89b-4e61-94c5-4a9310a32eb3" ] }, { "id" : "ITEM-3", "itemData" : { "DOI" : "10.3749/canmin.50.4.1025", "ISSN" : "00084476", "abstract" : "Miarolitic granitic pegmatites at the Little Three mine property near Ramona, San Diego County, California, USA, possess a bulk composition that closely matches that of a hydrous peraluminous granitic liquid that is saturated with respect to tourmaline at a temperature of \u223c450\u00b0C. As such, the pegmatites appear to represent the compositions of the silicate liquid from which they crystallized, which contained &lt;1 wt% B2O3 and minor amounts of Li and F. They do not appear to have contained phenocrysts upon emplacement, and they are neither partially cumulate nor hydrothermal in nature. The Little Three pegmatites are, however, sharply zoned. Chemical zonation across one small dike matches the patterns expected from crystallization of undercooled granitic liquids, in which the far-field diffusion of alkalis and local constitutional zone refining of fluxing and incompatible elements contribute to the chemical and textural changes from the margins inward. Feldspar thermometry records nearly isothermal crystallization at \u223c420\u00b0\u2013430\u00b0C for dikes from 1 to 2.5 m in thickness. Temperatures recorded by feldspars fall toward the miarolitic center of the thicker (Main) dike, but increase to \u223c500\u00b0C in the thinner (Swamp) dike. Fluid inclusions within quartz and topaz from miarolitic cavities of the Main dike contain cryolite, arsenides, arsenates, pollucite, and borates, including Cs borate, the latter of which indicates a higher degree of chemical fractionation than is present in the minerals that line the cavities. Extrapolation along isochores based on the homogenization (200\u00b0\u2013225\u00b0C) of the low-salinity aqueous fluid (&lt;1 equivalent wt% NaCl) to the temperature of feldspar equilibration (240\u00b0\u2013270\u00b0C) with the miarolitic cavity points to hydrostatic entrapment pressures of \u223c50 to 100 MPa, which are unrealistically low. If the isochores are extrapolated to 370\u00b0 \u00b1 20\u00b0C, the temperatures recorded by feldspars in the pegmatite that surrounds the miarolitic pockets, then the entrapment pressure would be \u223c200\u2013250 MPa. Formation of the miarolitic cavities at \u223c370\u00b0C and 200\u2013250 MPa is plausible, as the cavities contain zeolites; therefore, the feldspars within the pockets have recrystallized (re-equilibrated) to an extent that they no longer preserve their original compositions. ", "author" : [ { "dropping-particle" : "", "family" : "London", "given" : "David", "non-dropping-particle" : "", "parse-names" : false, "suffix" : "" }, { "dropping-particle" : "", "family" : "Morganvi", "given" : "George B.", "non-dropping-particle" : "", "parse-names" : false, "suffix" : "" }, { "dropping-particle" : "", "family" : "Paul", "given" : "Kerry A.", "non-dropping-particle" : "", "parse-names" : false, "suffix" : "" }, { "dropping-particle" : "", "family" : "Guttery", "given" : "Brandon M.", "non-dropping-particle" : "", "parse-names" : false, "suffix" : "" } ], "container-title" : "Canadian Mineralogist", "id" : "ITEM-3", "issue" : "4", "issued" : { "date-parts" : [ [ "2012" ] ] }, "page" : "1025-1054", "title" : "Internal evolution of miarolitic granitic pegmatites at the little three Mine, Ramona, California, USA", "type" : "article-journal", "volume" : "50" }, "uris" : [ "http://www.mendeley.com/documents/?uuid=a213218b-05b1-4ed6-8346-161a0a5501f1" ] }, { "id" : "ITEM-4", "itemData" : { "DOI" : "10.1016/j.chemgeo.2015.11.025", "ISSN" : "00092541", "abstract" : "The internal evolution of the Varutr\u00e4sk rare-element pegmatite (Skellefte District, Northern Sweden) has been investigated using stable isotope (B, H, O) geochemistry of tourmaline and coexisting micas, feldspar and quartz. Varutr\u00e4sk is a classic and typical example of highly fractionated LCT-type pegmatites, with a pronounced concentric zoning pattern composed of well-developed border, wall and intermediate zones and a quartz core. The pegmatite displays considerable rare-element enrichment, culminating in the formation of albite-lepidolite and pollucite units in the innermost zones. Major and trace element variations in tourmaline from the main pegmatite zones correlate well with the internal zoning pattern. Mineral compositions record an abrupt change in fractionation trends between the barren outer and intermediate zones and the inner, late-stage assemblages that carry rare-element mineralization. This change is also shown by the B-isotope variations of tourmaline. Early and mid-stage tourmalines record a systematic increase in \u03b411B from -14.6\u2030 to -6.2\u2030 which can be explained by closed-system melt-mineral isotope fractionation whereby crystallization of large amounts of muscovite preferentially removes 10B from the residual melt. In contrast, tourmaline from late-stage assemblages in the inner zones and cross-cutting veinlets shows a reversal in the B isotope trend, with a decrease in \u03b411B from -8\u2030 to -14.1\u2030. This reversal cannot be explained by mineral-melt isotope fractionation, but requires fluid-melt partitioning and partial fluid loss. Hydrogen isotope variations in mica support this model. The systematic increase in \u03b4D from -75\u2030 in the outer zones (muscovite) to -63\u2030 and -53\u2030 in the inner zones (Li-micas) cannot be explained by closed-system variations in temperature or melt-mica fractionation, but it is consistent with late fluid exsolution. Oxygen isotope compositions of tourmaline (\u03b418O from 9.7\u2030 to 11.6\u2030), quartz (13.3\u2030 to 14\u2030) and mica (10.3\u2030 to 11.3\u2030) show good agreement with equilibrium partitioning and yield temperatures in the range 450\u00b0C to 600\u00b0C. Combining this with the stability fields of Li-aluminosilicates petalite and spodumene indicates crystallization pressures of 2-3kbar. Taken together, the stable isotope and mineral chemistry data demonstrate that rare-element enrichment in the innermost fractionated assemblages in the Varutr\u00e4sk pegmatite was associated with the transition from purely magmatic crystallization to conditions \u2026", "author" : [ { "dropping-particle" : "", "family" : "Siegel", "given" : "Karin", "non-dropping-particle" : "", "parse-names" : false, "suffix" : "" }, { "dropping-particle" : "", "family" : "Wagner", "given" : "Thomas", "non-dropping-particle" : "", "parse-names" : false, "suffix" : "" }, { "dropping-particle" : "", "family" : "Trumbull", "given" : "Robert B.", "non-dropping-particle" : "", "parse-names" : false, "suffix" : "" }, { "dropping-particle" : "", "family" : "Jonsson", "given" : "Erik", "non-dropping-particle" : "", "parse-names" : false, "suffix" : "" }, { "dropping-particle" : "", "family" : "Matalin", "given" : "Gabriella", "non-dropping-particle" : "", "parse-names" : false, "suffix" : "" }, { "dropping-particle" : "", "family" : "W\u00e4lle", "given" : "Markus", "non-dropping-particle" : "", "parse-names" : false, "suffix" : "" }, { "dropping-particle" : "", "family" : "Heinrich", "given" : "Christoph A.", "non-dropping-particle" : "", "parse-names" : false, "suffix" : "" } ], "container-title" : "Chemical Geology", "id" : "ITEM-4", "issued" : { "date-parts" : [ [ "2016" ] ] }, "page" : "1-16", "publisher" : "Elsevier B.V.", "title" : "Stable isotope (B, H, O) and mineral-chemistry constraints on the magmatic to hydrothermal evolution of the Varutr\u00e4sk rare-element pegmatite (Northern Sweden)", "type" : "article-journal", "volume" : "421" }, "uris" : [ "http://www.mendeley.com/documents/?uuid=86c56466-e0c4-4297-83f2-ada62f7f82f2" ] } ], "mendeley" : { "formattedCitation" : "(London, 2008; London et al., 2012; Morgan and London, 1999; Siegel et al., 2016)", "plainTextFormattedCitation" : "(London, 2008; London et al., 2012; Morgan and London, 1999; Siegel et al., 2016)", "previouslyFormattedCitation" : "(Morgan and London 1999; London 2008; London et al. 2012; Siegel et al. 2016)" }, "properties" : { "noteIndex" : 0 }, "schema" : "https://github.com/citation-style-language/schema/raw/master/csl-citation.json" }</w:instrText>
      </w:r>
      <w:r>
        <w:rPr>
          <w:rFonts w:cs="Times New Roman"/>
        </w:rPr>
        <w:fldChar w:fldCharType="separate"/>
      </w:r>
      <w:r w:rsidR="00266290" w:rsidRPr="00266290">
        <w:rPr>
          <w:rFonts w:cs="Times New Roman"/>
          <w:noProof/>
        </w:rPr>
        <w:t>(London, 2008; London et al., 2012; Morgan and London, 1999; Siegel et al., 2016)</w:t>
      </w:r>
      <w:r>
        <w:rPr>
          <w:rFonts w:cs="Times New Roman"/>
        </w:rPr>
        <w:fldChar w:fldCharType="end"/>
      </w:r>
      <w:r>
        <w:rPr>
          <w:rFonts w:cs="Times New Roman"/>
        </w:rPr>
        <w:t>, the populations of δ</w:t>
      </w:r>
      <w:r>
        <w:rPr>
          <w:rFonts w:cs="Times New Roman"/>
          <w:vertAlign w:val="superscript"/>
        </w:rPr>
        <w:t>11</w:t>
      </w:r>
      <w:r>
        <w:rPr>
          <w:rFonts w:cs="Times New Roman"/>
        </w:rPr>
        <w:t xml:space="preserve">B values for tourmaline that crystallize within miarolitic cavities, which presumably represent products of crystallization from an aqueous solution </w:t>
      </w:r>
      <w:r>
        <w:rPr>
          <w:rFonts w:cs="Times New Roman"/>
        </w:rPr>
        <w:fldChar w:fldCharType="begin" w:fldLock="1"/>
      </w:r>
      <w:r w:rsidR="00266290">
        <w:rPr>
          <w:rFonts w:cs="Times New Roman"/>
        </w:rPr>
        <w:instrText>ADDIN CSL_CITATION { "citationItems" : [ { "id" : "ITEM-1", "itemData" : { "author" : [ { "dropping-particle" : "", "family" : "Simmons", "given" : "William B.", "non-dropping-particle" : "", "parse-names" : false, "suffix" : "" }, { "dropping-particle" : "", "family" : "Pezzotta", "given" : "Federico", "non-dropping-particle" : "", "parse-names" : false, "suffix" : "" }, { "dropping-particle" : "", "family" : "Shigley", "given" : "J.E.", "non-dropping-particle" : "", "parse-names" : false, "suffix" : "" }, { "dropping-particle" : "", "family" : "Beurlen", "given" : "Hartmut", "non-dropping-particle" : "", "parse-names" : false, "suffix" : "" } ], "container-title" : "Elements", "id" : "ITEM-1", "issued" : { "date-parts" : [ [ "2012" ] ] }, "page" : "281-287", "title" : "Granitic pegmatites: Storehouses of colored gemstones", "type" : "article-journal", "volume" : "8" }, "uris" : [ "http://www.mendeley.com/documents/?uuid=afa798ed-c248-42ec-bbd4-c5e69f59c897" ] } ], "mendeley" : { "formattedCitation" : "(Simmons et al., 2012)", "plainTextFormattedCitation" : "(Simmons et al., 2012)", "previouslyFormattedCitation" : "(Simmons et al. 2012)" }, "properties" : { "noteIndex" : 0 }, "schema" : "https://github.com/citation-style-language/schema/raw/master/csl-citation.json" }</w:instrText>
      </w:r>
      <w:r>
        <w:rPr>
          <w:rFonts w:cs="Times New Roman"/>
        </w:rPr>
        <w:fldChar w:fldCharType="separate"/>
      </w:r>
      <w:r w:rsidR="00266290" w:rsidRPr="00266290">
        <w:rPr>
          <w:rFonts w:cs="Times New Roman"/>
          <w:noProof/>
        </w:rPr>
        <w:t>(Simmons et al., 2012)</w:t>
      </w:r>
      <w:r>
        <w:rPr>
          <w:rFonts w:cs="Times New Roman"/>
        </w:rPr>
        <w:fldChar w:fldCharType="end"/>
      </w:r>
      <w:r>
        <w:rPr>
          <w:rFonts w:cs="Times New Roman"/>
        </w:rPr>
        <w:t xml:space="preserve">, and tourmaline that crystallize in the massive </w:t>
      </w:r>
      <w:r>
        <w:rPr>
          <w:rFonts w:cs="Times New Roman"/>
        </w:rPr>
        <w:lastRenderedPageBreak/>
        <w:t xml:space="preserve">intermediate zones of pegmatites, which represent products of crystallization from melt </w:t>
      </w:r>
      <w:r>
        <w:rPr>
          <w:rFonts w:cs="Times New Roman"/>
        </w:rPr>
        <w:fldChar w:fldCharType="begin" w:fldLock="1"/>
      </w:r>
      <w:r w:rsidR="00266290">
        <w:rPr>
          <w:rFonts w:cs="Times New Roman"/>
        </w:rPr>
        <w:instrText>ADDIN CSL_CITATION { "citationItems" : [ { "id" : "ITEM-1", "itemData" : { "ISBN" : "978-0-921294-47-4", "author" : [ { "dropping-particle" : "", "family" : "London", "given" : "D.", "non-dropping-particle" : "", "parse-names" : false, "suffix" : "" } ], "container-title" : "Canadian Mineralogist", "id" : "ITEM-1", "issued" : { "date-parts" : [ [ "2008" ] ] }, "number-of-pages" : "347", "title" : "Pegmatites", "type" : "book", "volume" : "10" }, "uris" : [ "http://www.mendeley.com/documents/?uuid=2df88fb7-6317-4eed-a606-ad41cf6dbe95" ] } ], "mendeley" : { "formattedCitation" : "(London, 2008)", "plainTextFormattedCitation" : "(London, 2008)", "previouslyFormattedCitation" : "(London 2008)" }, "properties" : { "noteIndex" : 0 }, "schema" : "https://github.com/citation-style-language/schema/raw/master/csl-citation.json" }</w:instrText>
      </w:r>
      <w:r>
        <w:rPr>
          <w:rFonts w:cs="Times New Roman"/>
        </w:rPr>
        <w:fldChar w:fldCharType="separate"/>
      </w:r>
      <w:r w:rsidR="00266290" w:rsidRPr="00266290">
        <w:rPr>
          <w:rFonts w:cs="Times New Roman"/>
          <w:noProof/>
        </w:rPr>
        <w:t>(London, 2008)</w:t>
      </w:r>
      <w:r>
        <w:rPr>
          <w:rFonts w:cs="Times New Roman"/>
        </w:rPr>
        <w:fldChar w:fldCharType="end"/>
      </w:r>
      <w:r>
        <w:rPr>
          <w:rFonts w:cs="Times New Roman"/>
        </w:rPr>
        <w:t xml:space="preserve">, should be resolvable using modern methods of boron isotopic measurements (e.g. SIMS). </w:t>
      </w:r>
    </w:p>
    <w:p w:rsidR="00665C0F" w:rsidRDefault="00665C0F" w:rsidP="00665C0F">
      <w:pPr>
        <w:spacing w:line="480" w:lineRule="auto"/>
        <w:ind w:firstLine="720"/>
        <w:rPr>
          <w:rFonts w:cs="Times New Roman"/>
        </w:rPr>
      </w:pPr>
      <w:r>
        <w:rPr>
          <w:rFonts w:cs="Times New Roman"/>
        </w:rPr>
        <w:t>The only δ</w:t>
      </w:r>
      <w:r>
        <w:rPr>
          <w:rFonts w:cs="Times New Roman"/>
          <w:vertAlign w:val="superscript"/>
        </w:rPr>
        <w:t>11</w:t>
      </w:r>
      <w:r>
        <w:rPr>
          <w:rFonts w:cs="Times New Roman"/>
        </w:rPr>
        <w:t>B values reported for tourmaline in which the δ</w:t>
      </w:r>
      <w:r>
        <w:rPr>
          <w:rFonts w:cs="Times New Roman"/>
          <w:vertAlign w:val="superscript"/>
        </w:rPr>
        <w:t>11</w:t>
      </w:r>
      <w:r>
        <w:rPr>
          <w:rFonts w:cs="Times New Roman"/>
        </w:rPr>
        <w:t xml:space="preserve">B increases from coarse pegmatite into miarolitic cavity are for pegmatites that also contain minerals whose B is in 4-fold coordination </w:t>
      </w:r>
      <w:r>
        <w:rPr>
          <w:rFonts w:cs="Times New Roman"/>
        </w:rPr>
        <w:fldChar w:fldCharType="begin" w:fldLock="1"/>
      </w:r>
      <w:r w:rsidR="00266290">
        <w:rPr>
          <w:rFonts w:cs="Times New Roman"/>
        </w:rPr>
        <w:instrText>ADDIN CSL_CITATION { "citationItems" : [ { "id" : "ITEM-1", "itemData" : { "author" : [ { "dropping-particle" : "", "family" : "Dini", "given" : "A", "non-dropping-particle" : "", "parse-names" : false, "suffix" : "" }, { "dropping-particle" : "", "family" : "Tonarini", "given" : "S", "non-dropping-particle" : "", "parse-names" : false, "suffix" : "" }, { "dropping-particle" : "", "family" : "Pezzotta", "given" : "F.", "non-dropping-particle" : "", "parse-names" : false, "suffix" : "" }, { "dropping-particle" : "", "family" : "Vito", "given" : "C.", "non-dropping-particle" : "De", "parse-names" : false, "suffix" : "" } ], "container-title" : "International Mineralogical Association Abstract", "id" : "ITEM-1", "issued" : { "date-parts" : [ [ "2002" ] ] }, "page" : "210", "title" : "Boron isotopes study of borates and boro-silicates from Anjanabonoina and Tetezantsio pegmatites (Central Madagascar)", "type" : "article-journal" }, "uris" : [ "http://www.mendeley.com/documents/?uuid=b1e4b302-a563-4a3d-8b58-8620df9941f6" ] }, { "id" : "ITEM-2", "itemData" : { "author" : [ { "dropping-particle" : "", "family" : "Vito", "given" : "C.", "non-dropping-particle" : "De", "parse-names" : false, "suffix" : "" }, { "dropping-particle" : "", "family" : "Aurisicchio", "given" : "C.", "non-dropping-particle" : "", "parse-names" : false, "suffix" : "" }, { "dropping-particle" : "", "family" : "Ferrini", "given" : "V.", "non-dropping-particle" : "", "parse-names" : false, "suffix" : "" }, { "dropping-particle" : "", "family" : "Pezzotta", "given" : "F.", "non-dropping-particle" : "", "parse-names" : false, "suffix" : "" } ], "container-title" : "International Mineralogical Association Abstract", "id" : "ITEM-2", "issued" : { "date-parts" : [ [ "2002" ] ] }, "page" : "208", "title" : "Chemical composition and B, O and H isotopes of tourmaline from Anjanabonoina pegmatite", "type" : "article-journal" }, "uris" : [ "http://www.mendeley.com/documents/?uuid=9fa4ec63-be04-46d0-bf7c-b0fc420ecd6e" ] } ], "mendeley" : { "formattedCitation" : "(De Vito et al., 2002; Dini et al., 2002)", "plainTextFormattedCitation" : "(De Vito et al., 2002; Dini et al., 2002)", "previouslyFormattedCitation" : "(De Vito et al. 2002; Dini et al. 2002)" }, "properties" : { "noteIndex" : 0 }, "schema" : "https://github.com/citation-style-language/schema/raw/master/csl-citation.json" }</w:instrText>
      </w:r>
      <w:r>
        <w:rPr>
          <w:rFonts w:cs="Times New Roman"/>
        </w:rPr>
        <w:fldChar w:fldCharType="separate"/>
      </w:r>
      <w:r w:rsidR="00266290" w:rsidRPr="00266290">
        <w:rPr>
          <w:rFonts w:cs="Times New Roman"/>
          <w:noProof/>
        </w:rPr>
        <w:t>(De Vito et al., 2002; Dini et al., 2002)</w:t>
      </w:r>
      <w:r>
        <w:rPr>
          <w:rFonts w:cs="Times New Roman"/>
        </w:rPr>
        <w:fldChar w:fldCharType="end"/>
      </w:r>
      <w:r>
        <w:rPr>
          <w:rFonts w:cs="Times New Roman"/>
        </w:rPr>
        <w:t>. Crystallization of minerals containing B in 4-fold coordination will increase the δ</w:t>
      </w:r>
      <w:r>
        <w:rPr>
          <w:rFonts w:cs="Times New Roman"/>
          <w:vertAlign w:val="superscript"/>
        </w:rPr>
        <w:t>11</w:t>
      </w:r>
      <w:r>
        <w:rPr>
          <w:rFonts w:cs="Times New Roman"/>
        </w:rPr>
        <w:t xml:space="preserve">B of the fluid from which they grew </w:t>
      </w:r>
      <w:r>
        <w:rPr>
          <w:rFonts w:cs="Times New Roman"/>
        </w:rPr>
        <w:fldChar w:fldCharType="begin" w:fldLock="1"/>
      </w:r>
      <w:r w:rsidR="00266290">
        <w:rPr>
          <w:rFonts w:cs="Times New Roman"/>
        </w:rPr>
        <w:instrText>ADDIN CSL_CITATION { "citationItems" : [ { "id" : "ITEM-1", "itemData" : { "DOI" : "10.1016/j.lithos.2005.02.003", "ISBN" : "0024-4937", "ISSN" : "00244937", "abstract" : "The fractionation of boron isotopes between synthetic boromuscovite and fluid was experimentally determined at 3.0 GPa/500 \u00b0C and 3.0 GPa/700 \u00b0C. For near-neutral fluids Delta;11 B(mica-fluid) = \u03b411B(mica) - \u03b411B(fluid) is - 10.9 \u00b1 1.3\u2030 at 500 deg;C, and - 6.5 \u00b1 0.4\u2030 at 700 \u00b0C. This supports earlier assumptions that the main fractionation effect is due to the change from trigonal coordination of boron in neutral fluids to tetrahedrally coordinated boron in micas, clays and melts. The T-dependence of this effect is approximated by the equation \u039411B(mica,clay,melt-neutral-fluid) = - 10.69 \u00b7 (1000/T [K]) + 3.88; R2 = 0.992, valid from 25 \u00b0C for fluid-clay up to about 1000 \u00b0C for fluid-silicate melt. Experiments at 0.4 GPa that used strongly basic fluids produced significantly lower fractionations with \u039411 B(mica-fluid) of - 7.4 \u00b1 1.0\u2030 at 400 \u00b0C, and - 4.8 \u00b1 1.0\u2030 at 500 \u00b0C, showing the reduced fractionation effect when large amounts of boron in basic fluids are tetrahedrally coordinated. Field studies have shown that boron concentrations and 11B/10B-ratios in volcanic arcs systematically decrease across the arc with increasing distance from the trench, thus reflecting the thermal structure of the subducting slab. Our experiments show that the boron isotopic signature in volcanic arcs probably results from continuous dehydration of micas along a distinct P-T range. Continuous slab dehydration and boron transport via fluid into the mantle wedge is responsible for the boron isotopic signature in volcanic arcs. \u00a9 2005 Elsevier B.V. All rights reserved.", "author" : [ { "dropping-particle" : "", "family" : "Wunder", "given" : "Bernd", "non-dropping-particle" : "", "parse-names" : false, "suffix" : "" }, { "dropping-particle" : "", "family" : "Meixner", "given" : "Anette", "non-dropping-particle" : "", "parse-names" : false, "suffix" : "" }, { "dropping-particle" : "", "family" : "Romer", "given" : "Rolf L.", "non-dropping-particle" : "", "parse-names" : false, "suffix" : "" }, { "dropping-particle" : "", "family" : "Wirth", "given" : "Richard", "non-dropping-particle" : "", "parse-names" : false, "suffix" : "" }, { "dropping-particle" : "", "family" : "Heinrich", "given" : "Wilhelm", "non-dropping-particle" : "", "parse-names" : false, "suffix" : "" } ], "container-title" : "Lithos", "id" : "ITEM-1", "issue" : "3-4", "issued" : { "date-parts" : [ [ "2005" ] ] }, "page" : "206-216", "title" : "The geochemical cycle of boron: Constraints from boron isotope partitioning experiments between mica and fluid", "type" : "article-journal", "volume" : "84" }, "uris" : [ "http://www.mendeley.com/documents/?uuid=a550b27f-b759-47cd-8d15-7c79966ee99a" ] } ], "mendeley" : { "formattedCitation" : "(Wunder et al., 2005)", "plainTextFormattedCitation" : "(Wunder et al., 2005)", "previouslyFormattedCitation" : "(Wunder et al. 2005)" }, "properties" : { "noteIndex" : 0 }, "schema" : "https://github.com/citation-style-language/schema/raw/master/csl-citation.json" }</w:instrText>
      </w:r>
      <w:r>
        <w:rPr>
          <w:rFonts w:cs="Times New Roman"/>
        </w:rPr>
        <w:fldChar w:fldCharType="separate"/>
      </w:r>
      <w:r w:rsidR="00266290" w:rsidRPr="00266290">
        <w:rPr>
          <w:rFonts w:cs="Times New Roman"/>
          <w:noProof/>
        </w:rPr>
        <w:t>(Wunder et al., 2005)</w:t>
      </w:r>
      <w:r>
        <w:rPr>
          <w:rFonts w:cs="Times New Roman"/>
        </w:rPr>
        <w:fldChar w:fldCharType="end"/>
      </w:r>
      <w:r>
        <w:rPr>
          <w:rFonts w:cs="Times New Roman"/>
        </w:rPr>
        <w:t xml:space="preserve">. </w:t>
      </w:r>
      <w:r>
        <w:rPr>
          <w:rFonts w:cs="Times New Roman"/>
        </w:rPr>
        <w:fldChar w:fldCharType="begin" w:fldLock="1"/>
      </w:r>
      <w:r w:rsidR="00266290">
        <w:rPr>
          <w:rFonts w:cs="Times New Roman"/>
        </w:rPr>
        <w:instrText>ADDIN CSL_CITATION { "citationItems" : [ { "id" : "ITEM-1", "itemData" : { "author" : [ { "dropping-particle" : "", "family" : "Maner", "given" : "James L.", "non-dropping-particle" : "", "parse-names" : false, "suffix" : "" }, { "dropping-particle" : "", "family" : "London", "given" : "David", "non-dropping-particle" : "", "parse-names" : false, "suffix" : "" } ], "container-title" : "Chemical Geology", "id" : "ITEM-1", "issued" : { "date-parts" : [ [ "2017" ] ] }, "page" : "70-83", "title" : "The boron isotopic evolution of the Little Three pegmatites, Ramona, CA", "type" : "article-journal", "volume" : "460" }, "uris" : [ "http://www.mendeley.com/documents/?uuid=f42cb9e8-e6c7-47d6-999e-72a6be7c5c2e" ] }, { "id" : "ITEM-2", "itemData" : { "ISBN" : "0935-1221", "ISSN" : "09351221", "abstract" : "Baron isotopic compositions are found to be nearly uniform within progressive growth sectors of three zoned tourmaline samples, each from a different miarolitic pegmatite on Elba Island. Chemistry (schorl to elbaite) and textures of these samples indicate that they formed from an evolving medium that varied from melt, through melt + vapor, to vapor only assemblages (here designated simply as \"melt/fluid\") with decreasing temperature (ca. 650-300 degrees C). Closed-system crystallization conditions are inferred in two cases whereas, in one case, late fracturing and open-system conditions resulted in development of fibrous schorl overgrowths. The negligible variation in tourmaline isotopic composition (delta(11)B from -9.6 to -8.5 parts per thousand) is tentatively explained in two different ways. In the first case, the isotopic fractionation factor between tourmaline and either fluid-unsaturated melt, fluid-saturated melt, or aqueous fluids is near-constant near Delta(fluid-tour) = 0 (i.e., no isotopic fractionation occurs). In the second case, \"melt/fluid\" composition was increasingly enriched in B-11 due to increasing \"melt/fluid\"-tourmaline isotopic fractionation as temperature dropped. The latter scenario is more consistent with the few presently available experimental data on tourmaline-fluid isotopic fractionation at high temperatures, and implies that evolving magmatic fluids will be relatively enriched in B-11 compared to associated crystalline assemblages.", "author" : [ { "dropping-particle" : "", "family" : "Tonarini", "given" : "Sonia", "non-dropping-particle" : "", "parse-names" : false, "suffix" : "" }, { "dropping-particle" : "", "family" : "Dini", "given" : "A", "non-dropping-particle" : "", "parse-names" : false, "suffix" : "" }, { "dropping-particle" : "", "family" : "Pezzotta", "given" : "Federico", "non-dropping-particle" : "", "parse-names" : false, "suffix" : "" }, { "dropping-particle" : "", "family" : "Leeman", "given" : "William P", "non-dropping-particle" : "", "parse-names" : false, "suffix" : "" } ], "container-title" : "European Journal Of Mineralogy", "id" : "ITEM-2", "issue" : "5", "issued" : { "date-parts" : [ [ "1998" ] ] }, "page" : "941-951", "title" : "Boron isotopic composition of zoned (schorl-elbaite) tourmalines, Mt. Capanne Li-Cs pegmatites, Elba (Italy)", "type" : "article-journal", "volume" : "10" }, "uris" : [ "http://www.mendeley.com/documents/?uuid=fa8ed009-9b16-4d69-9a79-2e39519f39a0" ] } ], "mendeley" : { "formattedCitation" : "(Maner and London, 2017; Tonarini et al., 1998)", "manualFormatting" : "Maner and London (2017) and Tonarini et al. (1998)", "plainTextFormattedCitation" : "(Maner and London, 2017; Tonarini et al., 1998)", "previouslyFormattedCitation" : "(Tonarini et al. 1998; Maner and London 2017)" }, "properties" : { "noteIndex" : 0 }, "schema" : "https://github.com/citation-style-language/schema/raw/master/csl-citation.json" }</w:instrText>
      </w:r>
      <w:r>
        <w:rPr>
          <w:rFonts w:cs="Times New Roman"/>
        </w:rPr>
        <w:fldChar w:fldCharType="separate"/>
      </w:r>
      <w:r>
        <w:rPr>
          <w:rFonts w:cs="Times New Roman"/>
          <w:noProof/>
        </w:rPr>
        <w:t>Maner and London (</w:t>
      </w:r>
      <w:r w:rsidRPr="00304D77">
        <w:rPr>
          <w:rFonts w:cs="Times New Roman"/>
          <w:noProof/>
        </w:rPr>
        <w:t>2017</w:t>
      </w:r>
      <w:r>
        <w:rPr>
          <w:rFonts w:cs="Times New Roman"/>
          <w:noProof/>
        </w:rPr>
        <w:t>) and Tonarini et al. (</w:t>
      </w:r>
      <w:r w:rsidRPr="00304D77">
        <w:rPr>
          <w:rFonts w:cs="Times New Roman"/>
          <w:noProof/>
        </w:rPr>
        <w:t>1998)</w:t>
      </w:r>
      <w:r>
        <w:rPr>
          <w:rFonts w:cs="Times New Roman"/>
        </w:rPr>
        <w:fldChar w:fldCharType="end"/>
      </w:r>
      <w:r>
        <w:rPr>
          <w:rFonts w:cs="Times New Roman"/>
        </w:rPr>
        <w:t xml:space="preserve"> found little variation in the δ</w:t>
      </w:r>
      <w:r>
        <w:rPr>
          <w:rFonts w:cs="Times New Roman"/>
          <w:vertAlign w:val="superscript"/>
        </w:rPr>
        <w:t>11</w:t>
      </w:r>
      <w:r>
        <w:rPr>
          <w:rFonts w:cs="Times New Roman"/>
        </w:rPr>
        <w:t xml:space="preserve">B of tourmaline from the wall zone (near the outer margins of the pegmatites) through massive pegmatite interior zones into miarolitic cavities; these pegmatites do not contain a significant amount of B-bearing mineral other than tourmaline. </w:t>
      </w:r>
      <w:r>
        <w:rPr>
          <w:rFonts w:cs="Times New Roman"/>
        </w:rPr>
        <w:fldChar w:fldCharType="begin" w:fldLock="1"/>
      </w:r>
      <w:r w:rsidR="00266290">
        <w:rPr>
          <w:rFonts w:cs="Times New Roman"/>
        </w:rPr>
        <w:instrText>ADDIN CSL_CITATION { "citationItems" : [ { "id" : "ITEM-1", "itemData" : { "ISBN" : "0935-1221", "ISSN" : "09351221", "abstract" : "Baron isotopic compositions are found to be nearly uniform within progressive growth sectors of three zoned tourmaline samples, each from a different miarolitic pegmatite on Elba Island. Chemistry (schorl to elbaite) and textures of these samples indicate that they formed from an evolving medium that varied from melt, through melt + vapor, to vapor only assemblages (here designated simply as \"melt/fluid\") with decreasing temperature (ca. 650-300 degrees C). Closed-system crystallization conditions are inferred in two cases whereas, in one case, late fracturing and open-system conditions resulted in development of fibrous schorl overgrowths. The negligible variation in tourmaline isotopic composition (delta(11)B from -9.6 to -8.5 parts per thousand) is tentatively explained in two different ways. In the first case, the isotopic fractionation factor between tourmaline and either fluid-unsaturated melt, fluid-saturated melt, or aqueous fluids is near-constant near Delta(fluid-tour) = 0 (i.e., no isotopic fractionation occurs). In the second case, \"melt/fluid\" composition was increasingly enriched in B-11 due to increasing \"melt/fluid\"-tourmaline isotopic fractionation as temperature dropped. The latter scenario is more consistent with the few presently available experimental data on tourmaline-fluid isotopic fractionation at high temperatures, and implies that evolving magmatic fluids will be relatively enriched in B-11 compared to associated crystalline assemblages.", "author" : [ { "dropping-particle" : "", "family" : "Tonarini", "given" : "Sonia", "non-dropping-particle" : "", "parse-names" : false, "suffix" : "" }, { "dropping-particle" : "", "family" : "Dini", "given" : "A", "non-dropping-particle" : "", "parse-names" : false, "suffix" : "" }, { "dropping-particle" : "", "family" : "Pezzotta", "given" : "Federico", "non-dropping-particle" : "", "parse-names" : false, "suffix" : "" }, { "dropping-particle" : "", "family" : "Leeman", "given" : "William P", "non-dropping-particle" : "", "parse-names" : false, "suffix" : "" } ], "container-title" : "European Journal Of Mineralogy", "id" : "ITEM-1", "issue" : "5", "issued" : { "date-parts" : [ [ "1998" ] ] }, "page" : "941-951", "title" : "Boron isotopic composition of zoned (schorl-elbaite) tourmalines, Mt. Capanne Li-Cs pegmatites, Elba (Italy)", "type" : "article-journal", "volume" : "10" }, "uris" : [ "http://www.mendeley.com/documents/?uuid=fa8ed009-9b16-4d69-9a79-2e39519f39a0" ] } ], "mendeley" : { "formattedCitation" : "(Tonarini et al., 1998)", "manualFormatting" : "Tonarini et al. (1998)", "plainTextFormattedCitation" : "(Tonarini et al., 1998)", "previouslyFormattedCitation" : "(Tonarini et al. 1998)" }, "properties" : { "noteIndex" : 0 }, "schema" : "https://github.com/citation-style-language/schema/raw/master/csl-citation.json" }</w:instrText>
      </w:r>
      <w:r>
        <w:rPr>
          <w:rFonts w:cs="Times New Roman"/>
        </w:rPr>
        <w:fldChar w:fldCharType="separate"/>
      </w:r>
      <w:r>
        <w:rPr>
          <w:rFonts w:cs="Times New Roman"/>
          <w:noProof/>
        </w:rPr>
        <w:t>Tonarini et al. (</w:t>
      </w:r>
      <w:r w:rsidRPr="00304D77">
        <w:rPr>
          <w:rFonts w:cs="Times New Roman"/>
          <w:noProof/>
        </w:rPr>
        <w:t>1998)</w:t>
      </w:r>
      <w:r>
        <w:rPr>
          <w:rFonts w:cs="Times New Roman"/>
        </w:rPr>
        <w:fldChar w:fldCharType="end"/>
      </w:r>
      <w:r>
        <w:rPr>
          <w:rFonts w:cs="Times New Roman"/>
        </w:rPr>
        <w:t xml:space="preserve"> suggested that the nearly identical values δ</w:t>
      </w:r>
      <w:r>
        <w:rPr>
          <w:rFonts w:cs="Times New Roman"/>
          <w:vertAlign w:val="superscript"/>
        </w:rPr>
        <w:t>11</w:t>
      </w:r>
      <w:r>
        <w:rPr>
          <w:rFonts w:cs="Times New Roman"/>
        </w:rPr>
        <w:t xml:space="preserve">B of tourmaline from intermediate zone and miarolitic cavity result from either: (1) no fractionation of boron’s isotopes between granitic melt and aqueous solution at equilibrium, or (2) a delicate balance between dwindling thermal energy and isotopic fractionation between tourmaline-melt-aqueous solution. In contrast, </w:t>
      </w:r>
      <w:r>
        <w:rPr>
          <w:rFonts w:cs="Times New Roman"/>
        </w:rPr>
        <w:fldChar w:fldCharType="begin" w:fldLock="1"/>
      </w:r>
      <w:r w:rsidR="00266290">
        <w:rPr>
          <w:rFonts w:cs="Times New Roman"/>
        </w:rPr>
        <w:instrText>ADDIN CSL_CITATION { "citationItems" : [ { "id" : "ITEM-1", "itemData" : { "author" : [ { "dropping-particle" : "", "family" : "Maner", "given" : "James L.", "non-dropping-particle" : "", "parse-names" : false, "suffix" : "" }, { "dropping-particle" : "", "family" : "London", "given" : "David", "non-dropping-particle" : "", "parse-names" : false, "suffix" : "" } ], "container-title" : "Chemical Geology", "id" : "ITEM-1", "issued" : { "date-parts" : [ [ "2017" ] ] }, "page" : "70-83", "title" : "The boron isotopic evolution of the Little Three pegmatites, Ramona, CA", "type" : "article-journal", "volume" : "460" }, "uris" : [ "http://www.mendeley.com/documents/?uuid=f42cb9e8-e6c7-47d6-999e-72a6be7c5c2e" ] } ], "mendeley" : { "formattedCitation" : "(Maner and London, 2017)", "manualFormatting" : "Maner and London (2017)", "plainTextFormattedCitation" : "(Maner and London, 2017)", "previouslyFormattedCitation" : "(Maner and London 2017)" }, "properties" : { "noteIndex" : 0 }, "schema" : "https://github.com/citation-style-language/schema/raw/master/csl-citation.json" }</w:instrText>
      </w:r>
      <w:r>
        <w:rPr>
          <w:rFonts w:cs="Times New Roman"/>
        </w:rPr>
        <w:fldChar w:fldCharType="separate"/>
      </w:r>
      <w:r>
        <w:rPr>
          <w:rFonts w:cs="Times New Roman"/>
          <w:noProof/>
        </w:rPr>
        <w:t>Maner and London (</w:t>
      </w:r>
      <w:r w:rsidRPr="00304D77">
        <w:rPr>
          <w:rFonts w:cs="Times New Roman"/>
          <w:noProof/>
        </w:rPr>
        <w:t>2017)</w:t>
      </w:r>
      <w:r>
        <w:rPr>
          <w:rFonts w:cs="Times New Roman"/>
        </w:rPr>
        <w:fldChar w:fldCharType="end"/>
      </w:r>
      <w:r>
        <w:rPr>
          <w:rFonts w:cs="Times New Roman"/>
        </w:rPr>
        <w:t xml:space="preserve"> concluded that an equilibrium distribution of boron’s isotopes between tourmaline and granitic melt could not be achieved due to the rapid rate of crystallization of thin pegmatite dikes and the slow diffusivity of B in hydrous granitic melt at pegmatite-forming temperatures of 450°-500°C. On that basis, </w:t>
      </w:r>
      <w:r>
        <w:rPr>
          <w:rFonts w:cs="Times New Roman"/>
        </w:rPr>
        <w:fldChar w:fldCharType="begin" w:fldLock="1"/>
      </w:r>
      <w:r w:rsidR="00266290">
        <w:rPr>
          <w:rFonts w:cs="Times New Roman"/>
        </w:rPr>
        <w:instrText>ADDIN CSL_CITATION { "citationItems" : [ { "id" : "ITEM-1", "itemData" : { "author" : [ { "dropping-particle" : "", "family" : "Maner", "given" : "James L.", "non-dropping-particle" : "", "parse-names" : false, "suffix" : "" }, { "dropping-particle" : "", "family" : "London", "given" : "David", "non-dropping-particle" : "", "parse-names" : false, "suffix" : "" } ], "container-title" : "Chemical Geology", "id" : "ITEM-1", "issued" : { "date-parts" : [ [ "2017" ] ] }, "page" : "70-83", "title" : "The boron isotopic evolution of the Little Three pegmatites, Ramona, CA", "type" : "article-journal", "volume" : "460" }, "uris" : [ "http://www.mendeley.com/documents/?uuid=f42cb9e8-e6c7-47d6-999e-72a6be7c5c2e" ] } ], "mendeley" : { "formattedCitation" : "(Maner and London, 2017)", "manualFormatting" : "Maner and London (2017)", "plainTextFormattedCitation" : "(Maner and London, 2017)", "previouslyFormattedCitation" : "(Maner and London 2017)" }, "properties" : { "noteIndex" : 0 }, "schema" : "https://github.com/citation-style-language/schema/raw/master/csl-citation.json" }</w:instrText>
      </w:r>
      <w:r>
        <w:rPr>
          <w:rFonts w:cs="Times New Roman"/>
        </w:rPr>
        <w:fldChar w:fldCharType="separate"/>
      </w:r>
      <w:r>
        <w:rPr>
          <w:rFonts w:cs="Times New Roman"/>
          <w:noProof/>
        </w:rPr>
        <w:t>Maner and London (</w:t>
      </w:r>
      <w:r w:rsidRPr="00304D77">
        <w:rPr>
          <w:rFonts w:cs="Times New Roman"/>
          <w:noProof/>
        </w:rPr>
        <w:t>2017)</w:t>
      </w:r>
      <w:r>
        <w:rPr>
          <w:rFonts w:cs="Times New Roman"/>
        </w:rPr>
        <w:fldChar w:fldCharType="end"/>
      </w:r>
      <w:r>
        <w:rPr>
          <w:rFonts w:cs="Times New Roman"/>
        </w:rPr>
        <w:t xml:space="preserve"> suggested that the δ</w:t>
      </w:r>
      <w:r>
        <w:rPr>
          <w:rFonts w:cs="Times New Roman"/>
          <w:vertAlign w:val="superscript"/>
        </w:rPr>
        <w:t>11</w:t>
      </w:r>
      <w:r>
        <w:rPr>
          <w:rFonts w:cs="Times New Roman"/>
        </w:rPr>
        <w:t>B of tourmaline in pegmatites represents the δ</w:t>
      </w:r>
      <w:r>
        <w:rPr>
          <w:rFonts w:cs="Times New Roman"/>
          <w:vertAlign w:val="superscript"/>
        </w:rPr>
        <w:t>11</w:t>
      </w:r>
      <w:r>
        <w:rPr>
          <w:rFonts w:cs="Times New Roman"/>
        </w:rPr>
        <w:t>B of the bulk melt.</w:t>
      </w:r>
    </w:p>
    <w:p w:rsidR="00665C0F" w:rsidRPr="00304D77" w:rsidRDefault="00665C0F" w:rsidP="00665C0F">
      <w:pPr>
        <w:spacing w:line="480" w:lineRule="auto"/>
        <w:ind w:firstLine="720"/>
        <w:rPr>
          <w:rFonts w:cs="Times New Roman"/>
        </w:rPr>
      </w:pPr>
      <w:r>
        <w:rPr>
          <w:rFonts w:cs="Times New Roman"/>
        </w:rPr>
        <w:lastRenderedPageBreak/>
        <w:t xml:space="preserve">The apparent paradox presented by </w:t>
      </w:r>
      <w:r w:rsidRPr="00F36D18">
        <w:rPr>
          <w:rFonts w:ascii="Symbol" w:hAnsi="Symbol" w:cs="Times New Roman"/>
        </w:rPr>
        <w:t></w:t>
      </w:r>
      <w:r w:rsidRPr="00F36D18">
        <w:rPr>
          <w:rFonts w:cs="Times New Roman"/>
          <w:vertAlign w:val="superscript"/>
        </w:rPr>
        <w:t>11</w:t>
      </w:r>
      <w:r>
        <w:rPr>
          <w:rFonts w:cs="Times New Roman"/>
        </w:rPr>
        <w:t>B</w:t>
      </w:r>
      <w:r w:rsidRPr="00F36D18">
        <w:rPr>
          <w:rFonts w:cs="Times New Roman"/>
          <w:vertAlign w:val="subscript"/>
        </w:rPr>
        <w:t>melt-aq.soln.</w:t>
      </w:r>
      <w:r>
        <w:rPr>
          <w:rFonts w:cs="Times New Roman"/>
        </w:rPr>
        <w:t xml:space="preserve"> for MAC230 may resolve this ambiguity. From this study, </w:t>
      </w:r>
      <w:r w:rsidRPr="003148EC">
        <w:rPr>
          <w:rFonts w:ascii="Symbol" w:hAnsi="Symbol" w:cs="Times New Roman"/>
        </w:rPr>
        <w:t></w:t>
      </w:r>
      <w:r w:rsidRPr="003148EC">
        <w:rPr>
          <w:rFonts w:cs="Times New Roman"/>
          <w:vertAlign w:val="superscript"/>
        </w:rPr>
        <w:t>11</w:t>
      </w:r>
      <w:r>
        <w:rPr>
          <w:rFonts w:cs="Times New Roman"/>
        </w:rPr>
        <w:t>B</w:t>
      </w:r>
      <w:r w:rsidRPr="003148EC">
        <w:rPr>
          <w:rFonts w:cs="Times New Roman"/>
          <w:vertAlign w:val="subscript"/>
        </w:rPr>
        <w:t>melt-aq.soln.</w:t>
      </w:r>
      <w:r>
        <w:rPr>
          <w:rFonts w:cs="Times New Roman"/>
        </w:rPr>
        <w:t xml:space="preserve"> should </w:t>
      </w:r>
      <w:r w:rsidRPr="00673FB6">
        <w:rPr>
          <w:rFonts w:cs="Times New Roman"/>
        </w:rPr>
        <w:t>be ~ -11 to -10 ‰ if isotopic</w:t>
      </w:r>
      <w:r>
        <w:rPr>
          <w:rFonts w:cs="Times New Roman"/>
        </w:rPr>
        <w:t xml:space="preserve"> equilibrium is attained between melt and aqueous solution at 450°-500°C. Therefore, hypothesis 1 above </w:t>
      </w:r>
      <w:r>
        <w:rPr>
          <w:rFonts w:cs="Times New Roman"/>
        </w:rPr>
        <w:fldChar w:fldCharType="begin" w:fldLock="1"/>
      </w:r>
      <w:r w:rsidR="00266290">
        <w:rPr>
          <w:rFonts w:cs="Times New Roman"/>
        </w:rPr>
        <w:instrText>ADDIN CSL_CITATION { "citationItems" : [ { "id" : "ITEM-1", "itemData" : { "ISBN" : "0935-1221", "ISSN" : "09351221", "abstract" : "Baron isotopic compositions are found to be nearly uniform within progressive growth sectors of three zoned tourmaline samples, each from a different miarolitic pegmatite on Elba Island. Chemistry (schorl to elbaite) and textures of these samples indicate that they formed from an evolving medium that varied from melt, through melt + vapor, to vapor only assemblages (here designated simply as \"melt/fluid\") with decreasing temperature (ca. 650-300 degrees C). Closed-system crystallization conditions are inferred in two cases whereas, in one case, late fracturing and open-system conditions resulted in development of fibrous schorl overgrowths. The negligible variation in tourmaline isotopic composition (delta(11)B from -9.6 to -8.5 parts per thousand) is tentatively explained in two different ways. In the first case, the isotopic fractionation factor between tourmaline and either fluid-unsaturated melt, fluid-saturated melt, or aqueous fluids is near-constant near Delta(fluid-tour) = 0 (i.e., no isotopic fractionation occurs). In the second case, \"melt/fluid\" composition was increasingly enriched in B-11 due to increasing \"melt/fluid\"-tourmaline isotopic fractionation as temperature dropped. The latter scenario is more consistent with the few presently available experimental data on tourmaline-fluid isotopic fractionation at high temperatures, and implies that evolving magmatic fluids will be relatively enriched in B-11 compared to associated crystalline assemblages.", "author" : [ { "dropping-particle" : "", "family" : "Tonarini", "given" : "Sonia", "non-dropping-particle" : "", "parse-names" : false, "suffix" : "" }, { "dropping-particle" : "", "family" : "Dini", "given" : "A", "non-dropping-particle" : "", "parse-names" : false, "suffix" : "" }, { "dropping-particle" : "", "family" : "Pezzotta", "given" : "Federico", "non-dropping-particle" : "", "parse-names" : false, "suffix" : "" }, { "dropping-particle" : "", "family" : "Leeman", "given" : "William P", "non-dropping-particle" : "", "parse-names" : false, "suffix" : "" } ], "container-title" : "European Journal Of Mineralogy", "id" : "ITEM-1", "issue" : "5", "issued" : { "date-parts" : [ [ "1998" ] ] }, "page" : "941-951", "title" : "Boron isotopic composition of zoned (schorl-elbaite) tourmalines, Mt. Capanne Li-Cs pegmatites, Elba (Italy)", "type" : "article-journal", "volume" : "10" }, "uris" : [ "http://www.mendeley.com/documents/?uuid=fa8ed009-9b16-4d69-9a79-2e39519f39a0" ] } ], "mendeley" : { "formattedCitation" : "(Tonarini et al., 1998)", "plainTextFormattedCitation" : "(Tonarini et al., 1998)", "previouslyFormattedCitation" : "(Tonarini et al. 1998)" }, "properties" : { "noteIndex" : 0 }, "schema" : "https://github.com/citation-style-language/schema/raw/master/csl-citation.json" }</w:instrText>
      </w:r>
      <w:r>
        <w:rPr>
          <w:rFonts w:cs="Times New Roman"/>
        </w:rPr>
        <w:fldChar w:fldCharType="separate"/>
      </w:r>
      <w:r w:rsidR="00266290" w:rsidRPr="00266290">
        <w:rPr>
          <w:rFonts w:cs="Times New Roman"/>
          <w:noProof/>
        </w:rPr>
        <w:t>(Tonarini et al., 1998)</w:t>
      </w:r>
      <w:r>
        <w:rPr>
          <w:rFonts w:cs="Times New Roman"/>
        </w:rPr>
        <w:fldChar w:fldCharType="end"/>
      </w:r>
      <w:r>
        <w:rPr>
          <w:rFonts w:cs="Times New Roman"/>
        </w:rPr>
        <w:t xml:space="preserve"> is incorrect. The lack of isotopic fractionation in MAC230 is consistent with the conclusion that the diffusivity of B and its isotopes through melt at pegmatite-forming temperatures is so slow that tourmaline that grows from melt or vapor will have isotopic compositions close to that of the bulk </w:t>
      </w:r>
      <w:r w:rsidRPr="008F75E1">
        <w:rPr>
          <w:rFonts w:cs="Times New Roman"/>
        </w:rPr>
        <w:t xml:space="preserve">melt </w:t>
      </w:r>
      <w:r w:rsidRPr="008F75E1">
        <w:rPr>
          <w:rFonts w:cs="Times New Roman"/>
        </w:rPr>
        <w:fldChar w:fldCharType="begin" w:fldLock="1"/>
      </w:r>
      <w:r w:rsidR="00266290">
        <w:rPr>
          <w:rFonts w:cs="Times New Roman"/>
        </w:rPr>
        <w:instrText>ADDIN CSL_CITATION { "citationItems" : [ { "id" : "ITEM-1", "itemData" : { "author" : [ { "dropping-particle" : "", "family" : "Maner", "given" : "James L.", "non-dropping-particle" : "", "parse-names" : false, "suffix" : "" }, { "dropping-particle" : "", "family" : "London", "given" : "David", "non-dropping-particle" : "", "parse-names" : false, "suffix" : "" } ], "container-title" : "Chemical Geology", "id" : "ITEM-1", "issued" : { "date-parts" : [ [ "2017" ] ] }, "page" : "70-83", "title" : "The boron isotopic evolution of the Little Three pegmatites, Ramona, CA", "type" : "article-journal", "volume" : "460" }, "uris" : [ "http://www.mendeley.com/documents/?uuid=11cc18a9-0371-405e-94da-26e69fba70f0" ] } ], "mendeley" : { "formattedCitation" : "(Maner and London, 2017)", "plainTextFormattedCitation" : "(Maner and London, 2017)", "previouslyFormattedCitation" : "(Maner and London 2017)" }, "properties" : { "noteIndex" : 0 }, "schema" : "https://github.com/citation-style-language/schema/raw/master/csl-citation.json" }</w:instrText>
      </w:r>
      <w:r w:rsidRPr="008F75E1">
        <w:rPr>
          <w:rFonts w:cs="Times New Roman"/>
        </w:rPr>
        <w:fldChar w:fldCharType="separate"/>
      </w:r>
      <w:r w:rsidR="00266290" w:rsidRPr="00266290">
        <w:rPr>
          <w:rFonts w:cs="Times New Roman"/>
          <w:noProof/>
        </w:rPr>
        <w:t>(Maner and London, 2017)</w:t>
      </w:r>
      <w:r w:rsidRPr="008F75E1">
        <w:rPr>
          <w:rFonts w:cs="Times New Roman"/>
        </w:rPr>
        <w:fldChar w:fldCharType="end"/>
      </w:r>
      <w:r w:rsidRPr="008F75E1">
        <w:rPr>
          <w:rFonts w:cs="Times New Roman"/>
        </w:rPr>
        <w:t>.</w:t>
      </w:r>
    </w:p>
    <w:p w:rsidR="00665C0F" w:rsidRPr="00380C49" w:rsidRDefault="00665C0F" w:rsidP="00380C49">
      <w:pPr>
        <w:pStyle w:val="Heading2"/>
        <w:spacing w:line="480" w:lineRule="auto"/>
        <w:rPr>
          <w:rFonts w:cs="Times New Roman"/>
          <w:sz w:val="24"/>
        </w:rPr>
      </w:pPr>
      <w:bookmarkStart w:id="143" w:name="_Toc491246054"/>
      <w:r w:rsidRPr="00380C49">
        <w:rPr>
          <w:rFonts w:cs="Times New Roman"/>
          <w:sz w:val="24"/>
        </w:rPr>
        <w:t>5. Conclusions</w:t>
      </w:r>
      <w:bookmarkEnd w:id="143"/>
    </w:p>
    <w:p w:rsidR="00665C0F" w:rsidRDefault="00665C0F" w:rsidP="00665C0F">
      <w:pPr>
        <w:spacing w:line="480" w:lineRule="auto"/>
        <w:rPr>
          <w:rFonts w:cs="Times New Roman"/>
        </w:rPr>
      </w:pPr>
      <w:r>
        <w:rPr>
          <w:rFonts w:cs="Times New Roman"/>
        </w:rPr>
        <w:tab/>
        <w:t xml:space="preserve">The boron isotopic fractionation factors reported in this study confirm that significant boron isotopic fractionation occurs between granitic melt and aqueous solution at liquidus temperatures, and that the aqueous solution becomes isotopically heavy relative to the granitic melt </w:t>
      </w:r>
      <w:r>
        <w:rPr>
          <w:rFonts w:cs="Times New Roman"/>
        </w:rPr>
        <w:fldChar w:fldCharType="begin" w:fldLock="1"/>
      </w:r>
      <w:r w:rsidR="00266290">
        <w:rPr>
          <w:rFonts w:cs="Times New Roman"/>
        </w:rPr>
        <w:instrText>ADDIN CSL_CITATION { "citationItems" : [ { "id" : "ITEM-1",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"ITEM-1", "issue" : "5-6", "issued" : { "date-parts" : [ [ "2002" ] ] }, "page" : "769-774", "title" : "Isotopic and elemental partitioning of boron between hydrous fluid and silicate melt", "type" : "article-journal", "volume" : "87" }, "uris" : [ "http://www.mendeley.com/documents/?uuid=6b1d0590-ae63-44d0-990b-7cd3b5a05b06" ] } ], "mendeley" : { "formattedCitation" : "(Hervig et al., 2002)", "plainTextFormattedCitation" : "(Hervig et al., 2002)", "previouslyFormattedCitation" : "(Hervig et al. 2002)" }, "properties" : { "noteIndex" : 0 }, "schema" : "https://github.com/citation-style-language/schema/raw/master/csl-citation.json" }</w:instrText>
      </w:r>
      <w:r>
        <w:rPr>
          <w:rFonts w:cs="Times New Roman"/>
        </w:rPr>
        <w:fldChar w:fldCharType="separate"/>
      </w:r>
      <w:r w:rsidR="00266290" w:rsidRPr="00266290">
        <w:rPr>
          <w:rFonts w:cs="Times New Roman"/>
          <w:noProof/>
        </w:rPr>
        <w:t>(Hervig et al., 2002)</w:t>
      </w:r>
      <w:r>
        <w:rPr>
          <w:rFonts w:cs="Times New Roman"/>
        </w:rPr>
        <w:fldChar w:fldCharType="end"/>
      </w:r>
      <w:r>
        <w:rPr>
          <w:rFonts w:cs="Times New Roman"/>
        </w:rPr>
        <w:t xml:space="preserve">. Like </w:t>
      </w:r>
      <w:r>
        <w:rPr>
          <w:rFonts w:cs="Times New Roman"/>
        </w:rPr>
        <w:fldChar w:fldCharType="begin" w:fldLock="1"/>
      </w:r>
      <w:r w:rsidR="00266290">
        <w:rPr>
          <w:rFonts w:cs="Times New Roman"/>
        </w:rPr>
        <w:instrText>ADDIN CSL_CITATION { "citationItems" : [ { "id" : "ITEM-1",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"ITEM-1", "issue" : "5-6", "issued" : { "date-parts" : [ [ "2002" ] ] }, "page" : "769-774", "title" : "Isotopic and elemental partitioning of boron between hydrous fluid and silicate melt", "type" : "article-journal", "volume" : "87" }, "uris" : [ "http://www.mendeley.com/documents/?uuid=6b1d0590-ae63-44d0-990b-7cd3b5a05b06" ] } ], "mendeley" : { "formattedCitation" : "(Hervig et al., 2002)", "manualFormatting" : "Hervig et al. (2002)", "plainTextFormattedCitation" : "(Hervig et al., 2002)", "previouslyFormattedCitation" : "(Hervig et al. 2002)" }, "properties" : { "noteIndex" : 0 }, "schema" : "https://github.com/citation-style-language/schema/raw/master/csl-citation.json" }</w:instrText>
      </w:r>
      <w:r>
        <w:rPr>
          <w:rFonts w:cs="Times New Roman"/>
        </w:rPr>
        <w:fldChar w:fldCharType="separate"/>
      </w:r>
      <w:r>
        <w:rPr>
          <w:rFonts w:cs="Times New Roman"/>
          <w:noProof/>
        </w:rPr>
        <w:t>Hervig et al. (</w:t>
      </w:r>
      <w:r w:rsidRPr="00926B50">
        <w:rPr>
          <w:rFonts w:cs="Times New Roman"/>
          <w:noProof/>
        </w:rPr>
        <w:t>2002)</w:t>
      </w:r>
      <w:r>
        <w:rPr>
          <w:rFonts w:cs="Times New Roman"/>
        </w:rPr>
        <w:fldChar w:fldCharType="end"/>
      </w:r>
      <w:r>
        <w:rPr>
          <w:rFonts w:cs="Times New Roman"/>
        </w:rPr>
        <w:t xml:space="preserve">, we suggest that this isotopic fractionation reflects a substantial proportion of B in hydrous granitic melt that is in 4-fold coordination. Furthermore, this conclusion rests upon the fractionation of the isotopes of boron between III- and IV-coordinate polyhedra that has been demonstrated only in relatively low-temperature aqueous solutions </w:t>
      </w:r>
      <w:r>
        <w:rPr>
          <w:rFonts w:cs="Times New Roman"/>
        </w:rPr>
        <w:fldChar w:fldCharType="begin" w:fldLock="1"/>
      </w:r>
      <w:r w:rsidR="00266290">
        <w:rPr>
          <w:rFonts w:cs="Times New Roman"/>
        </w:rPr>
        <w:instrText>ADDIN CSL_CITATION { "citationItems" : [ { "id" : "ITEM-1", "itemData" : { "DOI" : "10.1016/j.gca.2005.03.054", "ISBN" : "0016-7037", "ISSN" : "00167037", "PMID" : "211", "abstract" : "Equilibrium boron isotopic fractionations between trigonal B(OH)3 and tetragonal B(OH)4- aqueous species have been calculated at high P-T conditions using measured vibrational spectra (Raman and IR) and force-field modeling to compute reduced partition function ratios for B-isotopic exchange following Urey's theory. The calculated isotopic fractionation factor at 300 K, \u03b13/4 = 1.0176(2), is slightly lower than the formerly calculated value of \u03b13/4 = 1.0193 (Kakihana and Kotaka, 1977), due to differences in the determined vibrational frequencies. The effect of pressure on \u03b13/4 up to 10 GPa and 723 K is shown to be negligible relative to temperature or speciation (pH) effects. Implications for the interpretation of boron fractionation in experimental and natural systems are discussed. We also show that the relationship between seawater-mineral B isotope fractionation and pH can be expressed using two variables, \u03b13/4 on one hand, and the pKa of the boric acid-borate equilibrium on the other hand. This latter value is given by the equilibrium of boron species in water for the carbonate-water exchange, but could be governed by mineral surface properties in the case of clays. This may allow defining intrinsic paleo-pHmeters from B isotope fractionation between carbonate and authigenic minerals. Finally, it is shown that fractionation of boron isotopes can be rationalized in terms of the changes in 1) coordination of B from trigonal to tetrahedral in both fluids and minerals; and 2) the ligand nature around B from OH- in the fluid and some hydrous minerals to non-hydrogenated O in many minerals. Relationships are established that allow predicting the isotopic fractionation factor of B between minerals and fluid. Copyright \u00a9 2005 Elsevier Ltd.", "author" : [ { "dropping-particle" : "", "family" : "Sanchez-Valle", "given" : "Carmen", "non-dropping-particle" : "", "parse-names" : false, "suffix" : "" }, { "dropping-particle" : "", "family" : "Reynard", "given" : "Bruno", "non-dropping-particle" : "", "parse-names" : false, "suffix" : "" }, { "dropping-particle" : "", "family" : "Daniel", "given" : "Isabelle", "non-dropping-particle" : "", "parse-names" : false, "suffix" : "" }, { "dropping-particle" : "", "family" : "Lecuyer", "given" : "Christophe", "non-dropping-particle" : "", "parse-names" : false, "suffix" : "" }, { "dropping-particle" : "", "family" : "Martinez", "given" : "Isabelle", "non-dropping-particle" : "", "parse-names" : false, "suffix" : "" }, { "dropping-particle" : "", "family" : "Chervin", "given" : "Jean Claude", "non-dropping-particle" : "", "parse-names" : false, "suffix" : "" } ], "container-title" : "Geochimica et Cosmochimica Acta", "id" : "ITEM-1", "issue" : "17", "issued" : { "date-parts" : [ [ "2005" ] ] }, "page" : "4301-4313", "title" : "Boron isotopic fractionation between minerals and fluids: New insights from in situ high pressure-high temperature vibrational spectroscopic data", "type" : "article-journal", "volume" : "69" }, "uris" : [ "http://www.mendeley.com/documents/?uuid=851f4380-4e06-412c-b4a2-af96e1f7c2c7" ] } ], "mendeley" : { "formattedCitation" : "(Sanchez-Valle et al., 2005)", "plainTextFormattedCitation" : "(Sanchez-Valle et al., 2005)", "previouslyFormattedCitation" : "(Sanchez-Valle et al. 2005)" }, "properties" : { "noteIndex" : 0 }, "schema" : "https://github.com/citation-style-language/schema/raw/master/csl-citation.json" }</w:instrText>
      </w:r>
      <w:r>
        <w:rPr>
          <w:rFonts w:cs="Times New Roman"/>
        </w:rPr>
        <w:fldChar w:fldCharType="separate"/>
      </w:r>
      <w:r w:rsidR="00266290" w:rsidRPr="00266290">
        <w:rPr>
          <w:rFonts w:cs="Times New Roman"/>
          <w:noProof/>
        </w:rPr>
        <w:t>(Sanchez-Valle et al., 2005)</w:t>
      </w:r>
      <w:r>
        <w:rPr>
          <w:rFonts w:cs="Times New Roman"/>
        </w:rPr>
        <w:fldChar w:fldCharType="end"/>
      </w:r>
      <w:r>
        <w:rPr>
          <w:rFonts w:cs="Times New Roman"/>
        </w:rPr>
        <w:t xml:space="preserve">. The data plot along a line through previous data for the systems melt-aqueous solution </w:t>
      </w:r>
      <w:r>
        <w:rPr>
          <w:rFonts w:cs="Times New Roman"/>
        </w:rPr>
        <w:fldChar w:fldCharType="begin" w:fldLock="1"/>
      </w:r>
      <w:r w:rsidR="00266290">
        <w:rPr>
          <w:rFonts w:cs="Times New Roman"/>
        </w:rPr>
        <w:instrText>ADDIN CSL_CITATION { "citationItems" : [ { "id" : "ITEM-1",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"ITEM-1", "issue" : "5-6", "issued" : { "date-parts" : [ [ "2002" ] ] }, "page" : "769-774", "title" : "Isotopic and elemental partitioning of boron between hydrous fluid and silicate melt", "type" : "article-journal", "volume" : "87" }, "uris" : [ "http://www.mendeley.com/documents/?uuid=6b1d0590-ae63-44d0-990b-7cd3b5a05b06" ] } ], "mendeley" : { "formattedCitation" : "(Hervig et al., 2002)", "plainTextFormattedCitation" : "(Hervig et al., 2002)", "previouslyFormattedCitation" : "(Hervig et al. 2002)" }, "properties" : { "noteIndex" : 0 }, "schema" : "https://github.com/citation-style-language/schema/raw/master/csl-citation.json" }</w:instrText>
      </w:r>
      <w:r>
        <w:rPr>
          <w:rFonts w:cs="Times New Roman"/>
        </w:rPr>
        <w:fldChar w:fldCharType="separate"/>
      </w:r>
      <w:r w:rsidR="00266290" w:rsidRPr="00266290">
        <w:rPr>
          <w:rFonts w:cs="Times New Roman"/>
          <w:noProof/>
        </w:rPr>
        <w:t>(Hervig et al., 2002)</w:t>
      </w:r>
      <w:r>
        <w:rPr>
          <w:rFonts w:cs="Times New Roman"/>
        </w:rPr>
        <w:fldChar w:fldCharType="end"/>
      </w:r>
      <w:r>
        <w:rPr>
          <w:rFonts w:cs="Times New Roman"/>
        </w:rPr>
        <w:t xml:space="preserve">, boromuscovite-aqueous solution </w:t>
      </w:r>
      <w:r>
        <w:rPr>
          <w:rFonts w:cs="Times New Roman"/>
        </w:rPr>
        <w:fldChar w:fldCharType="begin" w:fldLock="1"/>
      </w:r>
      <w:r w:rsidR="00266290">
        <w:rPr>
          <w:rFonts w:cs="Times New Roman"/>
        </w:rPr>
        <w:instrText>ADDIN CSL_CITATION { "citationItems" : [ { "id" : "ITEM-1", "itemData" : { "DOI" : "10.1016/j.lithos.2005.02.003", "ISBN" : "0024-4937", "ISSN" : "00244937", "abstract" : "The fractionation of boron isotopes between synthetic boromuscovite and fluid was experimentally determined at 3.0 GPa/500 \u00b0C and 3.0 GPa/700 \u00b0C. For near-neutral fluids Delta;11 B(mica-fluid) = \u03b411B(mica) - \u03b411B(fluid) is - 10.9 \u00b1 1.3\u2030 at 500 deg;C, and - 6.5 \u00b1 0.4\u2030 at 700 \u00b0C. This supports earlier assumptions that the main fractionation effect is due to the change from trigonal coordination of boron in neutral fluids to tetrahedrally coordinated boron in micas, clays and melts. The T-dependence of this effect is approximated by the equation \u039411B(mica,clay,melt-neutral-fluid) = - 10.69 \u00b7 (1000/T [K]) + 3.88; R2 = 0.992, valid from 25 \u00b0C for fluid-clay up to about 1000 \u00b0C for fluid-silicate melt. Experiments at 0.4 GPa that used strongly basic fluids produced significantly lower fractionations with \u039411 B(mica-fluid) of - 7.4 \u00b1 1.0\u2030 at 400 \u00b0C, and - 4.8 \u00b1 1.0\u2030 at 500 \u00b0C, showing the reduced fractionation effect when large amounts of boron in basic fluids are tetrahedrally coordinated. Field studies have shown that boron concentrations and 11B/10B-ratios in volcanic arcs systematically decrease across the arc with increasing distance from the trench, thus reflecting the thermal structure of the subducting slab. Our experiments show that the boron isotopic signature in volcanic arcs probably results from continuous dehydration of micas along a distinct P-T range. Continuous slab dehydration and boron transport via fluid into the mantle wedge is responsible for the boron isotopic signature in volcanic arcs. \u00a9 2005 Elsevier B.V. All rights reserved.", "author" : [ { "dropping-particle" : "", "family" : "Wunder", "given" : "Bernd", "non-dropping-particle" : "", "parse-names" : false, "suffix" : "" }, { "dropping-particle" : "", "family" : "Meixner", "given" : "Anette", "non-dropping-particle" : "", "parse-names" : false, "suffix" : "" }, { "dropping-particle" : "", "family" : "Romer", "given" : "Rolf L.", "non-dropping-particle" : "", "parse-names" : false, "suffix" : "" }, { "dropping-particle" : "", "family" : "Wirth", "given" : "Richard", "non-dropping-particle" : "", "parse-names" : false, "suffix" : "" }, { "dropping-particle" : "", "family" : "Heinrich", "given" : "Wilhelm", "non-dropping-particle" : "", "parse-names" : false, "suffix" : "" } ], "container-title" : "Lithos", "id" : "ITEM-1", "issue" : "3-4", "issued" : { "date-parts" : [ [ "2005" ] ] }, "page" : "206-216", "title" : "The geochemical cycle of boron: Constraints from boron isotope partitioning experiments between mica and fluid", "type" : "article-journal", "volume" : "84" }, "uris" : [ "http://www.mendeley.com/documents/?uuid=a550b27f-b759-47cd-8d15-7c79966ee99a" ] } ], "mendeley" : { "formattedCitation" : "(Wunder et al., 2005)", "plainTextFormattedCitation" : "(Wunder et al., 2005)", "previouslyFormattedCitation" : "(Wunder et al. 2005)" }, "properties" : { "noteIndex" : 0 }, "schema" : "https://github.com/citation-style-language/schema/raw/master/csl-citation.json" }</w:instrText>
      </w:r>
      <w:r>
        <w:rPr>
          <w:rFonts w:cs="Times New Roman"/>
        </w:rPr>
        <w:fldChar w:fldCharType="separate"/>
      </w:r>
      <w:r w:rsidR="00266290" w:rsidRPr="00266290">
        <w:rPr>
          <w:rFonts w:cs="Times New Roman"/>
          <w:noProof/>
        </w:rPr>
        <w:t>(Wunder et al., 2005)</w:t>
      </w:r>
      <w:r>
        <w:rPr>
          <w:rFonts w:cs="Times New Roman"/>
        </w:rPr>
        <w:fldChar w:fldCharType="end"/>
      </w:r>
      <w:r>
        <w:rPr>
          <w:rFonts w:cs="Times New Roman"/>
        </w:rPr>
        <w:t xml:space="preserve">, and illite-aqueous solution </w:t>
      </w:r>
      <w:r>
        <w:rPr>
          <w:rFonts w:cs="Times New Roman"/>
        </w:rPr>
        <w:fldChar w:fldCharType="begin" w:fldLock="1"/>
      </w:r>
      <w:r w:rsidR="00266290">
        <w:rPr>
          <w:rFonts w:cs="Times New Roman"/>
        </w:rPr>
        <w:instrText>ADDIN CSL_CITATION { "citationItems" : [ { "id" : "ITEM-1", "itemData" : { "DOI" : "10.1016/S0016-7037(01)00557-9", "ISBN" : "0016-7037", "ISSN" : "00167037", "abstract" : "Experiments were performed to measure the isotopic fractionation of boron between illite/smectite (I/S) clay minerals and water as a function of temperature (300?? and 350??C) and degree of illitization. Corresponding changes in the oxygen isotopes were monitored as an indication of the approach to equilibrium. The kinetics of the B-isotope exchange follows the mineralogical restructuring of smectite as it recrystallizes to illite. An initial decline in ??11BI/S occurs when the I/S is randomly ordered (RO). The ??11BI/S values reach a plateau during R1 ordering of the I/S, representing a metastable condition. The greatest change in ??11BI/S is observed during long-range (R3) ordering of the I/S when neoformation occurs. Values of ??11BI/S measured on the equilibrium reaction products were used to construct a B-isotope fraction curve. There is a linear correlation among data from these experiments and 1100??C basaltic melt-fluid fractionation experiments (Hervig and Moore, 2000) that can be extrapolated to include adsorption experiments at 25??C (Palmer et al., 1987). Unlike other stable isotopic systems (e.g., oxygen) there is no mineral-specific fractionation of B-isotopes, but rather a coordination dependence of the fractionation. Under diagenetic conditions B is predominantly in trigonal coordination in fluids but substitutes in tetrahedral sites of silicates. The preference of 10B for tetrahedral bonds is the major fractionating factor of B in silicates. Copyright ?? 2001 Elsevier Science Ltd.", "author" : [ { "dropping-particle" : "", "family" : "Williams", "given" : "Lynda B.", "non-dropping-particle" : "", "parse-names" : false, "suffix" : "" }, { "dropping-particle" : "", "family" : "Hervig", "given" : "Richard L.", "non-dropping-particle" : "", "parse-names" : false, "suffix" : "" }, { "dropping-particle" : "", "family" : "Holloway", "given" : "John R.", "non-dropping-particle" : "", "parse-names" : false, "suffix" : "" }, { "dropping-particle" : "", "family" : "Hutcheon", "given" : "Ian", "non-dropping-particle" : "", "parse-names" : false, "suffix" : "" } ], "container-title" : "Geochimica et Cosmochimica Acta", "id" : "ITEM-1", "issue" : "11", "issued" : { "date-parts" : [ [ "2001" ] ] }, "page" : "1769-1782", "title" : "Boron isotope geochemistry during diagenesis. Part I. Experimental determination of fractionation during illitization of smectite", "type" : "article-journal", "volume" : "65" }, "uris" : [ "http://www.mendeley.com/documents/?uuid=f43a922f-b5a8-43e2-9c5e-b2058843b297" ] } ], "mendeley" : { "formattedCitation" : "(Williams et al., 2001a)", "plainTextFormattedCitation" : "(Williams et al., 2001a)", "previouslyFormattedCitation" : "(Williams et al. 2001a)" }, "properties" : { "noteIndex" : 0 }, "schema" : "https://github.com/citation-style-language/schema/raw/master/csl-citation.json" }</w:instrText>
      </w:r>
      <w:r>
        <w:rPr>
          <w:rFonts w:cs="Times New Roman"/>
        </w:rPr>
        <w:fldChar w:fldCharType="separate"/>
      </w:r>
      <w:r w:rsidR="00266290" w:rsidRPr="00266290">
        <w:rPr>
          <w:rFonts w:cs="Times New Roman"/>
          <w:noProof/>
        </w:rPr>
        <w:t>(Williams et al., 2001a)</w:t>
      </w:r>
      <w:r>
        <w:rPr>
          <w:rFonts w:cs="Times New Roman"/>
        </w:rPr>
        <w:fldChar w:fldCharType="end"/>
      </w:r>
      <w:r>
        <w:rPr>
          <w:rFonts w:cs="Times New Roman"/>
        </w:rPr>
        <w:t xml:space="preserve">, and are larger than reported values for fractionation in the system tourmaline-aqueous solution </w:t>
      </w:r>
      <w:r>
        <w:rPr>
          <w:rFonts w:cs="Times New Roman"/>
        </w:rPr>
        <w:fldChar w:fldCharType="begin" w:fldLock="1"/>
      </w:r>
      <w:r w:rsidR="00266290">
        <w:rPr>
          <w:rFonts w:cs="Times New Roman"/>
        </w:rPr>
        <w:instrText>ADDIN CSL_CITATION { "citationItems" : [ { "id" : "ITEM-1", "itemData" : { "DOI" : "http://dx.doi.org/10.1016/0009-2541(92)90209-N", "ISBN" : "0168-9622", "ISSN" : "00092541", "abstract" : "The extent of boron isotope fractionation between tourmaline and aqueous vapor has been determined over theP-T range 50-200 MPa and 350-750\u00b0C. The results show that the extent of fractionation is inversely dependent on temperature. An unusual feature of the reaction is that the isotope fractionation is less of extensive at higher pressures for an equivalent temperature. Due to its refractory nature the experiments involved synthesis of tourmaline from constituents rather than equilibration of the preformed mineral with an isotopically distinct aqueous phase. For this reason we cannot, as yet, be certain whether the pressure effect is the result of equilibrium or kinetic processes.", "author" : [ { "dropping-particle" : "", "family" : "Palmer", "given" : "MR", "non-dropping-particle" : "", "parse-names" : false, "suffix" : "" }, { "dropping-particle" : "", "family" : "London", "given" : "D", "non-dropping-particle" : "", "parse-names" : false, "suffix" : "" }, { "dropping-particle" : "", "family" : "Morgan VI", "given" : "GB", "non-dropping-particle" : "", "parse-names" : false, "suffix" : "" }, { "dropping-particle" : "", "family" : "Babb", "given" : "HA", "non-dropping-particle" : "", "parse-names" : false, "suffix" : "" } ], "container-title" : "Chemical Geology", "id" : "ITEM-1", "issued" : { "date-parts" : [ [ "1992" ] ] }, "page" : "123-129", "title" : "Experimental determination of fractionation of 11B/10B between tourmaline and aqueous vapor: A temperature- and pressure-dependent isotopic system", "type" : "article-journal", "volume" : "101" }, "uris" : [ "http://www.mendeley.com/documents/?uuid=551614f3-36a5-485e-9b7a-dec99baa6926" ] }, { "id" : "ITEM-2", "itemData" : { "DOI" : "10.1007/s00410-008-0285-1", "ISBN" : "0010-7999", "ISSN" : "00107999", "abstract" : "The fractionation of boron isotopes between synthetic dravitic tourmaline and fluid was determined by hydrothermal experiments between 400 and 700 degrees C at 200 MPa and at 500 degrees C, 500 MPa. Tourmaline was crystallized from an oxide mix in presence of water that contained boron in excess. In one series of experiments, [B](fluid)/[B](tour) was 9 after the run; in another series it was 0.1. All experiments produced tourmaline as the sole boron-bearing solid, along with traces of quartz and talc. Powder XRD and Rietveld refinements revealed no significant amounts of tetrahedrally coordinated boron in tourmaline. B-11 always preferentially fractionated into the fluid. For experiments where [B](fluid)/[B](tour) was 9, a consistent temperature-dependent boron isotope fractionation curve resulted, approximated by Delta B-11((tour-fluid)) = -4.20 . [1,000/T (K)] + 3.52; R-2 = 0.77, and valid from 400 to 700 degrees C. No pressure dependence was observed. The fractionation (-2.7 +/- 0.5 parts per thousand at 400 degrees C; and -0.8 +/- 0.5 parts per thousand at 700 degrees C) is much lower than that previously presented by Palmer et al. (1992). Experiments where [B](fluid)/[B](tour) was 0.1 showed a significant larger apparent fractionation of up to -4.7 parts per thousand. In one of these runs, the isotopic composition of handpicked tourmaline crystals of different size varied by 1.3%. This is interpreted as resulting from fractional crystallization of boron isotopes during tourmaline growth due to the small boron reservoir of the fluid relative to tourmaline, thus indicating larger fractionation than observed at equilibrium. The effect is eliminated or minimized in experiments with very high boron excess in the fluid. We therefore suggest that values given by the above relation represent the true equilibrium fractionations.", "author" : [ { "dropping-particle" : "", "family" : "Meyer", "given" : "Christian", "non-dropping-particle" : "", "parse-names" : false, "suffix" : "" }, { "dropping-particle" : "", "family" : "Wunder", "given" : "Bernd", "non-dropping-particle" : "", "parse-names" : false, "suffix" : "" }, { "dropping-particle" : "", "family" : "Meixner", "given" : "Anette", "non-dropping-particle" : "", "parse-names" : false, "suffix" : "" }, { "dropping-particle" : "", "family" : "Romer", "given" : "Rolf L.", "non-dropping-particle" : "", "parse-names" : false, "suffix" : "" }, { "dropping-particle" : "", "family" : "Heinrich", "given" : "Wilhelm", "non-dropping-particle" : "", "parse-names" : false, "suffix" : "" } ], "container-title" : "Contributions to Mineralogy and Petrology", "id" : "ITEM-2", "issue" : "2", "issued" : { "date-parts" : [ [ "2008" ] ] }, "page" : "259-267", "title" : "Boron-isotope fractionation between tourmaline and fluid: An experimental re-investigation", "type" : "article-journal", "volume" : "156" }, "uris" : [ "http://www.mendeley.com/documents/?uuid=02c37c62-9b3e-4dfe-99ce-a807defc9a6f" ] } ], "mendeley" : { "formattedCitation" : "(Meyer et al., 2008; Palmer et al., 1992)", "plainTextFormattedCitation" : "(Meyer et al., 2008; Palmer et al., 1992)", "previouslyFormattedCitation" : "(Palmer et al. 1992; Meyer et al. 2008)" }, "properties" : { "noteIndex" : 0 }, "schema" : "https://github.com/citation-style-language/schema/raw/master/csl-citation.json" }</w:instrText>
      </w:r>
      <w:r>
        <w:rPr>
          <w:rFonts w:cs="Times New Roman"/>
        </w:rPr>
        <w:fldChar w:fldCharType="separate"/>
      </w:r>
      <w:r w:rsidR="00266290" w:rsidRPr="00266290">
        <w:rPr>
          <w:rFonts w:cs="Times New Roman"/>
          <w:noProof/>
        </w:rPr>
        <w:t>(Meyer et al., 2008; Palmer et al., 1992)</w:t>
      </w:r>
      <w:r>
        <w:rPr>
          <w:rFonts w:cs="Times New Roman"/>
        </w:rPr>
        <w:fldChar w:fldCharType="end"/>
      </w:r>
      <w:r>
        <w:rPr>
          <w:rFonts w:cs="Times New Roman"/>
        </w:rPr>
        <w:t>.</w:t>
      </w:r>
    </w:p>
    <w:p w:rsidR="00DF0F96" w:rsidRDefault="00665C0F" w:rsidP="00380C49">
      <w:pPr>
        <w:spacing w:line="480" w:lineRule="auto"/>
        <w:ind w:firstLine="720"/>
        <w:rPr>
          <w:rFonts w:cs="Times New Roman"/>
        </w:rPr>
      </w:pPr>
      <w:r>
        <w:rPr>
          <w:rFonts w:cs="Times New Roman"/>
        </w:rPr>
        <w:lastRenderedPageBreak/>
        <w:t>The large fractionation factors observed in these high-temperature experiments lead us to conclude that the boron isotopic composition of tourmaline that crystallizes from granitic melt at pegmatite-forming temperatures should be markedly different from that of tourmaline crystallized from a coexisting aqueous solution. The absence of isotopic fractionation that has been documented in miarolitic pegmatites most likely reflects a lack of chemical and isotopic equilibration between melt and aqueous solution.</w:t>
      </w:r>
    </w:p>
    <w:p w:rsidR="00DF0F96" w:rsidRDefault="00DF0F96" w:rsidP="00DF0F96">
      <w:r>
        <w:br w:type="page"/>
      </w:r>
    </w:p>
    <w:p w:rsidR="00DF0F96" w:rsidRDefault="00FC1DA8" w:rsidP="00380C49">
      <w:pPr>
        <w:spacing w:line="480" w:lineRule="auto"/>
        <w:ind w:firstLine="720"/>
        <w:rPr>
          <w:rFonts w:cs="Times New Roman"/>
        </w:rPr>
      </w:pPr>
      <w:r>
        <w:rPr>
          <w:noProof/>
        </w:rPr>
        <w:lastRenderedPageBreak/>
        <mc:AlternateContent>
          <mc:Choice Requires="wps">
            <w:drawing>
              <wp:anchor distT="0" distB="0" distL="114300" distR="114300" simplePos="0" relativeHeight="251722752" behindDoc="0" locked="0" layoutInCell="1" allowOverlap="1" wp14:anchorId="6C0A7B5C" wp14:editId="692B6DE8">
                <wp:simplePos x="0" y="0"/>
                <wp:positionH relativeFrom="column">
                  <wp:posOffset>0</wp:posOffset>
                </wp:positionH>
                <wp:positionV relativeFrom="paragraph">
                  <wp:posOffset>4225925</wp:posOffset>
                </wp:positionV>
                <wp:extent cx="5394960" cy="635"/>
                <wp:effectExtent l="0" t="0" r="0" b="0"/>
                <wp:wrapSquare wrapText="bothSides"/>
                <wp:docPr id="44" name="Text Box 44"/>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rsidR="006D3B9B" w:rsidRPr="00FC1DA8" w:rsidRDefault="006D3B9B" w:rsidP="00FC1DA8">
                            <w:pPr>
                              <w:pStyle w:val="Caption"/>
                              <w:rPr>
                                <w:rFonts w:cs="Times New Roman"/>
                                <w:i w:val="0"/>
                                <w:noProof/>
                                <w:sz w:val="24"/>
                                <w:szCs w:val="24"/>
                              </w:rPr>
                            </w:pPr>
                            <w:bookmarkStart w:id="144" w:name="_Toc490130652"/>
                            <w:r w:rsidRPr="00FC1DA8">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4</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1</w:t>
                            </w:r>
                            <w:r>
                              <w:rPr>
                                <w:b/>
                                <w:sz w:val="24"/>
                                <w:szCs w:val="24"/>
                              </w:rPr>
                              <w:fldChar w:fldCharType="end"/>
                            </w:r>
                            <w:r w:rsidRPr="00FC1DA8">
                              <w:rPr>
                                <w:rFonts w:cs="Times New Roman"/>
                                <w:i w:val="0"/>
                                <w:sz w:val="24"/>
                                <w:szCs w:val="24"/>
                              </w:rPr>
                              <w:t xml:space="preserve"> Comparison of B</w:t>
                            </w:r>
                            <w:r w:rsidRPr="00FC1DA8">
                              <w:rPr>
                                <w:rFonts w:cs="Times New Roman"/>
                                <w:i w:val="0"/>
                                <w:sz w:val="24"/>
                                <w:szCs w:val="24"/>
                                <w:vertAlign w:val="subscript"/>
                              </w:rPr>
                              <w:t>2</w:t>
                            </w:r>
                            <w:r w:rsidRPr="00FC1DA8">
                              <w:rPr>
                                <w:rFonts w:cs="Times New Roman"/>
                                <w:i w:val="0"/>
                                <w:sz w:val="24"/>
                                <w:szCs w:val="24"/>
                              </w:rPr>
                              <w:t>O</w:t>
                            </w:r>
                            <w:r w:rsidRPr="00FC1DA8">
                              <w:rPr>
                                <w:rFonts w:cs="Times New Roman"/>
                                <w:i w:val="0"/>
                                <w:sz w:val="24"/>
                                <w:szCs w:val="24"/>
                                <w:vertAlign w:val="subscript"/>
                              </w:rPr>
                              <w:t>3</w:t>
                            </w:r>
                            <w:r w:rsidRPr="00FC1DA8">
                              <w:rPr>
                                <w:rFonts w:cs="Times New Roman"/>
                                <w:i w:val="0"/>
                                <w:sz w:val="24"/>
                                <w:szCs w:val="24"/>
                              </w:rPr>
                              <w:t xml:space="preserve"> (wt%) measured by EMPA and SIMS. The solid black line represents a 1:1 correlation. Solid black circles represent average compositions of 13 glasses. Error bars are the propagated 2σ standard error of ~ 5 SIMS and 15-30 EMPA data points per glass sample. The dotted black line is a linear regression through the EMPA and SIMS data. At low concentration, &lt; 1 wt% B</w:t>
                            </w:r>
                            <w:r w:rsidRPr="00FC1DA8">
                              <w:rPr>
                                <w:rFonts w:cs="Times New Roman"/>
                                <w:i w:val="0"/>
                                <w:sz w:val="24"/>
                                <w:szCs w:val="24"/>
                                <w:vertAlign w:val="subscript"/>
                              </w:rPr>
                              <w:t>2</w:t>
                            </w:r>
                            <w:r w:rsidRPr="00FC1DA8">
                              <w:rPr>
                                <w:rFonts w:cs="Times New Roman"/>
                                <w:i w:val="0"/>
                                <w:sz w:val="24"/>
                                <w:szCs w:val="24"/>
                              </w:rPr>
                              <w:t>O</w:t>
                            </w:r>
                            <w:r w:rsidRPr="00FC1DA8">
                              <w:rPr>
                                <w:rFonts w:cs="Times New Roman"/>
                                <w:i w:val="0"/>
                                <w:sz w:val="24"/>
                                <w:szCs w:val="24"/>
                                <w:vertAlign w:val="subscript"/>
                              </w:rPr>
                              <w:t>3</w:t>
                            </w:r>
                            <w:r w:rsidRPr="00FC1DA8">
                              <w:rPr>
                                <w:rFonts w:cs="Times New Roman"/>
                                <w:i w:val="0"/>
                                <w:sz w:val="24"/>
                                <w:szCs w:val="24"/>
                              </w:rPr>
                              <w:t>, the relative difference between the EMPA and SIMS data approaches 50%; whereas, at higher concentrations, the relative difference is &lt; 10%. The SIMS measurement of B</w:t>
                            </w:r>
                            <w:r w:rsidRPr="00FC1DA8">
                              <w:rPr>
                                <w:rFonts w:cs="Times New Roman"/>
                                <w:i w:val="0"/>
                                <w:sz w:val="24"/>
                                <w:szCs w:val="24"/>
                                <w:vertAlign w:val="subscript"/>
                              </w:rPr>
                              <w:t>2</w:t>
                            </w:r>
                            <w:r w:rsidRPr="00FC1DA8">
                              <w:rPr>
                                <w:rFonts w:cs="Times New Roman"/>
                                <w:i w:val="0"/>
                                <w:sz w:val="24"/>
                                <w:szCs w:val="24"/>
                              </w:rPr>
                              <w:t>O</w:t>
                            </w:r>
                            <w:r w:rsidRPr="00FC1DA8">
                              <w:rPr>
                                <w:rFonts w:cs="Times New Roman"/>
                                <w:i w:val="0"/>
                                <w:sz w:val="24"/>
                                <w:szCs w:val="24"/>
                                <w:vertAlign w:val="subscript"/>
                              </w:rPr>
                              <w:t>3</w:t>
                            </w:r>
                            <w:r w:rsidRPr="00FC1DA8">
                              <w:rPr>
                                <w:rFonts w:cs="Times New Roman"/>
                                <w:i w:val="0"/>
                                <w:sz w:val="24"/>
                                <w:szCs w:val="24"/>
                              </w:rPr>
                              <w:t xml:space="preserve"> were used throughout this study to calculate partition coefficient and isotopic fractionation factors between melt and aqueous solution.</w:t>
                            </w:r>
                            <w:bookmarkEnd w:id="14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C0A7B5C" id="Text Box 44" o:spid="_x0000_s1052" type="#_x0000_t202" style="position:absolute;left:0;text-align:left;margin-left:0;margin-top:332.75pt;width:424.8pt;height:.05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" stroked="f">
                <v:textbox style="mso-fit-shape-to-text:t" inset="0,0,0,0">
                  <w:txbxContent>
                    <w:p w:rsidR="006D3B9B" w:rsidRPr="00FC1DA8" w:rsidRDefault="006D3B9B" w:rsidP="00FC1DA8">
                      <w:pPr>
                        <w:pStyle w:val="Caption"/>
                        <w:rPr>
                          <w:rFonts w:cs="Times New Roman"/>
                          <w:i w:val="0"/>
                          <w:noProof/>
                          <w:sz w:val="24"/>
                          <w:szCs w:val="24"/>
                        </w:rPr>
                      </w:pPr>
                      <w:bookmarkStart w:id="145" w:name="_Toc490130652"/>
                      <w:r w:rsidRPr="00FC1DA8">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4</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1</w:t>
                      </w:r>
                      <w:r>
                        <w:rPr>
                          <w:b/>
                          <w:sz w:val="24"/>
                          <w:szCs w:val="24"/>
                        </w:rPr>
                        <w:fldChar w:fldCharType="end"/>
                      </w:r>
                      <w:r w:rsidRPr="00FC1DA8">
                        <w:rPr>
                          <w:rFonts w:cs="Times New Roman"/>
                          <w:i w:val="0"/>
                          <w:sz w:val="24"/>
                          <w:szCs w:val="24"/>
                        </w:rPr>
                        <w:t xml:space="preserve"> Comparison of B</w:t>
                      </w:r>
                      <w:r w:rsidRPr="00FC1DA8">
                        <w:rPr>
                          <w:rFonts w:cs="Times New Roman"/>
                          <w:i w:val="0"/>
                          <w:sz w:val="24"/>
                          <w:szCs w:val="24"/>
                          <w:vertAlign w:val="subscript"/>
                        </w:rPr>
                        <w:t>2</w:t>
                      </w:r>
                      <w:r w:rsidRPr="00FC1DA8">
                        <w:rPr>
                          <w:rFonts w:cs="Times New Roman"/>
                          <w:i w:val="0"/>
                          <w:sz w:val="24"/>
                          <w:szCs w:val="24"/>
                        </w:rPr>
                        <w:t>O</w:t>
                      </w:r>
                      <w:r w:rsidRPr="00FC1DA8">
                        <w:rPr>
                          <w:rFonts w:cs="Times New Roman"/>
                          <w:i w:val="0"/>
                          <w:sz w:val="24"/>
                          <w:szCs w:val="24"/>
                          <w:vertAlign w:val="subscript"/>
                        </w:rPr>
                        <w:t>3</w:t>
                      </w:r>
                      <w:r w:rsidRPr="00FC1DA8">
                        <w:rPr>
                          <w:rFonts w:cs="Times New Roman"/>
                          <w:i w:val="0"/>
                          <w:sz w:val="24"/>
                          <w:szCs w:val="24"/>
                        </w:rPr>
                        <w:t xml:space="preserve"> (wt%) measured by EMPA and SIMS. The solid black line represents a 1:1 correlation. Solid black circles represent average compositions of 13 glasses. Error bars are the propagated 2σ standard error of ~ 5 SIMS and 15-30 EMPA data points per glass sample. The dotted black line is a linear regression through the EMPA and SIMS data. At low concentration, &lt; 1 wt% B</w:t>
                      </w:r>
                      <w:r w:rsidRPr="00FC1DA8">
                        <w:rPr>
                          <w:rFonts w:cs="Times New Roman"/>
                          <w:i w:val="0"/>
                          <w:sz w:val="24"/>
                          <w:szCs w:val="24"/>
                          <w:vertAlign w:val="subscript"/>
                        </w:rPr>
                        <w:t>2</w:t>
                      </w:r>
                      <w:r w:rsidRPr="00FC1DA8">
                        <w:rPr>
                          <w:rFonts w:cs="Times New Roman"/>
                          <w:i w:val="0"/>
                          <w:sz w:val="24"/>
                          <w:szCs w:val="24"/>
                        </w:rPr>
                        <w:t>O</w:t>
                      </w:r>
                      <w:r w:rsidRPr="00FC1DA8">
                        <w:rPr>
                          <w:rFonts w:cs="Times New Roman"/>
                          <w:i w:val="0"/>
                          <w:sz w:val="24"/>
                          <w:szCs w:val="24"/>
                          <w:vertAlign w:val="subscript"/>
                        </w:rPr>
                        <w:t>3</w:t>
                      </w:r>
                      <w:r w:rsidRPr="00FC1DA8">
                        <w:rPr>
                          <w:rFonts w:cs="Times New Roman"/>
                          <w:i w:val="0"/>
                          <w:sz w:val="24"/>
                          <w:szCs w:val="24"/>
                        </w:rPr>
                        <w:t>, the relative difference between the EMPA and SIMS data approaches 50%; whereas, at higher concentrations, the relative difference is &lt; 10%. The SIMS measurement of B</w:t>
                      </w:r>
                      <w:r w:rsidRPr="00FC1DA8">
                        <w:rPr>
                          <w:rFonts w:cs="Times New Roman"/>
                          <w:i w:val="0"/>
                          <w:sz w:val="24"/>
                          <w:szCs w:val="24"/>
                          <w:vertAlign w:val="subscript"/>
                        </w:rPr>
                        <w:t>2</w:t>
                      </w:r>
                      <w:r w:rsidRPr="00FC1DA8">
                        <w:rPr>
                          <w:rFonts w:cs="Times New Roman"/>
                          <w:i w:val="0"/>
                          <w:sz w:val="24"/>
                          <w:szCs w:val="24"/>
                        </w:rPr>
                        <w:t>O</w:t>
                      </w:r>
                      <w:r w:rsidRPr="00FC1DA8">
                        <w:rPr>
                          <w:rFonts w:cs="Times New Roman"/>
                          <w:i w:val="0"/>
                          <w:sz w:val="24"/>
                          <w:szCs w:val="24"/>
                          <w:vertAlign w:val="subscript"/>
                        </w:rPr>
                        <w:t>3</w:t>
                      </w:r>
                      <w:r w:rsidRPr="00FC1DA8">
                        <w:rPr>
                          <w:rFonts w:cs="Times New Roman"/>
                          <w:i w:val="0"/>
                          <w:sz w:val="24"/>
                          <w:szCs w:val="24"/>
                        </w:rPr>
                        <w:t xml:space="preserve"> were used throughout this study to calculate partition coefficient and isotopic fractionation factors between melt and aqueous solution.</w:t>
                      </w:r>
                      <w:bookmarkEnd w:id="145"/>
                    </w:p>
                  </w:txbxContent>
                </v:textbox>
                <w10:wrap type="square"/>
              </v:shape>
            </w:pict>
          </mc:Fallback>
        </mc:AlternateContent>
      </w:r>
      <w:r>
        <w:rPr>
          <w:rFonts w:cs="Times New Roman"/>
          <w:noProof/>
        </w:rPr>
        <w:drawing>
          <wp:anchor distT="0" distB="0" distL="114300" distR="114300" simplePos="0" relativeHeight="251720704" behindDoc="0" locked="0" layoutInCell="1" allowOverlap="1">
            <wp:simplePos x="1917700" y="914400"/>
            <wp:positionH relativeFrom="margin">
              <wp:align>center</wp:align>
            </wp:positionH>
            <wp:positionV relativeFrom="margin">
              <wp:align>top</wp:align>
            </wp:positionV>
            <wp:extent cx="5394960" cy="4168775"/>
            <wp:effectExtent l="0" t="0" r="0" b="3175"/>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Fig 1.tif"/>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394960" cy="4168775"/>
                    </a:xfrm>
                    <a:prstGeom prst="rect">
                      <a:avLst/>
                    </a:prstGeom>
                  </pic:spPr>
                </pic:pic>
              </a:graphicData>
            </a:graphic>
          </wp:anchor>
        </w:drawing>
      </w:r>
    </w:p>
    <w:p w:rsidR="00DF0F96" w:rsidRDefault="00DF0F96" w:rsidP="00DF0F96">
      <w:r>
        <w:br w:type="page"/>
      </w:r>
    </w:p>
    <w:p w:rsidR="00DF0F96" w:rsidRDefault="00FC1DA8" w:rsidP="00380C49">
      <w:pPr>
        <w:spacing w:line="480" w:lineRule="auto"/>
        <w:ind w:firstLine="720"/>
        <w:rPr>
          <w:rFonts w:cs="Times New Roman"/>
        </w:rPr>
      </w:pPr>
      <w:r>
        <w:rPr>
          <w:noProof/>
        </w:rPr>
        <w:lastRenderedPageBreak/>
        <mc:AlternateContent>
          <mc:Choice Requires="wps">
            <w:drawing>
              <wp:anchor distT="0" distB="0" distL="114300" distR="114300" simplePos="0" relativeHeight="251725824" behindDoc="0" locked="0" layoutInCell="1" allowOverlap="1" wp14:anchorId="67A27F43" wp14:editId="5FF91D5B">
                <wp:simplePos x="0" y="0"/>
                <wp:positionH relativeFrom="column">
                  <wp:posOffset>0</wp:posOffset>
                </wp:positionH>
                <wp:positionV relativeFrom="paragraph">
                  <wp:posOffset>4225925</wp:posOffset>
                </wp:positionV>
                <wp:extent cx="5394960" cy="635"/>
                <wp:effectExtent l="0" t="0" r="0" b="0"/>
                <wp:wrapSquare wrapText="bothSides"/>
                <wp:docPr id="46" name="Text Box 46"/>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rsidR="006D3B9B" w:rsidRPr="00FC1DA8" w:rsidRDefault="006D3B9B" w:rsidP="00FC1DA8">
                            <w:pPr>
                              <w:pStyle w:val="Caption"/>
                              <w:rPr>
                                <w:rFonts w:cs="Times New Roman"/>
                                <w:i w:val="0"/>
                                <w:noProof/>
                                <w:sz w:val="24"/>
                                <w:szCs w:val="24"/>
                              </w:rPr>
                            </w:pPr>
                            <w:bookmarkStart w:id="146" w:name="_Toc490130653"/>
                            <w:r w:rsidRPr="00FC1DA8">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4</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2</w:t>
                            </w:r>
                            <w:r>
                              <w:rPr>
                                <w:b/>
                                <w:sz w:val="24"/>
                                <w:szCs w:val="24"/>
                              </w:rPr>
                              <w:fldChar w:fldCharType="end"/>
                            </w:r>
                            <w:r w:rsidRPr="00FC1DA8">
                              <w:rPr>
                                <w:rFonts w:cs="Times New Roman"/>
                                <w:i w:val="0"/>
                                <w:sz w:val="24"/>
                                <w:szCs w:val="24"/>
                              </w:rPr>
                              <w:t xml:space="preserve"> Partition coefficients for B, D</w:t>
                            </w:r>
                            <w:r w:rsidRPr="00FC1DA8">
                              <w:rPr>
                                <w:rFonts w:cs="Times New Roman"/>
                                <w:i w:val="0"/>
                                <w:sz w:val="24"/>
                                <w:szCs w:val="24"/>
                                <w:vertAlign w:val="subscript"/>
                              </w:rPr>
                              <w:t>B</w:t>
                            </w:r>
                            <w:r w:rsidRPr="00FC1DA8">
                              <w:rPr>
                                <w:rFonts w:cs="Times New Roman"/>
                                <w:i w:val="0"/>
                                <w:sz w:val="24"/>
                                <w:szCs w:val="24"/>
                              </w:rPr>
                              <w:t>, between aqueous solution (vapor) and melt as a function of temperature. ‘High B’ and ‘Low B’ refer to experiments using starting materials with ~ 5 and ~ 2.5 wt% B</w:t>
                            </w:r>
                            <w:r w:rsidRPr="00FC1DA8">
                              <w:rPr>
                                <w:rFonts w:cs="Times New Roman"/>
                                <w:i w:val="0"/>
                                <w:sz w:val="24"/>
                                <w:szCs w:val="24"/>
                                <w:vertAlign w:val="subscript"/>
                              </w:rPr>
                              <w:t>2</w:t>
                            </w:r>
                            <w:r w:rsidRPr="00FC1DA8">
                              <w:rPr>
                                <w:rFonts w:cs="Times New Roman"/>
                                <w:i w:val="0"/>
                                <w:sz w:val="24"/>
                                <w:szCs w:val="24"/>
                              </w:rPr>
                              <w:t>O</w:t>
                            </w:r>
                            <w:r w:rsidRPr="00FC1DA8">
                              <w:rPr>
                                <w:rFonts w:cs="Times New Roman"/>
                                <w:i w:val="0"/>
                                <w:sz w:val="24"/>
                                <w:szCs w:val="24"/>
                                <w:vertAlign w:val="subscript"/>
                              </w:rPr>
                              <w:t>3</w:t>
                            </w:r>
                            <w:r w:rsidRPr="00FC1DA8">
                              <w:rPr>
                                <w:rFonts w:cs="Times New Roman"/>
                                <w:i w:val="0"/>
                                <w:sz w:val="24"/>
                                <w:szCs w:val="24"/>
                              </w:rPr>
                              <w:t xml:space="preserve">, respectively. Solid black triangles represent data from ‘High B’ experiments, and solid black circles for ‘Low B’ experiments. Data collected from experiment CGB88, using MAC glass (labeled ‘MAC’ on diagram), is plotted as a solid black square. Also plotted are data from </w:t>
                            </w:r>
                            <w:r w:rsidRPr="00FC1DA8">
                              <w:rPr>
                                <w:rFonts w:cs="Times New Roman"/>
                                <w:i w:val="0"/>
                                <w:sz w:val="24"/>
                                <w:szCs w:val="24"/>
                              </w:rPr>
                              <w:fldChar w:fldCharType="begin" w:fldLock="1"/>
                            </w:r>
                            <w:r w:rsidRPr="00FC1DA8">
                              <w:rPr>
                                <w:rFonts w:cs="Times New Roman"/>
                                <w:i w:val="0"/>
                                <w:sz w:val="24"/>
                                <w:szCs w:val="24"/>
                              </w:rPr>
                              <w:instrText>ADDIN CSL_CITATION { "citationItems" : [ { "id" : "ITEM-1",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"ITEM-1", "issue" : "5-6", "issued" : { "date-parts" : [ [ "2002" ] ] }, "page" : "769-774", "title" : "Isotopic and elemental partitioning of boron between hydrous fluid and silicate melt", "type" : "article-journal", "volume" : "87" }, "uris" : [ "http://www.mendeley.com/documents/?uuid=6b1d0590-ae63-44d0-990b-7cd3b5a05b06" ] } ], "mendeley" : { "formattedCitation" : "(Hervig et al., 2002)", "manualFormatting" : "Hervig et al. (2002)", "plainTextFormattedCitation" : "(Hervig et al., 2002)", "previouslyFormattedCitation" : "(Hervig et al., 2002)" }, "properties" : { "noteIndex" : 0 }, "schema" : "https://github.com/citation-style-language/schema/raw/master/csl-citation.json" }</w:instrText>
                            </w:r>
                            <w:r w:rsidRPr="00FC1DA8">
                              <w:rPr>
                                <w:rFonts w:cs="Times New Roman"/>
                                <w:i w:val="0"/>
                                <w:sz w:val="24"/>
                                <w:szCs w:val="24"/>
                              </w:rPr>
                              <w:fldChar w:fldCharType="separate"/>
                            </w:r>
                            <w:r w:rsidRPr="00FC1DA8">
                              <w:rPr>
                                <w:rFonts w:cs="Times New Roman"/>
                                <w:i w:val="0"/>
                                <w:noProof/>
                                <w:sz w:val="24"/>
                                <w:szCs w:val="24"/>
                              </w:rPr>
                              <w:t>Hervig et al. (2002)</w:t>
                            </w:r>
                            <w:r w:rsidRPr="00FC1DA8">
                              <w:rPr>
                                <w:rFonts w:cs="Times New Roman"/>
                                <w:i w:val="0"/>
                                <w:sz w:val="24"/>
                                <w:szCs w:val="24"/>
                              </w:rPr>
                              <w:fldChar w:fldCharType="end"/>
                            </w:r>
                            <w:r w:rsidRPr="00FC1DA8">
                              <w:rPr>
                                <w:rFonts w:cs="Times New Roman"/>
                                <w:i w:val="0"/>
                                <w:sz w:val="24"/>
                                <w:szCs w:val="24"/>
                              </w:rPr>
                              <w:t xml:space="preserve"> (open triangles), </w:t>
                            </w:r>
                            <w:r w:rsidRPr="00FC1DA8">
                              <w:rPr>
                                <w:rFonts w:cs="Times New Roman"/>
                                <w:i w:val="0"/>
                                <w:sz w:val="24"/>
                                <w:szCs w:val="24"/>
                              </w:rPr>
                              <w:fldChar w:fldCharType="begin" w:fldLock="1"/>
                            </w:r>
                            <w:r w:rsidRPr="00FC1DA8">
                              <w:rPr>
                                <w:rFonts w:cs="Times New Roman"/>
                                <w:i w:val="0"/>
                                <w:sz w:val="24"/>
                                <w:szCs w:val="24"/>
                              </w:rPr>
                              <w:instrText>ADDIN CSL_CITATION { "citationItems" : [ { "id" : "ITEM-1", "itemData" : { "DOI" : "10.1007/BF00371485", "ISSN" : "00107999", "abstract" : "An experimental study of the effect of boron in the water saturated Q-Or-Ab-B2O3-H2O system has been performed at P=1 Kbar to provide experimental data and explain the role of boron in some late magmatic and early hydrothermal events. Experiments were conducted between 500\u00b0 C and 800\u00b0 starting from a gel, or a previously crystallized gel, and variable amounts of boron (0 to 18% B2O3) added to water. The phases obtained were: quartz, sanidine, albite, silicate liquid quenched to glass, and aqueous vapour phase. Boric acids, borates and isotropic low index materials were found in the quenched vapour phase. An aluminium silicate-like mineral, not yet fully identified, is also present. The solidus temperature of the Q-Or-Ab composition is lowered by 60\u00b0 C when 5 wt. % B2O3 is added and by more than 130\u00b0 C when 17wt. % B2O3 is added. Compositions of equilibrated silicate melts and vapours were obtained between 780\u00b0 C and 750\u00b0 C for various B2O3 concentrations. The vapour phase is B and Si rich. It is also enriched in Na with respect to K, and in alkalis with respect to Al. Its silicate solute content is higher than in experiments with pure water. The solubility of water is increased by the addition of boron in Q-Or-Ab melts. Microprobe data show that the melts equilibrated with vapour phases become hyperaluminous and more potassic than sodic. The partition coefficient of boron is in favour of the vapour (k D=B2O3% in melt/B2O3% in vapour=0.33\u00b10.02). The effect of the interaction between the silicate phases and the vapour is discussed. Comparison is made between the behaviour of boron and that of chlorine and fluorine. Geological applications are also provided, which concern the influence of boron on minimum melting, on muscovite stability and on the hypersolvus-subsolvus transition.", "author" : [ { "dropping-particle" : "", "family" : "Pichavant", "given" : "Michel", "non-dropping-particle" : "", "parse-names" : false, "suffix" : "" } ], "container-title" : "Contributions to Mineralogy and Petrology", "id" : "ITEM-1", "issue" : "4", "issued" : { "date-parts" : [ [ "1981" ] ] }, "page" : "430-439", "title" : "An experimental study of the effect of boron on a water saturated haplogranite at 1 Kbar vapour pressure - Geological applications", "type" : "article-journal", "volume" : "76" }, "uris" : [ "http://www.mendeley.com/documents/?uuid=04c6cb31-2abd-4137-a344-369b80cae6fc" ] } ], "mendeley" : { "formattedCitation" : "(Pichavant, 1981)", "manualFormatting" : "Pichavant (1981)", "plainTextFormattedCitation" : "(Pichavant, 1981)", "previouslyFormattedCitation" : "(Pichavant, 1981)" }, "properties" : { "noteIndex" : 0 }, "schema" : "https://github.com/citation-style-language/schema/raw/master/csl-citation.json" }</w:instrText>
                            </w:r>
                            <w:r w:rsidRPr="00FC1DA8">
                              <w:rPr>
                                <w:rFonts w:cs="Times New Roman"/>
                                <w:i w:val="0"/>
                                <w:sz w:val="24"/>
                                <w:szCs w:val="24"/>
                              </w:rPr>
                              <w:fldChar w:fldCharType="separate"/>
                            </w:r>
                            <w:r w:rsidRPr="00FC1DA8">
                              <w:rPr>
                                <w:rFonts w:cs="Times New Roman"/>
                                <w:i w:val="0"/>
                                <w:noProof/>
                                <w:sz w:val="24"/>
                                <w:szCs w:val="24"/>
                              </w:rPr>
                              <w:t>Pichavant (1981)</w:t>
                            </w:r>
                            <w:r w:rsidRPr="00FC1DA8">
                              <w:rPr>
                                <w:rFonts w:cs="Times New Roman"/>
                                <w:i w:val="0"/>
                                <w:sz w:val="24"/>
                                <w:szCs w:val="24"/>
                              </w:rPr>
                              <w:fldChar w:fldCharType="end"/>
                            </w:r>
                            <w:r w:rsidRPr="00FC1DA8">
                              <w:rPr>
                                <w:rFonts w:cs="Times New Roman"/>
                                <w:i w:val="0"/>
                                <w:sz w:val="24"/>
                                <w:szCs w:val="24"/>
                              </w:rPr>
                              <w:t xml:space="preserve"> (open square), and </w:t>
                            </w:r>
                            <w:r w:rsidRPr="00FC1DA8">
                              <w:rPr>
                                <w:rFonts w:cs="Times New Roman"/>
                                <w:i w:val="0"/>
                                <w:sz w:val="24"/>
                                <w:szCs w:val="24"/>
                              </w:rPr>
                              <w:fldChar w:fldCharType="begin" w:fldLock="1"/>
                            </w:r>
                            <w:r w:rsidRPr="00FC1DA8">
                              <w:rPr>
                                <w:rFonts w:cs="Times New Roman"/>
                                <w:i w:val="0"/>
                                <w:sz w:val="24"/>
                                <w:szCs w:val="24"/>
                              </w:rPr>
                              <w:instrText>ADDIN CSL_CITATION { "citationItems" : [ { "id" : "ITEM-1", "itemData" : { "DOI" : "10.1007/BF00375368", "ISBN" : "0010-7999", "ISSN" : "00107999", "author" : [ { "dropping-particle" : "", "family" : "London", "given" : "David", "non-dropping-particle" : "", "parse-names" : false, "suffix" : "" }, { "dropping-particle" : "", "family" : "Hervig", "given" : "Richard L.", "non-dropping-particle" : "", "parse-names" : false, "suffix" : "" }, { "dropping-particle" : "", "family" : "Morgan VI", "given" : "George B.", "non-dropping-particle" : "", "parse-names" : false, "suffix" : "" } ], "container-title" : "Contributions to Mineralogy and Petrology", "id" : "ITEM-1", "issue" : "3", "issued" : { "date-parts" : [ [ "1988" ] ] }, "page" : "360-373", "title" : "Melt-vapor solubilities and elemental partitioning in peraluminous granite-pegmatite systems: experimental results with Macusani glass at 200 MPa", "type" : "article-journal", "volume" : "99" }, "uris" : [ "http://www.mendeley.com/documents/?uuid=d3741f24-96af-4bcd-8a43-4ab927eb82f1" ] } ], "mendeley" : { "formattedCitation" : "(London et al., 1988)", "manualFormatting" : "London et al. (1988)", "plainTextFormattedCitation" : "(London et al., 1988)", "previouslyFormattedCitation" : "(London et al., 1988)" }, "properties" : { "noteIndex" : 0 }, "schema" : "https://github.com/citation-style-language/schema/raw/master/csl-citation.json" }</w:instrText>
                            </w:r>
                            <w:r w:rsidRPr="00FC1DA8">
                              <w:rPr>
                                <w:rFonts w:cs="Times New Roman"/>
                                <w:i w:val="0"/>
                                <w:sz w:val="24"/>
                                <w:szCs w:val="24"/>
                              </w:rPr>
                              <w:fldChar w:fldCharType="separate"/>
                            </w:r>
                            <w:r w:rsidRPr="00FC1DA8">
                              <w:rPr>
                                <w:rFonts w:cs="Times New Roman"/>
                                <w:i w:val="0"/>
                                <w:noProof/>
                                <w:sz w:val="24"/>
                                <w:szCs w:val="24"/>
                              </w:rPr>
                              <w:t>London et al. (1988)</w:t>
                            </w:r>
                            <w:r w:rsidRPr="00FC1DA8">
                              <w:rPr>
                                <w:rFonts w:cs="Times New Roman"/>
                                <w:i w:val="0"/>
                                <w:sz w:val="24"/>
                                <w:szCs w:val="24"/>
                              </w:rPr>
                              <w:fldChar w:fldCharType="end"/>
                            </w:r>
                            <w:r w:rsidRPr="00FC1DA8">
                              <w:rPr>
                                <w:rFonts w:cs="Times New Roman"/>
                                <w:i w:val="0"/>
                                <w:sz w:val="24"/>
                                <w:szCs w:val="24"/>
                              </w:rPr>
                              <w:t xml:space="preserve"> (open circles). Error bars represent 2σ standard errors which were propagated through the calculation of partition coefficients. Values of D</w:t>
                            </w:r>
                            <w:r w:rsidRPr="00FC1DA8">
                              <w:rPr>
                                <w:rFonts w:cs="Times New Roman"/>
                                <w:i w:val="0"/>
                                <w:sz w:val="24"/>
                                <w:szCs w:val="24"/>
                                <w:vertAlign w:val="subscript"/>
                              </w:rPr>
                              <w:t>B</w:t>
                            </w:r>
                            <w:r w:rsidRPr="00FC1DA8">
                              <w:rPr>
                                <w:rFonts w:cs="Times New Roman"/>
                                <w:i w:val="0"/>
                                <w:sz w:val="24"/>
                                <w:szCs w:val="24"/>
                              </w:rPr>
                              <w:t xml:space="preserve"> from the current study are not temperature sensitive, but do increase with increasing B content of melt, and are similar to data reported by </w:t>
                            </w:r>
                            <w:r w:rsidRPr="00FC1DA8">
                              <w:rPr>
                                <w:rFonts w:cs="Times New Roman"/>
                                <w:i w:val="0"/>
                                <w:sz w:val="24"/>
                                <w:szCs w:val="24"/>
                              </w:rPr>
                              <w:fldChar w:fldCharType="begin" w:fldLock="1"/>
                            </w:r>
                            <w:r w:rsidRPr="00FC1DA8">
                              <w:rPr>
                                <w:rFonts w:cs="Times New Roman"/>
                                <w:i w:val="0"/>
                                <w:sz w:val="24"/>
                                <w:szCs w:val="24"/>
                              </w:rPr>
                              <w:instrText>ADDIN CSL_CITATION { "citationItems" : [ { "id" : "ITEM-1",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"ITEM-1", "issue" : "5-6", "issued" : { "date-parts" : [ [ "2002" ] ] }, "page" : "769-774", "title" : "Isotopic and elemental partitioning of boron between hydrous fluid and silicate melt", "type" : "article-journal", "volume" : "87" }, "uris" : [ "http://www.mendeley.com/documents/?uuid=6b1d0590-ae63-44d0-990b-7cd3b5a05b06" ] }, { "id" : "ITEM-2", "itemData" : { "DOI" : "10.1007/BF00375368", "ISBN" : "0010-7999", "ISSN" : "00107999", "author" : [ { "dropping-particle" : "", "family" : "London", "given" : "David", "non-dropping-particle" : "", "parse-names" : false, "suffix" : "" }, { "dropping-particle" : "", "family" : "Hervig", "given" : "Richard L.", "non-dropping-particle" : "", "parse-names" : false, "suffix" : "" }, { "dropping-particle" : "", "family" : "Morgan VI", "given" : "George B.", "non-dropping-particle" : "", "parse-names" : false, "suffix" : "" } ], "container-title" : "Contributions to Mineralogy and Petrology", "id" : "ITEM-2", "issue" : "3", "issued" : { "date-parts" : [ [ "1988" ] ] }, "page" : "360-373", "title" : "Melt-vapor solubilities and elemental partitioning in peraluminous granite-pegmatite systems: experimental results with Macusani glass at 200 MPa", "type" : "article-journal", "volume" : "99" }, "uris" : [ "http://www.mendeley.com/documents/?uuid=d3741f24-96af-4bcd-8a43-4ab927eb82f1" ] } ], "mendeley" : { "formattedCitation" : "(Hervig et al., 2002; London et al., 1988)", "manualFormatting" : "Hervig et al. (2002) and London et al. (1988)", "plainTextFormattedCitation" : "(Hervig et al., 2002; London et al., 1988)", "previouslyFormattedCitation" : "(Hervig et al., 2002; London et al., 1988)" }, "properties" : { "noteIndex" : 0 }, "schema" : "https://github.com/citation-style-language/schema/raw/master/csl-citation.json" }</w:instrText>
                            </w:r>
                            <w:r w:rsidRPr="00FC1DA8">
                              <w:rPr>
                                <w:rFonts w:cs="Times New Roman"/>
                                <w:i w:val="0"/>
                                <w:sz w:val="24"/>
                                <w:szCs w:val="24"/>
                              </w:rPr>
                              <w:fldChar w:fldCharType="separate"/>
                            </w:r>
                            <w:r w:rsidRPr="00FC1DA8">
                              <w:rPr>
                                <w:rFonts w:cs="Times New Roman"/>
                                <w:i w:val="0"/>
                                <w:noProof/>
                                <w:sz w:val="24"/>
                                <w:szCs w:val="24"/>
                              </w:rPr>
                              <w:t>Hervig et al. (2002) and London et al. (1988)</w:t>
                            </w:r>
                            <w:r w:rsidRPr="00FC1DA8">
                              <w:rPr>
                                <w:rFonts w:cs="Times New Roman"/>
                                <w:i w:val="0"/>
                                <w:sz w:val="24"/>
                                <w:szCs w:val="24"/>
                              </w:rPr>
                              <w:fldChar w:fldCharType="end"/>
                            </w:r>
                            <w:r w:rsidRPr="00FC1DA8">
                              <w:rPr>
                                <w:rFonts w:cs="Times New Roman"/>
                                <w:i w:val="0"/>
                                <w:sz w:val="24"/>
                                <w:szCs w:val="24"/>
                              </w:rPr>
                              <w:t>.</w:t>
                            </w:r>
                            <w:bookmarkEnd w:id="14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7A27F43" id="Text Box 46" o:spid="_x0000_s1053" type="#_x0000_t202" style="position:absolute;left:0;text-align:left;margin-left:0;margin-top:332.75pt;width:424.8pt;height:.05pt;z-index:25172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" stroked="f">
                <v:textbox style="mso-fit-shape-to-text:t" inset="0,0,0,0">
                  <w:txbxContent>
                    <w:p w:rsidR="006D3B9B" w:rsidRPr="00FC1DA8" w:rsidRDefault="006D3B9B" w:rsidP="00FC1DA8">
                      <w:pPr>
                        <w:pStyle w:val="Caption"/>
                        <w:rPr>
                          <w:rFonts w:cs="Times New Roman"/>
                          <w:i w:val="0"/>
                          <w:noProof/>
                          <w:sz w:val="24"/>
                          <w:szCs w:val="24"/>
                        </w:rPr>
                      </w:pPr>
                      <w:bookmarkStart w:id="147" w:name="_Toc490130653"/>
                      <w:r w:rsidRPr="00FC1DA8">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4</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2</w:t>
                      </w:r>
                      <w:r>
                        <w:rPr>
                          <w:b/>
                          <w:sz w:val="24"/>
                          <w:szCs w:val="24"/>
                        </w:rPr>
                        <w:fldChar w:fldCharType="end"/>
                      </w:r>
                      <w:r w:rsidRPr="00FC1DA8">
                        <w:rPr>
                          <w:rFonts w:cs="Times New Roman"/>
                          <w:i w:val="0"/>
                          <w:sz w:val="24"/>
                          <w:szCs w:val="24"/>
                        </w:rPr>
                        <w:t xml:space="preserve"> Partition coefficients for B, D</w:t>
                      </w:r>
                      <w:r w:rsidRPr="00FC1DA8">
                        <w:rPr>
                          <w:rFonts w:cs="Times New Roman"/>
                          <w:i w:val="0"/>
                          <w:sz w:val="24"/>
                          <w:szCs w:val="24"/>
                          <w:vertAlign w:val="subscript"/>
                        </w:rPr>
                        <w:t>B</w:t>
                      </w:r>
                      <w:r w:rsidRPr="00FC1DA8">
                        <w:rPr>
                          <w:rFonts w:cs="Times New Roman"/>
                          <w:i w:val="0"/>
                          <w:sz w:val="24"/>
                          <w:szCs w:val="24"/>
                        </w:rPr>
                        <w:t>, between aqueous solution (vapor) and melt as a function of temperature. ‘High B’ and ‘Low B’ refer to experiments using starting materials with ~ 5 and ~ 2.5 wt% B</w:t>
                      </w:r>
                      <w:r w:rsidRPr="00FC1DA8">
                        <w:rPr>
                          <w:rFonts w:cs="Times New Roman"/>
                          <w:i w:val="0"/>
                          <w:sz w:val="24"/>
                          <w:szCs w:val="24"/>
                          <w:vertAlign w:val="subscript"/>
                        </w:rPr>
                        <w:t>2</w:t>
                      </w:r>
                      <w:r w:rsidRPr="00FC1DA8">
                        <w:rPr>
                          <w:rFonts w:cs="Times New Roman"/>
                          <w:i w:val="0"/>
                          <w:sz w:val="24"/>
                          <w:szCs w:val="24"/>
                        </w:rPr>
                        <w:t>O</w:t>
                      </w:r>
                      <w:r w:rsidRPr="00FC1DA8">
                        <w:rPr>
                          <w:rFonts w:cs="Times New Roman"/>
                          <w:i w:val="0"/>
                          <w:sz w:val="24"/>
                          <w:szCs w:val="24"/>
                          <w:vertAlign w:val="subscript"/>
                        </w:rPr>
                        <w:t>3</w:t>
                      </w:r>
                      <w:r w:rsidRPr="00FC1DA8">
                        <w:rPr>
                          <w:rFonts w:cs="Times New Roman"/>
                          <w:i w:val="0"/>
                          <w:sz w:val="24"/>
                          <w:szCs w:val="24"/>
                        </w:rPr>
                        <w:t xml:space="preserve">, respectively. Solid black triangles represent data from ‘High B’ experiments, and solid black circles for ‘Low B’ experiments. Data collected from experiment CGB88, using MAC glass (labeled ‘MAC’ on diagram), is plotted as a solid black square. Also plotted are data from </w:t>
                      </w:r>
                      <w:r w:rsidRPr="00FC1DA8">
                        <w:rPr>
                          <w:rFonts w:cs="Times New Roman"/>
                          <w:i w:val="0"/>
                          <w:sz w:val="24"/>
                          <w:szCs w:val="24"/>
                        </w:rPr>
                        <w:fldChar w:fldCharType="begin" w:fldLock="1"/>
                      </w:r>
                      <w:r w:rsidRPr="00FC1DA8">
                        <w:rPr>
                          <w:rFonts w:cs="Times New Roman"/>
                          <w:i w:val="0"/>
                          <w:sz w:val="24"/>
                          <w:szCs w:val="24"/>
                        </w:rPr>
                        <w:instrText>ADDIN CSL_CITATION { "citationItems" : [ { "id" : "ITEM-1",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"ITEM-1", "issue" : "5-6", "issued" : { "date-parts" : [ [ "2002" ] ] }, "page" : "769-774", "title" : "Isotopic and elemental partitioning of boron between hydrous fluid and silicate melt", "type" : "article-journal", "volume" : "87" }, "uris" : [ "http://www.mendeley.com/documents/?uuid=6b1d0590-ae63-44d0-990b-7cd3b5a05b06" ] } ], "mendeley" : { "formattedCitation" : "(Hervig et al., 2002)", "manualFormatting" : "Hervig et al. (2002)", "plainTextFormattedCitation" : "(Hervig et al., 2002)", "previouslyFormattedCitation" : "(Hervig et al., 2002)" }, "properties" : { "noteIndex" : 0 }, "schema" : "https://github.com/citation-style-language/schema/raw/master/csl-citation.json" }</w:instrText>
                      </w:r>
                      <w:r w:rsidRPr="00FC1DA8">
                        <w:rPr>
                          <w:rFonts w:cs="Times New Roman"/>
                          <w:i w:val="0"/>
                          <w:sz w:val="24"/>
                          <w:szCs w:val="24"/>
                        </w:rPr>
                        <w:fldChar w:fldCharType="separate"/>
                      </w:r>
                      <w:r w:rsidRPr="00FC1DA8">
                        <w:rPr>
                          <w:rFonts w:cs="Times New Roman"/>
                          <w:i w:val="0"/>
                          <w:noProof/>
                          <w:sz w:val="24"/>
                          <w:szCs w:val="24"/>
                        </w:rPr>
                        <w:t>Hervig et al. (2002)</w:t>
                      </w:r>
                      <w:r w:rsidRPr="00FC1DA8">
                        <w:rPr>
                          <w:rFonts w:cs="Times New Roman"/>
                          <w:i w:val="0"/>
                          <w:sz w:val="24"/>
                          <w:szCs w:val="24"/>
                        </w:rPr>
                        <w:fldChar w:fldCharType="end"/>
                      </w:r>
                      <w:r w:rsidRPr="00FC1DA8">
                        <w:rPr>
                          <w:rFonts w:cs="Times New Roman"/>
                          <w:i w:val="0"/>
                          <w:sz w:val="24"/>
                          <w:szCs w:val="24"/>
                        </w:rPr>
                        <w:t xml:space="preserve"> (open triangles), </w:t>
                      </w:r>
                      <w:r w:rsidRPr="00FC1DA8">
                        <w:rPr>
                          <w:rFonts w:cs="Times New Roman"/>
                          <w:i w:val="0"/>
                          <w:sz w:val="24"/>
                          <w:szCs w:val="24"/>
                        </w:rPr>
                        <w:fldChar w:fldCharType="begin" w:fldLock="1"/>
                      </w:r>
                      <w:r w:rsidRPr="00FC1DA8">
                        <w:rPr>
                          <w:rFonts w:cs="Times New Roman"/>
                          <w:i w:val="0"/>
                          <w:sz w:val="24"/>
                          <w:szCs w:val="24"/>
                        </w:rPr>
                        <w:instrText>ADDIN CSL_CITATION { "citationItems" : [ { "id" : "ITEM-1", "itemData" : { "DOI" : "10.1007/BF00371485", "ISSN" : "00107999", "abstract" : "An experimental study of the effect of boron in the water saturated Q-Or-Ab-B2O3-H2O system has been performed at P=1 Kbar to provide experimental data and explain the role of boron in some late magmatic and early hydrothermal events. Experiments were conducted between 500\u00b0 C and 800\u00b0 starting from a gel, or a previously crystallized gel, and variable amounts of boron (0 to 18% B2O3) added to water. The phases obtained were: quartz, sanidine, albite, silicate liquid quenched to glass, and aqueous vapour phase. Boric acids, borates and isotropic low index materials were found in the quenched vapour phase. An aluminium silicate-like mineral, not yet fully identified, is also present. The solidus temperature of the Q-Or-Ab composition is lowered by 60\u00b0 C when 5 wt. % B2O3 is added and by more than 130\u00b0 C when 17wt. % B2O3 is added. Compositions of equilibrated silicate melts and vapours were obtained between 780\u00b0 C and 750\u00b0 C for various B2O3 concentrations. The vapour phase is B and Si rich. It is also enriched in Na with respect to K, and in alkalis with respect to Al. Its silicate solute content is higher than in experiments with pure water. The solubility of water is increased by the addition of boron in Q-Or-Ab melts. Microprobe data show that the melts equilibrated with vapour phases become hyperaluminous and more potassic than sodic. The partition coefficient of boron is in favour of the vapour (k D=B2O3% in melt/B2O3% in vapour=0.33\u00b10.02). The effect of the interaction between the silicate phases and the vapour is discussed. Comparison is made between the behaviour of boron and that of chlorine and fluorine. Geological applications are also provided, which concern the influence of boron on minimum melting, on muscovite stability and on the hypersolvus-subsolvus transition.", "author" : [ { "dropping-particle" : "", "family" : "Pichavant", "given" : "Michel", "non-dropping-particle" : "", "parse-names" : false, "suffix" : "" } ], "container-title" : "Contributions to Mineralogy and Petrology", "id" : "ITEM-1", "issue" : "4", "issued" : { "date-parts" : [ [ "1981" ] ] }, "page" : "430-439", "title" : "An experimental study of the effect of boron on a water saturated haplogranite at 1 Kbar vapour pressure - Geological applications", "type" : "article-journal", "volume" : "76" }, "uris" : [ "http://www.mendeley.com/documents/?uuid=04c6cb31-2abd-4137-a344-369b80cae6fc" ] } ], "mendeley" : { "formattedCitation" : "(Pichavant, 1981)", "manualFormatting" : "Pichavant (1981)", "plainTextFormattedCitation" : "(Pichavant, 1981)", "previouslyFormattedCitation" : "(Pichavant, 1981)" }, "properties" : { "noteIndex" : 0 }, "schema" : "https://github.com/citation-style-language/schema/raw/master/csl-citation.json" }</w:instrText>
                      </w:r>
                      <w:r w:rsidRPr="00FC1DA8">
                        <w:rPr>
                          <w:rFonts w:cs="Times New Roman"/>
                          <w:i w:val="0"/>
                          <w:sz w:val="24"/>
                          <w:szCs w:val="24"/>
                        </w:rPr>
                        <w:fldChar w:fldCharType="separate"/>
                      </w:r>
                      <w:r w:rsidRPr="00FC1DA8">
                        <w:rPr>
                          <w:rFonts w:cs="Times New Roman"/>
                          <w:i w:val="0"/>
                          <w:noProof/>
                          <w:sz w:val="24"/>
                          <w:szCs w:val="24"/>
                        </w:rPr>
                        <w:t>Pichavant (1981)</w:t>
                      </w:r>
                      <w:r w:rsidRPr="00FC1DA8">
                        <w:rPr>
                          <w:rFonts w:cs="Times New Roman"/>
                          <w:i w:val="0"/>
                          <w:sz w:val="24"/>
                          <w:szCs w:val="24"/>
                        </w:rPr>
                        <w:fldChar w:fldCharType="end"/>
                      </w:r>
                      <w:r w:rsidRPr="00FC1DA8">
                        <w:rPr>
                          <w:rFonts w:cs="Times New Roman"/>
                          <w:i w:val="0"/>
                          <w:sz w:val="24"/>
                          <w:szCs w:val="24"/>
                        </w:rPr>
                        <w:t xml:space="preserve"> (open square), and </w:t>
                      </w:r>
                      <w:r w:rsidRPr="00FC1DA8">
                        <w:rPr>
                          <w:rFonts w:cs="Times New Roman"/>
                          <w:i w:val="0"/>
                          <w:sz w:val="24"/>
                          <w:szCs w:val="24"/>
                        </w:rPr>
                        <w:fldChar w:fldCharType="begin" w:fldLock="1"/>
                      </w:r>
                      <w:r w:rsidRPr="00FC1DA8">
                        <w:rPr>
                          <w:rFonts w:cs="Times New Roman"/>
                          <w:i w:val="0"/>
                          <w:sz w:val="24"/>
                          <w:szCs w:val="24"/>
                        </w:rPr>
                        <w:instrText>ADDIN CSL_CITATION { "citationItems" : [ { "id" : "ITEM-1", "itemData" : { "DOI" : "10.1007/BF00375368", "ISBN" : "0010-7999", "ISSN" : "00107999", "author" : [ { "dropping-particle" : "", "family" : "London", "given" : "David", "non-dropping-particle" : "", "parse-names" : false, "suffix" : "" }, { "dropping-particle" : "", "family" : "Hervig", "given" : "Richard L.", "non-dropping-particle" : "", "parse-names" : false, "suffix" : "" }, { "dropping-particle" : "", "family" : "Morgan VI", "given" : "George B.", "non-dropping-particle" : "", "parse-names" : false, "suffix" : "" } ], "container-title" : "Contributions to Mineralogy and Petrology", "id" : "ITEM-1", "issue" : "3", "issued" : { "date-parts" : [ [ "1988" ] ] }, "page" : "360-373", "title" : "Melt-vapor solubilities and elemental partitioning in peraluminous granite-pegmatite systems: experimental results with Macusani glass at 200 MPa", "type" : "article-journal", "volume" : "99" }, "uris" : [ "http://www.mendeley.com/documents/?uuid=d3741f24-96af-4bcd-8a43-4ab927eb82f1" ] } ], "mendeley" : { "formattedCitation" : "(London et al., 1988)", "manualFormatting" : "London et al. (1988)", "plainTextFormattedCitation" : "(London et al., 1988)", "previouslyFormattedCitation" : "(London et al., 1988)" }, "properties" : { "noteIndex" : 0 }, "schema" : "https://github.com/citation-style-language/schema/raw/master/csl-citation.json" }</w:instrText>
                      </w:r>
                      <w:r w:rsidRPr="00FC1DA8">
                        <w:rPr>
                          <w:rFonts w:cs="Times New Roman"/>
                          <w:i w:val="0"/>
                          <w:sz w:val="24"/>
                          <w:szCs w:val="24"/>
                        </w:rPr>
                        <w:fldChar w:fldCharType="separate"/>
                      </w:r>
                      <w:r w:rsidRPr="00FC1DA8">
                        <w:rPr>
                          <w:rFonts w:cs="Times New Roman"/>
                          <w:i w:val="0"/>
                          <w:noProof/>
                          <w:sz w:val="24"/>
                          <w:szCs w:val="24"/>
                        </w:rPr>
                        <w:t>London et al. (1988)</w:t>
                      </w:r>
                      <w:r w:rsidRPr="00FC1DA8">
                        <w:rPr>
                          <w:rFonts w:cs="Times New Roman"/>
                          <w:i w:val="0"/>
                          <w:sz w:val="24"/>
                          <w:szCs w:val="24"/>
                        </w:rPr>
                        <w:fldChar w:fldCharType="end"/>
                      </w:r>
                      <w:r w:rsidRPr="00FC1DA8">
                        <w:rPr>
                          <w:rFonts w:cs="Times New Roman"/>
                          <w:i w:val="0"/>
                          <w:sz w:val="24"/>
                          <w:szCs w:val="24"/>
                        </w:rPr>
                        <w:t xml:space="preserve"> (open circles). Error bars represent 2σ standard errors which were propagated through the calculation of partition coefficients. Values of D</w:t>
                      </w:r>
                      <w:r w:rsidRPr="00FC1DA8">
                        <w:rPr>
                          <w:rFonts w:cs="Times New Roman"/>
                          <w:i w:val="0"/>
                          <w:sz w:val="24"/>
                          <w:szCs w:val="24"/>
                          <w:vertAlign w:val="subscript"/>
                        </w:rPr>
                        <w:t>B</w:t>
                      </w:r>
                      <w:r w:rsidRPr="00FC1DA8">
                        <w:rPr>
                          <w:rFonts w:cs="Times New Roman"/>
                          <w:i w:val="0"/>
                          <w:sz w:val="24"/>
                          <w:szCs w:val="24"/>
                        </w:rPr>
                        <w:t xml:space="preserve"> from the current study are not temperature sensitive, but do increase with increasing B content of melt, and are similar to data reported by </w:t>
                      </w:r>
                      <w:r w:rsidRPr="00FC1DA8">
                        <w:rPr>
                          <w:rFonts w:cs="Times New Roman"/>
                          <w:i w:val="0"/>
                          <w:sz w:val="24"/>
                          <w:szCs w:val="24"/>
                        </w:rPr>
                        <w:fldChar w:fldCharType="begin" w:fldLock="1"/>
                      </w:r>
                      <w:r w:rsidRPr="00FC1DA8">
                        <w:rPr>
                          <w:rFonts w:cs="Times New Roman"/>
                          <w:i w:val="0"/>
                          <w:sz w:val="24"/>
                          <w:szCs w:val="24"/>
                        </w:rPr>
                        <w:instrText>ADDIN CSL_CITATION { "citationItems" : [ { "id" : "ITEM-1",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"ITEM-1", "issue" : "5-6", "issued" : { "date-parts" : [ [ "2002" ] ] }, "page" : "769-774", "title" : "Isotopic and elemental partitioning of boron between hydrous fluid and silicate melt", "type" : "article-journal", "volume" : "87" }, "uris" : [ "http://www.mendeley.com/documents/?uuid=6b1d0590-ae63-44d0-990b-7cd3b5a05b06" ] }, { "id" : "ITEM-2", "itemData" : { "DOI" : "10.1007/BF00375368", "ISBN" : "0010-7999", "ISSN" : "00107999", "author" : [ { "dropping-particle" : "", "family" : "London", "given" : "David", "non-dropping-particle" : "", "parse-names" : false, "suffix" : "" }, { "dropping-particle" : "", "family" : "Hervig", "given" : "Richard L.", "non-dropping-particle" : "", "parse-names" : false, "suffix" : "" }, { "dropping-particle" : "", "family" : "Morgan VI", "given" : "George B.", "non-dropping-particle" : "", "parse-names" : false, "suffix" : "" } ], "container-title" : "Contributions to Mineralogy and Petrology", "id" : "ITEM-2", "issue" : "3", "issued" : { "date-parts" : [ [ "1988" ] ] }, "page" : "360-373", "title" : "Melt-vapor solubilities and elemental partitioning in peraluminous granite-pegmatite systems: experimental results with Macusani glass at 200 MPa", "type" : "article-journal", "volume" : "99" }, "uris" : [ "http://www.mendeley.com/documents/?uuid=d3741f24-96af-4bcd-8a43-4ab927eb82f1" ] } ], "mendeley" : { "formattedCitation" : "(Hervig et al., 2002; London et al., 1988)", "manualFormatting" : "Hervig et al. (2002) and London et al. (1988)", "plainTextFormattedCitation" : "(Hervig et al., 2002; London et al., 1988)", "previouslyFormattedCitation" : "(Hervig et al., 2002; London et al., 1988)" }, "properties" : { "noteIndex" : 0 }, "schema" : "https://github.com/citation-style-language/schema/raw/master/csl-citation.json" }</w:instrText>
                      </w:r>
                      <w:r w:rsidRPr="00FC1DA8">
                        <w:rPr>
                          <w:rFonts w:cs="Times New Roman"/>
                          <w:i w:val="0"/>
                          <w:sz w:val="24"/>
                          <w:szCs w:val="24"/>
                        </w:rPr>
                        <w:fldChar w:fldCharType="separate"/>
                      </w:r>
                      <w:r w:rsidRPr="00FC1DA8">
                        <w:rPr>
                          <w:rFonts w:cs="Times New Roman"/>
                          <w:i w:val="0"/>
                          <w:noProof/>
                          <w:sz w:val="24"/>
                          <w:szCs w:val="24"/>
                        </w:rPr>
                        <w:t>Hervig et al. (2002) and London et al. (1988)</w:t>
                      </w:r>
                      <w:r w:rsidRPr="00FC1DA8">
                        <w:rPr>
                          <w:rFonts w:cs="Times New Roman"/>
                          <w:i w:val="0"/>
                          <w:sz w:val="24"/>
                          <w:szCs w:val="24"/>
                        </w:rPr>
                        <w:fldChar w:fldCharType="end"/>
                      </w:r>
                      <w:r w:rsidRPr="00FC1DA8">
                        <w:rPr>
                          <w:rFonts w:cs="Times New Roman"/>
                          <w:i w:val="0"/>
                          <w:sz w:val="24"/>
                          <w:szCs w:val="24"/>
                        </w:rPr>
                        <w:t>.</w:t>
                      </w:r>
                      <w:bookmarkEnd w:id="147"/>
                    </w:p>
                  </w:txbxContent>
                </v:textbox>
                <w10:wrap type="square"/>
              </v:shape>
            </w:pict>
          </mc:Fallback>
        </mc:AlternateContent>
      </w:r>
      <w:r>
        <w:rPr>
          <w:rFonts w:cs="Times New Roman"/>
          <w:noProof/>
        </w:rPr>
        <w:drawing>
          <wp:anchor distT="0" distB="0" distL="114300" distR="114300" simplePos="0" relativeHeight="251723776" behindDoc="0" locked="0" layoutInCell="1" allowOverlap="1">
            <wp:simplePos x="1917700" y="914400"/>
            <wp:positionH relativeFrom="margin">
              <wp:align>center</wp:align>
            </wp:positionH>
            <wp:positionV relativeFrom="margin">
              <wp:align>top</wp:align>
            </wp:positionV>
            <wp:extent cx="5394960" cy="4168775"/>
            <wp:effectExtent l="0" t="0" r="0" b="3175"/>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Fig 2.tif"/>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394960" cy="4168775"/>
                    </a:xfrm>
                    <a:prstGeom prst="rect">
                      <a:avLst/>
                    </a:prstGeom>
                  </pic:spPr>
                </pic:pic>
              </a:graphicData>
            </a:graphic>
          </wp:anchor>
        </w:drawing>
      </w:r>
    </w:p>
    <w:p w:rsidR="00DF0F96" w:rsidRDefault="00DF0F96" w:rsidP="00DF0F96">
      <w:r>
        <w:br w:type="page"/>
      </w:r>
    </w:p>
    <w:p w:rsidR="00DF0F96" w:rsidRDefault="00FC1DA8" w:rsidP="00380C49">
      <w:pPr>
        <w:spacing w:line="480" w:lineRule="auto"/>
        <w:ind w:firstLine="720"/>
        <w:rPr>
          <w:rFonts w:cs="Times New Roman"/>
        </w:rPr>
      </w:pPr>
      <w:r>
        <w:rPr>
          <w:noProof/>
        </w:rPr>
        <w:lastRenderedPageBreak/>
        <mc:AlternateContent>
          <mc:Choice Requires="wps">
            <w:drawing>
              <wp:anchor distT="0" distB="0" distL="114300" distR="114300" simplePos="0" relativeHeight="251728896" behindDoc="0" locked="0" layoutInCell="1" allowOverlap="1" wp14:anchorId="5C5F4CA8" wp14:editId="4F0CB8D3">
                <wp:simplePos x="0" y="0"/>
                <wp:positionH relativeFrom="column">
                  <wp:posOffset>0</wp:posOffset>
                </wp:positionH>
                <wp:positionV relativeFrom="paragraph">
                  <wp:posOffset>4225925</wp:posOffset>
                </wp:positionV>
                <wp:extent cx="5394960" cy="635"/>
                <wp:effectExtent l="0" t="0" r="0" b="0"/>
                <wp:wrapSquare wrapText="bothSides"/>
                <wp:docPr id="48" name="Text Box 48"/>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rsidR="006D3B9B" w:rsidRPr="00FC1DA8" w:rsidRDefault="006D3B9B" w:rsidP="00FC1DA8">
                            <w:pPr>
                              <w:pStyle w:val="Caption"/>
                              <w:rPr>
                                <w:rFonts w:cs="Times New Roman"/>
                                <w:i w:val="0"/>
                                <w:noProof/>
                                <w:sz w:val="24"/>
                                <w:szCs w:val="24"/>
                              </w:rPr>
                            </w:pPr>
                            <w:bookmarkStart w:id="148" w:name="_Toc490130654"/>
                            <w:r w:rsidRPr="00FC1DA8">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4</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3</w:t>
                            </w:r>
                            <w:r>
                              <w:rPr>
                                <w:b/>
                                <w:sz w:val="24"/>
                                <w:szCs w:val="24"/>
                              </w:rPr>
                              <w:fldChar w:fldCharType="end"/>
                            </w:r>
                            <w:r w:rsidRPr="00FC1DA8">
                              <w:rPr>
                                <w:rFonts w:cs="Times New Roman"/>
                                <w:i w:val="0"/>
                                <w:sz w:val="24"/>
                                <w:szCs w:val="24"/>
                              </w:rPr>
                              <w:t xml:space="preserve"> Boron isotopic fractionation factors (1000*lnα) from the current study plotted against reciprocal temperature (1000/T(K)). Data from ‘High B’ and ‘Low B’ experiments are plotted as open diamonds and solid circles, respectively. The solid square represents data from experiment CGB88, which used MAC glass (labeled as ‘MAC’ on the diagram). The dash-dot line is a linear regression through the ‘High B’ data, and the dotted line is a linear regression through the ‘Low B’ data. The solid black line is the ‘III-IV’ fractionation trend of </w:t>
                            </w:r>
                            <w:r w:rsidRPr="00FC1DA8">
                              <w:rPr>
                                <w:rFonts w:cs="Times New Roman"/>
                                <w:i w:val="0"/>
                                <w:sz w:val="24"/>
                                <w:szCs w:val="24"/>
                              </w:rPr>
                              <w:fldChar w:fldCharType="begin" w:fldLock="1"/>
                            </w:r>
                            <w:r w:rsidRPr="00FC1DA8">
                              <w:rPr>
                                <w:rFonts w:cs="Times New Roman"/>
                                <w:i w:val="0"/>
                                <w:sz w:val="24"/>
                                <w:szCs w:val="24"/>
                              </w:rPr>
                              <w:instrText>ADDIN CSL_CITATION { "citationItems" : [ { "id" : "ITEM-1", "itemData" : { "DOI" : "10.1016/j.lithos.2005.02.003", "ISBN" : "0024-4937", "ISSN" : "00244937", "abstract" : "The fractionation of boron isotopes between synthetic boromuscovite and fluid was experimentally determined at 3.0 GPa/500 \u00b0C and 3.0 GPa/700 \u00b0C. For near-neutral fluids Delta;11 B(mica-fluid) = \u03b411B(mica) - \u03b411B(fluid) is - 10.9 \u00b1 1.3\u2030 at 500 deg;C, and - 6.5 \u00b1 0.4\u2030 at 700 \u00b0C. This supports earlier assumptions that the main fractionation effect is due to the change from trigonal coordination of boron in neutral fluids to tetrahedrally coordinated boron in micas, clays and melts. The T-dependence of this effect is approximated by the equation \u039411B(mica,clay,melt-neutral-fluid) = - 10.69 \u00b7 (1000/T [K]) + 3.88; R2 = 0.992, valid from 25 \u00b0C for fluid-clay up to about 1000 \u00b0C for fluid-silicate melt. Experiments at 0.4 GPa that used strongly basic fluids produced significantly lower fractionations with \u039411 B(mica-fluid) of - 7.4 \u00b1 1.0\u2030 at 400 \u00b0C, and - 4.8 \u00b1 1.0\u2030 at 500 \u00b0C, showing the reduced fractionation effect when large amounts of boron in basic fluids are tetrahedrally coordinated. Field studies have shown that boron concentrations and 11B/10B-ratios in volcanic arcs systematically decrease across the arc with increasing distance from the trench, thus reflecting the thermal structure of the subducting slab. Our experiments show that the boron isotopic signature in volcanic arcs probably results from continuous dehydration of micas along a distinct P-T range. Continuous slab dehydration and boron transport via fluid into the mantle wedge is responsible for the boron isotopic signature in volcanic arcs. \u00a9 2005 Elsevier B.V. All rights reserved.", "author" : [ { "dropping-particle" : "", "family" : "Wunder", "given" : "Bernd", "non-dropping-particle" : "", "parse-names" : false, "suffix" : "" }, { "dropping-particle" : "", "family" : "Meixner", "given" : "Anette", "non-dropping-particle" : "", "parse-names" : false, "suffix" : "" }, { "dropping-particle" : "", "family" : "Romer", "given" : "Rolf L.", "non-dropping-particle" : "", "parse-names" : false, "suffix" : "" }, { "dropping-particle" : "", "family" : "Wirth", "given" : "Richard", "non-dropping-particle" : "", "parse-names" : false, "suffix" : "" }, { "dropping-particle" : "", "family" : "Heinrich", "given" : "Wilhelm", "non-dropping-particle" : "", "parse-names" : false, "suffix" : "" } ], "container-title" : "Lithos", "id" : "ITEM-1", "issue" : "3-4", "issued" : { "date-parts" : [ [ "2005" ] ] }, "page" : "206-216", "title" : "The geochemical cycle of boron: Constraints from boron isotope partitioning experiments between mica and fluid", "type" : "article-journal", "volume" : "84" }, "uris" : [ "http://www.mendeley.com/documents/?uuid=a550b27f-b759-47cd-8d15-7c79966ee99a" ] }, { "id" : "ITEM-2", "itemData" : { "DOI" : "10.1016/S0016-7037(01)00557-9", "ISBN" : "0016-7037", "ISSN" : "00167037", "abstract" : "Experiments were performed to measure the isotopic fractionation of boron between illite/smectite (I/S) clay minerals and water as a function of temperature (300?? and 350??C) and degree of illitization. Corresponding changes in the oxygen isotopes were monitored as an indication of the approach to equilibrium. The kinetics of the B-isotope exchange follows the mineralogical restructuring of smectite as it recrystallizes to illite. An initial decline in ??11BI/S occurs when the I/S is randomly ordered (RO). The ??11BI/S values reach a plateau during R1 ordering of the I/S, representing a metastable condition. The greatest change in ??11BI/S is observed during long-range (R3) ordering of the I/S when neoformation occurs. Values of ??11BI/S measured on the equilibrium reaction products were used to construct a B-isotope fraction curve. There is a linear correlation among data from these experiments and 1100??C basaltic melt-fluid fractionation experiments (Hervig and Moore, 2000) that can be extrapolated to include adsorption experiments at 25??C (Palmer et al., 1987). Unlike other stable isotopic systems (e.g., oxygen) there is no mineral-specific fractionation of B-isotopes, but rather a coordination dependence of the fractionation. Under diagenetic conditions B is predominantly in trigonal coordination in fluids but substitutes in tetrahedral sites of silicates. The preference of 10B for tetrahedral bonds is the major fractionating factor of B in silicates. Copyright ?? 2001 Elsevier Science Ltd.", "author" : [ { "dropping-particle" : "", "family" : "Williams", "given" : "Lynda B.", "non-dropping-particle" : "", "parse-names" : false, "suffix" : "" }, { "dropping-particle" : "", "family" : "Hervig", "given" : "Richard L.", "non-dropping-particle" : "", "parse-names" : false, "suffix" : "" }, { "dropping-particle" : "", "family" : "Holloway", "given" : "John R.", "non-dropping-particle" : "", "parse-names" : false, "suffix" : "" }, { "dropping-particle" : "", "family" : "Hutcheon", "given" : "Ian", "non-dropping-particle" : "", "parse-names" : false, "suffix" : "" } ], "container-title" : "Geochimica et Cosmochimica Acta", "id" : "ITEM-2", "issue" : "11", "issued" : { "date-parts" : [ [ "2001" ] ] }, "page" : "1769-1782", "title" : "Boron isotope geochemistry during diagenesis. Part I. Experimental determination of fractionation during illitization of smectite", "type" : "article-journal", "volume" : "65" }, "uris" : [ "http://www.mendeley.com/documents/?uuid=f43a922f-b5a8-43e2-9c5e-b2058843b297" ] }, { "id" : "ITEM-3",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"ITEM-3", "issue" : "5-6", "issued" : { "date-parts" : [ [ "2002" ] ] }, "page" : "769-774", "title" : "Isotopic and elemental partitioning of boron between hydrous fluid and silicate melt", "type" : "article-journal", "volume" : "87" }, "uris" : [ "http://www.mendeley.com/documents/?uuid=6b1d0590-ae63-44d0-990b-7cd3b5a05b06" ] } ], "mendeley" : { "formattedCitation" : "(Hervig et al., 2002; Williams et al., 2001a; Wunder et al., 2005)", "manualFormatting" : "Hervig et al. (2002), Williams et al. (2001a), and Wunder et al. (2005)", "plainTextFormattedCitation" : "(Hervig et al., 2002; Williams et al., 2001a; Wunder et al., 2005)", "previouslyFormattedCitation" : "(Hervig et al., 2002; Williams et al., 2001a; Wunder et al., 2005)" }, "properties" : { "noteIndex" : 0 }, "schema" : "https://github.com/citation-style-language/schema/raw/master/csl-citation.json" }</w:instrText>
                            </w:r>
                            <w:r w:rsidRPr="00FC1DA8">
                              <w:rPr>
                                <w:rFonts w:cs="Times New Roman"/>
                                <w:i w:val="0"/>
                                <w:sz w:val="24"/>
                                <w:szCs w:val="24"/>
                              </w:rPr>
                              <w:fldChar w:fldCharType="separate"/>
                            </w:r>
                            <w:r w:rsidRPr="00FC1DA8">
                              <w:rPr>
                                <w:rFonts w:cs="Times New Roman"/>
                                <w:i w:val="0"/>
                                <w:noProof/>
                                <w:sz w:val="24"/>
                                <w:szCs w:val="24"/>
                              </w:rPr>
                              <w:t>Hervig et al. (2002), Williams et al. (2001a), and Wunder et al. (2005)</w:t>
                            </w:r>
                            <w:r w:rsidRPr="00FC1DA8">
                              <w:rPr>
                                <w:rFonts w:cs="Times New Roman"/>
                                <w:i w:val="0"/>
                                <w:sz w:val="24"/>
                                <w:szCs w:val="24"/>
                              </w:rPr>
                              <w:fldChar w:fldCharType="end"/>
                            </w:r>
                            <w:r w:rsidRPr="00FC1DA8">
                              <w:rPr>
                                <w:rFonts w:cs="Times New Roman"/>
                                <w:i w:val="0"/>
                                <w:sz w:val="24"/>
                                <w:szCs w:val="24"/>
                              </w:rPr>
                              <w:t>. Error bars are 2σ standard errors propagated through the calculation of fractionation factors for melt-aqueous solution.</w:t>
                            </w:r>
                            <w:bookmarkEnd w:id="14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C5F4CA8" id="Text Box 48" o:spid="_x0000_s1054" type="#_x0000_t202" style="position:absolute;left:0;text-align:left;margin-left:0;margin-top:332.75pt;width:424.8pt;height:.05pt;z-index:25172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" stroked="f">
                <v:textbox style="mso-fit-shape-to-text:t" inset="0,0,0,0">
                  <w:txbxContent>
                    <w:p w:rsidR="006D3B9B" w:rsidRPr="00FC1DA8" w:rsidRDefault="006D3B9B" w:rsidP="00FC1DA8">
                      <w:pPr>
                        <w:pStyle w:val="Caption"/>
                        <w:rPr>
                          <w:rFonts w:cs="Times New Roman"/>
                          <w:i w:val="0"/>
                          <w:noProof/>
                          <w:sz w:val="24"/>
                          <w:szCs w:val="24"/>
                        </w:rPr>
                      </w:pPr>
                      <w:bookmarkStart w:id="149" w:name="_Toc490130654"/>
                      <w:r w:rsidRPr="00FC1DA8">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4</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3</w:t>
                      </w:r>
                      <w:r>
                        <w:rPr>
                          <w:b/>
                          <w:sz w:val="24"/>
                          <w:szCs w:val="24"/>
                        </w:rPr>
                        <w:fldChar w:fldCharType="end"/>
                      </w:r>
                      <w:r w:rsidRPr="00FC1DA8">
                        <w:rPr>
                          <w:rFonts w:cs="Times New Roman"/>
                          <w:i w:val="0"/>
                          <w:sz w:val="24"/>
                          <w:szCs w:val="24"/>
                        </w:rPr>
                        <w:t xml:space="preserve"> Boron isotopic fractionation factors (1000*lnα) from the current study plotted against reciprocal temperature (1000/T(K)). Data from ‘High B’ and ‘Low B’ experiments are plotted as open diamonds and solid circles, respectively. The solid square represents data from experiment CGB88, which used MAC glass (labeled as ‘MAC’ on the diagram). The dash-dot line is a linear regression through the ‘High B’ data, and the dotted line is a linear regression through the ‘Low B’ data. The solid black line is the ‘III-IV’ fractionation trend of </w:t>
                      </w:r>
                      <w:r w:rsidRPr="00FC1DA8">
                        <w:rPr>
                          <w:rFonts w:cs="Times New Roman"/>
                          <w:i w:val="0"/>
                          <w:sz w:val="24"/>
                          <w:szCs w:val="24"/>
                        </w:rPr>
                        <w:fldChar w:fldCharType="begin" w:fldLock="1"/>
                      </w:r>
                      <w:r w:rsidRPr="00FC1DA8">
                        <w:rPr>
                          <w:rFonts w:cs="Times New Roman"/>
                          <w:i w:val="0"/>
                          <w:sz w:val="24"/>
                          <w:szCs w:val="24"/>
                        </w:rPr>
                        <w:instrText>ADDIN CSL_CITATION { "citationItems" : [ { "id" : "ITEM-1", "itemData" : { "DOI" : "10.1016/j.lithos.2005.02.003", "ISBN" : "0024-4937", "ISSN" : "00244937", "abstract" : "The fractionation of boron isotopes between synthetic boromuscovite and fluid was experimentally determined at 3.0 GPa/500 \u00b0C and 3.0 GPa/700 \u00b0C. For near-neutral fluids Delta;11 B(mica-fluid) = \u03b411B(mica) - \u03b411B(fluid) is - 10.9 \u00b1 1.3\u2030 at 500 deg;C, and - 6.5 \u00b1 0.4\u2030 at 700 \u00b0C. This supports earlier assumptions that the main fractionation effect is due to the change from trigonal coordination of boron in neutral fluids to tetrahedrally coordinated boron in micas, clays and melts. The T-dependence of this effect is approximated by the equation \u039411B(mica,clay,melt-neutral-fluid) = - 10.69 \u00b7 (1000/T [K]) + 3.88; R2 = 0.992, valid from 25 \u00b0C for fluid-clay up to about 1000 \u00b0C for fluid-silicate melt. Experiments at 0.4 GPa that used strongly basic fluids produced significantly lower fractionations with \u039411 B(mica-fluid) of - 7.4 \u00b1 1.0\u2030 at 400 \u00b0C, and - 4.8 \u00b1 1.0\u2030 at 500 \u00b0C, showing the reduced fractionation effect when large amounts of boron in basic fluids are tetrahedrally coordinated. Field studies have shown that boron concentrations and 11B/10B-ratios in volcanic arcs systematically decrease across the arc with increasing distance from the trench, thus reflecting the thermal structure of the subducting slab. Our experiments show that the boron isotopic signature in volcanic arcs probably results from continuous dehydration of micas along a distinct P-T range. Continuous slab dehydration and boron transport via fluid into the mantle wedge is responsible for the boron isotopic signature in volcanic arcs. \u00a9 2005 Elsevier B.V. All rights reserved.", "author" : [ { "dropping-particle" : "", "family" : "Wunder", "given" : "Bernd", "non-dropping-particle" : "", "parse-names" : false, "suffix" : "" }, { "dropping-particle" : "", "family" : "Meixner", "given" : "Anette", "non-dropping-particle" : "", "parse-names" : false, "suffix" : "" }, { "dropping-particle" : "", "family" : "Romer", "given" : "Rolf L.", "non-dropping-particle" : "", "parse-names" : false, "suffix" : "" }, { "dropping-particle" : "", "family" : "Wirth", "given" : "Richard", "non-dropping-particle" : "", "parse-names" : false, "suffix" : "" }, { "dropping-particle" : "", "family" : "Heinrich", "given" : "Wilhelm", "non-dropping-particle" : "", "parse-names" : false, "suffix" : "" } ], "container-title" : "Lithos", "id" : "ITEM-1", "issue" : "3-4", "issued" : { "date-parts" : [ [ "2005" ] ] }, "page" : "206-216", "title" : "The geochemical cycle of boron: Constraints from boron isotope partitioning experiments between mica and fluid", "type" : "article-journal", "volume" : "84" }, "uris" : [ "http://www.mendeley.com/documents/?uuid=a550b27f-b759-47cd-8d15-7c79966ee99a" ] }, { "id" : "ITEM-2", "itemData" : { "DOI" : "10.1016/S0016-7037(01)00557-9", "ISBN" : "0016-7037", "ISSN" : "00167037", "abstract" : "Experiments were performed to measure the isotopic fractionation of boron between illite/smectite (I/S) clay minerals and water as a function of temperature (300?? and 350??C) and degree of illitization. Corresponding changes in the oxygen isotopes were monitored as an indication of the approach to equilibrium. The kinetics of the B-isotope exchange follows the mineralogical restructuring of smectite as it recrystallizes to illite. An initial decline in ??11BI/S occurs when the I/S is randomly ordered (RO). The ??11BI/S values reach a plateau during R1 ordering of the I/S, representing a metastable condition. The greatest change in ??11BI/S is observed during long-range (R3) ordering of the I/S when neoformation occurs. Values of ??11BI/S measured on the equilibrium reaction products were used to construct a B-isotope fraction curve. There is a linear correlation among data from these experiments and 1100??C basaltic melt-fluid fractionation experiments (Hervig and Moore, 2000) that can be extrapolated to include adsorption experiments at 25??C (Palmer et al., 1987). Unlike other stable isotopic systems (e.g., oxygen) there is no mineral-specific fractionation of B-isotopes, but rather a coordination dependence of the fractionation. Under diagenetic conditions B is predominantly in trigonal coordination in fluids but substitutes in tetrahedral sites of silicates. The preference of 10B for tetrahedral bonds is the major fractionating factor of B in silicates. Copyright ?? 2001 Elsevier Science Ltd.", "author" : [ { "dropping-particle" : "", "family" : "Williams", "given" : "Lynda B.", "non-dropping-particle" : "", "parse-names" : false, "suffix" : "" }, { "dropping-particle" : "", "family" : "Hervig", "given" : "Richard L.", "non-dropping-particle" : "", "parse-names" : false, "suffix" : "" }, { "dropping-particle" : "", "family" : "Holloway", "given" : "John R.", "non-dropping-particle" : "", "parse-names" : false, "suffix" : "" }, { "dropping-particle" : "", "family" : "Hutcheon", "given" : "Ian", "non-dropping-particle" : "", "parse-names" : false, "suffix" : "" } ], "container-title" : "Geochimica et Cosmochimica Acta", "id" : "ITEM-2", "issue" : "11", "issued" : { "date-parts" : [ [ "2001" ] ] }, "page" : "1769-1782", "title" : "Boron isotope geochemistry during diagenesis. Part I. Experimental determination of fractionation during illitization of smectite", "type" : "article-journal", "volume" : "65" }, "uris" : [ "http://www.mendeley.com/documents/?uuid=f43a922f-b5a8-43e2-9c5e-b2058843b297" ] }, { "id" : "ITEM-3",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"ITEM-3", "issue" : "5-6", "issued" : { "date-parts" : [ [ "2002" ] ] }, "page" : "769-774", "title" : "Isotopic and elemental partitioning of boron between hydrous fluid and silicate melt", "type" : "article-journal", "volume" : "87" }, "uris" : [ "http://www.mendeley.com/documents/?uuid=6b1d0590-ae63-44d0-990b-7cd3b5a05b06" ] } ], "mendeley" : { "formattedCitation" : "(Hervig et al., 2002; Williams et al., 2001a; Wunder et al., 2005)", "manualFormatting" : "Hervig et al. (2002), Williams et al. (2001a), and Wunder et al. (2005)", "plainTextFormattedCitation" : "(Hervig et al., 2002; Williams et al., 2001a; Wunder et al., 2005)", "previouslyFormattedCitation" : "(Hervig et al., 2002; Williams et al., 2001a; Wunder et al., 2005)" }, "properties" : { "noteIndex" : 0 }, "schema" : "https://github.com/citation-style-language/schema/raw/master/csl-citation.json" }</w:instrText>
                      </w:r>
                      <w:r w:rsidRPr="00FC1DA8">
                        <w:rPr>
                          <w:rFonts w:cs="Times New Roman"/>
                          <w:i w:val="0"/>
                          <w:sz w:val="24"/>
                          <w:szCs w:val="24"/>
                        </w:rPr>
                        <w:fldChar w:fldCharType="separate"/>
                      </w:r>
                      <w:r w:rsidRPr="00FC1DA8">
                        <w:rPr>
                          <w:rFonts w:cs="Times New Roman"/>
                          <w:i w:val="0"/>
                          <w:noProof/>
                          <w:sz w:val="24"/>
                          <w:szCs w:val="24"/>
                        </w:rPr>
                        <w:t>Hervig et al. (2002), Williams et al. (2001a), and Wunder et al. (2005)</w:t>
                      </w:r>
                      <w:r w:rsidRPr="00FC1DA8">
                        <w:rPr>
                          <w:rFonts w:cs="Times New Roman"/>
                          <w:i w:val="0"/>
                          <w:sz w:val="24"/>
                          <w:szCs w:val="24"/>
                        </w:rPr>
                        <w:fldChar w:fldCharType="end"/>
                      </w:r>
                      <w:r w:rsidRPr="00FC1DA8">
                        <w:rPr>
                          <w:rFonts w:cs="Times New Roman"/>
                          <w:i w:val="0"/>
                          <w:sz w:val="24"/>
                          <w:szCs w:val="24"/>
                        </w:rPr>
                        <w:t>. Error bars are 2σ standard errors propagated through the calculation of fractionation factors for melt-aqueous solution.</w:t>
                      </w:r>
                      <w:bookmarkEnd w:id="149"/>
                    </w:p>
                  </w:txbxContent>
                </v:textbox>
                <w10:wrap type="square"/>
              </v:shape>
            </w:pict>
          </mc:Fallback>
        </mc:AlternateContent>
      </w:r>
      <w:r>
        <w:rPr>
          <w:rFonts w:cs="Times New Roman"/>
          <w:noProof/>
        </w:rPr>
        <w:drawing>
          <wp:anchor distT="0" distB="0" distL="114300" distR="114300" simplePos="0" relativeHeight="251726848" behindDoc="0" locked="0" layoutInCell="1" allowOverlap="1">
            <wp:simplePos x="1917700" y="914400"/>
            <wp:positionH relativeFrom="margin">
              <wp:align>center</wp:align>
            </wp:positionH>
            <wp:positionV relativeFrom="margin">
              <wp:align>top</wp:align>
            </wp:positionV>
            <wp:extent cx="5394960" cy="4168775"/>
            <wp:effectExtent l="0" t="0" r="0" b="3175"/>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Fig 3.tif"/>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394960" cy="4168775"/>
                    </a:xfrm>
                    <a:prstGeom prst="rect">
                      <a:avLst/>
                    </a:prstGeom>
                  </pic:spPr>
                </pic:pic>
              </a:graphicData>
            </a:graphic>
          </wp:anchor>
        </w:drawing>
      </w:r>
    </w:p>
    <w:p w:rsidR="00DF0F96" w:rsidRDefault="00DF0F96" w:rsidP="00DF0F96">
      <w:r>
        <w:br w:type="page"/>
      </w:r>
    </w:p>
    <w:p w:rsidR="00DF0F96" w:rsidRDefault="00FC1DA8" w:rsidP="00380C49">
      <w:pPr>
        <w:spacing w:line="480" w:lineRule="auto"/>
        <w:ind w:firstLine="720"/>
        <w:rPr>
          <w:rFonts w:cs="Times New Roman"/>
        </w:rPr>
      </w:pPr>
      <w:r>
        <w:rPr>
          <w:noProof/>
        </w:rPr>
        <w:lastRenderedPageBreak/>
        <mc:AlternateContent>
          <mc:Choice Requires="wps">
            <w:drawing>
              <wp:anchor distT="0" distB="0" distL="114300" distR="114300" simplePos="0" relativeHeight="251731968" behindDoc="0" locked="0" layoutInCell="1" allowOverlap="1" wp14:anchorId="6D5B4F0F" wp14:editId="62F4E5FD">
                <wp:simplePos x="0" y="0"/>
                <wp:positionH relativeFrom="column">
                  <wp:posOffset>0</wp:posOffset>
                </wp:positionH>
                <wp:positionV relativeFrom="paragraph">
                  <wp:posOffset>4225925</wp:posOffset>
                </wp:positionV>
                <wp:extent cx="5394960" cy="635"/>
                <wp:effectExtent l="0" t="0" r="0" b="0"/>
                <wp:wrapSquare wrapText="bothSides"/>
                <wp:docPr id="50" name="Text Box 50"/>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rsidR="006D3B9B" w:rsidRPr="00FC1DA8" w:rsidRDefault="006D3B9B" w:rsidP="00FC1DA8">
                            <w:pPr>
                              <w:pStyle w:val="Caption"/>
                              <w:rPr>
                                <w:rFonts w:cs="Times New Roman"/>
                                <w:i w:val="0"/>
                                <w:noProof/>
                                <w:sz w:val="24"/>
                                <w:szCs w:val="24"/>
                              </w:rPr>
                            </w:pPr>
                            <w:bookmarkStart w:id="150" w:name="_Toc490130655"/>
                            <w:r w:rsidRPr="00FC1DA8">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4</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4</w:t>
                            </w:r>
                            <w:r>
                              <w:rPr>
                                <w:b/>
                                <w:sz w:val="24"/>
                                <w:szCs w:val="24"/>
                              </w:rPr>
                              <w:fldChar w:fldCharType="end"/>
                            </w:r>
                            <w:r w:rsidRPr="00FC1DA8">
                              <w:rPr>
                                <w:rFonts w:cs="Times New Roman"/>
                                <w:i w:val="0"/>
                                <w:sz w:val="24"/>
                                <w:szCs w:val="24"/>
                              </w:rPr>
                              <w:t xml:space="preserve"> Comparison of boron isotopic fractionation factors (1000*lnα) measured in this and other studies plotted against reciprocal temperature (1000/T(K)). Data from other studies includes tourmaline-aqueous solution </w:t>
                            </w:r>
                            <w:r w:rsidRPr="00FC1DA8">
                              <w:rPr>
                                <w:rFonts w:cs="Times New Roman"/>
                                <w:i w:val="0"/>
                                <w:sz w:val="24"/>
                                <w:szCs w:val="24"/>
                              </w:rPr>
                              <w:fldChar w:fldCharType="begin" w:fldLock="1"/>
                            </w:r>
                            <w:r w:rsidRPr="00FC1DA8">
                              <w:rPr>
                                <w:rFonts w:cs="Times New Roman"/>
                                <w:i w:val="0"/>
                                <w:sz w:val="24"/>
                                <w:szCs w:val="24"/>
                              </w:rPr>
                              <w:instrText>ADDIN CSL_CITATION { "citationItems" : [ { "id" : "ITEM-1", "itemData" : { "DOI" : "http://dx.doi.org/10.1016/0009-2541(92)90209-N", "ISBN" : "0168-9622", "ISSN" : "00092541", "abstract" : "The extent of boron isotope fractionation between tourmaline and aqueous vapor has been determined over theP-T range 50-200 MPa and 350-750\u00b0C. The results show that the extent of fractionation is inversely dependent on temperature. An unusual feature of the reaction is that the isotope fractionation is less of extensive at higher pressures for an equivalent temperature. Due to its refractory nature the experiments involved synthesis of tourmaline from constituents rather than equilibration of the preformed mineral with an isotopically distinct aqueous phase. For this reason we cannot, as yet, be certain whether the pressure effect is the result of equilibrium or kinetic processes.", "author" : [ { "dropping-particle" : "", "family" : "Palmer", "given" : "MR", "non-dropping-particle" : "", "parse-names" : false, "suffix" : "" }, { "dropping-particle" : "", "family" : "London", "given" : "D", "non-dropping-particle" : "", "parse-names" : false, "suffix" : "" }, { "dropping-particle" : "", "family" : "Morgan VI", "given" : "GB", "non-dropping-particle" : "", "parse-names" : false, "suffix" : "" }, { "dropping-particle" : "", "family" : "Babb", "given" : "HA", "non-dropping-particle" : "", "parse-names" : false, "suffix" : "" } ], "container-title" : "Chemical Geology", "id" : "ITEM-1", "issued" : { "date-parts" : [ [ "1992" ] ] }, "page" : "123-129", "title" : "Experimental determination of fractionation of 11B/10B between tourmaline and aqueous vapor: A temperature- and pressure-dependent isotopic system", "type" : "article-journal", "volume" : "101" }, "uris" : [ "http://www.mendeley.com/documents/?uuid=551614f3-36a5-485e-9b7a-dec99baa6926" ] }, { "id" : "ITEM-2", "itemData" : { "DOI" : "10.1007/s00410-008-0285-1", "ISBN" : "0010-7999", "ISSN" : "00107999", "abstract" : "The fractionation of boron isotopes between synthetic dravitic tourmaline and fluid was determined by hydrothermal experiments between 400 and 700 degrees C at 200 MPa and at 500 degrees C, 500 MPa. Tourmaline was crystallized from an oxide mix in presence of water that contained boron in excess. In one series of experiments, [B](fluid)/[B](tour) was 9 after the run; in another series it was 0.1. All experiments produced tourmaline as the sole boron-bearing solid, along with traces of quartz and talc. Powder XRD and Rietveld refinements revealed no significant amounts of tetrahedrally coordinated boron in tourmaline. B-11 always preferentially fractionated into the fluid. For experiments where [B](fluid)/[B](tour) was 9, a consistent temperature-dependent boron isotope fractionation curve resulted, approximated by Delta B-11((tour-fluid)) = -4.20 . [1,000/T (K)] + 3.52; R-2 = 0.77, and valid from 400 to 700 degrees C. No pressure dependence was observed. The fractionation (-2.7 +/- 0.5 parts per thousand at 400 degrees C; and -0.8 +/- 0.5 parts per thousand at 700 degrees C) is much lower than that previously presented by Palmer et al. (1992). Experiments where [B](fluid)/[B](tour) was 0.1 showed a significant larger apparent fractionation of up to -4.7 parts per thousand. In one of these runs, the isotopic composition of handpicked tourmaline crystals of different size varied by 1.3%. This is interpreted as resulting from fractional crystallization of boron isotopes during tourmaline growth due to the small boron reservoir of the fluid relative to tourmaline, thus indicating larger fractionation than observed at equilibrium. The effect is eliminated or minimized in experiments with very high boron excess in the fluid. We therefore suggest that values given by the above relation represent the true equilibrium fractionations.", "author" : [ { "dropping-particle" : "", "family" : "Meyer", "given" : "Christian", "non-dropping-particle" : "", "parse-names" : false, "suffix" : "" }, { "dropping-particle" : "", "family" : "Wunder", "given" : "Bernd", "non-dropping-particle" : "", "parse-names" : false, "suffix" : "" }, { "dropping-particle" : "", "family" : "Meixner", "given" : "Anette", "non-dropping-particle" : "", "parse-names" : false, "suffix" : "" }, { "dropping-particle" : "", "family" : "Romer", "given" : "Rolf L.", "non-dropping-particle" : "", "parse-names" : false, "suffix" : "" }, { "dropping-particle" : "", "family" : "Heinrich", "given" : "Wilhelm", "non-dropping-particle" : "", "parse-names" : false, "suffix" : "" } ], "container-title" : "Contributions to Mineralogy and Petrology", "id" : "ITEM-2", "issue" : "2", "issued" : { "date-parts" : [ [ "2008" ] ] }, "page" : "259-267", "title" : "Boron-isotope fractionation between tourmaline and fluid: An experimental re-investigation", "type" : "article-journal", "volume" : "156" }, "uris" : [ "http://www.mendeley.com/documents/?uuid=02c37c62-9b3e-4dfe-99ce-a807defc9a6f" ] } ], "mendeley" : { "formattedCitation" : "(Meyer et al., 2008; Palmer et al., 1992)", "manualFormatting" : "(Meyer et al., 2008: solid black line; Palmer et al., 1992: dashed line (200 MPa) and dash-dot line (100 MPa))", "plainTextFormattedCitation" : "(Meyer et al., 2008; Palmer et al., 1992)", "previouslyFormattedCitation" : "(Meyer et al., 2008; Palmer et al., 1992)" }, "properties" : { "noteIndex" : 0 }, "schema" : "https://github.com/citation-style-language/schema/raw/master/csl-citation.json" }</w:instrText>
                            </w:r>
                            <w:r w:rsidRPr="00FC1DA8">
                              <w:rPr>
                                <w:rFonts w:cs="Times New Roman"/>
                                <w:i w:val="0"/>
                                <w:sz w:val="24"/>
                                <w:szCs w:val="24"/>
                              </w:rPr>
                              <w:fldChar w:fldCharType="separate"/>
                            </w:r>
                            <w:r w:rsidRPr="00FC1DA8">
                              <w:rPr>
                                <w:rFonts w:cs="Times New Roman"/>
                                <w:i w:val="0"/>
                                <w:noProof/>
                                <w:sz w:val="24"/>
                                <w:szCs w:val="24"/>
                              </w:rPr>
                              <w:t>(Meyer et al., 2008: solid black line; Palmer et al., 1992: dashed line (200 MPa) and dash-dot line (100 MPa))</w:t>
                            </w:r>
                            <w:r w:rsidRPr="00FC1DA8">
                              <w:rPr>
                                <w:rFonts w:cs="Times New Roman"/>
                                <w:i w:val="0"/>
                                <w:sz w:val="24"/>
                                <w:szCs w:val="24"/>
                              </w:rPr>
                              <w:fldChar w:fldCharType="end"/>
                            </w:r>
                            <w:r w:rsidRPr="00FC1DA8">
                              <w:rPr>
                                <w:rFonts w:cs="Times New Roman"/>
                                <w:i w:val="0"/>
                                <w:sz w:val="24"/>
                                <w:szCs w:val="24"/>
                              </w:rPr>
                              <w:t xml:space="preserve">, boromuscovite-aqueous solution </w:t>
                            </w:r>
                            <w:r w:rsidRPr="00FC1DA8">
                              <w:rPr>
                                <w:rFonts w:cs="Times New Roman"/>
                                <w:i w:val="0"/>
                                <w:sz w:val="24"/>
                                <w:szCs w:val="24"/>
                              </w:rPr>
                              <w:fldChar w:fldCharType="begin" w:fldLock="1"/>
                            </w:r>
                            <w:r w:rsidRPr="00FC1DA8">
                              <w:rPr>
                                <w:rFonts w:cs="Times New Roman"/>
                                <w:i w:val="0"/>
                                <w:sz w:val="24"/>
                                <w:szCs w:val="24"/>
                              </w:rPr>
                              <w:instrText>ADDIN CSL_CITATION { "citationItems" : [ { "id" : "ITEM-1", "itemData" : { "DOI" : "10.1016/j.lithos.2005.02.003", "ISBN" : "0024-4937", "ISSN" : "00244937", "abstract" : "The fractionation of boron isotopes between synthetic boromuscovite and fluid was experimentally determined at 3.0 GPa/500 \u00b0C and 3.0 GPa/700 \u00b0C. For near-neutral fluids Delta;11 B(mica-fluid) = \u03b411B(mica) - \u03b411B(fluid) is - 10.9 \u00b1 1.3\u2030 at 500 deg;C, and - 6.5 \u00b1 0.4\u2030 at 700 \u00b0C. This supports earlier assumptions that the main fractionation effect is due to the change from trigonal coordination of boron in neutral fluids to tetrahedrally coordinated boron in micas, clays and melts. The T-dependence of this effect is approximated by the equation \u039411B(mica,clay,melt-neutral-fluid) = - 10.69 \u00b7 (1000/T [K]) + 3.88; R2 = 0.992, valid from 25 \u00b0C for fluid-clay up to about 1000 \u00b0C for fluid-silicate melt. Experiments at 0.4 GPa that used strongly basic fluids produced significantly lower fractionations with \u039411 B(mica-fluid) of - 7.4 \u00b1 1.0\u2030 at 400 \u00b0C, and - 4.8 \u00b1 1.0\u2030 at 500 \u00b0C, showing the reduced fractionation effect when large amounts of boron in basic fluids are tetrahedrally coordinated. Field studies have shown that boron concentrations and 11B/10B-ratios in volcanic arcs systematically decrease across the arc with increasing distance from the trench, thus reflecting the thermal structure of the subducting slab. Our experiments show that the boron isotopic signature in volcanic arcs probably results from continuous dehydration of micas along a distinct P-T range. Continuous slab dehydration and boron transport via fluid into the mantle wedge is responsible for the boron isotopic signature in volcanic arcs. \u00a9 2005 Elsevier B.V. All rights reserved.", "author" : [ { "dropping-particle" : "", "family" : "Wunder", "given" : "Bernd", "non-dropping-particle" : "", "parse-names" : false, "suffix" : "" }, { "dropping-particle" : "", "family" : "Meixner", "given" : "Anette", "non-dropping-particle" : "", "parse-names" : false, "suffix" : "" }, { "dropping-particle" : "", "family" : "Romer", "given" : "Rolf L.", "non-dropping-particle" : "", "parse-names" : false, "suffix" : "" }, { "dropping-particle" : "", "family" : "Wirth", "given" : "Richard", "non-dropping-particle" : "", "parse-names" : false, "suffix" : "" }, { "dropping-particle" : "", "family" : "Heinrich", "given" : "Wilhelm", "non-dropping-particle" : "", "parse-names" : false, "suffix" : "" } ], "container-title" : "Lithos", "id" : "ITEM-1", "issue" : "3-4", "issued" : { "date-parts" : [ [ "2005" ] ] }, "page" : "206-216", "title" : "The geochemical cycle of boron: Constraints from boron isotope partitioning experiments between mica and fluid", "type" : "article-journal", "volume" : "84" }, "uris" : [ "http://www.mendeley.com/documents/?uuid=a550b27f-b759-47cd-8d15-7c79966ee99a" ] } ], "mendeley" : { "formattedCitation" : "(Wunder et al., 2005)", "manualFormatting" : "(Wunder et al., 2005: open triangles (basic fluid) and solid triangles (neutral and acidic fluid))", "plainTextFormattedCitation" : "(Wunder et al., 2005)", "previouslyFormattedCitation" : "(Wunder et al., 2005)" }, "properties" : { "noteIndex" : 0 }, "schema" : "https://github.com/citation-style-language/schema/raw/master/csl-citation.json" }</w:instrText>
                            </w:r>
                            <w:r w:rsidRPr="00FC1DA8">
                              <w:rPr>
                                <w:rFonts w:cs="Times New Roman"/>
                                <w:i w:val="0"/>
                                <w:sz w:val="24"/>
                                <w:szCs w:val="24"/>
                              </w:rPr>
                              <w:fldChar w:fldCharType="separate"/>
                            </w:r>
                            <w:r w:rsidRPr="00FC1DA8">
                              <w:rPr>
                                <w:rFonts w:cs="Times New Roman"/>
                                <w:i w:val="0"/>
                                <w:noProof/>
                                <w:sz w:val="24"/>
                                <w:szCs w:val="24"/>
                              </w:rPr>
                              <w:t>(Wunder et al., 2005: open triangles (basic fluid) and solid triangles (neutral and acidic fluid))</w:t>
                            </w:r>
                            <w:r w:rsidRPr="00FC1DA8">
                              <w:rPr>
                                <w:rFonts w:cs="Times New Roman"/>
                                <w:i w:val="0"/>
                                <w:sz w:val="24"/>
                                <w:szCs w:val="24"/>
                              </w:rPr>
                              <w:fldChar w:fldCharType="end"/>
                            </w:r>
                            <w:r w:rsidRPr="00FC1DA8">
                              <w:rPr>
                                <w:rFonts w:cs="Times New Roman"/>
                                <w:i w:val="0"/>
                                <w:sz w:val="24"/>
                                <w:szCs w:val="24"/>
                              </w:rPr>
                              <w:t xml:space="preserve">, illite-aqueous solution </w:t>
                            </w:r>
                            <w:r w:rsidRPr="00FC1DA8">
                              <w:rPr>
                                <w:rFonts w:cs="Times New Roman"/>
                                <w:i w:val="0"/>
                                <w:sz w:val="24"/>
                                <w:szCs w:val="24"/>
                              </w:rPr>
                              <w:fldChar w:fldCharType="begin" w:fldLock="1"/>
                            </w:r>
                            <w:r w:rsidRPr="00FC1DA8">
                              <w:rPr>
                                <w:rFonts w:cs="Times New Roman"/>
                                <w:i w:val="0"/>
                                <w:sz w:val="24"/>
                                <w:szCs w:val="24"/>
                              </w:rPr>
                              <w:instrText>ADDIN CSL_CITATION { "citationItems" : [ { "id" : "ITEM-1", "itemData" : { "DOI" : "10.1016/S0016-7037(01)00557-9", "ISBN" : "0016-7037", "ISSN" : "00167037", "abstract" : "Experiments were performed to measure the isotopic fractionation of boron between illite/smectite (I/S) clay minerals and water as a function of temperature (300?? and 350??C) and degree of illitization. Corresponding changes in the oxygen isotopes were monitored as an indication of the approach to equilibrium. The kinetics of the B-isotope exchange follows the mineralogical restructuring of smectite as it recrystallizes to illite. An initial decline in ??11BI/S occurs when the I/S is randomly ordered (RO). The ??11BI/S values reach a plateau during R1 ordering of the I/S, representing a metastable condition. The greatest change in ??11BI/S is observed during long-range (R3) ordering of the I/S when neoformation occurs. Values of ??11BI/S measured on the equilibrium reaction products were used to construct a B-isotope fraction curve. There is a linear correlation among data from these experiments and 1100??C basaltic melt-fluid fractionation experiments (Hervig and Moore, 2000) that can be extrapolated to include adsorption experiments at 25??C (Palmer et al., 1987). Unlike other stable isotopic systems (e.g., oxygen) there is no mineral-specific fractionation of B-isotopes, but rather a coordination dependence of the fractionation. Under diagenetic conditions B is predominantly in trigonal coordination in fluids but substitutes in tetrahedral sites of silicates. The preference of 10B for tetrahedral bonds is the major fractionating factor of B in silicates. Copyright ?? 2001 Elsevier Science Ltd.", "author" : [ { "dropping-particle" : "", "family" : "Williams", "given" : "Lynda B.", "non-dropping-particle" : "", "parse-names" : false, "suffix" : "" }, { "dropping-particle" : "", "family" : "Hervig", "given" : "Richard L.", "non-dropping-particle" : "", "parse-names" : false, "suffix" : "" }, { "dropping-particle" : "", "family" : "Holloway", "given" : "John R.", "non-dropping-particle" : "", "parse-names" : false, "suffix" : "" }, { "dropping-particle" : "", "family" : "Hutcheon", "given" : "Ian", "non-dropping-particle" : "", "parse-names" : false, "suffix" : "" } ], "container-title" : "Geochimica et Cosmochimica Acta", "id" : "ITEM-1", "issue" : "11", "issued" : { "date-parts" : [ [ "2001" ] ] }, "page" : "1769-1782", "title" : "Boron isotope geochemistry during diagenesis. Part I. Experimental determination of fractionation during illitization of smectite", "type" : "article-journal", "volume" : "65" }, "uris" : [ "http://www.mendeley.com/documents/?uuid=f43a922f-b5a8-43e2-9c5e-b2058843b297" ] } ], "mendeley" : { "formattedCitation" : "(Williams et al., 2001a)", "manualFormatting" : "(Williams et al., 2001a: black squares with white asterix in center)", "plainTextFormattedCitation" : "(Williams et al., 2001a)", "previouslyFormattedCitation" : "(Williams et al., 2001a)" }, "properties" : { "noteIndex" : 0 }, "schema" : "https://github.com/citation-style-language/schema/raw/master/csl-citation.json" }</w:instrText>
                            </w:r>
                            <w:r w:rsidRPr="00FC1DA8">
                              <w:rPr>
                                <w:rFonts w:cs="Times New Roman"/>
                                <w:i w:val="0"/>
                                <w:sz w:val="24"/>
                                <w:szCs w:val="24"/>
                              </w:rPr>
                              <w:fldChar w:fldCharType="separate"/>
                            </w:r>
                            <w:r w:rsidRPr="00FC1DA8">
                              <w:rPr>
                                <w:rFonts w:cs="Times New Roman"/>
                                <w:i w:val="0"/>
                                <w:noProof/>
                                <w:sz w:val="24"/>
                                <w:szCs w:val="24"/>
                              </w:rPr>
                              <w:t>(Williams et al., 2001a: black squares with white asterix in center)</w:t>
                            </w:r>
                            <w:r w:rsidRPr="00FC1DA8">
                              <w:rPr>
                                <w:rFonts w:cs="Times New Roman"/>
                                <w:i w:val="0"/>
                                <w:sz w:val="24"/>
                                <w:szCs w:val="24"/>
                              </w:rPr>
                              <w:fldChar w:fldCharType="end"/>
                            </w:r>
                            <w:r w:rsidRPr="00FC1DA8">
                              <w:rPr>
                                <w:rFonts w:cs="Times New Roman"/>
                                <w:i w:val="0"/>
                                <w:sz w:val="24"/>
                                <w:szCs w:val="24"/>
                              </w:rPr>
                              <w:t xml:space="preserve">, and melt-aqueous solution </w:t>
                            </w:r>
                            <w:r w:rsidRPr="00FC1DA8">
                              <w:rPr>
                                <w:rFonts w:cs="Times New Roman"/>
                                <w:i w:val="0"/>
                                <w:sz w:val="24"/>
                                <w:szCs w:val="24"/>
                              </w:rPr>
                              <w:fldChar w:fldCharType="begin" w:fldLock="1"/>
                            </w:r>
                            <w:r w:rsidRPr="00FC1DA8">
                              <w:rPr>
                                <w:rFonts w:cs="Times New Roman"/>
                                <w:i w:val="0"/>
                                <w:sz w:val="24"/>
                                <w:szCs w:val="24"/>
                              </w:rPr>
                              <w:instrText>ADDIN CSL_CITATION { "citationItems" : [ { "id" : "ITEM-1",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"ITEM-1", "issue" : "5-6", "issued" : { "date-parts" : [ [ "2002" ] ] }, "page" : "769-774", "title" : "Isotopic and elemental partitioning of boron between hydrous fluid and silicate melt", "type" : "article-journal", "volume" : "87" }, "uris" : [ "http://www.mendeley.com/documents/?uuid=6b1d0590-ae63-44d0-990b-7cd3b5a05b06" ] } ], "mendeley" : { "formattedCitation" : "(Hervig et al., 2002)", "manualFormatting" : "(Hervig et al., 2002: solid squares (MAC) and open squares (basalt))", "plainTextFormattedCitation" : "(Hervig et al., 2002)", "previouslyFormattedCitation" : "(Hervig et al., 2002)" }, "properties" : { "noteIndex" : 0 }, "schema" : "https://github.com/citation-style-language/schema/raw/master/csl-citation.json" }</w:instrText>
                            </w:r>
                            <w:r w:rsidRPr="00FC1DA8">
                              <w:rPr>
                                <w:rFonts w:cs="Times New Roman"/>
                                <w:i w:val="0"/>
                                <w:sz w:val="24"/>
                                <w:szCs w:val="24"/>
                              </w:rPr>
                              <w:fldChar w:fldCharType="separate"/>
                            </w:r>
                            <w:r w:rsidRPr="00FC1DA8">
                              <w:rPr>
                                <w:rFonts w:cs="Times New Roman"/>
                                <w:i w:val="0"/>
                                <w:noProof/>
                                <w:sz w:val="24"/>
                                <w:szCs w:val="24"/>
                              </w:rPr>
                              <w:t>(Hervig et al., 2002: solid squares (MAC) and open squares (basalt))</w:t>
                            </w:r>
                            <w:r w:rsidRPr="00FC1DA8">
                              <w:rPr>
                                <w:rFonts w:cs="Times New Roman"/>
                                <w:i w:val="0"/>
                                <w:sz w:val="24"/>
                                <w:szCs w:val="24"/>
                              </w:rPr>
                              <w:fldChar w:fldCharType="end"/>
                            </w:r>
                            <w:r w:rsidRPr="00FC1DA8">
                              <w:rPr>
                                <w:rFonts w:cs="Times New Roman"/>
                                <w:i w:val="0"/>
                                <w:sz w:val="24"/>
                                <w:szCs w:val="24"/>
                              </w:rPr>
                              <w:t xml:space="preserve">. Open circles (‘High B’), solid circles (‘Low B’), open diamond (MAC230), and solid diamond (CGB88: using MAC glass) are from the current study. It is clear that the data from the current study plots, mostly, along a line through the data of </w:t>
                            </w:r>
                            <w:r w:rsidRPr="00FC1DA8">
                              <w:rPr>
                                <w:rFonts w:cs="Times New Roman"/>
                                <w:i w:val="0"/>
                                <w:sz w:val="24"/>
                                <w:szCs w:val="24"/>
                              </w:rPr>
                              <w:fldChar w:fldCharType="begin" w:fldLock="1"/>
                            </w:r>
                            <w:r w:rsidRPr="00FC1DA8">
                              <w:rPr>
                                <w:rFonts w:cs="Times New Roman"/>
                                <w:i w:val="0"/>
                                <w:sz w:val="24"/>
                                <w:szCs w:val="24"/>
                              </w:rPr>
                              <w:instrText>ADDIN CSL_CITATION { "citationItems" : [ { "id" : "ITEM-1",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"ITEM-1", "issue" : "5-6", "issued" : { "date-parts" : [ [ "2002" ] ] }, "page" : "769-774", "title" : "Isotopic and elemental partitioning of boron between hydrous fluid and silicate melt", "type" : "article-journal", "volume" : "87" }, "uris" : [ "http://www.mendeley.com/documents/?uuid=6b1d0590-ae63-44d0-990b-7cd3b5a05b06" ] }, { "id" : "ITEM-2", "itemData" : { "DOI" : "10.1016/j.lithos.2005.02.003", "ISBN" : "0024-4937", "ISSN" : "00244937", "abstract" : "The fractionation of boron isotopes between synthetic boromuscovite and fluid was experimentally determined at 3.0 GPa/500 \u00b0C and 3.0 GPa/700 \u00b0C. For near-neutral fluids Delta;11 B(mica-fluid) = \u03b411B(mica) - \u03b411B(fluid) is - 10.9 \u00b1 1.3\u2030 at 500 deg;C, and - 6.5 \u00b1 0.4\u2030 at 700 \u00b0C. This supports earlier assumptions that the main fractionation effect is due to the change from trigonal coordination of boron in neutral fluids to tetrahedrally coordinated boron in micas, clays and melts. The T-dependence of this effect is approximated by the equation \u039411B(mica,clay,melt-neutral-fluid) = - 10.69 \u00b7 (1000/T [K]) + 3.88; R2 = 0.992, valid from 25 \u00b0C for fluid-clay up to about 1000 \u00b0C for fluid-silicate melt. Experiments at 0.4 GPa that used strongly basic fluids produced significantly lower fractionations with \u039411 B(mica-fluid) of - 7.4 \u00b1 1.0\u2030 at 400 \u00b0C, and - 4.8 \u00b1 1.0\u2030 at 500 \u00b0C, showing the reduced fractionation effect when large amounts of boron in basic fluids are tetrahedrally coordinated. Field studies have shown that boron concentrations and 11B/10B-ratios in volcanic arcs systematically decrease across the arc with increasing distance from the trench, thus reflecting the thermal structure of the subducting slab. Our experiments show that the boron isotopic signature in volcanic arcs probably results from continuous dehydration of micas along a distinct P-T range. Continuous slab dehydration and boron transport via fluid into the mantle wedge is responsible for the boron isotopic signature in volcanic arcs. \u00a9 2005 Elsevier B.V. All rights reserved.", "author" : [ { "dropping-particle" : "", "family" : "Wunder", "given" : "Bernd", "non-dropping-particle" : "", "parse-names" : false, "suffix" : "" }, { "dropping-particle" : "", "family" : "Meixner", "given" : "Anette", "non-dropping-particle" : "", "parse-names" : false, "suffix" : "" }, { "dropping-particle" : "", "family" : "Romer", "given" : "Rolf L.", "non-dropping-particle" : "", "parse-names" : false, "suffix" : "" }, { "dropping-particle" : "", "family" : "Wirth", "given" : "Richard", "non-dropping-particle" : "", "parse-names" : false, "suffix" : "" }, { "dropping-particle" : "", "family" : "Heinrich", "given" : "Wilhelm", "non-dropping-particle" : "", "parse-names" : false, "suffix" : "" } ], "container-title" : "Lithos", "id" : "ITEM-2", "issue" : "3-4", "issued" : { "date-parts" : [ [ "2005" ] ] }, "page" : "206-216", "title" : "The geochemical cycle of boron: Constraints from boron isotope partitioning experiments between mica and fluid", "type" : "article-journal", "volume" : "84" }, "uris" : [ "http://www.mendeley.com/documents/?uuid=a550b27f-b759-47cd-8d15-7c79966ee99a" ] }, { "id" : "ITEM-3", "itemData" : { "DOI" : "10.1016/S0016-7037(01)00557-9", "ISBN" : "0016-7037", "ISSN" : "00167037", "abstract" : "Experiments were performed to measure the isotopic fractionation of boron between illite/smectite (I/S) clay minerals and water as a function of temperature (300?? and 350??C) and degree of illitization. Corresponding changes in the oxygen isotopes were monitored as an indication of the approach to equilibrium. The kinetics of the B-isotope exchange follows the mineralogical restructuring of smectite as it recrystallizes to illite. An initial decline in ??11BI/S occurs when the I/S is randomly ordered (RO). The ??11BI/S values reach a plateau during R1 ordering of the I/S, representing a metastable condition. The greatest change in ??11BI/S is observed during long-range (R3) ordering of the I/S when neoformation occurs. Values of ??11BI/S measured on the equilibrium reaction products were used to construct a B-isotope fraction curve. There is a linear correlation among data from these experiments and 1100??C basaltic melt-fluid fractionation experiments (Hervig and Moore, 2000) that can be extrapolated to include adsorption experiments at 25??C (Palmer et al., 1987). Unlike other stable isotopic systems (e.g., oxygen) there is no mineral-specific fractionation of B-isotopes, but rather a coordination dependence of the fractionation. Under diagenetic conditions B is predominantly in trigonal coordination in fluids but substitutes in tetrahedral sites of silicates. The preference of 10B for tetrahedral bonds is the major fractionating factor of B in silicates. Copyright ?? 2001 Elsevier Science Ltd.", "author" : [ { "dropping-particle" : "", "family" : "Williams", "given" : "Lynda B.", "non-dropping-particle" : "", "parse-names" : false, "suffix" : "" }, { "dropping-particle" : "", "family" : "Hervig", "given" : "Richard L.", "non-dropping-particle" : "", "parse-names" : false, "suffix" : "" }, { "dropping-particle" : "", "family" : "Holloway", "given" : "John R.", "non-dropping-particle" : "", "parse-names" : false, "suffix" : "" }, { "dropping-particle" : "", "family" : "Hutcheon", "given" : "Ian", "non-dropping-particle" : "", "parse-names" : false, "suffix" : "" } ], "container-title" : "Geochimica et Cosmochimica Acta", "id" : "ITEM-3", "issue" : "11", "issued" : { "date-parts" : [ [ "2001" ] ] }, "page" : "1769-1782", "title" : "Boron isotope geochemistry during diagenesis. Part I. Experimental determination of fractionation during illitization of smectite", "type" : "article-journal", "volume" : "65" }, "uris" : [ "http://www.mendeley.com/documents/?uuid=f43a922f-b5a8-43e2-9c5e-b2058843b297" ] } ], "mendeley" : { "formattedCitation" : "(Hervig et al., 2002; Williams et al., 2001a; Wunder et al., 2005)", "manualFormatting" : "Hervig et al. (2002), Williams et al. (2001a), and Wunder et al. (2005)", "plainTextFormattedCitation" : "(Hervig et al., 2002; Williams et al., 2001a; Wunder et al., 2005)", "previouslyFormattedCitation" : "(Hervig et al., 2002; Williams et al., 2001a; Wunder et al., 2005)" }, "properties" : { "noteIndex" : 0 }, "schema" : "https://github.com/citation-style-language/schema/raw/master/csl-citation.json" }</w:instrText>
                            </w:r>
                            <w:r w:rsidRPr="00FC1DA8">
                              <w:rPr>
                                <w:rFonts w:cs="Times New Roman"/>
                                <w:i w:val="0"/>
                                <w:sz w:val="24"/>
                                <w:szCs w:val="24"/>
                              </w:rPr>
                              <w:fldChar w:fldCharType="separate"/>
                            </w:r>
                            <w:r w:rsidRPr="00FC1DA8">
                              <w:rPr>
                                <w:rFonts w:cs="Times New Roman"/>
                                <w:i w:val="0"/>
                                <w:noProof/>
                                <w:sz w:val="24"/>
                                <w:szCs w:val="24"/>
                              </w:rPr>
                              <w:t>Hervig et al. (2002), Williams et al. (2001a), and Wunder et al. (2005)</w:t>
                            </w:r>
                            <w:r w:rsidRPr="00FC1DA8">
                              <w:rPr>
                                <w:rFonts w:cs="Times New Roman"/>
                                <w:i w:val="0"/>
                                <w:sz w:val="24"/>
                                <w:szCs w:val="24"/>
                              </w:rPr>
                              <w:fldChar w:fldCharType="end"/>
                            </w:r>
                            <w:r w:rsidRPr="00FC1DA8">
                              <w:rPr>
                                <w:rFonts w:cs="Times New Roman"/>
                                <w:i w:val="0"/>
                                <w:sz w:val="24"/>
                                <w:szCs w:val="24"/>
                              </w:rPr>
                              <w:t>. Error bars represent 2σ standard errors propagated through the calculation of isotopic fractionation factors.</w:t>
                            </w:r>
                            <w:bookmarkEnd w:id="15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D5B4F0F" id="Text Box 50" o:spid="_x0000_s1055" type="#_x0000_t202" style="position:absolute;left:0;text-align:left;margin-left:0;margin-top:332.75pt;width:424.8pt;height:.05pt;z-index:251731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" stroked="f">
                <v:textbox style="mso-fit-shape-to-text:t" inset="0,0,0,0">
                  <w:txbxContent>
                    <w:p w:rsidR="006D3B9B" w:rsidRPr="00FC1DA8" w:rsidRDefault="006D3B9B" w:rsidP="00FC1DA8">
                      <w:pPr>
                        <w:pStyle w:val="Caption"/>
                        <w:rPr>
                          <w:rFonts w:cs="Times New Roman"/>
                          <w:i w:val="0"/>
                          <w:noProof/>
                          <w:sz w:val="24"/>
                          <w:szCs w:val="24"/>
                        </w:rPr>
                      </w:pPr>
                      <w:bookmarkStart w:id="151" w:name="_Toc490130655"/>
                      <w:r w:rsidRPr="00FC1DA8">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4</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4</w:t>
                      </w:r>
                      <w:r>
                        <w:rPr>
                          <w:b/>
                          <w:sz w:val="24"/>
                          <w:szCs w:val="24"/>
                        </w:rPr>
                        <w:fldChar w:fldCharType="end"/>
                      </w:r>
                      <w:r w:rsidRPr="00FC1DA8">
                        <w:rPr>
                          <w:rFonts w:cs="Times New Roman"/>
                          <w:i w:val="0"/>
                          <w:sz w:val="24"/>
                          <w:szCs w:val="24"/>
                        </w:rPr>
                        <w:t xml:space="preserve"> Comparison of boron isotopic fractionation factors (1000*lnα) measured in this and other studies plotted against reciprocal temperature (1000/T(K)). Data from other studies includes tourmaline-aqueous solution </w:t>
                      </w:r>
                      <w:r w:rsidRPr="00FC1DA8">
                        <w:rPr>
                          <w:rFonts w:cs="Times New Roman"/>
                          <w:i w:val="0"/>
                          <w:sz w:val="24"/>
                          <w:szCs w:val="24"/>
                        </w:rPr>
                        <w:fldChar w:fldCharType="begin" w:fldLock="1"/>
                      </w:r>
                      <w:r w:rsidRPr="00FC1DA8">
                        <w:rPr>
                          <w:rFonts w:cs="Times New Roman"/>
                          <w:i w:val="0"/>
                          <w:sz w:val="24"/>
                          <w:szCs w:val="24"/>
                        </w:rPr>
                        <w:instrText>ADDIN CSL_CITATION { "citationItems" : [ { "id" : "ITEM-1", "itemData" : { "DOI" : "http://dx.doi.org/10.1016/0009-2541(92)90209-N", "ISBN" : "0168-9622", "ISSN" : "00092541", "abstract" : "The extent of boron isotope fractionation between tourmaline and aqueous vapor has been determined over theP-T range 50-200 MPa and 350-750\u00b0C. The results show that the extent of fractionation is inversely dependent on temperature. An unusual feature of the reaction is that the isotope fractionation is less of extensive at higher pressures for an equivalent temperature. Due to its refractory nature the experiments involved synthesis of tourmaline from constituents rather than equilibration of the preformed mineral with an isotopically distinct aqueous phase. For this reason we cannot, as yet, be certain whether the pressure effect is the result of equilibrium or kinetic processes.", "author" : [ { "dropping-particle" : "", "family" : "Palmer", "given" : "MR", "non-dropping-particle" : "", "parse-names" : false, "suffix" : "" }, { "dropping-particle" : "", "family" : "London", "given" : "D", "non-dropping-particle" : "", "parse-names" : false, "suffix" : "" }, { "dropping-particle" : "", "family" : "Morgan VI", "given" : "GB", "non-dropping-particle" : "", "parse-names" : false, "suffix" : "" }, { "dropping-particle" : "", "family" : "Babb", "given" : "HA", "non-dropping-particle" : "", "parse-names" : false, "suffix" : "" } ], "container-title" : "Chemical Geology", "id" : "ITEM-1", "issued" : { "date-parts" : [ [ "1992" ] ] }, "page" : "123-129", "title" : "Experimental determination of fractionation of 11B/10B between tourmaline and aqueous vapor: A temperature- and pressure-dependent isotopic system", "type" : "article-journal", "volume" : "101" }, "uris" : [ "http://www.mendeley.com/documents/?uuid=551614f3-36a5-485e-9b7a-dec99baa6926" ] }, { "id" : "ITEM-2", "itemData" : { "DOI" : "10.1007/s00410-008-0285-1", "ISBN" : "0010-7999", "ISSN" : "00107999", "abstract" : "The fractionation of boron isotopes between synthetic dravitic tourmaline and fluid was determined by hydrothermal experiments between 400 and 700 degrees C at 200 MPa and at 500 degrees C, 500 MPa. Tourmaline was crystallized from an oxide mix in presence of water that contained boron in excess. In one series of experiments, [B](fluid)/[B](tour) was 9 after the run; in another series it was 0.1. All experiments produced tourmaline as the sole boron-bearing solid, along with traces of quartz and talc. Powder XRD and Rietveld refinements revealed no significant amounts of tetrahedrally coordinated boron in tourmaline. B-11 always preferentially fractionated into the fluid. For experiments where [B](fluid)/[B](tour) was 9, a consistent temperature-dependent boron isotope fractionation curve resulted, approximated by Delta B-11((tour-fluid)) = -4.20 . [1,000/T (K)] + 3.52; R-2 = 0.77, and valid from 400 to 700 degrees C. No pressure dependence was observed. The fractionation (-2.7 +/- 0.5 parts per thousand at 400 degrees C; and -0.8 +/- 0.5 parts per thousand at 700 degrees C) is much lower than that previously presented by Palmer et al. (1992). Experiments where [B](fluid)/[B](tour) was 0.1 showed a significant larger apparent fractionation of up to -4.7 parts per thousand. In one of these runs, the isotopic composition of handpicked tourmaline crystals of different size varied by 1.3%. This is interpreted as resulting from fractional crystallization of boron isotopes during tourmaline growth due to the small boron reservoir of the fluid relative to tourmaline, thus indicating larger fractionation than observed at equilibrium. The effect is eliminated or minimized in experiments with very high boron excess in the fluid. We therefore suggest that values given by the above relation represent the true equilibrium fractionations.", "author" : [ { "dropping-particle" : "", "family" : "Meyer", "given" : "Christian", "non-dropping-particle" : "", "parse-names" : false, "suffix" : "" }, { "dropping-particle" : "", "family" : "Wunder", "given" : "Bernd", "non-dropping-particle" : "", "parse-names" : false, "suffix" : "" }, { "dropping-particle" : "", "family" : "Meixner", "given" : "Anette", "non-dropping-particle" : "", "parse-names" : false, "suffix" : "" }, { "dropping-particle" : "", "family" : "Romer", "given" : "Rolf L.", "non-dropping-particle" : "", "parse-names" : false, "suffix" : "" }, { "dropping-particle" : "", "family" : "Heinrich", "given" : "Wilhelm", "non-dropping-particle" : "", "parse-names" : false, "suffix" : "" } ], "container-title" : "Contributions to Mineralogy and Petrology", "id" : "ITEM-2", "issue" : "2", "issued" : { "date-parts" : [ [ "2008" ] ] }, "page" : "259-267", "title" : "Boron-isotope fractionation between tourmaline and fluid: An experimental re-investigation", "type" : "article-journal", "volume" : "156" }, "uris" : [ "http://www.mendeley.com/documents/?uuid=02c37c62-9b3e-4dfe-99ce-a807defc9a6f" ] } ], "mendeley" : { "formattedCitation" : "(Meyer et al., 2008; Palmer et al., 1992)", "manualFormatting" : "(Meyer et al., 2008: solid black line; Palmer et al., 1992: dashed line (200 MPa) and dash-dot line (100 MPa))", "plainTextFormattedCitation" : "(Meyer et al., 2008; Palmer et al., 1992)", "previouslyFormattedCitation" : "(Meyer et al., 2008; Palmer et al., 1992)" }, "properties" : { "noteIndex" : 0 }, "schema" : "https://github.com/citation-style-language/schema/raw/master/csl-citation.json" }</w:instrText>
                      </w:r>
                      <w:r w:rsidRPr="00FC1DA8">
                        <w:rPr>
                          <w:rFonts w:cs="Times New Roman"/>
                          <w:i w:val="0"/>
                          <w:sz w:val="24"/>
                          <w:szCs w:val="24"/>
                        </w:rPr>
                        <w:fldChar w:fldCharType="separate"/>
                      </w:r>
                      <w:r w:rsidRPr="00FC1DA8">
                        <w:rPr>
                          <w:rFonts w:cs="Times New Roman"/>
                          <w:i w:val="0"/>
                          <w:noProof/>
                          <w:sz w:val="24"/>
                          <w:szCs w:val="24"/>
                        </w:rPr>
                        <w:t>(Meyer et al., 2008: solid black line; Palmer et al., 1992: dashed line (200 MPa) and dash-dot line (100 MPa))</w:t>
                      </w:r>
                      <w:r w:rsidRPr="00FC1DA8">
                        <w:rPr>
                          <w:rFonts w:cs="Times New Roman"/>
                          <w:i w:val="0"/>
                          <w:sz w:val="24"/>
                          <w:szCs w:val="24"/>
                        </w:rPr>
                        <w:fldChar w:fldCharType="end"/>
                      </w:r>
                      <w:r w:rsidRPr="00FC1DA8">
                        <w:rPr>
                          <w:rFonts w:cs="Times New Roman"/>
                          <w:i w:val="0"/>
                          <w:sz w:val="24"/>
                          <w:szCs w:val="24"/>
                        </w:rPr>
                        <w:t xml:space="preserve">, boromuscovite-aqueous solution </w:t>
                      </w:r>
                      <w:r w:rsidRPr="00FC1DA8">
                        <w:rPr>
                          <w:rFonts w:cs="Times New Roman"/>
                          <w:i w:val="0"/>
                          <w:sz w:val="24"/>
                          <w:szCs w:val="24"/>
                        </w:rPr>
                        <w:fldChar w:fldCharType="begin" w:fldLock="1"/>
                      </w:r>
                      <w:r w:rsidRPr="00FC1DA8">
                        <w:rPr>
                          <w:rFonts w:cs="Times New Roman"/>
                          <w:i w:val="0"/>
                          <w:sz w:val="24"/>
                          <w:szCs w:val="24"/>
                        </w:rPr>
                        <w:instrText>ADDIN CSL_CITATION { "citationItems" : [ { "id" : "ITEM-1", "itemData" : { "DOI" : "10.1016/j.lithos.2005.02.003", "ISBN" : "0024-4937", "ISSN" : "00244937", "abstract" : "The fractionation of boron isotopes between synthetic boromuscovite and fluid was experimentally determined at 3.0 GPa/500 \u00b0C and 3.0 GPa/700 \u00b0C. For near-neutral fluids Delta;11 B(mica-fluid) = \u03b411B(mica) - \u03b411B(fluid) is - 10.9 \u00b1 1.3\u2030 at 500 deg;C, and - 6.5 \u00b1 0.4\u2030 at 700 \u00b0C. This supports earlier assumptions that the main fractionation effect is due to the change from trigonal coordination of boron in neutral fluids to tetrahedrally coordinated boron in micas, clays and melts. The T-dependence of this effect is approximated by the equation \u039411B(mica,clay,melt-neutral-fluid) = - 10.69 \u00b7 (1000/T [K]) + 3.88; R2 = 0.992, valid from 25 \u00b0C for fluid-clay up to about 1000 \u00b0C for fluid-silicate melt. Experiments at 0.4 GPa that used strongly basic fluids produced significantly lower fractionations with \u039411 B(mica-fluid) of - 7.4 \u00b1 1.0\u2030 at 400 \u00b0C, and - 4.8 \u00b1 1.0\u2030 at 500 \u00b0C, showing the reduced fractionation effect when large amounts of boron in basic fluids are tetrahedrally coordinated. Field studies have shown that boron concentrations and 11B/10B-ratios in volcanic arcs systematically decrease across the arc with increasing distance from the trench, thus reflecting the thermal structure of the subducting slab. Our experiments show that the boron isotopic signature in volcanic arcs probably results from continuous dehydration of micas along a distinct P-T range. Continuous slab dehydration and boron transport via fluid into the mantle wedge is responsible for the boron isotopic signature in volcanic arcs. \u00a9 2005 Elsevier B.V. All rights reserved.", "author" : [ { "dropping-particle" : "", "family" : "Wunder", "given" : "Bernd", "non-dropping-particle" : "", "parse-names" : false, "suffix" : "" }, { "dropping-particle" : "", "family" : "Meixner", "given" : "Anette", "non-dropping-particle" : "", "parse-names" : false, "suffix" : "" }, { "dropping-particle" : "", "family" : "Romer", "given" : "Rolf L.", "non-dropping-particle" : "", "parse-names" : false, "suffix" : "" }, { "dropping-particle" : "", "family" : "Wirth", "given" : "Richard", "non-dropping-particle" : "", "parse-names" : false, "suffix" : "" }, { "dropping-particle" : "", "family" : "Heinrich", "given" : "Wilhelm", "non-dropping-particle" : "", "parse-names" : false, "suffix" : "" } ], "container-title" : "Lithos", "id" : "ITEM-1", "issue" : "3-4", "issued" : { "date-parts" : [ [ "2005" ] ] }, "page" : "206-216", "title" : "The geochemical cycle of boron: Constraints from boron isotope partitioning experiments between mica and fluid", "type" : "article-journal", "volume" : "84" }, "uris" : [ "http://www.mendeley.com/documents/?uuid=a550b27f-b759-47cd-8d15-7c79966ee99a" ] } ], "mendeley" : { "formattedCitation" : "(Wunder et al., 2005)", "manualFormatting" : "(Wunder et al., 2005: open triangles (basic fluid) and solid triangles (neutral and acidic fluid))", "plainTextFormattedCitation" : "(Wunder et al., 2005)", "previouslyFormattedCitation" : "(Wunder et al., 2005)" }, "properties" : { "noteIndex" : 0 }, "schema" : "https://github.com/citation-style-language/schema/raw/master/csl-citation.json" }</w:instrText>
                      </w:r>
                      <w:r w:rsidRPr="00FC1DA8">
                        <w:rPr>
                          <w:rFonts w:cs="Times New Roman"/>
                          <w:i w:val="0"/>
                          <w:sz w:val="24"/>
                          <w:szCs w:val="24"/>
                        </w:rPr>
                        <w:fldChar w:fldCharType="separate"/>
                      </w:r>
                      <w:r w:rsidRPr="00FC1DA8">
                        <w:rPr>
                          <w:rFonts w:cs="Times New Roman"/>
                          <w:i w:val="0"/>
                          <w:noProof/>
                          <w:sz w:val="24"/>
                          <w:szCs w:val="24"/>
                        </w:rPr>
                        <w:t>(Wunder et al., 2005: open triangles (basic fluid) and solid triangles (neutral and acidic fluid))</w:t>
                      </w:r>
                      <w:r w:rsidRPr="00FC1DA8">
                        <w:rPr>
                          <w:rFonts w:cs="Times New Roman"/>
                          <w:i w:val="0"/>
                          <w:sz w:val="24"/>
                          <w:szCs w:val="24"/>
                        </w:rPr>
                        <w:fldChar w:fldCharType="end"/>
                      </w:r>
                      <w:r w:rsidRPr="00FC1DA8">
                        <w:rPr>
                          <w:rFonts w:cs="Times New Roman"/>
                          <w:i w:val="0"/>
                          <w:sz w:val="24"/>
                          <w:szCs w:val="24"/>
                        </w:rPr>
                        <w:t xml:space="preserve">, illite-aqueous solution </w:t>
                      </w:r>
                      <w:r w:rsidRPr="00FC1DA8">
                        <w:rPr>
                          <w:rFonts w:cs="Times New Roman"/>
                          <w:i w:val="0"/>
                          <w:sz w:val="24"/>
                          <w:szCs w:val="24"/>
                        </w:rPr>
                        <w:fldChar w:fldCharType="begin" w:fldLock="1"/>
                      </w:r>
                      <w:r w:rsidRPr="00FC1DA8">
                        <w:rPr>
                          <w:rFonts w:cs="Times New Roman"/>
                          <w:i w:val="0"/>
                          <w:sz w:val="24"/>
                          <w:szCs w:val="24"/>
                        </w:rPr>
                        <w:instrText>ADDIN CSL_CITATION { "citationItems" : [ { "id" : "ITEM-1", "itemData" : { "DOI" : "10.1016/S0016-7037(01)00557-9", "ISBN" : "0016-7037", "ISSN" : "00167037", "abstract" : "Experiments were performed to measure the isotopic fractionation of boron between illite/smectite (I/S) clay minerals and water as a function of temperature (300?? and 350??C) and degree of illitization. Corresponding changes in the oxygen isotopes were monitored as an indication of the approach to equilibrium. The kinetics of the B-isotope exchange follows the mineralogical restructuring of smectite as it recrystallizes to illite. An initial decline in ??11BI/S occurs when the I/S is randomly ordered (RO). The ??11BI/S values reach a plateau during R1 ordering of the I/S, representing a metastable condition. The greatest change in ??11BI/S is observed during long-range (R3) ordering of the I/S when neoformation occurs. Values of ??11BI/S measured on the equilibrium reaction products were used to construct a B-isotope fraction curve. There is a linear correlation among data from these experiments and 1100??C basaltic melt-fluid fractionation experiments (Hervig and Moore, 2000) that can be extrapolated to include adsorption experiments at 25??C (Palmer et al., 1987). Unlike other stable isotopic systems (e.g., oxygen) there is no mineral-specific fractionation of B-isotopes, but rather a coordination dependence of the fractionation. Under diagenetic conditions B is predominantly in trigonal coordination in fluids but substitutes in tetrahedral sites of silicates. The preference of 10B for tetrahedral bonds is the major fractionating factor of B in silicates. Copyright ?? 2001 Elsevier Science Ltd.", "author" : [ { "dropping-particle" : "", "family" : "Williams", "given" : "Lynda B.", "non-dropping-particle" : "", "parse-names" : false, "suffix" : "" }, { "dropping-particle" : "", "family" : "Hervig", "given" : "Richard L.", "non-dropping-particle" : "", "parse-names" : false, "suffix" : "" }, { "dropping-particle" : "", "family" : "Holloway", "given" : "John R.", "non-dropping-particle" : "", "parse-names" : false, "suffix" : "" }, { "dropping-particle" : "", "family" : "Hutcheon", "given" : "Ian", "non-dropping-particle" : "", "parse-names" : false, "suffix" : "" } ], "container-title" : "Geochimica et Cosmochimica Acta", "id" : "ITEM-1", "issue" : "11", "issued" : { "date-parts" : [ [ "2001" ] ] }, "page" : "1769-1782", "title" : "Boron isotope geochemistry during diagenesis. Part I. Experimental determination of fractionation during illitization of smectite", "type" : "article-journal", "volume" : "65" }, "uris" : [ "http://www.mendeley.com/documents/?uuid=f43a922f-b5a8-43e2-9c5e-b2058843b297" ] } ], "mendeley" : { "formattedCitation" : "(Williams et al., 2001a)", "manualFormatting" : "(Williams et al., 2001a: black squares with white asterix in center)", "plainTextFormattedCitation" : "(Williams et al., 2001a)", "previouslyFormattedCitation" : "(Williams et al., 2001a)" }, "properties" : { "noteIndex" : 0 }, "schema" : "https://github.com/citation-style-language/schema/raw/master/csl-citation.json" }</w:instrText>
                      </w:r>
                      <w:r w:rsidRPr="00FC1DA8">
                        <w:rPr>
                          <w:rFonts w:cs="Times New Roman"/>
                          <w:i w:val="0"/>
                          <w:sz w:val="24"/>
                          <w:szCs w:val="24"/>
                        </w:rPr>
                        <w:fldChar w:fldCharType="separate"/>
                      </w:r>
                      <w:r w:rsidRPr="00FC1DA8">
                        <w:rPr>
                          <w:rFonts w:cs="Times New Roman"/>
                          <w:i w:val="0"/>
                          <w:noProof/>
                          <w:sz w:val="24"/>
                          <w:szCs w:val="24"/>
                        </w:rPr>
                        <w:t>(Williams et al., 2001a: black squares with white asterix in center)</w:t>
                      </w:r>
                      <w:r w:rsidRPr="00FC1DA8">
                        <w:rPr>
                          <w:rFonts w:cs="Times New Roman"/>
                          <w:i w:val="0"/>
                          <w:sz w:val="24"/>
                          <w:szCs w:val="24"/>
                        </w:rPr>
                        <w:fldChar w:fldCharType="end"/>
                      </w:r>
                      <w:r w:rsidRPr="00FC1DA8">
                        <w:rPr>
                          <w:rFonts w:cs="Times New Roman"/>
                          <w:i w:val="0"/>
                          <w:sz w:val="24"/>
                          <w:szCs w:val="24"/>
                        </w:rPr>
                        <w:t xml:space="preserve">, and melt-aqueous solution </w:t>
                      </w:r>
                      <w:r w:rsidRPr="00FC1DA8">
                        <w:rPr>
                          <w:rFonts w:cs="Times New Roman"/>
                          <w:i w:val="0"/>
                          <w:sz w:val="24"/>
                          <w:szCs w:val="24"/>
                        </w:rPr>
                        <w:fldChar w:fldCharType="begin" w:fldLock="1"/>
                      </w:r>
                      <w:r w:rsidRPr="00FC1DA8">
                        <w:rPr>
                          <w:rFonts w:cs="Times New Roman"/>
                          <w:i w:val="0"/>
                          <w:sz w:val="24"/>
                          <w:szCs w:val="24"/>
                        </w:rPr>
                        <w:instrText>ADDIN CSL_CITATION { "citationItems" : [ { "id" : "ITEM-1",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"ITEM-1", "issue" : "5-6", "issued" : { "date-parts" : [ [ "2002" ] ] }, "page" : "769-774", "title" : "Isotopic and elemental partitioning of boron between hydrous fluid and silicate melt", "type" : "article-journal", "volume" : "87" }, "uris" : [ "http://www.mendeley.com/documents/?uuid=6b1d0590-ae63-44d0-990b-7cd3b5a05b06" ] } ], "mendeley" : { "formattedCitation" : "(Hervig et al., 2002)", "manualFormatting" : "(Hervig et al., 2002: solid squares (MAC) and open squares (basalt))", "plainTextFormattedCitation" : "(Hervig et al., 2002)", "previouslyFormattedCitation" : "(Hervig et al., 2002)" }, "properties" : { "noteIndex" : 0 }, "schema" : "https://github.com/citation-style-language/schema/raw/master/csl-citation.json" }</w:instrText>
                      </w:r>
                      <w:r w:rsidRPr="00FC1DA8">
                        <w:rPr>
                          <w:rFonts w:cs="Times New Roman"/>
                          <w:i w:val="0"/>
                          <w:sz w:val="24"/>
                          <w:szCs w:val="24"/>
                        </w:rPr>
                        <w:fldChar w:fldCharType="separate"/>
                      </w:r>
                      <w:r w:rsidRPr="00FC1DA8">
                        <w:rPr>
                          <w:rFonts w:cs="Times New Roman"/>
                          <w:i w:val="0"/>
                          <w:noProof/>
                          <w:sz w:val="24"/>
                          <w:szCs w:val="24"/>
                        </w:rPr>
                        <w:t>(Hervig et al., 2002: solid squares (MAC) and open squares (basalt))</w:t>
                      </w:r>
                      <w:r w:rsidRPr="00FC1DA8">
                        <w:rPr>
                          <w:rFonts w:cs="Times New Roman"/>
                          <w:i w:val="0"/>
                          <w:sz w:val="24"/>
                          <w:szCs w:val="24"/>
                        </w:rPr>
                        <w:fldChar w:fldCharType="end"/>
                      </w:r>
                      <w:r w:rsidRPr="00FC1DA8">
                        <w:rPr>
                          <w:rFonts w:cs="Times New Roman"/>
                          <w:i w:val="0"/>
                          <w:sz w:val="24"/>
                          <w:szCs w:val="24"/>
                        </w:rPr>
                        <w:t xml:space="preserve">. Open circles (‘High B’), solid circles (‘Low B’), open diamond (MAC230), and solid diamond (CGB88: using MAC glass) are from the current study. It is clear that the data from the current study plots, mostly, along a line through the data of </w:t>
                      </w:r>
                      <w:r w:rsidRPr="00FC1DA8">
                        <w:rPr>
                          <w:rFonts w:cs="Times New Roman"/>
                          <w:i w:val="0"/>
                          <w:sz w:val="24"/>
                          <w:szCs w:val="24"/>
                        </w:rPr>
                        <w:fldChar w:fldCharType="begin" w:fldLock="1"/>
                      </w:r>
                      <w:r w:rsidRPr="00FC1DA8">
                        <w:rPr>
                          <w:rFonts w:cs="Times New Roman"/>
                          <w:i w:val="0"/>
                          <w:sz w:val="24"/>
                          <w:szCs w:val="24"/>
                        </w:rPr>
                        <w:instrText>ADDIN CSL_CITATION { "citationItems" : [ { "id" : "ITEM-1", "itemData" : { "DOI" : "10.2138/am-2002-5-620", "ISBN" : "0003-004X", "ISSN" : "0003004X", "abstract" : "The fractionation of B and its isotopes between aqueous fluid and silicate melt has been studied from 550 to 1100 degreesC and 100-500 MPa. Fluid-melt partition coefficients are 1 for rhyolite melt. This shows that B is not always strongly extracted from melts into hydrous fluids. Boron isotopic fractionation is large compared with the carbon and oxygen stable isotopic systems (especially at high T) and is most simply explained by differences in coordination (trigonal vs. tetrahedral) among coexisting phases. Combined with earlier measurements on illite-water (300-350 degreesC), B isotopic fractionation defines a temperature-dependent trend from 300 to 1100 degreesC. Because of the large magnitude and apparent low sensitivity to bulk composition, B isotopic fractionation can be readily applied to studies of diagenesis, hydrothermal alteration of planetary bodies, subduction-zone processing and arc magma generation, and magma chamber evolution", "author" : [ { "dropping-particle" : "", "family" : "Hervig", "given" : "Richard L.", "non-dropping-particle" : "", "parse-names" : false, "suffix" : "" }, { "dropping-particle" : "", "family" : "Moore", "given" : "Gordon M.", "non-dropping-particle" : "", "parse-names" : false, "suffix" : "" }, { "dropping-particle" : "", "family" : "Williams", "given" : "Lynda B.", "non-dropping-particle" : "", "parse-names" : false, "suffix" : "" }, { "dropping-particle" : "", "family" : "Peacock", "given" : "Simon M.", "non-dropping-particle" : "", "parse-names" : false, "suffix" : "" }, { "dropping-particle" : "", "family" : "Holloway", "given" : "John R.", "non-dropping-particle" : "", "parse-names" : false, "suffix" : "" }, { "dropping-particle" : "", "family" : "Roggensack", "given" : "Kurt", "non-dropping-particle" : "", "parse-names" : false, "suffix" : "" } ], "container-title" : "American Mineralogist", "id" : "ITEM-1", "issue" : "5-6", "issued" : { "date-parts" : [ [ "2002" ] ] }, "page" : "769-774", "title" : "Isotopic and elemental partitioning of boron between hydrous fluid and silicate melt", "type" : "article-journal", "volume" : "87" }, "uris" : [ "http://www.mendeley.com/documents/?uuid=6b1d0590-ae63-44d0-990b-7cd3b5a05b06" ] }, { "id" : "ITEM-2", "itemData" : { "DOI" : "10.1016/j.lithos.2005.02.003", "ISBN" : "0024-4937", "ISSN" : "00244937", "abstract" : "The fractionation of boron isotopes between synthetic boromuscovite and fluid was experimentally determined at 3.0 GPa/500 \u00b0C and 3.0 GPa/700 \u00b0C. For near-neutral fluids Delta;11 B(mica-fluid) = \u03b411B(mica) - \u03b411B(fluid) is - 10.9 \u00b1 1.3\u2030 at 500 deg;C, and - 6.5 \u00b1 0.4\u2030 at 700 \u00b0C. This supports earlier assumptions that the main fractionation effect is due to the change from trigonal coordination of boron in neutral fluids to tetrahedrally coordinated boron in micas, clays and melts. The T-dependence of this effect is approximated by the equation \u039411B(mica,clay,melt-neutral-fluid) = - 10.69 \u00b7 (1000/T [K]) + 3.88; R2 = 0.992, valid from 25 \u00b0C for fluid-clay up to about 1000 \u00b0C for fluid-silicate melt. Experiments at 0.4 GPa that used strongly basic fluids produced significantly lower fractionations with \u039411 B(mica-fluid) of - 7.4 \u00b1 1.0\u2030 at 400 \u00b0C, and - 4.8 \u00b1 1.0\u2030 at 500 \u00b0C, showing the reduced fractionation effect when large amounts of boron in basic fluids are tetrahedrally coordinated. Field studies have shown that boron concentrations and 11B/10B-ratios in volcanic arcs systematically decrease across the arc with increasing distance from the trench, thus reflecting the thermal structure of the subducting slab. Our experiments show that the boron isotopic signature in volcanic arcs probably results from continuous dehydration of micas along a distinct P-T range. Continuous slab dehydration and boron transport via fluid into the mantle wedge is responsible for the boron isotopic signature in volcanic arcs. \u00a9 2005 Elsevier B.V. All rights reserved.", "author" : [ { "dropping-particle" : "", "family" : "Wunder", "given" : "Bernd", "non-dropping-particle" : "", "parse-names" : false, "suffix" : "" }, { "dropping-particle" : "", "family" : "Meixner", "given" : "Anette", "non-dropping-particle" : "", "parse-names" : false, "suffix" : "" }, { "dropping-particle" : "", "family" : "Romer", "given" : "Rolf L.", "non-dropping-particle" : "", "parse-names" : false, "suffix" : "" }, { "dropping-particle" : "", "family" : "Wirth", "given" : "Richard", "non-dropping-particle" : "", "parse-names" : false, "suffix" : "" }, { "dropping-particle" : "", "family" : "Heinrich", "given" : "Wilhelm", "non-dropping-particle" : "", "parse-names" : false, "suffix" : "" } ], "container-title" : "Lithos", "id" : "ITEM-2", "issue" : "3-4", "issued" : { "date-parts" : [ [ "2005" ] ] }, "page" : "206-216", "title" : "The geochemical cycle of boron: Constraints from boron isotope partitioning experiments between mica and fluid", "type" : "article-journal", "volume" : "84" }, "uris" : [ "http://www.mendeley.com/documents/?uuid=a550b27f-b759-47cd-8d15-7c79966ee99a" ] }, { "id" : "ITEM-3", "itemData" : { "DOI" : "10.1016/S0016-7037(01)00557-9", "ISBN" : "0016-7037", "ISSN" : "00167037", "abstract" : "Experiments were performed to measure the isotopic fractionation of boron between illite/smectite (I/S) clay minerals and water as a function of temperature (300?? and 350??C) and degree of illitization. Corresponding changes in the oxygen isotopes were monitored as an indication of the approach to equilibrium. The kinetics of the B-isotope exchange follows the mineralogical restructuring of smectite as it recrystallizes to illite. An initial decline in ??11BI/S occurs when the I/S is randomly ordered (RO). The ??11BI/S values reach a plateau during R1 ordering of the I/S, representing a metastable condition. The greatest change in ??11BI/S is observed during long-range (R3) ordering of the I/S when neoformation occurs. Values of ??11BI/S measured on the equilibrium reaction products were used to construct a B-isotope fraction curve. There is a linear correlation among data from these experiments and 1100??C basaltic melt-fluid fractionation experiments (Hervig and Moore, 2000) that can be extrapolated to include adsorption experiments at 25??C (Palmer et al., 1987). Unlike other stable isotopic systems (e.g., oxygen) there is no mineral-specific fractionation of B-isotopes, but rather a coordination dependence of the fractionation. Under diagenetic conditions B is predominantly in trigonal coordination in fluids but substitutes in tetrahedral sites of silicates. The preference of 10B for tetrahedral bonds is the major fractionating factor of B in silicates. Copyright ?? 2001 Elsevier Science Ltd.", "author" : [ { "dropping-particle" : "", "family" : "Williams", "given" : "Lynda B.", "non-dropping-particle" : "", "parse-names" : false, "suffix" : "" }, { "dropping-particle" : "", "family" : "Hervig", "given" : "Richard L.", "non-dropping-particle" : "", "parse-names" : false, "suffix" : "" }, { "dropping-particle" : "", "family" : "Holloway", "given" : "John R.", "non-dropping-particle" : "", "parse-names" : false, "suffix" : "" }, { "dropping-particle" : "", "family" : "Hutcheon", "given" : "Ian", "non-dropping-particle" : "", "parse-names" : false, "suffix" : "" } ], "container-title" : "Geochimica et Cosmochimica Acta", "id" : "ITEM-3", "issue" : "11", "issued" : { "date-parts" : [ [ "2001" ] ] }, "page" : "1769-1782", "title" : "Boron isotope geochemistry during diagenesis. Part I. Experimental determination of fractionation during illitization of smectite", "type" : "article-journal", "volume" : "65" }, "uris" : [ "http://www.mendeley.com/documents/?uuid=f43a922f-b5a8-43e2-9c5e-b2058843b297" ] } ], "mendeley" : { "formattedCitation" : "(Hervig et al., 2002; Williams et al., 2001a; Wunder et al., 2005)", "manualFormatting" : "Hervig et al. (2002), Williams et al. (2001a), and Wunder et al. (2005)", "plainTextFormattedCitation" : "(Hervig et al., 2002; Williams et al., 2001a; Wunder et al., 2005)", "previouslyFormattedCitation" : "(Hervig et al., 2002; Williams et al., 2001a; Wunder et al., 2005)" }, "properties" : { "noteIndex" : 0 }, "schema" : "https://github.com/citation-style-language/schema/raw/master/csl-citation.json" }</w:instrText>
                      </w:r>
                      <w:r w:rsidRPr="00FC1DA8">
                        <w:rPr>
                          <w:rFonts w:cs="Times New Roman"/>
                          <w:i w:val="0"/>
                          <w:sz w:val="24"/>
                          <w:szCs w:val="24"/>
                        </w:rPr>
                        <w:fldChar w:fldCharType="separate"/>
                      </w:r>
                      <w:r w:rsidRPr="00FC1DA8">
                        <w:rPr>
                          <w:rFonts w:cs="Times New Roman"/>
                          <w:i w:val="0"/>
                          <w:noProof/>
                          <w:sz w:val="24"/>
                          <w:szCs w:val="24"/>
                        </w:rPr>
                        <w:t>Hervig et al. (2002), Williams et al. (2001a), and Wunder et al. (2005)</w:t>
                      </w:r>
                      <w:r w:rsidRPr="00FC1DA8">
                        <w:rPr>
                          <w:rFonts w:cs="Times New Roman"/>
                          <w:i w:val="0"/>
                          <w:sz w:val="24"/>
                          <w:szCs w:val="24"/>
                        </w:rPr>
                        <w:fldChar w:fldCharType="end"/>
                      </w:r>
                      <w:r w:rsidRPr="00FC1DA8">
                        <w:rPr>
                          <w:rFonts w:cs="Times New Roman"/>
                          <w:i w:val="0"/>
                          <w:sz w:val="24"/>
                          <w:szCs w:val="24"/>
                        </w:rPr>
                        <w:t>. Error bars represent 2σ standard errors propagated through the calculation of isotopic fractionation factors.</w:t>
                      </w:r>
                      <w:bookmarkEnd w:id="151"/>
                    </w:p>
                  </w:txbxContent>
                </v:textbox>
                <w10:wrap type="square"/>
              </v:shape>
            </w:pict>
          </mc:Fallback>
        </mc:AlternateContent>
      </w:r>
      <w:r>
        <w:rPr>
          <w:rFonts w:cs="Times New Roman"/>
          <w:noProof/>
        </w:rPr>
        <w:drawing>
          <wp:anchor distT="0" distB="0" distL="114300" distR="114300" simplePos="0" relativeHeight="251729920" behindDoc="0" locked="0" layoutInCell="1" allowOverlap="1">
            <wp:simplePos x="1917700" y="914400"/>
            <wp:positionH relativeFrom="margin">
              <wp:align>center</wp:align>
            </wp:positionH>
            <wp:positionV relativeFrom="margin">
              <wp:align>top</wp:align>
            </wp:positionV>
            <wp:extent cx="5394960" cy="4168775"/>
            <wp:effectExtent l="0" t="0" r="0" b="3175"/>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Fig 4.tif"/>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394960" cy="4168775"/>
                    </a:xfrm>
                    <a:prstGeom prst="rect">
                      <a:avLst/>
                    </a:prstGeom>
                  </pic:spPr>
                </pic:pic>
              </a:graphicData>
            </a:graphic>
          </wp:anchor>
        </w:drawing>
      </w:r>
    </w:p>
    <w:p w:rsidR="00DF0F96" w:rsidRDefault="00DF0F96" w:rsidP="00DF0F96">
      <w:r>
        <w:br w:type="page"/>
      </w:r>
    </w:p>
    <w:p w:rsidR="00FC1DA8" w:rsidRDefault="00FC1DA8" w:rsidP="00380C49">
      <w:pPr>
        <w:spacing w:line="480" w:lineRule="auto"/>
        <w:ind w:firstLine="720"/>
        <w:rPr>
          <w:rFonts w:cs="Times New Roman"/>
        </w:rPr>
        <w:sectPr w:rsidR="00FC1DA8" w:rsidSect="00897A0B">
          <w:footerReference w:type="default" r:id="rId69"/>
          <w:pgSz w:w="12240" w:h="15840"/>
          <w:pgMar w:top="1440" w:right="1440" w:bottom="1440" w:left="2304" w:header="720" w:footer="720" w:gutter="0"/>
          <w:cols w:space="720"/>
          <w:docGrid w:linePitch="360"/>
        </w:sectPr>
      </w:pPr>
    </w:p>
    <w:p w:rsidR="00D500E4" w:rsidRPr="00D500E4" w:rsidRDefault="00D500E4" w:rsidP="00D500E4">
      <w:pPr>
        <w:pStyle w:val="Caption"/>
        <w:keepNext/>
        <w:jc w:val="center"/>
        <w:rPr>
          <w:sz w:val="24"/>
          <w:szCs w:val="24"/>
        </w:rPr>
      </w:pPr>
      <w:bookmarkStart w:id="152" w:name="_Toc490131689"/>
      <w:r w:rsidRPr="00D500E4">
        <w:rPr>
          <w:sz w:val="24"/>
          <w:szCs w:val="24"/>
        </w:rPr>
        <w:lastRenderedPageBreak/>
        <w:t xml:space="preserve">Table </w:t>
      </w:r>
      <w:r w:rsidR="00B23FDA">
        <w:rPr>
          <w:sz w:val="24"/>
          <w:szCs w:val="24"/>
        </w:rPr>
        <w:fldChar w:fldCharType="begin"/>
      </w:r>
      <w:r w:rsidR="00B23FDA">
        <w:rPr>
          <w:sz w:val="24"/>
          <w:szCs w:val="24"/>
        </w:rPr>
        <w:instrText xml:space="preserve"> STYLEREF 1 \s </w:instrText>
      </w:r>
      <w:r w:rsidR="00B23FDA">
        <w:rPr>
          <w:sz w:val="24"/>
          <w:szCs w:val="24"/>
        </w:rPr>
        <w:fldChar w:fldCharType="separate"/>
      </w:r>
      <w:r w:rsidR="000C5FC3">
        <w:rPr>
          <w:noProof/>
          <w:sz w:val="24"/>
          <w:szCs w:val="24"/>
        </w:rPr>
        <w:t>4</w:t>
      </w:r>
      <w:r w:rsidR="00B23FDA">
        <w:rPr>
          <w:sz w:val="24"/>
          <w:szCs w:val="24"/>
        </w:rPr>
        <w:fldChar w:fldCharType="end"/>
      </w:r>
      <w:r w:rsidR="00B23FDA">
        <w:rPr>
          <w:sz w:val="24"/>
          <w:szCs w:val="24"/>
        </w:rPr>
        <w:noBreakHyphen/>
      </w:r>
      <w:r w:rsidR="00B23FDA">
        <w:rPr>
          <w:sz w:val="24"/>
          <w:szCs w:val="24"/>
        </w:rPr>
        <w:fldChar w:fldCharType="begin"/>
      </w:r>
      <w:r w:rsidR="00B23FDA">
        <w:rPr>
          <w:sz w:val="24"/>
          <w:szCs w:val="24"/>
        </w:rPr>
        <w:instrText xml:space="preserve"> SEQ Table \* ARABIC \s 1 </w:instrText>
      </w:r>
      <w:r w:rsidR="00B23FDA">
        <w:rPr>
          <w:sz w:val="24"/>
          <w:szCs w:val="24"/>
        </w:rPr>
        <w:fldChar w:fldCharType="separate"/>
      </w:r>
      <w:r w:rsidR="000C5FC3">
        <w:rPr>
          <w:noProof/>
          <w:sz w:val="24"/>
          <w:szCs w:val="24"/>
        </w:rPr>
        <w:t>1</w:t>
      </w:r>
      <w:r w:rsidR="00B23FDA">
        <w:rPr>
          <w:sz w:val="24"/>
          <w:szCs w:val="24"/>
        </w:rPr>
        <w:fldChar w:fldCharType="end"/>
      </w:r>
      <w:r w:rsidRPr="00D500E4">
        <w:rPr>
          <w:rFonts w:eastAsia="Times New Roman" w:cs="Times New Roman"/>
          <w:color w:val="000000"/>
          <w:sz w:val="24"/>
          <w:szCs w:val="24"/>
        </w:rPr>
        <w:t xml:space="preserve"> Compositions of Starting Materials (SMs)</w:t>
      </w:r>
      <w:bookmarkEnd w:id="152"/>
    </w:p>
    <w:tbl>
      <w:tblPr>
        <w:tblW w:w="12099" w:type="dxa"/>
        <w:jc w:val="center"/>
        <w:tblCellMar>
          <w:top w:w="15" w:type="dxa"/>
          <w:bottom w:w="15" w:type="dxa"/>
        </w:tblCellMar>
        <w:tblLook w:val="04A0" w:firstRow="1" w:lastRow="0" w:firstColumn="1" w:lastColumn="0" w:noHBand="0" w:noVBand="1"/>
      </w:tblPr>
      <w:tblGrid>
        <w:gridCol w:w="940"/>
        <w:gridCol w:w="680"/>
        <w:gridCol w:w="724"/>
        <w:gridCol w:w="808"/>
        <w:gridCol w:w="724"/>
        <w:gridCol w:w="793"/>
        <w:gridCol w:w="724"/>
        <w:gridCol w:w="750"/>
        <w:gridCol w:w="724"/>
        <w:gridCol w:w="760"/>
        <w:gridCol w:w="724"/>
        <w:gridCol w:w="760"/>
        <w:gridCol w:w="724"/>
        <w:gridCol w:w="760"/>
        <w:gridCol w:w="724"/>
        <w:gridCol w:w="780"/>
      </w:tblGrid>
      <w:tr w:rsidR="00D500E4" w:rsidRPr="001A4873" w:rsidTr="00D500E4">
        <w:trPr>
          <w:trHeight w:val="370"/>
          <w:jc w:val="center"/>
        </w:trPr>
        <w:tc>
          <w:tcPr>
            <w:tcW w:w="940" w:type="dxa"/>
            <w:tcBorders>
              <w:top w:val="nil"/>
              <w:left w:val="nil"/>
              <w:bottom w:val="nil"/>
              <w:right w:val="nil"/>
            </w:tcBorders>
            <w:noWrap/>
            <w:vAlign w:val="bottom"/>
            <w:hideMark/>
          </w:tcPr>
          <w:p w:rsidR="00D500E4" w:rsidRPr="001A4873" w:rsidRDefault="00D500E4" w:rsidP="00316912">
            <w:pPr>
              <w:spacing w:after="0"/>
              <w:rPr>
                <w:rFonts w:eastAsia="Times New Roman" w:cs="Times New Roman"/>
                <w:sz w:val="18"/>
                <w:szCs w:val="18"/>
              </w:rPr>
            </w:pPr>
          </w:p>
        </w:tc>
        <w:tc>
          <w:tcPr>
            <w:tcW w:w="680"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HG</w:t>
            </w: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1σS.D.</w:t>
            </w:r>
          </w:p>
        </w:tc>
        <w:tc>
          <w:tcPr>
            <w:tcW w:w="808"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2.5AN</w:t>
            </w: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1σS.D.</w:t>
            </w:r>
          </w:p>
        </w:tc>
        <w:tc>
          <w:tcPr>
            <w:tcW w:w="793"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2.5CN</w:t>
            </w: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1σS.D.</w:t>
            </w:r>
          </w:p>
        </w:tc>
        <w:tc>
          <w:tcPr>
            <w:tcW w:w="750"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2.5FN</w:t>
            </w: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1σS.D.</w:t>
            </w:r>
          </w:p>
        </w:tc>
        <w:tc>
          <w:tcPr>
            <w:tcW w:w="760"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5AN</w:t>
            </w: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1σS.D.</w:t>
            </w:r>
          </w:p>
        </w:tc>
        <w:tc>
          <w:tcPr>
            <w:tcW w:w="760"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5CN</w:t>
            </w: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1σS.D.</w:t>
            </w:r>
          </w:p>
        </w:tc>
        <w:tc>
          <w:tcPr>
            <w:tcW w:w="760"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5DN</w:t>
            </w: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1σS.D.</w:t>
            </w:r>
          </w:p>
        </w:tc>
        <w:tc>
          <w:tcPr>
            <w:tcW w:w="780"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MAC</w:t>
            </w:r>
            <w:r w:rsidRPr="001A4873">
              <w:rPr>
                <w:rFonts w:eastAsia="Times New Roman" w:cs="Times New Roman"/>
                <w:color w:val="000000"/>
                <w:sz w:val="18"/>
                <w:szCs w:val="18"/>
                <w:vertAlign w:val="superscript"/>
              </w:rPr>
              <w:t>1</w:t>
            </w:r>
          </w:p>
        </w:tc>
      </w:tr>
      <w:tr w:rsidR="00D500E4" w:rsidRPr="001A4873" w:rsidTr="00D500E4">
        <w:trPr>
          <w:trHeight w:val="350"/>
          <w:jc w:val="center"/>
        </w:trPr>
        <w:tc>
          <w:tcPr>
            <w:tcW w:w="940" w:type="dxa"/>
            <w:tcBorders>
              <w:top w:val="nil"/>
              <w:left w:val="nil"/>
              <w:bottom w:val="nil"/>
              <w:right w:val="nil"/>
            </w:tcBorders>
            <w:noWrap/>
            <w:vAlign w:val="center"/>
            <w:hideMark/>
          </w:tcPr>
          <w:p w:rsidR="00D500E4" w:rsidRPr="001A4873" w:rsidRDefault="00D500E4" w:rsidP="00316912">
            <w:pPr>
              <w:spacing w:after="0"/>
              <w:jc w:val="right"/>
              <w:rPr>
                <w:rFonts w:eastAsia="Times New Roman" w:cs="Times New Roman"/>
                <w:color w:val="000000"/>
                <w:sz w:val="18"/>
                <w:szCs w:val="18"/>
              </w:rPr>
            </w:pPr>
            <w:r w:rsidRPr="001A4873">
              <w:rPr>
                <w:rFonts w:eastAsia="Times New Roman" w:cs="Times New Roman"/>
                <w:color w:val="000000"/>
                <w:sz w:val="18"/>
                <w:szCs w:val="18"/>
              </w:rPr>
              <w:t>SiO</w:t>
            </w:r>
            <w:r w:rsidRPr="001A4873">
              <w:rPr>
                <w:rFonts w:eastAsia="Times New Roman" w:cs="Times New Roman"/>
                <w:color w:val="000000"/>
                <w:sz w:val="18"/>
                <w:szCs w:val="18"/>
                <w:vertAlign w:val="subscript"/>
              </w:rPr>
              <w:t>2</w:t>
            </w:r>
          </w:p>
        </w:tc>
        <w:tc>
          <w:tcPr>
            <w:tcW w:w="68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78.01</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(0.76)</w:t>
            </w:r>
          </w:p>
        </w:tc>
        <w:tc>
          <w:tcPr>
            <w:tcW w:w="808"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70.61</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(0.50)</w:t>
            </w:r>
          </w:p>
        </w:tc>
        <w:tc>
          <w:tcPr>
            <w:tcW w:w="793"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70.89</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(0.57)</w:t>
            </w:r>
          </w:p>
        </w:tc>
        <w:tc>
          <w:tcPr>
            <w:tcW w:w="75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70.31</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(0.70)</w:t>
            </w:r>
          </w:p>
        </w:tc>
        <w:tc>
          <w:tcPr>
            <w:tcW w:w="76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68.22</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(0.60)</w:t>
            </w:r>
          </w:p>
        </w:tc>
        <w:tc>
          <w:tcPr>
            <w:tcW w:w="76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67.89</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(0.62)</w:t>
            </w:r>
          </w:p>
        </w:tc>
        <w:tc>
          <w:tcPr>
            <w:tcW w:w="76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67.75</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(0.67)</w:t>
            </w:r>
          </w:p>
        </w:tc>
        <w:tc>
          <w:tcPr>
            <w:tcW w:w="78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72.32</w:t>
            </w:r>
          </w:p>
        </w:tc>
      </w:tr>
      <w:tr w:rsidR="00D500E4" w:rsidRPr="001A4873" w:rsidTr="00D500E4">
        <w:trPr>
          <w:trHeight w:val="350"/>
          <w:jc w:val="center"/>
        </w:trPr>
        <w:tc>
          <w:tcPr>
            <w:tcW w:w="940" w:type="dxa"/>
            <w:tcBorders>
              <w:top w:val="nil"/>
              <w:left w:val="nil"/>
              <w:bottom w:val="nil"/>
              <w:right w:val="nil"/>
            </w:tcBorders>
            <w:noWrap/>
            <w:vAlign w:val="center"/>
            <w:hideMark/>
          </w:tcPr>
          <w:p w:rsidR="00D500E4" w:rsidRPr="001A4873" w:rsidRDefault="00D500E4" w:rsidP="00316912">
            <w:pPr>
              <w:spacing w:after="0"/>
              <w:jc w:val="right"/>
              <w:rPr>
                <w:rFonts w:eastAsia="Times New Roman" w:cs="Times New Roman"/>
                <w:color w:val="000000"/>
                <w:sz w:val="18"/>
                <w:szCs w:val="18"/>
              </w:rPr>
            </w:pPr>
            <w:r w:rsidRPr="001A4873">
              <w:rPr>
                <w:rFonts w:eastAsia="Times New Roman" w:cs="Times New Roman"/>
                <w:color w:val="000000"/>
                <w:sz w:val="18"/>
                <w:szCs w:val="18"/>
              </w:rPr>
              <w:t>B</w:t>
            </w:r>
            <w:r w:rsidRPr="001A4873">
              <w:rPr>
                <w:rFonts w:eastAsia="Times New Roman" w:cs="Times New Roman"/>
                <w:color w:val="000000"/>
                <w:sz w:val="18"/>
                <w:szCs w:val="18"/>
                <w:vertAlign w:val="subscript"/>
              </w:rPr>
              <w:t>2</w:t>
            </w:r>
            <w:r w:rsidRPr="001A4873">
              <w:rPr>
                <w:rFonts w:eastAsia="Times New Roman" w:cs="Times New Roman"/>
                <w:color w:val="000000"/>
                <w:sz w:val="18"/>
                <w:szCs w:val="18"/>
              </w:rPr>
              <w:t>O</w:t>
            </w:r>
            <w:r w:rsidRPr="001A4873">
              <w:rPr>
                <w:rFonts w:eastAsia="Times New Roman" w:cs="Times New Roman"/>
                <w:color w:val="000000"/>
                <w:sz w:val="18"/>
                <w:szCs w:val="18"/>
                <w:vertAlign w:val="subscript"/>
              </w:rPr>
              <w:t>3</w:t>
            </w:r>
          </w:p>
        </w:tc>
        <w:tc>
          <w:tcPr>
            <w:tcW w:w="68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808"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2.53</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(0.35)</w:t>
            </w:r>
          </w:p>
        </w:tc>
        <w:tc>
          <w:tcPr>
            <w:tcW w:w="793"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2.63</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(0.27)</w:t>
            </w:r>
          </w:p>
        </w:tc>
        <w:tc>
          <w:tcPr>
            <w:tcW w:w="75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2.60</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(0.41)</w:t>
            </w:r>
          </w:p>
        </w:tc>
        <w:tc>
          <w:tcPr>
            <w:tcW w:w="76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5.63</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(0.45)</w:t>
            </w:r>
          </w:p>
        </w:tc>
        <w:tc>
          <w:tcPr>
            <w:tcW w:w="76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6.16</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(0.43)</w:t>
            </w:r>
          </w:p>
        </w:tc>
        <w:tc>
          <w:tcPr>
            <w:tcW w:w="76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5.85</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(0.43)</w:t>
            </w:r>
          </w:p>
        </w:tc>
        <w:tc>
          <w:tcPr>
            <w:tcW w:w="78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0.62</w:t>
            </w:r>
          </w:p>
        </w:tc>
      </w:tr>
      <w:tr w:rsidR="00D500E4" w:rsidRPr="001A4873" w:rsidTr="00D500E4">
        <w:trPr>
          <w:trHeight w:val="350"/>
          <w:jc w:val="center"/>
        </w:trPr>
        <w:tc>
          <w:tcPr>
            <w:tcW w:w="940" w:type="dxa"/>
            <w:tcBorders>
              <w:top w:val="nil"/>
              <w:left w:val="nil"/>
              <w:bottom w:val="nil"/>
              <w:right w:val="nil"/>
            </w:tcBorders>
            <w:noWrap/>
            <w:vAlign w:val="center"/>
            <w:hideMark/>
          </w:tcPr>
          <w:p w:rsidR="00D500E4" w:rsidRPr="001A4873" w:rsidRDefault="00D500E4" w:rsidP="00316912">
            <w:pPr>
              <w:spacing w:after="0"/>
              <w:jc w:val="right"/>
              <w:rPr>
                <w:rFonts w:eastAsia="Times New Roman" w:cs="Times New Roman"/>
                <w:color w:val="000000"/>
                <w:sz w:val="18"/>
                <w:szCs w:val="18"/>
              </w:rPr>
            </w:pPr>
            <w:r w:rsidRPr="001A4873">
              <w:rPr>
                <w:rFonts w:eastAsia="Times New Roman" w:cs="Times New Roman"/>
                <w:color w:val="000000"/>
                <w:sz w:val="18"/>
                <w:szCs w:val="18"/>
              </w:rPr>
              <w:t>Al</w:t>
            </w:r>
            <w:r w:rsidRPr="001A4873">
              <w:rPr>
                <w:rFonts w:eastAsia="Times New Roman" w:cs="Times New Roman"/>
                <w:color w:val="000000"/>
                <w:sz w:val="18"/>
                <w:szCs w:val="18"/>
                <w:vertAlign w:val="subscript"/>
              </w:rPr>
              <w:t>2</w:t>
            </w:r>
            <w:r w:rsidRPr="001A4873">
              <w:rPr>
                <w:rFonts w:eastAsia="Times New Roman" w:cs="Times New Roman"/>
                <w:color w:val="000000"/>
                <w:sz w:val="18"/>
                <w:szCs w:val="18"/>
              </w:rPr>
              <w:t>O</w:t>
            </w:r>
            <w:r w:rsidRPr="001A4873">
              <w:rPr>
                <w:rFonts w:eastAsia="Times New Roman" w:cs="Times New Roman"/>
                <w:color w:val="000000"/>
                <w:sz w:val="18"/>
                <w:szCs w:val="18"/>
                <w:vertAlign w:val="subscript"/>
              </w:rPr>
              <w:t>3</w:t>
            </w:r>
          </w:p>
        </w:tc>
        <w:tc>
          <w:tcPr>
            <w:tcW w:w="68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12.51</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(0.24)</w:t>
            </w:r>
          </w:p>
        </w:tc>
        <w:tc>
          <w:tcPr>
            <w:tcW w:w="808"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11.26</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(0.20)</w:t>
            </w:r>
          </w:p>
        </w:tc>
        <w:tc>
          <w:tcPr>
            <w:tcW w:w="793"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11.36</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(0.12)</w:t>
            </w:r>
          </w:p>
        </w:tc>
        <w:tc>
          <w:tcPr>
            <w:tcW w:w="75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11.26</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(0.15)</w:t>
            </w:r>
          </w:p>
        </w:tc>
        <w:tc>
          <w:tcPr>
            <w:tcW w:w="76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11.00</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(0.13)</w:t>
            </w:r>
          </w:p>
        </w:tc>
        <w:tc>
          <w:tcPr>
            <w:tcW w:w="76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10.81</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(0.14)</w:t>
            </w:r>
          </w:p>
        </w:tc>
        <w:tc>
          <w:tcPr>
            <w:tcW w:w="76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10.81</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(0.14)</w:t>
            </w:r>
          </w:p>
        </w:tc>
        <w:tc>
          <w:tcPr>
            <w:tcW w:w="78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15.63</w:t>
            </w:r>
          </w:p>
        </w:tc>
      </w:tr>
      <w:tr w:rsidR="00D500E4" w:rsidRPr="001A4873" w:rsidTr="00D500E4">
        <w:trPr>
          <w:trHeight w:val="350"/>
          <w:jc w:val="center"/>
        </w:trPr>
        <w:tc>
          <w:tcPr>
            <w:tcW w:w="940" w:type="dxa"/>
            <w:tcBorders>
              <w:top w:val="nil"/>
              <w:left w:val="nil"/>
              <w:bottom w:val="nil"/>
              <w:right w:val="nil"/>
            </w:tcBorders>
            <w:noWrap/>
            <w:vAlign w:val="center"/>
            <w:hideMark/>
          </w:tcPr>
          <w:p w:rsidR="00D500E4" w:rsidRPr="001A4873" w:rsidRDefault="00D500E4" w:rsidP="00316912">
            <w:pPr>
              <w:spacing w:after="0"/>
              <w:jc w:val="right"/>
              <w:rPr>
                <w:rFonts w:eastAsia="Times New Roman" w:cs="Times New Roman"/>
                <w:color w:val="000000"/>
                <w:sz w:val="18"/>
                <w:szCs w:val="18"/>
              </w:rPr>
            </w:pPr>
            <w:r w:rsidRPr="001A4873">
              <w:rPr>
                <w:rFonts w:eastAsia="Times New Roman" w:cs="Times New Roman"/>
                <w:color w:val="000000"/>
                <w:sz w:val="18"/>
                <w:szCs w:val="18"/>
              </w:rPr>
              <w:t>Na</w:t>
            </w:r>
            <w:r w:rsidRPr="001A4873">
              <w:rPr>
                <w:rFonts w:eastAsia="Times New Roman" w:cs="Times New Roman"/>
                <w:color w:val="000000"/>
                <w:sz w:val="18"/>
                <w:szCs w:val="18"/>
                <w:vertAlign w:val="subscript"/>
              </w:rPr>
              <w:t>2</w:t>
            </w:r>
            <w:r w:rsidRPr="001A4873">
              <w:rPr>
                <w:rFonts w:eastAsia="Times New Roman" w:cs="Times New Roman"/>
                <w:color w:val="000000"/>
                <w:sz w:val="18"/>
                <w:szCs w:val="18"/>
              </w:rPr>
              <w:t>O</w:t>
            </w:r>
          </w:p>
        </w:tc>
        <w:tc>
          <w:tcPr>
            <w:tcW w:w="68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4.21</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(0.21)</w:t>
            </w:r>
          </w:p>
        </w:tc>
        <w:tc>
          <w:tcPr>
            <w:tcW w:w="808"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3.60</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(0.15)</w:t>
            </w:r>
          </w:p>
        </w:tc>
        <w:tc>
          <w:tcPr>
            <w:tcW w:w="793"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3.57</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(0.11)</w:t>
            </w:r>
          </w:p>
        </w:tc>
        <w:tc>
          <w:tcPr>
            <w:tcW w:w="75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3.60</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(0.17)</w:t>
            </w:r>
          </w:p>
        </w:tc>
        <w:tc>
          <w:tcPr>
            <w:tcW w:w="76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3.45</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(0.11)</w:t>
            </w:r>
          </w:p>
        </w:tc>
        <w:tc>
          <w:tcPr>
            <w:tcW w:w="76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3.45</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(0.15)</w:t>
            </w:r>
          </w:p>
        </w:tc>
        <w:tc>
          <w:tcPr>
            <w:tcW w:w="76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3.43</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(0.14)</w:t>
            </w:r>
          </w:p>
        </w:tc>
        <w:tc>
          <w:tcPr>
            <w:tcW w:w="78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4.10</w:t>
            </w:r>
          </w:p>
        </w:tc>
      </w:tr>
      <w:tr w:rsidR="00D500E4" w:rsidRPr="001A4873" w:rsidTr="00D500E4">
        <w:trPr>
          <w:trHeight w:val="350"/>
          <w:jc w:val="center"/>
        </w:trPr>
        <w:tc>
          <w:tcPr>
            <w:tcW w:w="940" w:type="dxa"/>
            <w:tcBorders>
              <w:top w:val="nil"/>
              <w:left w:val="nil"/>
              <w:bottom w:val="nil"/>
              <w:right w:val="nil"/>
            </w:tcBorders>
            <w:noWrap/>
            <w:vAlign w:val="center"/>
            <w:hideMark/>
          </w:tcPr>
          <w:p w:rsidR="00D500E4" w:rsidRPr="001A4873" w:rsidRDefault="00D500E4" w:rsidP="00316912">
            <w:pPr>
              <w:spacing w:after="0"/>
              <w:jc w:val="right"/>
              <w:rPr>
                <w:rFonts w:eastAsia="Times New Roman" w:cs="Times New Roman"/>
                <w:color w:val="000000"/>
                <w:sz w:val="18"/>
                <w:szCs w:val="18"/>
              </w:rPr>
            </w:pPr>
            <w:r w:rsidRPr="001A4873">
              <w:rPr>
                <w:rFonts w:eastAsia="Times New Roman" w:cs="Times New Roman"/>
                <w:color w:val="000000"/>
                <w:sz w:val="18"/>
                <w:szCs w:val="18"/>
              </w:rPr>
              <w:t>K</w:t>
            </w:r>
            <w:r w:rsidRPr="001A4873">
              <w:rPr>
                <w:rFonts w:eastAsia="Times New Roman" w:cs="Times New Roman"/>
                <w:color w:val="000000"/>
                <w:sz w:val="18"/>
                <w:szCs w:val="18"/>
                <w:vertAlign w:val="subscript"/>
              </w:rPr>
              <w:t>2</w:t>
            </w:r>
            <w:r w:rsidRPr="001A4873">
              <w:rPr>
                <w:rFonts w:eastAsia="Times New Roman" w:cs="Times New Roman"/>
                <w:color w:val="000000"/>
                <w:sz w:val="18"/>
                <w:szCs w:val="18"/>
              </w:rPr>
              <w:t>O</w:t>
            </w:r>
          </w:p>
        </w:tc>
        <w:tc>
          <w:tcPr>
            <w:tcW w:w="680"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4.87</w:t>
            </w: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(0.11)</w:t>
            </w:r>
          </w:p>
        </w:tc>
        <w:tc>
          <w:tcPr>
            <w:tcW w:w="808"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4.35</w:t>
            </w: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(0.13)</w:t>
            </w:r>
          </w:p>
        </w:tc>
        <w:tc>
          <w:tcPr>
            <w:tcW w:w="793"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4.40</w:t>
            </w: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(0.17)</w:t>
            </w:r>
          </w:p>
        </w:tc>
        <w:tc>
          <w:tcPr>
            <w:tcW w:w="750"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4.38</w:t>
            </w: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(0.11)</w:t>
            </w:r>
          </w:p>
        </w:tc>
        <w:tc>
          <w:tcPr>
            <w:tcW w:w="760"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4.19</w:t>
            </w: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(0.13)</w:t>
            </w:r>
          </w:p>
        </w:tc>
        <w:tc>
          <w:tcPr>
            <w:tcW w:w="760"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4.21</w:t>
            </w: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(0.14)</w:t>
            </w:r>
          </w:p>
        </w:tc>
        <w:tc>
          <w:tcPr>
            <w:tcW w:w="760"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4.25</w:t>
            </w: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(0.11)</w:t>
            </w:r>
          </w:p>
        </w:tc>
        <w:tc>
          <w:tcPr>
            <w:tcW w:w="780"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3.53</w:t>
            </w:r>
          </w:p>
        </w:tc>
      </w:tr>
      <w:tr w:rsidR="00D500E4" w:rsidRPr="001A4873" w:rsidTr="00D500E4">
        <w:trPr>
          <w:trHeight w:val="310"/>
          <w:jc w:val="center"/>
        </w:trPr>
        <w:tc>
          <w:tcPr>
            <w:tcW w:w="940" w:type="dxa"/>
            <w:tcBorders>
              <w:top w:val="nil"/>
              <w:left w:val="nil"/>
              <w:bottom w:val="nil"/>
              <w:right w:val="nil"/>
            </w:tcBorders>
            <w:noWrap/>
            <w:vAlign w:val="center"/>
            <w:hideMark/>
          </w:tcPr>
          <w:p w:rsidR="00D500E4" w:rsidRPr="001A4873" w:rsidRDefault="00D500E4" w:rsidP="00316912">
            <w:pPr>
              <w:spacing w:after="0"/>
              <w:jc w:val="right"/>
              <w:rPr>
                <w:rFonts w:eastAsia="Times New Roman" w:cs="Times New Roman"/>
                <w:color w:val="000000"/>
                <w:sz w:val="18"/>
                <w:szCs w:val="18"/>
              </w:rPr>
            </w:pPr>
            <w:r w:rsidRPr="001A4873">
              <w:rPr>
                <w:rFonts w:eastAsia="Times New Roman" w:cs="Times New Roman"/>
                <w:color w:val="000000"/>
                <w:sz w:val="18"/>
                <w:szCs w:val="18"/>
              </w:rPr>
              <w:t>Total</w:t>
            </w:r>
          </w:p>
        </w:tc>
        <w:tc>
          <w:tcPr>
            <w:tcW w:w="68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99.6</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808"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92.35</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(0.53)</w:t>
            </w:r>
          </w:p>
        </w:tc>
        <w:tc>
          <w:tcPr>
            <w:tcW w:w="793"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92.84</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(0.71)</w:t>
            </w:r>
          </w:p>
        </w:tc>
        <w:tc>
          <w:tcPr>
            <w:tcW w:w="75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92.15</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(0.82)</w:t>
            </w:r>
          </w:p>
        </w:tc>
        <w:tc>
          <w:tcPr>
            <w:tcW w:w="76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92.49</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(0.64)</w:t>
            </w:r>
          </w:p>
        </w:tc>
        <w:tc>
          <w:tcPr>
            <w:tcW w:w="76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92.51</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(0.79)</w:t>
            </w:r>
          </w:p>
        </w:tc>
        <w:tc>
          <w:tcPr>
            <w:tcW w:w="76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92.10</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(0.81)</w:t>
            </w:r>
          </w:p>
        </w:tc>
        <w:tc>
          <w:tcPr>
            <w:tcW w:w="78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96.20</w:t>
            </w:r>
          </w:p>
        </w:tc>
      </w:tr>
      <w:tr w:rsidR="00D500E4" w:rsidRPr="001A4873" w:rsidTr="00D500E4">
        <w:trPr>
          <w:trHeight w:val="390"/>
          <w:jc w:val="center"/>
        </w:trPr>
        <w:tc>
          <w:tcPr>
            <w:tcW w:w="940" w:type="dxa"/>
            <w:tcBorders>
              <w:top w:val="nil"/>
              <w:left w:val="nil"/>
              <w:bottom w:val="nil"/>
              <w:right w:val="nil"/>
            </w:tcBorders>
            <w:noWrap/>
            <w:vAlign w:val="center"/>
            <w:hideMark/>
          </w:tcPr>
          <w:p w:rsidR="00D500E4" w:rsidRPr="001A4873" w:rsidRDefault="00D500E4" w:rsidP="00316912">
            <w:pPr>
              <w:spacing w:after="0"/>
              <w:jc w:val="right"/>
              <w:rPr>
                <w:rFonts w:eastAsia="Times New Roman" w:cs="Times New Roman"/>
                <w:color w:val="000000"/>
                <w:sz w:val="18"/>
                <w:szCs w:val="18"/>
              </w:rPr>
            </w:pPr>
            <w:r w:rsidRPr="001A4873">
              <w:rPr>
                <w:rFonts w:eastAsia="Times New Roman" w:cs="Times New Roman"/>
                <w:color w:val="000000"/>
                <w:sz w:val="18"/>
                <w:szCs w:val="18"/>
              </w:rPr>
              <w:t>H</w:t>
            </w:r>
            <w:r w:rsidRPr="001A4873">
              <w:rPr>
                <w:rFonts w:eastAsia="Times New Roman" w:cs="Times New Roman"/>
                <w:color w:val="000000"/>
                <w:sz w:val="18"/>
                <w:szCs w:val="18"/>
                <w:vertAlign w:val="subscript"/>
              </w:rPr>
              <w:t>2</w:t>
            </w:r>
            <w:r w:rsidRPr="001A4873">
              <w:rPr>
                <w:rFonts w:eastAsia="Times New Roman" w:cs="Times New Roman"/>
                <w:color w:val="000000"/>
                <w:sz w:val="18"/>
                <w:szCs w:val="18"/>
              </w:rPr>
              <w:t>O</w:t>
            </w:r>
            <w:r w:rsidRPr="001A4873">
              <w:rPr>
                <w:rFonts w:eastAsia="Times New Roman" w:cs="Times New Roman"/>
                <w:color w:val="000000"/>
                <w:sz w:val="18"/>
                <w:szCs w:val="18"/>
                <w:vertAlign w:val="superscript"/>
              </w:rPr>
              <w:t>2</w:t>
            </w:r>
          </w:p>
        </w:tc>
        <w:tc>
          <w:tcPr>
            <w:tcW w:w="68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808"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7.65</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93"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7.16</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5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7.85</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6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7.51</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6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7.49</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6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7.90</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8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sz w:val="18"/>
                <w:szCs w:val="18"/>
              </w:rPr>
            </w:pPr>
          </w:p>
        </w:tc>
      </w:tr>
      <w:tr w:rsidR="00D500E4" w:rsidRPr="001A4873" w:rsidTr="00D500E4">
        <w:trPr>
          <w:trHeight w:val="370"/>
          <w:jc w:val="center"/>
        </w:trPr>
        <w:tc>
          <w:tcPr>
            <w:tcW w:w="940" w:type="dxa"/>
            <w:tcBorders>
              <w:top w:val="nil"/>
              <w:left w:val="nil"/>
              <w:bottom w:val="nil"/>
              <w:right w:val="nil"/>
            </w:tcBorders>
            <w:noWrap/>
            <w:vAlign w:val="center"/>
            <w:hideMark/>
          </w:tcPr>
          <w:p w:rsidR="00D500E4" w:rsidRPr="001A4873" w:rsidRDefault="00D500E4" w:rsidP="00316912">
            <w:pPr>
              <w:spacing w:after="0"/>
              <w:jc w:val="right"/>
              <w:rPr>
                <w:rFonts w:eastAsia="Times New Roman" w:cs="Times New Roman"/>
                <w:color w:val="000000"/>
                <w:sz w:val="18"/>
                <w:szCs w:val="18"/>
              </w:rPr>
            </w:pPr>
            <w:r w:rsidRPr="001A4873">
              <w:rPr>
                <w:rFonts w:eastAsia="Times New Roman" w:cs="Times New Roman"/>
                <w:color w:val="000000"/>
                <w:sz w:val="18"/>
                <w:szCs w:val="18"/>
              </w:rPr>
              <w:t>N</w:t>
            </w:r>
            <w:r w:rsidRPr="001A4873">
              <w:rPr>
                <w:rFonts w:eastAsia="Times New Roman" w:cs="Times New Roman"/>
                <w:color w:val="000000"/>
                <w:sz w:val="18"/>
                <w:szCs w:val="18"/>
                <w:vertAlign w:val="superscript"/>
              </w:rPr>
              <w:t>3</w:t>
            </w:r>
          </w:p>
        </w:tc>
        <w:tc>
          <w:tcPr>
            <w:tcW w:w="68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50</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808"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25</w:t>
            </w: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93"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25</w:t>
            </w: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50"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25</w:t>
            </w: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60"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25</w:t>
            </w: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60"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25</w:t>
            </w: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60"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25</w:t>
            </w: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80"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r>
      <w:tr w:rsidR="00D500E4" w:rsidRPr="001A4873" w:rsidTr="00D500E4">
        <w:trPr>
          <w:trHeight w:val="310"/>
          <w:jc w:val="center"/>
        </w:trPr>
        <w:tc>
          <w:tcPr>
            <w:tcW w:w="940" w:type="dxa"/>
            <w:tcBorders>
              <w:top w:val="nil"/>
              <w:left w:val="nil"/>
              <w:bottom w:val="nil"/>
              <w:right w:val="nil"/>
            </w:tcBorders>
            <w:noWrap/>
            <w:vAlign w:val="center"/>
            <w:hideMark/>
          </w:tcPr>
          <w:p w:rsidR="00D500E4" w:rsidRPr="001A4873" w:rsidRDefault="00D500E4" w:rsidP="00316912">
            <w:pPr>
              <w:spacing w:after="0"/>
              <w:jc w:val="right"/>
              <w:rPr>
                <w:rFonts w:eastAsia="Times New Roman" w:cs="Times New Roman"/>
                <w:sz w:val="18"/>
                <w:szCs w:val="18"/>
              </w:rPr>
            </w:pPr>
          </w:p>
        </w:tc>
        <w:tc>
          <w:tcPr>
            <w:tcW w:w="680" w:type="dxa"/>
            <w:tcBorders>
              <w:top w:val="single" w:sz="4" w:space="0" w:color="auto"/>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24" w:type="dxa"/>
            <w:tcBorders>
              <w:top w:val="single" w:sz="4" w:space="0" w:color="auto"/>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808"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93"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50"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60"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60"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60"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80"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r>
      <w:tr w:rsidR="00D500E4" w:rsidRPr="001A4873" w:rsidTr="00D500E4">
        <w:trPr>
          <w:trHeight w:val="370"/>
          <w:jc w:val="center"/>
        </w:trPr>
        <w:tc>
          <w:tcPr>
            <w:tcW w:w="940" w:type="dxa"/>
            <w:tcBorders>
              <w:top w:val="nil"/>
              <w:left w:val="nil"/>
              <w:bottom w:val="nil"/>
              <w:right w:val="nil"/>
            </w:tcBorders>
            <w:noWrap/>
            <w:vAlign w:val="center"/>
            <w:hideMark/>
          </w:tcPr>
          <w:p w:rsidR="00D500E4" w:rsidRPr="001A4873" w:rsidRDefault="00D500E4" w:rsidP="00316912">
            <w:pPr>
              <w:spacing w:after="0"/>
              <w:jc w:val="right"/>
              <w:rPr>
                <w:rFonts w:eastAsia="Times New Roman" w:cs="Times New Roman"/>
                <w:color w:val="000000"/>
                <w:sz w:val="18"/>
                <w:szCs w:val="18"/>
              </w:rPr>
            </w:pPr>
            <w:r w:rsidRPr="001A4873">
              <w:rPr>
                <w:rFonts w:eastAsia="Times New Roman" w:cs="Times New Roman"/>
                <w:color w:val="000000"/>
                <w:sz w:val="18"/>
                <w:szCs w:val="18"/>
              </w:rPr>
              <w:t>δ</w:t>
            </w:r>
            <w:r w:rsidRPr="001A4873">
              <w:rPr>
                <w:rFonts w:eastAsia="Times New Roman" w:cs="Times New Roman"/>
                <w:color w:val="000000"/>
                <w:sz w:val="18"/>
                <w:szCs w:val="18"/>
                <w:vertAlign w:val="superscript"/>
              </w:rPr>
              <w:t>11</w:t>
            </w:r>
            <w:r w:rsidRPr="001A4873">
              <w:rPr>
                <w:rFonts w:eastAsia="Times New Roman" w:cs="Times New Roman"/>
                <w:color w:val="000000"/>
                <w:sz w:val="18"/>
                <w:szCs w:val="18"/>
              </w:rPr>
              <w:t>B</w:t>
            </w:r>
            <w:r w:rsidRPr="001A4873">
              <w:rPr>
                <w:rFonts w:eastAsia="Times New Roman" w:cs="Times New Roman"/>
                <w:color w:val="000000"/>
                <w:sz w:val="18"/>
                <w:szCs w:val="18"/>
                <w:vertAlign w:val="superscript"/>
              </w:rPr>
              <w:t>4</w:t>
            </w:r>
          </w:p>
        </w:tc>
        <w:tc>
          <w:tcPr>
            <w:tcW w:w="68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808"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0.4</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93"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-1.2</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5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-0.4</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6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-0.5</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6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-0.2</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6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8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sz w:val="18"/>
                <w:szCs w:val="18"/>
              </w:rPr>
            </w:pPr>
          </w:p>
        </w:tc>
      </w:tr>
      <w:tr w:rsidR="00D500E4" w:rsidRPr="001A4873" w:rsidTr="00D500E4">
        <w:trPr>
          <w:trHeight w:val="310"/>
          <w:jc w:val="center"/>
        </w:trPr>
        <w:tc>
          <w:tcPr>
            <w:tcW w:w="940" w:type="dxa"/>
            <w:tcBorders>
              <w:top w:val="nil"/>
              <w:left w:val="nil"/>
              <w:bottom w:val="nil"/>
              <w:right w:val="nil"/>
            </w:tcBorders>
            <w:noWrap/>
            <w:vAlign w:val="center"/>
            <w:hideMark/>
          </w:tcPr>
          <w:p w:rsidR="00D500E4" w:rsidRPr="001A4873" w:rsidRDefault="00D500E4" w:rsidP="00316912">
            <w:pPr>
              <w:spacing w:after="0"/>
              <w:jc w:val="right"/>
              <w:rPr>
                <w:rFonts w:eastAsia="Times New Roman" w:cs="Times New Roman"/>
                <w:color w:val="000000"/>
                <w:sz w:val="18"/>
                <w:szCs w:val="18"/>
              </w:rPr>
            </w:pPr>
            <w:r w:rsidRPr="001A4873">
              <w:rPr>
                <w:rFonts w:eastAsia="Times New Roman" w:cs="Times New Roman"/>
                <w:color w:val="000000"/>
                <w:sz w:val="18"/>
                <w:szCs w:val="18"/>
              </w:rPr>
              <w:t>2σS.E.</w:t>
            </w:r>
          </w:p>
        </w:tc>
        <w:tc>
          <w:tcPr>
            <w:tcW w:w="68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808"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0.8</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93"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0.4</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5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0.7</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6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0.6</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6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0.4</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6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8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sz w:val="18"/>
                <w:szCs w:val="18"/>
              </w:rPr>
            </w:pPr>
          </w:p>
        </w:tc>
      </w:tr>
      <w:tr w:rsidR="00D500E4" w:rsidRPr="001A4873" w:rsidTr="00D500E4">
        <w:trPr>
          <w:trHeight w:val="370"/>
          <w:jc w:val="center"/>
        </w:trPr>
        <w:tc>
          <w:tcPr>
            <w:tcW w:w="940" w:type="dxa"/>
            <w:tcBorders>
              <w:top w:val="nil"/>
              <w:left w:val="nil"/>
              <w:bottom w:val="nil"/>
              <w:right w:val="nil"/>
            </w:tcBorders>
            <w:noWrap/>
            <w:vAlign w:val="center"/>
            <w:hideMark/>
          </w:tcPr>
          <w:p w:rsidR="00D500E4" w:rsidRPr="001A4873" w:rsidRDefault="00D500E4" w:rsidP="00316912">
            <w:pPr>
              <w:spacing w:after="0"/>
              <w:jc w:val="right"/>
              <w:rPr>
                <w:rFonts w:eastAsia="Times New Roman" w:cs="Times New Roman"/>
                <w:color w:val="000000"/>
                <w:sz w:val="18"/>
                <w:szCs w:val="18"/>
              </w:rPr>
            </w:pPr>
            <w:r w:rsidRPr="001A4873">
              <w:rPr>
                <w:rFonts w:eastAsia="Times New Roman" w:cs="Times New Roman"/>
                <w:color w:val="000000"/>
                <w:sz w:val="18"/>
                <w:szCs w:val="18"/>
              </w:rPr>
              <w:t>N</w:t>
            </w:r>
            <w:r w:rsidRPr="001A4873">
              <w:rPr>
                <w:rFonts w:eastAsia="Times New Roman" w:cs="Times New Roman"/>
                <w:color w:val="000000"/>
                <w:sz w:val="18"/>
                <w:szCs w:val="18"/>
                <w:vertAlign w:val="superscript"/>
              </w:rPr>
              <w:t>5</w:t>
            </w:r>
          </w:p>
        </w:tc>
        <w:tc>
          <w:tcPr>
            <w:tcW w:w="68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808"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9</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93"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3</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5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3</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6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3</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6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3</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6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8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sz w:val="18"/>
                <w:szCs w:val="18"/>
              </w:rPr>
            </w:pPr>
          </w:p>
        </w:tc>
      </w:tr>
      <w:tr w:rsidR="00D500E4" w:rsidRPr="001A4873" w:rsidTr="00D500E4">
        <w:trPr>
          <w:trHeight w:val="310"/>
          <w:jc w:val="center"/>
        </w:trPr>
        <w:tc>
          <w:tcPr>
            <w:tcW w:w="940" w:type="dxa"/>
            <w:tcBorders>
              <w:top w:val="nil"/>
              <w:left w:val="nil"/>
              <w:bottom w:val="nil"/>
              <w:right w:val="nil"/>
            </w:tcBorders>
            <w:noWrap/>
            <w:vAlign w:val="center"/>
            <w:hideMark/>
          </w:tcPr>
          <w:p w:rsidR="00D500E4" w:rsidRPr="001A4873" w:rsidRDefault="00D500E4" w:rsidP="00316912">
            <w:pPr>
              <w:spacing w:after="0"/>
              <w:jc w:val="right"/>
              <w:rPr>
                <w:rFonts w:eastAsia="Times New Roman" w:cs="Times New Roman"/>
                <w:sz w:val="18"/>
                <w:szCs w:val="18"/>
              </w:rPr>
            </w:pPr>
          </w:p>
        </w:tc>
        <w:tc>
          <w:tcPr>
            <w:tcW w:w="680" w:type="dxa"/>
            <w:tcBorders>
              <w:top w:val="single" w:sz="4" w:space="0" w:color="auto"/>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24" w:type="dxa"/>
            <w:tcBorders>
              <w:top w:val="single" w:sz="4" w:space="0" w:color="auto"/>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808" w:type="dxa"/>
            <w:tcBorders>
              <w:top w:val="single" w:sz="4" w:space="0" w:color="auto"/>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24" w:type="dxa"/>
            <w:tcBorders>
              <w:top w:val="single" w:sz="4" w:space="0" w:color="auto"/>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93" w:type="dxa"/>
            <w:tcBorders>
              <w:top w:val="single" w:sz="4" w:space="0" w:color="auto"/>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24" w:type="dxa"/>
            <w:tcBorders>
              <w:top w:val="single" w:sz="4" w:space="0" w:color="auto"/>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50" w:type="dxa"/>
            <w:tcBorders>
              <w:top w:val="single" w:sz="4" w:space="0" w:color="auto"/>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24" w:type="dxa"/>
            <w:tcBorders>
              <w:top w:val="single" w:sz="4" w:space="0" w:color="auto"/>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60" w:type="dxa"/>
            <w:tcBorders>
              <w:top w:val="single" w:sz="4" w:space="0" w:color="auto"/>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24" w:type="dxa"/>
            <w:tcBorders>
              <w:top w:val="single" w:sz="4" w:space="0" w:color="auto"/>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60" w:type="dxa"/>
            <w:tcBorders>
              <w:top w:val="single" w:sz="4" w:space="0" w:color="auto"/>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24" w:type="dxa"/>
            <w:tcBorders>
              <w:top w:val="single" w:sz="4" w:space="0" w:color="auto"/>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60" w:type="dxa"/>
            <w:tcBorders>
              <w:top w:val="single" w:sz="4" w:space="0" w:color="auto"/>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24" w:type="dxa"/>
            <w:tcBorders>
              <w:top w:val="single" w:sz="4" w:space="0" w:color="auto"/>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80" w:type="dxa"/>
            <w:tcBorders>
              <w:top w:val="single" w:sz="4" w:space="0" w:color="auto"/>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r>
      <w:tr w:rsidR="00D500E4" w:rsidRPr="001A4873" w:rsidTr="00D500E4">
        <w:trPr>
          <w:trHeight w:val="370"/>
          <w:jc w:val="center"/>
        </w:trPr>
        <w:tc>
          <w:tcPr>
            <w:tcW w:w="940" w:type="dxa"/>
            <w:tcBorders>
              <w:top w:val="nil"/>
              <w:left w:val="nil"/>
              <w:bottom w:val="nil"/>
              <w:right w:val="nil"/>
            </w:tcBorders>
            <w:noWrap/>
            <w:vAlign w:val="center"/>
            <w:hideMark/>
          </w:tcPr>
          <w:p w:rsidR="00D500E4" w:rsidRPr="001A4873" w:rsidRDefault="00D500E4" w:rsidP="00316912">
            <w:pPr>
              <w:spacing w:after="0"/>
              <w:jc w:val="right"/>
              <w:rPr>
                <w:rFonts w:eastAsia="Times New Roman" w:cs="Times New Roman"/>
                <w:color w:val="000000"/>
                <w:sz w:val="18"/>
                <w:szCs w:val="18"/>
              </w:rPr>
            </w:pPr>
            <w:r w:rsidRPr="001A4873">
              <w:rPr>
                <w:rFonts w:eastAsia="Times New Roman" w:cs="Times New Roman"/>
                <w:color w:val="000000"/>
                <w:sz w:val="18"/>
                <w:szCs w:val="18"/>
              </w:rPr>
              <w:t>δ</w:t>
            </w:r>
            <w:r w:rsidRPr="001A4873">
              <w:rPr>
                <w:rFonts w:eastAsia="Times New Roman" w:cs="Times New Roman"/>
                <w:color w:val="000000"/>
                <w:sz w:val="18"/>
                <w:szCs w:val="18"/>
                <w:vertAlign w:val="superscript"/>
              </w:rPr>
              <w:t>11</w:t>
            </w:r>
            <w:r w:rsidRPr="001A4873">
              <w:rPr>
                <w:rFonts w:eastAsia="Times New Roman" w:cs="Times New Roman"/>
                <w:color w:val="000000"/>
                <w:sz w:val="18"/>
                <w:szCs w:val="18"/>
              </w:rPr>
              <w:t>B</w:t>
            </w:r>
            <w:r w:rsidRPr="001A4873">
              <w:rPr>
                <w:rFonts w:eastAsia="Times New Roman" w:cs="Times New Roman"/>
                <w:color w:val="000000"/>
                <w:sz w:val="18"/>
                <w:szCs w:val="18"/>
                <w:vertAlign w:val="superscript"/>
              </w:rPr>
              <w:t>6</w:t>
            </w:r>
          </w:p>
        </w:tc>
        <w:tc>
          <w:tcPr>
            <w:tcW w:w="68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808"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93"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-1.8</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5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6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6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6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-0.7</w:t>
            </w:r>
          </w:p>
        </w:tc>
        <w:tc>
          <w:tcPr>
            <w:tcW w:w="724"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80" w:type="dxa"/>
            <w:tcBorders>
              <w:top w:val="nil"/>
              <w:left w:val="nil"/>
              <w:bottom w:val="nil"/>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-11.1</w:t>
            </w:r>
          </w:p>
        </w:tc>
      </w:tr>
      <w:tr w:rsidR="00D500E4" w:rsidRPr="001A4873" w:rsidTr="00D500E4">
        <w:trPr>
          <w:trHeight w:val="310"/>
          <w:jc w:val="center"/>
        </w:trPr>
        <w:tc>
          <w:tcPr>
            <w:tcW w:w="940" w:type="dxa"/>
            <w:tcBorders>
              <w:top w:val="nil"/>
              <w:left w:val="nil"/>
              <w:bottom w:val="nil"/>
              <w:right w:val="nil"/>
            </w:tcBorders>
            <w:noWrap/>
            <w:vAlign w:val="center"/>
            <w:hideMark/>
          </w:tcPr>
          <w:p w:rsidR="00D500E4" w:rsidRPr="001A4873" w:rsidRDefault="00D500E4" w:rsidP="00316912">
            <w:pPr>
              <w:spacing w:after="0"/>
              <w:jc w:val="right"/>
              <w:rPr>
                <w:rFonts w:eastAsia="Times New Roman" w:cs="Times New Roman"/>
                <w:color w:val="000000"/>
                <w:sz w:val="18"/>
                <w:szCs w:val="18"/>
              </w:rPr>
            </w:pPr>
            <w:r w:rsidRPr="001A4873">
              <w:rPr>
                <w:rFonts w:eastAsia="Times New Roman" w:cs="Times New Roman"/>
                <w:color w:val="000000"/>
                <w:sz w:val="18"/>
                <w:szCs w:val="18"/>
              </w:rPr>
              <w:t>2σS.E.</w:t>
            </w:r>
          </w:p>
        </w:tc>
        <w:tc>
          <w:tcPr>
            <w:tcW w:w="680"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808"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93"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0.7</w:t>
            </w: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50"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60"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60"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sz w:val="18"/>
                <w:szCs w:val="18"/>
              </w:rPr>
            </w:pPr>
          </w:p>
        </w:tc>
        <w:tc>
          <w:tcPr>
            <w:tcW w:w="760"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0.6</w:t>
            </w:r>
          </w:p>
        </w:tc>
        <w:tc>
          <w:tcPr>
            <w:tcW w:w="724"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p>
        </w:tc>
        <w:tc>
          <w:tcPr>
            <w:tcW w:w="780" w:type="dxa"/>
            <w:tcBorders>
              <w:top w:val="nil"/>
              <w:left w:val="nil"/>
              <w:bottom w:val="single" w:sz="4" w:space="0" w:color="auto"/>
              <w:right w:val="nil"/>
            </w:tcBorders>
            <w:noWrap/>
            <w:vAlign w:val="center"/>
            <w:hideMark/>
          </w:tcPr>
          <w:p w:rsidR="00D500E4" w:rsidRPr="001A4873" w:rsidRDefault="00D500E4" w:rsidP="00316912">
            <w:pPr>
              <w:spacing w:after="0"/>
              <w:jc w:val="center"/>
              <w:rPr>
                <w:rFonts w:eastAsia="Times New Roman" w:cs="Times New Roman"/>
                <w:color w:val="000000"/>
                <w:sz w:val="18"/>
                <w:szCs w:val="18"/>
              </w:rPr>
            </w:pPr>
            <w:r w:rsidRPr="001A4873">
              <w:rPr>
                <w:rFonts w:eastAsia="Times New Roman" w:cs="Times New Roman"/>
                <w:color w:val="000000"/>
                <w:sz w:val="18"/>
                <w:szCs w:val="18"/>
              </w:rPr>
              <w:t>0.7</w:t>
            </w:r>
          </w:p>
        </w:tc>
      </w:tr>
      <w:tr w:rsidR="00D500E4" w:rsidRPr="001A4873" w:rsidTr="00D500E4">
        <w:trPr>
          <w:trHeight w:val="219"/>
          <w:jc w:val="center"/>
        </w:trPr>
        <w:tc>
          <w:tcPr>
            <w:tcW w:w="940" w:type="dxa"/>
            <w:tcBorders>
              <w:top w:val="nil"/>
              <w:left w:val="nil"/>
              <w:bottom w:val="nil"/>
              <w:right w:val="nil"/>
            </w:tcBorders>
            <w:noWrap/>
            <w:vAlign w:val="bottom"/>
            <w:hideMark/>
          </w:tcPr>
          <w:p w:rsidR="00D500E4" w:rsidRPr="001A4873" w:rsidRDefault="00D500E4" w:rsidP="00316912">
            <w:pPr>
              <w:spacing w:after="0"/>
              <w:jc w:val="center"/>
              <w:rPr>
                <w:rFonts w:eastAsia="Times New Roman" w:cs="Times New Roman"/>
                <w:color w:val="000000"/>
                <w:sz w:val="18"/>
                <w:szCs w:val="18"/>
              </w:rPr>
            </w:pPr>
          </w:p>
        </w:tc>
        <w:tc>
          <w:tcPr>
            <w:tcW w:w="11159" w:type="dxa"/>
            <w:gridSpan w:val="15"/>
            <w:tcBorders>
              <w:top w:val="nil"/>
              <w:left w:val="nil"/>
              <w:bottom w:val="nil"/>
              <w:right w:val="nil"/>
            </w:tcBorders>
            <w:noWrap/>
            <w:vAlign w:val="bottom"/>
            <w:hideMark/>
          </w:tcPr>
          <w:p w:rsidR="00D500E4" w:rsidRPr="001A4873" w:rsidRDefault="00D500E4" w:rsidP="00316912">
            <w:pPr>
              <w:spacing w:after="0"/>
              <w:rPr>
                <w:rFonts w:eastAsia="Times New Roman" w:cs="Times New Roman"/>
                <w:color w:val="000000"/>
                <w:sz w:val="18"/>
                <w:szCs w:val="18"/>
              </w:rPr>
            </w:pPr>
            <w:r w:rsidRPr="001A4873">
              <w:rPr>
                <w:rFonts w:eastAsia="Times New Roman" w:cs="Times New Roman"/>
                <w:color w:val="000000"/>
                <w:sz w:val="18"/>
                <w:szCs w:val="18"/>
                <w:vertAlign w:val="superscript"/>
              </w:rPr>
              <w:t>1</w:t>
            </w:r>
            <w:r w:rsidRPr="001A4873">
              <w:rPr>
                <w:rFonts w:eastAsia="Times New Roman" w:cs="Times New Roman"/>
                <w:color w:val="000000"/>
                <w:sz w:val="18"/>
                <w:szCs w:val="18"/>
              </w:rPr>
              <w:t>Macusani obsidian (London et al. 1988), total does not include minor and trace elements (e.g. F, Li, Cs)</w:t>
            </w:r>
          </w:p>
        </w:tc>
      </w:tr>
      <w:tr w:rsidR="00D500E4" w:rsidRPr="001A4873" w:rsidTr="00D500E4">
        <w:trPr>
          <w:trHeight w:val="147"/>
          <w:jc w:val="center"/>
        </w:trPr>
        <w:tc>
          <w:tcPr>
            <w:tcW w:w="940" w:type="dxa"/>
            <w:tcBorders>
              <w:top w:val="nil"/>
              <w:left w:val="nil"/>
              <w:bottom w:val="nil"/>
              <w:right w:val="nil"/>
            </w:tcBorders>
            <w:noWrap/>
            <w:vAlign w:val="bottom"/>
            <w:hideMark/>
          </w:tcPr>
          <w:p w:rsidR="00D500E4" w:rsidRPr="001A4873" w:rsidRDefault="00D500E4" w:rsidP="00316912">
            <w:pPr>
              <w:spacing w:after="0"/>
              <w:rPr>
                <w:rFonts w:eastAsia="Times New Roman" w:cs="Times New Roman"/>
                <w:color w:val="000000"/>
                <w:sz w:val="18"/>
                <w:szCs w:val="18"/>
              </w:rPr>
            </w:pPr>
          </w:p>
        </w:tc>
        <w:tc>
          <w:tcPr>
            <w:tcW w:w="6687" w:type="dxa"/>
            <w:gridSpan w:val="9"/>
            <w:tcBorders>
              <w:top w:val="nil"/>
              <w:left w:val="nil"/>
              <w:bottom w:val="nil"/>
              <w:right w:val="nil"/>
            </w:tcBorders>
            <w:noWrap/>
            <w:vAlign w:val="bottom"/>
            <w:hideMark/>
          </w:tcPr>
          <w:p w:rsidR="00D500E4" w:rsidRPr="001A4873" w:rsidRDefault="00D500E4" w:rsidP="00316912">
            <w:pPr>
              <w:spacing w:after="0"/>
              <w:rPr>
                <w:rFonts w:eastAsia="Times New Roman" w:cs="Times New Roman"/>
                <w:color w:val="000000"/>
                <w:sz w:val="18"/>
                <w:szCs w:val="18"/>
              </w:rPr>
            </w:pPr>
            <w:r w:rsidRPr="001A4873">
              <w:rPr>
                <w:rFonts w:eastAsia="Times New Roman" w:cs="Times New Roman"/>
                <w:color w:val="000000"/>
                <w:sz w:val="18"/>
                <w:szCs w:val="18"/>
                <w:vertAlign w:val="superscript"/>
              </w:rPr>
              <w:t>2</w:t>
            </w:r>
            <w:r w:rsidRPr="001A4873">
              <w:rPr>
                <w:rFonts w:eastAsia="Times New Roman" w:cs="Times New Roman"/>
                <w:color w:val="000000"/>
                <w:sz w:val="18"/>
                <w:szCs w:val="18"/>
              </w:rPr>
              <w:t>H</w:t>
            </w:r>
            <w:r w:rsidRPr="001A4873">
              <w:rPr>
                <w:rFonts w:eastAsia="Times New Roman" w:cs="Times New Roman"/>
                <w:color w:val="000000"/>
                <w:sz w:val="18"/>
                <w:szCs w:val="18"/>
                <w:vertAlign w:val="subscript"/>
              </w:rPr>
              <w:t>2</w:t>
            </w:r>
            <w:r w:rsidRPr="001A4873">
              <w:rPr>
                <w:rFonts w:eastAsia="Times New Roman" w:cs="Times New Roman"/>
                <w:color w:val="000000"/>
                <w:sz w:val="18"/>
                <w:szCs w:val="18"/>
              </w:rPr>
              <w:t>O calculated as the difference of EMPA totals from 100%</w:t>
            </w:r>
          </w:p>
        </w:tc>
        <w:tc>
          <w:tcPr>
            <w:tcW w:w="724" w:type="dxa"/>
            <w:tcBorders>
              <w:top w:val="nil"/>
              <w:left w:val="nil"/>
              <w:bottom w:val="nil"/>
              <w:right w:val="nil"/>
            </w:tcBorders>
            <w:noWrap/>
            <w:vAlign w:val="bottom"/>
            <w:hideMark/>
          </w:tcPr>
          <w:p w:rsidR="00D500E4" w:rsidRPr="001A4873" w:rsidRDefault="00D500E4" w:rsidP="00316912">
            <w:pPr>
              <w:spacing w:after="0"/>
              <w:rPr>
                <w:rFonts w:eastAsia="Times New Roman" w:cs="Times New Roman"/>
                <w:color w:val="000000"/>
                <w:sz w:val="18"/>
                <w:szCs w:val="18"/>
              </w:rPr>
            </w:pPr>
          </w:p>
        </w:tc>
        <w:tc>
          <w:tcPr>
            <w:tcW w:w="760" w:type="dxa"/>
            <w:tcBorders>
              <w:top w:val="nil"/>
              <w:left w:val="nil"/>
              <w:bottom w:val="nil"/>
              <w:right w:val="nil"/>
            </w:tcBorders>
            <w:noWrap/>
            <w:vAlign w:val="bottom"/>
            <w:hideMark/>
          </w:tcPr>
          <w:p w:rsidR="00D500E4" w:rsidRPr="001A4873" w:rsidRDefault="00D500E4" w:rsidP="00316912">
            <w:pPr>
              <w:spacing w:after="0"/>
              <w:rPr>
                <w:rFonts w:eastAsia="Times New Roman" w:cs="Times New Roman"/>
                <w:sz w:val="18"/>
                <w:szCs w:val="18"/>
              </w:rPr>
            </w:pPr>
          </w:p>
        </w:tc>
        <w:tc>
          <w:tcPr>
            <w:tcW w:w="724" w:type="dxa"/>
            <w:tcBorders>
              <w:top w:val="nil"/>
              <w:left w:val="nil"/>
              <w:bottom w:val="nil"/>
              <w:right w:val="nil"/>
            </w:tcBorders>
            <w:noWrap/>
            <w:vAlign w:val="bottom"/>
            <w:hideMark/>
          </w:tcPr>
          <w:p w:rsidR="00D500E4" w:rsidRPr="001A4873" w:rsidRDefault="00D500E4" w:rsidP="00316912">
            <w:pPr>
              <w:spacing w:after="0"/>
              <w:rPr>
                <w:rFonts w:eastAsia="Times New Roman" w:cs="Times New Roman"/>
                <w:sz w:val="18"/>
                <w:szCs w:val="18"/>
              </w:rPr>
            </w:pPr>
          </w:p>
        </w:tc>
        <w:tc>
          <w:tcPr>
            <w:tcW w:w="760" w:type="dxa"/>
            <w:tcBorders>
              <w:top w:val="nil"/>
              <w:left w:val="nil"/>
              <w:bottom w:val="nil"/>
              <w:right w:val="nil"/>
            </w:tcBorders>
            <w:noWrap/>
            <w:vAlign w:val="bottom"/>
            <w:hideMark/>
          </w:tcPr>
          <w:p w:rsidR="00D500E4" w:rsidRPr="001A4873" w:rsidRDefault="00D500E4" w:rsidP="00316912">
            <w:pPr>
              <w:spacing w:after="0"/>
              <w:rPr>
                <w:rFonts w:eastAsia="Times New Roman" w:cs="Times New Roman"/>
                <w:sz w:val="18"/>
                <w:szCs w:val="18"/>
              </w:rPr>
            </w:pPr>
          </w:p>
        </w:tc>
        <w:tc>
          <w:tcPr>
            <w:tcW w:w="724" w:type="dxa"/>
            <w:tcBorders>
              <w:top w:val="nil"/>
              <w:left w:val="nil"/>
              <w:bottom w:val="nil"/>
              <w:right w:val="nil"/>
            </w:tcBorders>
            <w:noWrap/>
            <w:vAlign w:val="bottom"/>
            <w:hideMark/>
          </w:tcPr>
          <w:p w:rsidR="00D500E4" w:rsidRPr="001A4873" w:rsidRDefault="00D500E4" w:rsidP="00316912">
            <w:pPr>
              <w:spacing w:after="0"/>
              <w:rPr>
                <w:rFonts w:eastAsia="Times New Roman" w:cs="Times New Roman"/>
                <w:sz w:val="18"/>
                <w:szCs w:val="18"/>
              </w:rPr>
            </w:pPr>
          </w:p>
        </w:tc>
        <w:tc>
          <w:tcPr>
            <w:tcW w:w="780" w:type="dxa"/>
            <w:tcBorders>
              <w:top w:val="nil"/>
              <w:left w:val="nil"/>
              <w:bottom w:val="nil"/>
              <w:right w:val="nil"/>
            </w:tcBorders>
            <w:noWrap/>
            <w:vAlign w:val="bottom"/>
            <w:hideMark/>
          </w:tcPr>
          <w:p w:rsidR="00D500E4" w:rsidRPr="001A4873" w:rsidRDefault="00D500E4" w:rsidP="00316912">
            <w:pPr>
              <w:spacing w:after="0"/>
              <w:rPr>
                <w:rFonts w:eastAsia="Times New Roman" w:cs="Times New Roman"/>
                <w:sz w:val="18"/>
                <w:szCs w:val="18"/>
              </w:rPr>
            </w:pPr>
          </w:p>
        </w:tc>
      </w:tr>
      <w:tr w:rsidR="00D500E4" w:rsidRPr="001A4873" w:rsidTr="00D500E4">
        <w:trPr>
          <w:trHeight w:val="183"/>
          <w:jc w:val="center"/>
        </w:trPr>
        <w:tc>
          <w:tcPr>
            <w:tcW w:w="940" w:type="dxa"/>
            <w:tcBorders>
              <w:top w:val="nil"/>
              <w:left w:val="nil"/>
              <w:bottom w:val="nil"/>
              <w:right w:val="nil"/>
            </w:tcBorders>
            <w:noWrap/>
            <w:vAlign w:val="bottom"/>
            <w:hideMark/>
          </w:tcPr>
          <w:p w:rsidR="00D500E4" w:rsidRPr="001A4873" w:rsidRDefault="00D500E4" w:rsidP="00316912">
            <w:pPr>
              <w:spacing w:after="0"/>
              <w:rPr>
                <w:rFonts w:eastAsia="Times New Roman" w:cs="Times New Roman"/>
                <w:sz w:val="18"/>
                <w:szCs w:val="18"/>
              </w:rPr>
            </w:pPr>
          </w:p>
        </w:tc>
        <w:tc>
          <w:tcPr>
            <w:tcW w:w="9655" w:type="dxa"/>
            <w:gridSpan w:val="13"/>
            <w:tcBorders>
              <w:top w:val="nil"/>
              <w:left w:val="nil"/>
              <w:bottom w:val="nil"/>
              <w:right w:val="nil"/>
            </w:tcBorders>
            <w:noWrap/>
            <w:vAlign w:val="bottom"/>
            <w:hideMark/>
          </w:tcPr>
          <w:p w:rsidR="00D500E4" w:rsidRPr="001A4873" w:rsidRDefault="00D500E4" w:rsidP="00316912">
            <w:pPr>
              <w:spacing w:after="0"/>
              <w:rPr>
                <w:rFonts w:eastAsia="Times New Roman" w:cs="Times New Roman"/>
                <w:color w:val="000000"/>
                <w:sz w:val="18"/>
                <w:szCs w:val="18"/>
              </w:rPr>
            </w:pPr>
            <w:r w:rsidRPr="001A4873">
              <w:rPr>
                <w:rFonts w:eastAsia="Times New Roman" w:cs="Times New Roman"/>
                <w:color w:val="000000"/>
                <w:sz w:val="18"/>
                <w:szCs w:val="18"/>
                <w:vertAlign w:val="superscript"/>
              </w:rPr>
              <w:t>3</w:t>
            </w:r>
            <w:r w:rsidRPr="001A4873">
              <w:rPr>
                <w:rFonts w:eastAsia="Times New Roman" w:cs="Times New Roman"/>
                <w:color w:val="000000"/>
                <w:sz w:val="18"/>
                <w:szCs w:val="18"/>
              </w:rPr>
              <w:t>Number of EMPA data points (Cameca SX-100; University of Oklahoma, Norman, OK, USA)</w:t>
            </w:r>
          </w:p>
        </w:tc>
        <w:tc>
          <w:tcPr>
            <w:tcW w:w="724" w:type="dxa"/>
            <w:tcBorders>
              <w:top w:val="nil"/>
              <w:left w:val="nil"/>
              <w:bottom w:val="nil"/>
              <w:right w:val="nil"/>
            </w:tcBorders>
            <w:noWrap/>
            <w:vAlign w:val="bottom"/>
            <w:hideMark/>
          </w:tcPr>
          <w:p w:rsidR="00D500E4" w:rsidRPr="001A4873" w:rsidRDefault="00D500E4" w:rsidP="00316912">
            <w:pPr>
              <w:spacing w:after="0"/>
              <w:rPr>
                <w:rFonts w:eastAsia="Times New Roman" w:cs="Times New Roman"/>
                <w:color w:val="000000"/>
                <w:sz w:val="18"/>
                <w:szCs w:val="18"/>
              </w:rPr>
            </w:pPr>
          </w:p>
        </w:tc>
        <w:tc>
          <w:tcPr>
            <w:tcW w:w="780" w:type="dxa"/>
            <w:tcBorders>
              <w:top w:val="nil"/>
              <w:left w:val="nil"/>
              <w:bottom w:val="nil"/>
              <w:right w:val="nil"/>
            </w:tcBorders>
            <w:noWrap/>
            <w:vAlign w:val="bottom"/>
            <w:hideMark/>
          </w:tcPr>
          <w:p w:rsidR="00D500E4" w:rsidRPr="001A4873" w:rsidRDefault="00D500E4" w:rsidP="00316912">
            <w:pPr>
              <w:spacing w:after="0"/>
              <w:rPr>
                <w:rFonts w:eastAsia="Times New Roman" w:cs="Times New Roman"/>
                <w:sz w:val="18"/>
                <w:szCs w:val="18"/>
              </w:rPr>
            </w:pPr>
          </w:p>
        </w:tc>
      </w:tr>
      <w:tr w:rsidR="00D500E4" w:rsidRPr="001A4873" w:rsidTr="00D500E4">
        <w:trPr>
          <w:trHeight w:val="129"/>
          <w:jc w:val="center"/>
        </w:trPr>
        <w:tc>
          <w:tcPr>
            <w:tcW w:w="940" w:type="dxa"/>
            <w:tcBorders>
              <w:top w:val="nil"/>
              <w:left w:val="nil"/>
              <w:bottom w:val="nil"/>
              <w:right w:val="nil"/>
            </w:tcBorders>
            <w:noWrap/>
            <w:vAlign w:val="bottom"/>
            <w:hideMark/>
          </w:tcPr>
          <w:p w:rsidR="00D500E4" w:rsidRPr="001A4873" w:rsidRDefault="00D500E4" w:rsidP="00316912">
            <w:pPr>
              <w:spacing w:after="0"/>
              <w:rPr>
                <w:rFonts w:eastAsia="Times New Roman" w:cs="Times New Roman"/>
                <w:sz w:val="18"/>
                <w:szCs w:val="18"/>
              </w:rPr>
            </w:pPr>
          </w:p>
        </w:tc>
        <w:tc>
          <w:tcPr>
            <w:tcW w:w="7411" w:type="dxa"/>
            <w:gridSpan w:val="10"/>
            <w:tcBorders>
              <w:top w:val="nil"/>
              <w:left w:val="nil"/>
              <w:bottom w:val="nil"/>
              <w:right w:val="nil"/>
            </w:tcBorders>
            <w:noWrap/>
            <w:vAlign w:val="bottom"/>
            <w:hideMark/>
          </w:tcPr>
          <w:p w:rsidR="00D500E4" w:rsidRPr="001A4873" w:rsidRDefault="00D500E4" w:rsidP="00316912">
            <w:pPr>
              <w:spacing w:after="0"/>
              <w:rPr>
                <w:rFonts w:eastAsia="Times New Roman" w:cs="Times New Roman"/>
                <w:color w:val="000000"/>
                <w:sz w:val="18"/>
                <w:szCs w:val="18"/>
              </w:rPr>
            </w:pPr>
            <w:r w:rsidRPr="001A4873">
              <w:rPr>
                <w:rFonts w:eastAsia="Times New Roman" w:cs="Times New Roman"/>
                <w:color w:val="000000"/>
                <w:sz w:val="18"/>
                <w:szCs w:val="18"/>
                <w:vertAlign w:val="superscript"/>
              </w:rPr>
              <w:t>4</w:t>
            </w:r>
            <w:r w:rsidRPr="001A4873">
              <w:rPr>
                <w:rFonts w:eastAsia="Times New Roman" w:cs="Times New Roman"/>
                <w:color w:val="000000"/>
                <w:sz w:val="18"/>
                <w:szCs w:val="18"/>
              </w:rPr>
              <w:t>SIMS (Cameca IMS 6f; Arizona State University, Tempe, AZ, USA)</w:t>
            </w:r>
          </w:p>
        </w:tc>
        <w:tc>
          <w:tcPr>
            <w:tcW w:w="760" w:type="dxa"/>
            <w:tcBorders>
              <w:top w:val="nil"/>
              <w:left w:val="nil"/>
              <w:bottom w:val="nil"/>
              <w:right w:val="nil"/>
            </w:tcBorders>
            <w:noWrap/>
            <w:vAlign w:val="bottom"/>
            <w:hideMark/>
          </w:tcPr>
          <w:p w:rsidR="00D500E4" w:rsidRPr="001A4873" w:rsidRDefault="00D500E4" w:rsidP="00316912">
            <w:pPr>
              <w:spacing w:after="0"/>
              <w:rPr>
                <w:rFonts w:eastAsia="Times New Roman" w:cs="Times New Roman"/>
                <w:color w:val="000000"/>
                <w:sz w:val="18"/>
                <w:szCs w:val="18"/>
              </w:rPr>
            </w:pPr>
          </w:p>
        </w:tc>
        <w:tc>
          <w:tcPr>
            <w:tcW w:w="724" w:type="dxa"/>
            <w:tcBorders>
              <w:top w:val="nil"/>
              <w:left w:val="nil"/>
              <w:bottom w:val="nil"/>
              <w:right w:val="nil"/>
            </w:tcBorders>
            <w:noWrap/>
            <w:vAlign w:val="bottom"/>
            <w:hideMark/>
          </w:tcPr>
          <w:p w:rsidR="00D500E4" w:rsidRPr="001A4873" w:rsidRDefault="00D500E4" w:rsidP="00316912">
            <w:pPr>
              <w:spacing w:after="0"/>
              <w:rPr>
                <w:rFonts w:eastAsia="Times New Roman" w:cs="Times New Roman"/>
                <w:sz w:val="18"/>
                <w:szCs w:val="18"/>
              </w:rPr>
            </w:pPr>
          </w:p>
        </w:tc>
        <w:tc>
          <w:tcPr>
            <w:tcW w:w="760" w:type="dxa"/>
            <w:tcBorders>
              <w:top w:val="nil"/>
              <w:left w:val="nil"/>
              <w:bottom w:val="nil"/>
              <w:right w:val="nil"/>
            </w:tcBorders>
            <w:noWrap/>
            <w:vAlign w:val="bottom"/>
            <w:hideMark/>
          </w:tcPr>
          <w:p w:rsidR="00D500E4" w:rsidRPr="001A4873" w:rsidRDefault="00D500E4" w:rsidP="00316912">
            <w:pPr>
              <w:spacing w:after="0"/>
              <w:rPr>
                <w:rFonts w:eastAsia="Times New Roman" w:cs="Times New Roman"/>
                <w:sz w:val="18"/>
                <w:szCs w:val="18"/>
              </w:rPr>
            </w:pPr>
          </w:p>
        </w:tc>
        <w:tc>
          <w:tcPr>
            <w:tcW w:w="724" w:type="dxa"/>
            <w:tcBorders>
              <w:top w:val="nil"/>
              <w:left w:val="nil"/>
              <w:bottom w:val="nil"/>
              <w:right w:val="nil"/>
            </w:tcBorders>
            <w:noWrap/>
            <w:vAlign w:val="bottom"/>
            <w:hideMark/>
          </w:tcPr>
          <w:p w:rsidR="00D500E4" w:rsidRPr="001A4873" w:rsidRDefault="00D500E4" w:rsidP="00316912">
            <w:pPr>
              <w:spacing w:after="0"/>
              <w:rPr>
                <w:rFonts w:eastAsia="Times New Roman" w:cs="Times New Roman"/>
                <w:sz w:val="18"/>
                <w:szCs w:val="18"/>
              </w:rPr>
            </w:pPr>
          </w:p>
        </w:tc>
        <w:tc>
          <w:tcPr>
            <w:tcW w:w="780" w:type="dxa"/>
            <w:tcBorders>
              <w:top w:val="nil"/>
              <w:left w:val="nil"/>
              <w:bottom w:val="nil"/>
              <w:right w:val="nil"/>
            </w:tcBorders>
            <w:noWrap/>
            <w:vAlign w:val="bottom"/>
            <w:hideMark/>
          </w:tcPr>
          <w:p w:rsidR="00D500E4" w:rsidRPr="001A4873" w:rsidRDefault="00D500E4" w:rsidP="00316912">
            <w:pPr>
              <w:spacing w:after="0"/>
              <w:rPr>
                <w:rFonts w:eastAsia="Times New Roman" w:cs="Times New Roman"/>
                <w:sz w:val="18"/>
                <w:szCs w:val="18"/>
              </w:rPr>
            </w:pPr>
          </w:p>
        </w:tc>
      </w:tr>
      <w:tr w:rsidR="00D500E4" w:rsidRPr="001A4873" w:rsidTr="00D500E4">
        <w:trPr>
          <w:trHeight w:val="66"/>
          <w:jc w:val="center"/>
        </w:trPr>
        <w:tc>
          <w:tcPr>
            <w:tcW w:w="940" w:type="dxa"/>
            <w:tcBorders>
              <w:top w:val="nil"/>
              <w:left w:val="nil"/>
              <w:bottom w:val="nil"/>
              <w:right w:val="nil"/>
            </w:tcBorders>
            <w:noWrap/>
            <w:vAlign w:val="bottom"/>
            <w:hideMark/>
          </w:tcPr>
          <w:p w:rsidR="00D500E4" w:rsidRPr="001A4873" w:rsidRDefault="00D500E4" w:rsidP="00316912">
            <w:pPr>
              <w:spacing w:after="0"/>
              <w:rPr>
                <w:rFonts w:eastAsia="Times New Roman" w:cs="Times New Roman"/>
                <w:sz w:val="18"/>
                <w:szCs w:val="18"/>
              </w:rPr>
            </w:pPr>
          </w:p>
        </w:tc>
        <w:tc>
          <w:tcPr>
            <w:tcW w:w="3729" w:type="dxa"/>
            <w:gridSpan w:val="5"/>
            <w:tcBorders>
              <w:top w:val="nil"/>
              <w:left w:val="nil"/>
              <w:bottom w:val="nil"/>
              <w:right w:val="nil"/>
            </w:tcBorders>
            <w:noWrap/>
            <w:vAlign w:val="bottom"/>
            <w:hideMark/>
          </w:tcPr>
          <w:p w:rsidR="00D500E4" w:rsidRPr="001A4873" w:rsidRDefault="00D500E4" w:rsidP="00316912">
            <w:pPr>
              <w:spacing w:after="0"/>
              <w:rPr>
                <w:rFonts w:eastAsia="Times New Roman" w:cs="Times New Roman"/>
                <w:color w:val="000000"/>
                <w:sz w:val="18"/>
                <w:szCs w:val="18"/>
              </w:rPr>
            </w:pPr>
            <w:r w:rsidRPr="001A4873">
              <w:rPr>
                <w:rFonts w:eastAsia="Times New Roman" w:cs="Times New Roman"/>
                <w:color w:val="000000"/>
                <w:sz w:val="18"/>
                <w:szCs w:val="18"/>
                <w:vertAlign w:val="superscript"/>
              </w:rPr>
              <w:t>5</w:t>
            </w:r>
            <w:r w:rsidRPr="001A4873">
              <w:rPr>
                <w:rFonts w:eastAsia="Times New Roman" w:cs="Times New Roman"/>
                <w:color w:val="000000"/>
                <w:sz w:val="18"/>
                <w:szCs w:val="18"/>
              </w:rPr>
              <w:t>Number of SIMS data points for δ</w:t>
            </w:r>
            <w:r w:rsidRPr="001A4873">
              <w:rPr>
                <w:rFonts w:eastAsia="Times New Roman" w:cs="Times New Roman"/>
                <w:color w:val="000000"/>
                <w:sz w:val="18"/>
                <w:szCs w:val="18"/>
                <w:vertAlign w:val="superscript"/>
              </w:rPr>
              <w:t>11</w:t>
            </w:r>
            <w:r w:rsidRPr="001A4873">
              <w:rPr>
                <w:rFonts w:eastAsia="Times New Roman" w:cs="Times New Roman"/>
                <w:color w:val="000000"/>
                <w:sz w:val="18"/>
                <w:szCs w:val="18"/>
              </w:rPr>
              <w:t>B</w:t>
            </w:r>
          </w:p>
        </w:tc>
        <w:tc>
          <w:tcPr>
            <w:tcW w:w="724" w:type="dxa"/>
            <w:tcBorders>
              <w:top w:val="nil"/>
              <w:left w:val="nil"/>
              <w:bottom w:val="nil"/>
              <w:right w:val="nil"/>
            </w:tcBorders>
            <w:noWrap/>
            <w:vAlign w:val="bottom"/>
            <w:hideMark/>
          </w:tcPr>
          <w:p w:rsidR="00D500E4" w:rsidRPr="001A4873" w:rsidRDefault="00D500E4" w:rsidP="00316912">
            <w:pPr>
              <w:spacing w:after="0"/>
              <w:rPr>
                <w:rFonts w:eastAsia="Times New Roman" w:cs="Times New Roman"/>
                <w:color w:val="000000"/>
                <w:sz w:val="18"/>
                <w:szCs w:val="18"/>
              </w:rPr>
            </w:pPr>
          </w:p>
        </w:tc>
        <w:tc>
          <w:tcPr>
            <w:tcW w:w="750" w:type="dxa"/>
            <w:tcBorders>
              <w:top w:val="nil"/>
              <w:left w:val="nil"/>
              <w:bottom w:val="nil"/>
              <w:right w:val="nil"/>
            </w:tcBorders>
            <w:noWrap/>
            <w:vAlign w:val="bottom"/>
            <w:hideMark/>
          </w:tcPr>
          <w:p w:rsidR="00D500E4" w:rsidRPr="001A4873" w:rsidRDefault="00D500E4" w:rsidP="00316912">
            <w:pPr>
              <w:spacing w:after="0"/>
              <w:rPr>
                <w:rFonts w:eastAsia="Times New Roman" w:cs="Times New Roman"/>
                <w:sz w:val="18"/>
                <w:szCs w:val="18"/>
              </w:rPr>
            </w:pPr>
          </w:p>
        </w:tc>
        <w:tc>
          <w:tcPr>
            <w:tcW w:w="724" w:type="dxa"/>
            <w:tcBorders>
              <w:top w:val="nil"/>
              <w:left w:val="nil"/>
              <w:bottom w:val="nil"/>
              <w:right w:val="nil"/>
            </w:tcBorders>
            <w:noWrap/>
            <w:vAlign w:val="bottom"/>
            <w:hideMark/>
          </w:tcPr>
          <w:p w:rsidR="00D500E4" w:rsidRPr="001A4873" w:rsidRDefault="00D500E4" w:rsidP="00316912">
            <w:pPr>
              <w:spacing w:after="0"/>
              <w:rPr>
                <w:rFonts w:eastAsia="Times New Roman" w:cs="Times New Roman"/>
                <w:sz w:val="18"/>
                <w:szCs w:val="18"/>
              </w:rPr>
            </w:pPr>
          </w:p>
        </w:tc>
        <w:tc>
          <w:tcPr>
            <w:tcW w:w="760" w:type="dxa"/>
            <w:tcBorders>
              <w:top w:val="nil"/>
              <w:left w:val="nil"/>
              <w:bottom w:val="nil"/>
              <w:right w:val="nil"/>
            </w:tcBorders>
            <w:noWrap/>
            <w:vAlign w:val="bottom"/>
            <w:hideMark/>
          </w:tcPr>
          <w:p w:rsidR="00D500E4" w:rsidRPr="001A4873" w:rsidRDefault="00D500E4" w:rsidP="00316912">
            <w:pPr>
              <w:spacing w:after="0"/>
              <w:rPr>
                <w:rFonts w:eastAsia="Times New Roman" w:cs="Times New Roman"/>
                <w:sz w:val="18"/>
                <w:szCs w:val="18"/>
              </w:rPr>
            </w:pPr>
          </w:p>
        </w:tc>
        <w:tc>
          <w:tcPr>
            <w:tcW w:w="724" w:type="dxa"/>
            <w:tcBorders>
              <w:top w:val="nil"/>
              <w:left w:val="nil"/>
              <w:bottom w:val="nil"/>
              <w:right w:val="nil"/>
            </w:tcBorders>
            <w:noWrap/>
            <w:vAlign w:val="bottom"/>
            <w:hideMark/>
          </w:tcPr>
          <w:p w:rsidR="00D500E4" w:rsidRPr="001A4873" w:rsidRDefault="00D500E4" w:rsidP="00316912">
            <w:pPr>
              <w:spacing w:after="0"/>
              <w:rPr>
                <w:rFonts w:eastAsia="Times New Roman" w:cs="Times New Roman"/>
                <w:sz w:val="18"/>
                <w:szCs w:val="18"/>
              </w:rPr>
            </w:pPr>
          </w:p>
        </w:tc>
        <w:tc>
          <w:tcPr>
            <w:tcW w:w="760" w:type="dxa"/>
            <w:tcBorders>
              <w:top w:val="nil"/>
              <w:left w:val="nil"/>
              <w:bottom w:val="nil"/>
              <w:right w:val="nil"/>
            </w:tcBorders>
            <w:noWrap/>
            <w:vAlign w:val="bottom"/>
            <w:hideMark/>
          </w:tcPr>
          <w:p w:rsidR="00D500E4" w:rsidRPr="001A4873" w:rsidRDefault="00D500E4" w:rsidP="00316912">
            <w:pPr>
              <w:spacing w:after="0"/>
              <w:rPr>
                <w:rFonts w:eastAsia="Times New Roman" w:cs="Times New Roman"/>
                <w:sz w:val="18"/>
                <w:szCs w:val="18"/>
              </w:rPr>
            </w:pPr>
          </w:p>
        </w:tc>
        <w:tc>
          <w:tcPr>
            <w:tcW w:w="724" w:type="dxa"/>
            <w:tcBorders>
              <w:top w:val="nil"/>
              <w:left w:val="nil"/>
              <w:bottom w:val="nil"/>
              <w:right w:val="nil"/>
            </w:tcBorders>
            <w:noWrap/>
            <w:vAlign w:val="bottom"/>
            <w:hideMark/>
          </w:tcPr>
          <w:p w:rsidR="00D500E4" w:rsidRPr="001A4873" w:rsidRDefault="00D500E4" w:rsidP="00316912">
            <w:pPr>
              <w:spacing w:after="0"/>
              <w:rPr>
                <w:rFonts w:eastAsia="Times New Roman" w:cs="Times New Roman"/>
                <w:sz w:val="18"/>
                <w:szCs w:val="18"/>
              </w:rPr>
            </w:pPr>
          </w:p>
        </w:tc>
        <w:tc>
          <w:tcPr>
            <w:tcW w:w="760" w:type="dxa"/>
            <w:tcBorders>
              <w:top w:val="nil"/>
              <w:left w:val="nil"/>
              <w:bottom w:val="nil"/>
              <w:right w:val="nil"/>
            </w:tcBorders>
            <w:noWrap/>
            <w:vAlign w:val="bottom"/>
            <w:hideMark/>
          </w:tcPr>
          <w:p w:rsidR="00D500E4" w:rsidRPr="001A4873" w:rsidRDefault="00D500E4" w:rsidP="00316912">
            <w:pPr>
              <w:spacing w:after="0"/>
              <w:rPr>
                <w:rFonts w:eastAsia="Times New Roman" w:cs="Times New Roman"/>
                <w:sz w:val="18"/>
                <w:szCs w:val="18"/>
              </w:rPr>
            </w:pPr>
          </w:p>
        </w:tc>
        <w:tc>
          <w:tcPr>
            <w:tcW w:w="724" w:type="dxa"/>
            <w:tcBorders>
              <w:top w:val="nil"/>
              <w:left w:val="nil"/>
              <w:bottom w:val="nil"/>
              <w:right w:val="nil"/>
            </w:tcBorders>
            <w:noWrap/>
            <w:vAlign w:val="bottom"/>
            <w:hideMark/>
          </w:tcPr>
          <w:p w:rsidR="00D500E4" w:rsidRPr="001A4873" w:rsidRDefault="00D500E4" w:rsidP="00316912">
            <w:pPr>
              <w:spacing w:after="0"/>
              <w:rPr>
                <w:rFonts w:eastAsia="Times New Roman" w:cs="Times New Roman"/>
                <w:sz w:val="18"/>
                <w:szCs w:val="18"/>
              </w:rPr>
            </w:pPr>
          </w:p>
        </w:tc>
        <w:tc>
          <w:tcPr>
            <w:tcW w:w="780" w:type="dxa"/>
            <w:tcBorders>
              <w:top w:val="nil"/>
              <w:left w:val="nil"/>
              <w:bottom w:val="nil"/>
              <w:right w:val="nil"/>
            </w:tcBorders>
            <w:noWrap/>
            <w:vAlign w:val="bottom"/>
            <w:hideMark/>
          </w:tcPr>
          <w:p w:rsidR="00D500E4" w:rsidRPr="001A4873" w:rsidRDefault="00D500E4" w:rsidP="00316912">
            <w:pPr>
              <w:spacing w:after="0"/>
              <w:rPr>
                <w:rFonts w:eastAsia="Times New Roman" w:cs="Times New Roman"/>
                <w:sz w:val="18"/>
                <w:szCs w:val="18"/>
              </w:rPr>
            </w:pPr>
          </w:p>
        </w:tc>
      </w:tr>
      <w:tr w:rsidR="00D500E4" w:rsidRPr="001A4873" w:rsidTr="00D500E4">
        <w:trPr>
          <w:trHeight w:val="102"/>
          <w:jc w:val="center"/>
        </w:trPr>
        <w:tc>
          <w:tcPr>
            <w:tcW w:w="940" w:type="dxa"/>
            <w:tcBorders>
              <w:top w:val="nil"/>
              <w:left w:val="nil"/>
              <w:bottom w:val="nil"/>
              <w:right w:val="nil"/>
            </w:tcBorders>
            <w:noWrap/>
            <w:vAlign w:val="bottom"/>
            <w:hideMark/>
          </w:tcPr>
          <w:p w:rsidR="00D500E4" w:rsidRPr="001A4873" w:rsidRDefault="00D500E4" w:rsidP="00316912">
            <w:pPr>
              <w:spacing w:after="0"/>
              <w:rPr>
                <w:rFonts w:eastAsia="Times New Roman" w:cs="Times New Roman"/>
                <w:sz w:val="18"/>
                <w:szCs w:val="18"/>
              </w:rPr>
            </w:pPr>
          </w:p>
        </w:tc>
        <w:tc>
          <w:tcPr>
            <w:tcW w:w="10379" w:type="dxa"/>
            <w:gridSpan w:val="14"/>
            <w:tcBorders>
              <w:top w:val="nil"/>
              <w:left w:val="nil"/>
              <w:bottom w:val="nil"/>
              <w:right w:val="nil"/>
            </w:tcBorders>
            <w:noWrap/>
            <w:vAlign w:val="bottom"/>
            <w:hideMark/>
          </w:tcPr>
          <w:p w:rsidR="00D500E4" w:rsidRPr="001A4873" w:rsidRDefault="00D500E4" w:rsidP="00316912">
            <w:pPr>
              <w:spacing w:after="0"/>
              <w:rPr>
                <w:rFonts w:eastAsia="Times New Roman" w:cs="Times New Roman"/>
                <w:color w:val="000000"/>
                <w:sz w:val="18"/>
                <w:szCs w:val="18"/>
              </w:rPr>
            </w:pPr>
            <w:r w:rsidRPr="001A4873">
              <w:rPr>
                <w:rFonts w:eastAsia="Times New Roman" w:cs="Times New Roman"/>
                <w:color w:val="000000"/>
                <w:sz w:val="18"/>
                <w:szCs w:val="18"/>
                <w:vertAlign w:val="superscript"/>
              </w:rPr>
              <w:t>6</w:t>
            </w:r>
            <w:r w:rsidRPr="001A4873">
              <w:rPr>
                <w:rFonts w:eastAsia="Times New Roman" w:cs="Times New Roman"/>
                <w:color w:val="000000"/>
                <w:sz w:val="18"/>
                <w:szCs w:val="18"/>
              </w:rPr>
              <w:t>MC-ICP-MS (Neptune Plus, ThermoScientific; analyses by ALS Scandinavia AB, Lule</w:t>
            </w:r>
            <w:r w:rsidRPr="001A4873">
              <w:rPr>
                <w:rFonts w:ascii="Calibri" w:eastAsia="Times New Roman" w:hAnsi="Calibri" w:cs="Calibri"/>
                <w:color w:val="000000"/>
                <w:sz w:val="18"/>
                <w:szCs w:val="18"/>
              </w:rPr>
              <w:t>å</w:t>
            </w:r>
            <w:r w:rsidRPr="001A4873">
              <w:rPr>
                <w:rFonts w:eastAsia="Times New Roman" w:cs="Times New Roman"/>
                <w:color w:val="000000"/>
                <w:sz w:val="18"/>
                <w:szCs w:val="18"/>
              </w:rPr>
              <w:t>, Sweden)</w:t>
            </w:r>
          </w:p>
        </w:tc>
        <w:tc>
          <w:tcPr>
            <w:tcW w:w="780" w:type="dxa"/>
            <w:tcBorders>
              <w:top w:val="nil"/>
              <w:left w:val="nil"/>
              <w:bottom w:val="nil"/>
              <w:right w:val="nil"/>
            </w:tcBorders>
            <w:noWrap/>
            <w:vAlign w:val="bottom"/>
            <w:hideMark/>
          </w:tcPr>
          <w:p w:rsidR="00D500E4" w:rsidRPr="001A4873" w:rsidRDefault="00D500E4" w:rsidP="00316912">
            <w:pPr>
              <w:spacing w:after="0"/>
              <w:rPr>
                <w:rFonts w:eastAsia="Times New Roman" w:cs="Times New Roman"/>
                <w:color w:val="000000"/>
                <w:sz w:val="18"/>
                <w:szCs w:val="18"/>
              </w:rPr>
            </w:pPr>
          </w:p>
        </w:tc>
      </w:tr>
    </w:tbl>
    <w:p w:rsidR="00DF0F96" w:rsidRDefault="006A1CD6" w:rsidP="00380C49">
      <w:pPr>
        <w:spacing w:line="480" w:lineRule="auto"/>
        <w:ind w:firstLine="720"/>
        <w:rPr>
          <w:rFonts w:cs="Times New Roman"/>
        </w:rPr>
      </w:pPr>
      <w:r>
        <w:rPr>
          <w:b/>
          <w:noProof/>
        </w:rPr>
        <mc:AlternateContent>
          <mc:Choice Requires="wps">
            <w:drawing>
              <wp:anchor distT="0" distB="0" distL="114300" distR="114300" simplePos="0" relativeHeight="251803648" behindDoc="0" locked="0" layoutInCell="1" allowOverlap="1" wp14:anchorId="460CA844" wp14:editId="6EA005A7">
                <wp:simplePos x="0" y="0"/>
                <wp:positionH relativeFrom="margin">
                  <wp:posOffset>-914400</wp:posOffset>
                </wp:positionH>
                <wp:positionV relativeFrom="margin">
                  <wp:posOffset>1974215</wp:posOffset>
                </wp:positionV>
                <wp:extent cx="914400" cy="914400"/>
                <wp:effectExtent l="0" t="0" r="0" b="0"/>
                <wp:wrapNone/>
                <wp:docPr id="198" name="Rectangle 198"/>
                <wp:cNvGraphicFramePr/>
                <a:graphic xmlns:a="http://schemas.openxmlformats.org/drawingml/2006/main">
                  <a:graphicData uri="http://schemas.microsoft.com/office/word/2010/wordprocessingShape">
                    <wps:wsp>
                      <wps:cNvSpPr/>
                      <wps:spPr>
                        <a:xfrm rot="5400000">
                          <a:off x="0" y="0"/>
                          <a:ext cx="914400" cy="914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D3B9B" w:rsidRPr="00935830" w:rsidRDefault="006D3B9B" w:rsidP="006A1CD6">
                            <w:pPr>
                              <w:jc w:val="center"/>
                              <w:rPr>
                                <w:color w:val="000000" w:themeColor="text1"/>
                              </w:rPr>
                            </w:pPr>
                            <w:r>
                              <w:rPr>
                                <w:color w:val="000000" w:themeColor="text1"/>
                              </w:rPr>
                              <w:t>110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0CA844" id="Rectangle 198" o:spid="_x0000_s1056" style="position:absolute;left:0;text-align:left;margin-left:-1in;margin-top:155.45pt;width:1in;height:1in;rotation:90;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" filled="f" stroked="f" strokeweight="2pt">
                <v:textbox>
                  <w:txbxContent>
                    <w:p w:rsidR="006D3B9B" w:rsidRPr="00935830" w:rsidRDefault="006D3B9B" w:rsidP="006A1CD6">
                      <w:pPr>
                        <w:jc w:val="center"/>
                        <w:rPr>
                          <w:color w:val="000000" w:themeColor="text1"/>
                        </w:rPr>
                      </w:pPr>
                      <w:r>
                        <w:rPr>
                          <w:color w:val="000000" w:themeColor="text1"/>
                        </w:rPr>
                        <w:t>110</w:t>
                      </w:r>
                    </w:p>
                  </w:txbxContent>
                </v:textbox>
                <w10:wrap anchorx="margin" anchory="margin"/>
              </v:rect>
            </w:pict>
          </mc:Fallback>
        </mc:AlternateContent>
      </w:r>
    </w:p>
    <w:p w:rsidR="00D500E4" w:rsidRDefault="00D500E4" w:rsidP="00380C49">
      <w:pPr>
        <w:spacing w:line="480" w:lineRule="auto"/>
        <w:ind w:firstLine="720"/>
        <w:rPr>
          <w:rFonts w:cs="Times New Roman"/>
        </w:rPr>
        <w:sectPr w:rsidR="00D500E4" w:rsidSect="00D500E4">
          <w:footerReference w:type="default" r:id="rId70"/>
          <w:pgSz w:w="15840" w:h="12240" w:orient="landscape"/>
          <w:pgMar w:top="2304" w:right="1440" w:bottom="1440" w:left="1440" w:header="720" w:footer="720" w:gutter="0"/>
          <w:cols w:space="720"/>
          <w:docGrid w:linePitch="360"/>
        </w:sectPr>
      </w:pPr>
    </w:p>
    <w:p w:rsidR="00223F81" w:rsidRPr="00223F81" w:rsidRDefault="00223F81" w:rsidP="00223F81">
      <w:pPr>
        <w:pStyle w:val="Caption"/>
        <w:keepNext/>
        <w:jc w:val="center"/>
        <w:rPr>
          <w:sz w:val="24"/>
          <w:szCs w:val="24"/>
        </w:rPr>
      </w:pPr>
      <w:bookmarkStart w:id="153" w:name="_Toc490131690"/>
      <w:r w:rsidRPr="00223F81">
        <w:rPr>
          <w:sz w:val="24"/>
          <w:szCs w:val="24"/>
        </w:rPr>
        <w:t xml:space="preserve">Table </w:t>
      </w:r>
      <w:r w:rsidR="00B23FDA">
        <w:rPr>
          <w:sz w:val="24"/>
          <w:szCs w:val="24"/>
        </w:rPr>
        <w:fldChar w:fldCharType="begin"/>
      </w:r>
      <w:r w:rsidR="00B23FDA">
        <w:rPr>
          <w:sz w:val="24"/>
          <w:szCs w:val="24"/>
        </w:rPr>
        <w:instrText xml:space="preserve"> STYLEREF 1 \s </w:instrText>
      </w:r>
      <w:r w:rsidR="00B23FDA">
        <w:rPr>
          <w:sz w:val="24"/>
          <w:szCs w:val="24"/>
        </w:rPr>
        <w:fldChar w:fldCharType="separate"/>
      </w:r>
      <w:r w:rsidR="000C5FC3">
        <w:rPr>
          <w:noProof/>
          <w:sz w:val="24"/>
          <w:szCs w:val="24"/>
        </w:rPr>
        <w:t>4</w:t>
      </w:r>
      <w:r w:rsidR="00B23FDA">
        <w:rPr>
          <w:sz w:val="24"/>
          <w:szCs w:val="24"/>
        </w:rPr>
        <w:fldChar w:fldCharType="end"/>
      </w:r>
      <w:r w:rsidR="00B23FDA">
        <w:rPr>
          <w:sz w:val="24"/>
          <w:szCs w:val="24"/>
        </w:rPr>
        <w:noBreakHyphen/>
      </w:r>
      <w:r w:rsidR="00B23FDA">
        <w:rPr>
          <w:sz w:val="24"/>
          <w:szCs w:val="24"/>
        </w:rPr>
        <w:fldChar w:fldCharType="begin"/>
      </w:r>
      <w:r w:rsidR="00B23FDA">
        <w:rPr>
          <w:sz w:val="24"/>
          <w:szCs w:val="24"/>
        </w:rPr>
        <w:instrText xml:space="preserve"> SEQ Table \* ARABIC \s 1 </w:instrText>
      </w:r>
      <w:r w:rsidR="00B23FDA">
        <w:rPr>
          <w:sz w:val="24"/>
          <w:szCs w:val="24"/>
        </w:rPr>
        <w:fldChar w:fldCharType="separate"/>
      </w:r>
      <w:r w:rsidR="000C5FC3">
        <w:rPr>
          <w:noProof/>
          <w:sz w:val="24"/>
          <w:szCs w:val="24"/>
        </w:rPr>
        <w:t>2</w:t>
      </w:r>
      <w:r w:rsidR="00B23FDA">
        <w:rPr>
          <w:sz w:val="24"/>
          <w:szCs w:val="24"/>
        </w:rPr>
        <w:fldChar w:fldCharType="end"/>
      </w:r>
      <w:r w:rsidRPr="00223F81">
        <w:rPr>
          <w:rFonts w:eastAsia="Times New Roman" w:cs="Times New Roman"/>
          <w:color w:val="000000"/>
          <w:sz w:val="24"/>
          <w:szCs w:val="24"/>
        </w:rPr>
        <w:t xml:space="preserve"> P-T conditions for experiments and masses of glass and water</w:t>
      </w:r>
      <w:bookmarkEnd w:id="153"/>
    </w:p>
    <w:tbl>
      <w:tblPr>
        <w:tblW w:w="8381" w:type="dxa"/>
        <w:jc w:val="center"/>
        <w:tblCellMar>
          <w:top w:w="15" w:type="dxa"/>
          <w:bottom w:w="15" w:type="dxa"/>
        </w:tblCellMar>
        <w:tblLook w:val="04A0" w:firstRow="1" w:lastRow="0" w:firstColumn="1" w:lastColumn="0" w:noHBand="0" w:noVBand="1"/>
      </w:tblPr>
      <w:tblGrid>
        <w:gridCol w:w="981"/>
        <w:gridCol w:w="708"/>
        <w:gridCol w:w="840"/>
        <w:gridCol w:w="751"/>
        <w:gridCol w:w="1331"/>
        <w:gridCol w:w="1269"/>
        <w:gridCol w:w="1181"/>
        <w:gridCol w:w="1320"/>
      </w:tblGrid>
      <w:tr w:rsidR="00D500E4" w:rsidRPr="00E54A64" w:rsidTr="00223F81">
        <w:trPr>
          <w:trHeight w:val="390"/>
          <w:jc w:val="center"/>
        </w:trPr>
        <w:tc>
          <w:tcPr>
            <w:tcW w:w="981" w:type="dxa"/>
            <w:tcBorders>
              <w:top w:val="nil"/>
              <w:left w:val="nil"/>
              <w:bottom w:val="nil"/>
              <w:right w:val="nil"/>
            </w:tcBorders>
            <w:noWrap/>
            <w:vAlign w:val="bottom"/>
            <w:hideMark/>
          </w:tcPr>
          <w:p w:rsidR="00D500E4" w:rsidRPr="00E54A64" w:rsidRDefault="00D500E4" w:rsidP="00316912">
            <w:pPr>
              <w:spacing w:after="0"/>
              <w:rPr>
                <w:rFonts w:eastAsia="Times New Roman" w:cs="Times New Roman"/>
                <w:sz w:val="18"/>
                <w:szCs w:val="18"/>
              </w:rPr>
            </w:pPr>
          </w:p>
        </w:tc>
        <w:tc>
          <w:tcPr>
            <w:tcW w:w="708" w:type="dxa"/>
            <w:tcBorders>
              <w:top w:val="nil"/>
              <w:left w:val="nil"/>
              <w:bottom w:val="nil"/>
              <w:right w:val="nil"/>
            </w:tcBorders>
            <w:noWrap/>
            <w:vAlign w:val="bottom"/>
            <w:hideMark/>
          </w:tcPr>
          <w:p w:rsidR="00D500E4" w:rsidRPr="00E54A64" w:rsidRDefault="00D500E4" w:rsidP="00316912">
            <w:pPr>
              <w:spacing w:after="0"/>
              <w:rPr>
                <w:rFonts w:eastAsia="Times New Roman" w:cs="Times New Roman"/>
                <w:sz w:val="18"/>
                <w:szCs w:val="18"/>
              </w:rPr>
            </w:pPr>
          </w:p>
        </w:tc>
        <w:tc>
          <w:tcPr>
            <w:tcW w:w="840" w:type="dxa"/>
            <w:tcBorders>
              <w:top w:val="nil"/>
              <w:left w:val="nil"/>
              <w:bottom w:val="nil"/>
              <w:right w:val="nil"/>
            </w:tcBorders>
            <w:noWrap/>
            <w:vAlign w:val="bottom"/>
            <w:hideMark/>
          </w:tcPr>
          <w:p w:rsidR="00D500E4" w:rsidRPr="00E54A64" w:rsidRDefault="00D500E4" w:rsidP="00316912">
            <w:pPr>
              <w:spacing w:after="0"/>
              <w:rPr>
                <w:rFonts w:eastAsia="Times New Roman" w:cs="Times New Roman"/>
                <w:sz w:val="18"/>
                <w:szCs w:val="18"/>
              </w:rPr>
            </w:pPr>
          </w:p>
        </w:tc>
        <w:tc>
          <w:tcPr>
            <w:tcW w:w="751" w:type="dxa"/>
            <w:tcBorders>
              <w:top w:val="nil"/>
              <w:left w:val="nil"/>
              <w:bottom w:val="nil"/>
              <w:right w:val="nil"/>
            </w:tcBorders>
            <w:noWrap/>
            <w:vAlign w:val="bottom"/>
            <w:hideMark/>
          </w:tcPr>
          <w:p w:rsidR="00D500E4" w:rsidRPr="00E54A64" w:rsidRDefault="00D500E4" w:rsidP="00316912">
            <w:pPr>
              <w:spacing w:after="0"/>
              <w:rPr>
                <w:rFonts w:eastAsia="Times New Roman" w:cs="Times New Roman"/>
                <w:sz w:val="18"/>
                <w:szCs w:val="18"/>
              </w:rPr>
            </w:pPr>
          </w:p>
        </w:tc>
        <w:tc>
          <w:tcPr>
            <w:tcW w:w="2600" w:type="dxa"/>
            <w:gridSpan w:val="2"/>
            <w:tcBorders>
              <w:top w:val="nil"/>
              <w:left w:val="nil"/>
              <w:bottom w:val="nil"/>
              <w:right w:val="nil"/>
            </w:tcBorders>
            <w:noWrap/>
            <w:vAlign w:val="bottom"/>
            <w:hideMark/>
          </w:tcPr>
          <w:p w:rsidR="00D500E4" w:rsidRPr="00E54A64" w:rsidRDefault="00D500E4" w:rsidP="00316912">
            <w:pPr>
              <w:spacing w:after="0"/>
              <w:rPr>
                <w:rFonts w:eastAsia="Times New Roman" w:cs="Times New Roman"/>
                <w:color w:val="000000"/>
                <w:sz w:val="18"/>
                <w:szCs w:val="18"/>
                <w:u w:val="single"/>
              </w:rPr>
            </w:pPr>
            <w:r w:rsidRPr="00E54A64">
              <w:rPr>
                <w:rFonts w:eastAsia="Times New Roman" w:cs="Times New Roman"/>
                <w:color w:val="000000"/>
                <w:sz w:val="18"/>
                <w:szCs w:val="18"/>
                <w:u w:val="single"/>
              </w:rPr>
              <w:t>Masses of materials (g)</w:t>
            </w:r>
          </w:p>
        </w:tc>
        <w:tc>
          <w:tcPr>
            <w:tcW w:w="1181" w:type="dxa"/>
            <w:tcBorders>
              <w:top w:val="nil"/>
              <w:left w:val="nil"/>
              <w:bottom w:val="nil"/>
              <w:right w:val="nil"/>
            </w:tcBorders>
            <w:noWrap/>
            <w:vAlign w:val="bottom"/>
            <w:hideMark/>
          </w:tcPr>
          <w:p w:rsidR="00D500E4" w:rsidRPr="00E54A64" w:rsidRDefault="00D500E4" w:rsidP="00316912">
            <w:pPr>
              <w:spacing w:after="0"/>
              <w:rPr>
                <w:rFonts w:eastAsia="Times New Roman" w:cs="Times New Roman"/>
                <w:color w:val="000000"/>
                <w:sz w:val="18"/>
                <w:szCs w:val="18"/>
                <w:u w:val="single"/>
              </w:rPr>
            </w:pPr>
          </w:p>
        </w:tc>
        <w:tc>
          <w:tcPr>
            <w:tcW w:w="1320" w:type="dxa"/>
            <w:tcBorders>
              <w:top w:val="nil"/>
              <w:left w:val="nil"/>
              <w:bottom w:val="nil"/>
              <w:right w:val="nil"/>
            </w:tcBorders>
            <w:noWrap/>
            <w:vAlign w:val="bottom"/>
            <w:hideMark/>
          </w:tcPr>
          <w:p w:rsidR="00D500E4" w:rsidRPr="00E54A64" w:rsidRDefault="00D500E4" w:rsidP="00316912">
            <w:pPr>
              <w:spacing w:after="0"/>
              <w:rPr>
                <w:rFonts w:eastAsia="Times New Roman" w:cs="Times New Roman"/>
                <w:sz w:val="18"/>
                <w:szCs w:val="18"/>
              </w:rPr>
            </w:pPr>
          </w:p>
        </w:tc>
      </w:tr>
      <w:tr w:rsidR="00D500E4" w:rsidRPr="00E54A64" w:rsidTr="00223F81">
        <w:trPr>
          <w:trHeight w:val="370"/>
          <w:jc w:val="center"/>
        </w:trPr>
        <w:tc>
          <w:tcPr>
            <w:tcW w:w="981" w:type="dxa"/>
            <w:tcBorders>
              <w:top w:val="nil"/>
              <w:left w:val="nil"/>
              <w:bottom w:val="single" w:sz="4" w:space="0" w:color="auto"/>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Exp#</w:t>
            </w:r>
          </w:p>
        </w:tc>
        <w:tc>
          <w:tcPr>
            <w:tcW w:w="708" w:type="dxa"/>
            <w:tcBorders>
              <w:top w:val="nil"/>
              <w:left w:val="nil"/>
              <w:bottom w:val="single" w:sz="4" w:space="0" w:color="auto"/>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T (</w:t>
            </w:r>
            <w:r w:rsidRPr="00E54A64">
              <w:rPr>
                <w:rFonts w:ascii="Calibri" w:eastAsia="Times New Roman" w:hAnsi="Calibri" w:cs="Calibri"/>
                <w:color w:val="000000"/>
                <w:sz w:val="18"/>
                <w:szCs w:val="18"/>
              </w:rPr>
              <w:t>°</w:t>
            </w:r>
            <w:r w:rsidRPr="00E54A64">
              <w:rPr>
                <w:rFonts w:eastAsia="Times New Roman" w:cs="Times New Roman"/>
                <w:color w:val="000000"/>
                <w:sz w:val="18"/>
                <w:szCs w:val="18"/>
              </w:rPr>
              <w:t>C)</w:t>
            </w:r>
          </w:p>
        </w:tc>
        <w:tc>
          <w:tcPr>
            <w:tcW w:w="840" w:type="dxa"/>
            <w:tcBorders>
              <w:top w:val="nil"/>
              <w:left w:val="nil"/>
              <w:bottom w:val="single" w:sz="4" w:space="0" w:color="auto"/>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t (days)</w:t>
            </w:r>
          </w:p>
        </w:tc>
        <w:tc>
          <w:tcPr>
            <w:tcW w:w="751" w:type="dxa"/>
            <w:tcBorders>
              <w:top w:val="nil"/>
              <w:left w:val="nil"/>
              <w:bottom w:val="single" w:sz="4" w:space="0" w:color="auto"/>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SM</w:t>
            </w:r>
            <w:r w:rsidRPr="00E54A64">
              <w:rPr>
                <w:rFonts w:eastAsia="Times New Roman" w:cs="Times New Roman"/>
                <w:color w:val="000000"/>
                <w:sz w:val="18"/>
                <w:szCs w:val="18"/>
                <w:vertAlign w:val="superscript"/>
              </w:rPr>
              <w:t>1</w:t>
            </w:r>
          </w:p>
        </w:tc>
        <w:tc>
          <w:tcPr>
            <w:tcW w:w="1331" w:type="dxa"/>
            <w:tcBorders>
              <w:top w:val="nil"/>
              <w:left w:val="nil"/>
              <w:bottom w:val="single" w:sz="4" w:space="0" w:color="auto"/>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Initial glass</w:t>
            </w:r>
          </w:p>
        </w:tc>
        <w:tc>
          <w:tcPr>
            <w:tcW w:w="1269" w:type="dxa"/>
            <w:tcBorders>
              <w:top w:val="nil"/>
              <w:left w:val="nil"/>
              <w:bottom w:val="single" w:sz="4" w:space="0" w:color="auto"/>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Initial H</w:t>
            </w:r>
            <w:r w:rsidRPr="00E54A64">
              <w:rPr>
                <w:rFonts w:eastAsia="Times New Roman" w:cs="Times New Roman"/>
                <w:color w:val="000000"/>
                <w:sz w:val="18"/>
                <w:szCs w:val="18"/>
                <w:vertAlign w:val="subscript"/>
              </w:rPr>
              <w:t>2</w:t>
            </w:r>
            <w:r w:rsidRPr="00E54A64">
              <w:rPr>
                <w:rFonts w:eastAsia="Times New Roman" w:cs="Times New Roman"/>
                <w:color w:val="000000"/>
                <w:sz w:val="18"/>
                <w:szCs w:val="18"/>
              </w:rPr>
              <w:t>O</w:t>
            </w:r>
          </w:p>
        </w:tc>
        <w:tc>
          <w:tcPr>
            <w:tcW w:w="1181" w:type="dxa"/>
            <w:tcBorders>
              <w:top w:val="nil"/>
              <w:left w:val="nil"/>
              <w:bottom w:val="single" w:sz="4" w:space="0" w:color="auto"/>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Final glass</w:t>
            </w:r>
          </w:p>
        </w:tc>
        <w:tc>
          <w:tcPr>
            <w:tcW w:w="1320" w:type="dxa"/>
            <w:tcBorders>
              <w:top w:val="nil"/>
              <w:left w:val="nil"/>
              <w:bottom w:val="single" w:sz="4" w:space="0" w:color="auto"/>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Final aq. sln.</w:t>
            </w:r>
          </w:p>
        </w:tc>
      </w:tr>
      <w:tr w:rsidR="00D500E4" w:rsidRPr="00E54A64" w:rsidTr="00223F81">
        <w:trPr>
          <w:trHeight w:val="310"/>
          <w:jc w:val="center"/>
        </w:trPr>
        <w:tc>
          <w:tcPr>
            <w:tcW w:w="98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CGB86</w:t>
            </w:r>
          </w:p>
        </w:tc>
        <w:tc>
          <w:tcPr>
            <w:tcW w:w="708"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750</w:t>
            </w:r>
          </w:p>
        </w:tc>
        <w:tc>
          <w:tcPr>
            <w:tcW w:w="840"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1</w:t>
            </w:r>
          </w:p>
        </w:tc>
        <w:tc>
          <w:tcPr>
            <w:tcW w:w="75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MAC</w:t>
            </w:r>
          </w:p>
        </w:tc>
        <w:tc>
          <w:tcPr>
            <w:tcW w:w="133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0.01023</w:t>
            </w:r>
          </w:p>
        </w:tc>
        <w:tc>
          <w:tcPr>
            <w:tcW w:w="1269"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0.01477</w:t>
            </w:r>
          </w:p>
        </w:tc>
        <w:tc>
          <w:tcPr>
            <w:tcW w:w="118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0.01080</w:t>
            </w:r>
          </w:p>
        </w:tc>
        <w:tc>
          <w:tcPr>
            <w:tcW w:w="1320"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0.01420</w:t>
            </w:r>
          </w:p>
        </w:tc>
      </w:tr>
      <w:tr w:rsidR="00D500E4" w:rsidRPr="00E54A64" w:rsidTr="00223F81">
        <w:trPr>
          <w:trHeight w:val="310"/>
          <w:jc w:val="center"/>
        </w:trPr>
        <w:tc>
          <w:tcPr>
            <w:tcW w:w="98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CGB87</w:t>
            </w:r>
          </w:p>
        </w:tc>
        <w:tc>
          <w:tcPr>
            <w:tcW w:w="708"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850</w:t>
            </w:r>
          </w:p>
        </w:tc>
        <w:tc>
          <w:tcPr>
            <w:tcW w:w="840"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2</w:t>
            </w:r>
          </w:p>
        </w:tc>
        <w:tc>
          <w:tcPr>
            <w:tcW w:w="75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MAC</w:t>
            </w:r>
          </w:p>
        </w:tc>
        <w:tc>
          <w:tcPr>
            <w:tcW w:w="133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0.01485</w:t>
            </w:r>
          </w:p>
        </w:tc>
        <w:tc>
          <w:tcPr>
            <w:tcW w:w="1269"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0.02445</w:t>
            </w:r>
          </w:p>
        </w:tc>
        <w:tc>
          <w:tcPr>
            <w:tcW w:w="118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0.01564</w:t>
            </w:r>
          </w:p>
        </w:tc>
        <w:tc>
          <w:tcPr>
            <w:tcW w:w="1320"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0.02366</w:t>
            </w:r>
          </w:p>
        </w:tc>
      </w:tr>
      <w:tr w:rsidR="00D500E4" w:rsidRPr="00E54A64" w:rsidTr="00223F81">
        <w:trPr>
          <w:trHeight w:val="310"/>
          <w:jc w:val="center"/>
        </w:trPr>
        <w:tc>
          <w:tcPr>
            <w:tcW w:w="98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CGB88</w:t>
            </w:r>
          </w:p>
        </w:tc>
        <w:tc>
          <w:tcPr>
            <w:tcW w:w="708"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750</w:t>
            </w:r>
          </w:p>
        </w:tc>
        <w:tc>
          <w:tcPr>
            <w:tcW w:w="840"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90</w:t>
            </w:r>
          </w:p>
        </w:tc>
        <w:tc>
          <w:tcPr>
            <w:tcW w:w="75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MAC</w:t>
            </w:r>
          </w:p>
        </w:tc>
        <w:tc>
          <w:tcPr>
            <w:tcW w:w="133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0.01715</w:t>
            </w:r>
          </w:p>
        </w:tc>
        <w:tc>
          <w:tcPr>
            <w:tcW w:w="1269"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0.02332</w:t>
            </w:r>
          </w:p>
        </w:tc>
        <w:tc>
          <w:tcPr>
            <w:tcW w:w="118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0.01408</w:t>
            </w:r>
          </w:p>
        </w:tc>
        <w:tc>
          <w:tcPr>
            <w:tcW w:w="1320"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0.02639</w:t>
            </w:r>
          </w:p>
        </w:tc>
      </w:tr>
      <w:tr w:rsidR="00D500E4" w:rsidRPr="00E54A64" w:rsidTr="00223F81">
        <w:trPr>
          <w:trHeight w:val="310"/>
          <w:jc w:val="center"/>
        </w:trPr>
        <w:tc>
          <w:tcPr>
            <w:tcW w:w="98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CGB97</w:t>
            </w:r>
          </w:p>
        </w:tc>
        <w:tc>
          <w:tcPr>
            <w:tcW w:w="708"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800</w:t>
            </w:r>
          </w:p>
        </w:tc>
        <w:tc>
          <w:tcPr>
            <w:tcW w:w="840"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30</w:t>
            </w:r>
          </w:p>
        </w:tc>
        <w:tc>
          <w:tcPr>
            <w:tcW w:w="75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5AN</w:t>
            </w:r>
          </w:p>
        </w:tc>
        <w:tc>
          <w:tcPr>
            <w:tcW w:w="1331"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0.01110</w:t>
            </w:r>
          </w:p>
        </w:tc>
        <w:tc>
          <w:tcPr>
            <w:tcW w:w="1269"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0.00995</w:t>
            </w:r>
          </w:p>
        </w:tc>
        <w:tc>
          <w:tcPr>
            <w:tcW w:w="1181"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0.01040</w:t>
            </w:r>
          </w:p>
        </w:tc>
        <w:tc>
          <w:tcPr>
            <w:tcW w:w="1320"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0.01065</w:t>
            </w:r>
          </w:p>
        </w:tc>
      </w:tr>
      <w:tr w:rsidR="00D500E4" w:rsidRPr="00E54A64" w:rsidTr="00223F81">
        <w:trPr>
          <w:trHeight w:val="310"/>
          <w:jc w:val="center"/>
        </w:trPr>
        <w:tc>
          <w:tcPr>
            <w:tcW w:w="98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CGB98</w:t>
            </w:r>
          </w:p>
        </w:tc>
        <w:tc>
          <w:tcPr>
            <w:tcW w:w="708"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800</w:t>
            </w:r>
          </w:p>
        </w:tc>
        <w:tc>
          <w:tcPr>
            <w:tcW w:w="840"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30</w:t>
            </w:r>
          </w:p>
        </w:tc>
        <w:tc>
          <w:tcPr>
            <w:tcW w:w="75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5AN</w:t>
            </w:r>
          </w:p>
        </w:tc>
        <w:tc>
          <w:tcPr>
            <w:tcW w:w="1331"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0.02122</w:t>
            </w:r>
          </w:p>
        </w:tc>
        <w:tc>
          <w:tcPr>
            <w:tcW w:w="1269"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0.02006</w:t>
            </w:r>
          </w:p>
        </w:tc>
        <w:tc>
          <w:tcPr>
            <w:tcW w:w="1181"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0.02010</w:t>
            </w:r>
          </w:p>
        </w:tc>
        <w:tc>
          <w:tcPr>
            <w:tcW w:w="1320"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0.02118</w:t>
            </w:r>
          </w:p>
        </w:tc>
      </w:tr>
      <w:tr w:rsidR="00D500E4" w:rsidRPr="00E54A64" w:rsidTr="00223F81">
        <w:trPr>
          <w:trHeight w:val="310"/>
          <w:jc w:val="center"/>
        </w:trPr>
        <w:tc>
          <w:tcPr>
            <w:tcW w:w="98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CGB99</w:t>
            </w:r>
          </w:p>
        </w:tc>
        <w:tc>
          <w:tcPr>
            <w:tcW w:w="708"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800</w:t>
            </w:r>
          </w:p>
        </w:tc>
        <w:tc>
          <w:tcPr>
            <w:tcW w:w="840"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30</w:t>
            </w:r>
          </w:p>
        </w:tc>
        <w:tc>
          <w:tcPr>
            <w:tcW w:w="75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5AN</w:t>
            </w:r>
          </w:p>
        </w:tc>
        <w:tc>
          <w:tcPr>
            <w:tcW w:w="1331"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0.02198</w:t>
            </w:r>
          </w:p>
        </w:tc>
        <w:tc>
          <w:tcPr>
            <w:tcW w:w="1269"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0.01969</w:t>
            </w:r>
          </w:p>
        </w:tc>
        <w:tc>
          <w:tcPr>
            <w:tcW w:w="1181"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0.02086</w:t>
            </w:r>
          </w:p>
        </w:tc>
        <w:tc>
          <w:tcPr>
            <w:tcW w:w="1320"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0.02081</w:t>
            </w:r>
          </w:p>
        </w:tc>
      </w:tr>
      <w:tr w:rsidR="00D500E4" w:rsidRPr="00E54A64" w:rsidTr="00223F81">
        <w:trPr>
          <w:trHeight w:val="310"/>
          <w:jc w:val="center"/>
        </w:trPr>
        <w:tc>
          <w:tcPr>
            <w:tcW w:w="98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CGB100</w:t>
            </w:r>
          </w:p>
        </w:tc>
        <w:tc>
          <w:tcPr>
            <w:tcW w:w="708"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700</w:t>
            </w:r>
          </w:p>
        </w:tc>
        <w:tc>
          <w:tcPr>
            <w:tcW w:w="840"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30</w:t>
            </w:r>
          </w:p>
        </w:tc>
        <w:tc>
          <w:tcPr>
            <w:tcW w:w="75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5CN</w:t>
            </w:r>
          </w:p>
        </w:tc>
        <w:tc>
          <w:tcPr>
            <w:tcW w:w="1331"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0.03292</w:t>
            </w:r>
          </w:p>
        </w:tc>
        <w:tc>
          <w:tcPr>
            <w:tcW w:w="1269"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0.03478</w:t>
            </w:r>
          </w:p>
        </w:tc>
        <w:tc>
          <w:tcPr>
            <w:tcW w:w="1181"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0.03130</w:t>
            </w:r>
          </w:p>
        </w:tc>
        <w:tc>
          <w:tcPr>
            <w:tcW w:w="1320"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0.03640</w:t>
            </w:r>
          </w:p>
        </w:tc>
      </w:tr>
      <w:tr w:rsidR="00D500E4" w:rsidRPr="00E54A64" w:rsidTr="00223F81">
        <w:trPr>
          <w:trHeight w:val="310"/>
          <w:jc w:val="center"/>
        </w:trPr>
        <w:tc>
          <w:tcPr>
            <w:tcW w:w="98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CGB101</w:t>
            </w:r>
          </w:p>
        </w:tc>
        <w:tc>
          <w:tcPr>
            <w:tcW w:w="708"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700</w:t>
            </w:r>
          </w:p>
        </w:tc>
        <w:tc>
          <w:tcPr>
            <w:tcW w:w="840"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30</w:t>
            </w:r>
          </w:p>
        </w:tc>
        <w:tc>
          <w:tcPr>
            <w:tcW w:w="75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5CN</w:t>
            </w:r>
          </w:p>
        </w:tc>
        <w:tc>
          <w:tcPr>
            <w:tcW w:w="1331"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0.02045</w:t>
            </w:r>
          </w:p>
        </w:tc>
        <w:tc>
          <w:tcPr>
            <w:tcW w:w="1269"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0.01996</w:t>
            </w:r>
          </w:p>
        </w:tc>
        <w:tc>
          <w:tcPr>
            <w:tcW w:w="1181"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0.01968</w:t>
            </w:r>
          </w:p>
        </w:tc>
        <w:tc>
          <w:tcPr>
            <w:tcW w:w="1320"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0.02073</w:t>
            </w:r>
          </w:p>
        </w:tc>
      </w:tr>
      <w:tr w:rsidR="00D500E4" w:rsidRPr="00E54A64" w:rsidTr="00223F81">
        <w:trPr>
          <w:trHeight w:val="310"/>
          <w:jc w:val="center"/>
        </w:trPr>
        <w:tc>
          <w:tcPr>
            <w:tcW w:w="98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CGB102</w:t>
            </w:r>
          </w:p>
        </w:tc>
        <w:tc>
          <w:tcPr>
            <w:tcW w:w="708"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700</w:t>
            </w:r>
          </w:p>
        </w:tc>
        <w:tc>
          <w:tcPr>
            <w:tcW w:w="840"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30</w:t>
            </w:r>
          </w:p>
        </w:tc>
        <w:tc>
          <w:tcPr>
            <w:tcW w:w="75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5CN</w:t>
            </w:r>
          </w:p>
        </w:tc>
        <w:tc>
          <w:tcPr>
            <w:tcW w:w="1331"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0.02494</w:t>
            </w:r>
          </w:p>
        </w:tc>
        <w:tc>
          <w:tcPr>
            <w:tcW w:w="1269"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0.02501</w:t>
            </w:r>
          </w:p>
        </w:tc>
        <w:tc>
          <w:tcPr>
            <w:tcW w:w="1181"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0.02327</w:t>
            </w:r>
          </w:p>
        </w:tc>
        <w:tc>
          <w:tcPr>
            <w:tcW w:w="1320"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0.02668</w:t>
            </w:r>
          </w:p>
        </w:tc>
      </w:tr>
      <w:tr w:rsidR="00D500E4" w:rsidRPr="00E54A64" w:rsidTr="00223F81">
        <w:trPr>
          <w:trHeight w:val="310"/>
          <w:jc w:val="center"/>
        </w:trPr>
        <w:tc>
          <w:tcPr>
            <w:tcW w:w="98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CGB103</w:t>
            </w:r>
          </w:p>
        </w:tc>
        <w:tc>
          <w:tcPr>
            <w:tcW w:w="708"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800</w:t>
            </w:r>
          </w:p>
        </w:tc>
        <w:tc>
          <w:tcPr>
            <w:tcW w:w="840"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30</w:t>
            </w:r>
          </w:p>
        </w:tc>
        <w:tc>
          <w:tcPr>
            <w:tcW w:w="75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2.5AN</w:t>
            </w:r>
          </w:p>
        </w:tc>
        <w:tc>
          <w:tcPr>
            <w:tcW w:w="1331"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0.02916</w:t>
            </w:r>
          </w:p>
        </w:tc>
        <w:tc>
          <w:tcPr>
            <w:tcW w:w="1269"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0.02995</w:t>
            </w:r>
          </w:p>
        </w:tc>
        <w:tc>
          <w:tcPr>
            <w:tcW w:w="1181"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0.02749</w:t>
            </w:r>
          </w:p>
        </w:tc>
        <w:tc>
          <w:tcPr>
            <w:tcW w:w="1320"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0.03162</w:t>
            </w:r>
          </w:p>
        </w:tc>
      </w:tr>
      <w:tr w:rsidR="00D500E4" w:rsidRPr="00E54A64" w:rsidTr="00223F81">
        <w:trPr>
          <w:trHeight w:val="310"/>
          <w:jc w:val="center"/>
        </w:trPr>
        <w:tc>
          <w:tcPr>
            <w:tcW w:w="98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CGB104</w:t>
            </w:r>
          </w:p>
        </w:tc>
        <w:tc>
          <w:tcPr>
            <w:tcW w:w="708"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800</w:t>
            </w:r>
          </w:p>
        </w:tc>
        <w:tc>
          <w:tcPr>
            <w:tcW w:w="840"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30</w:t>
            </w:r>
          </w:p>
        </w:tc>
        <w:tc>
          <w:tcPr>
            <w:tcW w:w="75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2.5AN</w:t>
            </w:r>
          </w:p>
        </w:tc>
        <w:tc>
          <w:tcPr>
            <w:tcW w:w="1331"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0.02069</w:t>
            </w:r>
          </w:p>
        </w:tc>
        <w:tc>
          <w:tcPr>
            <w:tcW w:w="1269"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0.01969</w:t>
            </w:r>
          </w:p>
        </w:tc>
        <w:tc>
          <w:tcPr>
            <w:tcW w:w="1181"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0.02012</w:t>
            </w:r>
          </w:p>
        </w:tc>
        <w:tc>
          <w:tcPr>
            <w:tcW w:w="1320"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0.02026</w:t>
            </w:r>
          </w:p>
        </w:tc>
      </w:tr>
      <w:tr w:rsidR="00D500E4" w:rsidRPr="00E54A64" w:rsidTr="00223F81">
        <w:trPr>
          <w:trHeight w:val="310"/>
          <w:jc w:val="center"/>
        </w:trPr>
        <w:tc>
          <w:tcPr>
            <w:tcW w:w="98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CGB105</w:t>
            </w:r>
          </w:p>
        </w:tc>
        <w:tc>
          <w:tcPr>
            <w:tcW w:w="708"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800</w:t>
            </w:r>
          </w:p>
        </w:tc>
        <w:tc>
          <w:tcPr>
            <w:tcW w:w="840"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30</w:t>
            </w:r>
          </w:p>
        </w:tc>
        <w:tc>
          <w:tcPr>
            <w:tcW w:w="75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2.5AN</w:t>
            </w:r>
          </w:p>
        </w:tc>
        <w:tc>
          <w:tcPr>
            <w:tcW w:w="1331"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0.01641</w:t>
            </w:r>
          </w:p>
        </w:tc>
        <w:tc>
          <w:tcPr>
            <w:tcW w:w="1269"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0.01495</w:t>
            </w:r>
          </w:p>
        </w:tc>
        <w:tc>
          <w:tcPr>
            <w:tcW w:w="1181"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0.01585</w:t>
            </w:r>
          </w:p>
        </w:tc>
        <w:tc>
          <w:tcPr>
            <w:tcW w:w="1320"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0.01551</w:t>
            </w:r>
          </w:p>
        </w:tc>
      </w:tr>
      <w:tr w:rsidR="00D500E4" w:rsidRPr="00E54A64" w:rsidTr="00223F81">
        <w:trPr>
          <w:trHeight w:val="310"/>
          <w:jc w:val="center"/>
        </w:trPr>
        <w:tc>
          <w:tcPr>
            <w:tcW w:w="98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CGB106</w:t>
            </w:r>
          </w:p>
        </w:tc>
        <w:tc>
          <w:tcPr>
            <w:tcW w:w="708"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700</w:t>
            </w:r>
          </w:p>
        </w:tc>
        <w:tc>
          <w:tcPr>
            <w:tcW w:w="840"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30</w:t>
            </w:r>
          </w:p>
        </w:tc>
        <w:tc>
          <w:tcPr>
            <w:tcW w:w="75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2.5FN</w:t>
            </w:r>
          </w:p>
        </w:tc>
        <w:tc>
          <w:tcPr>
            <w:tcW w:w="1331"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0.01921</w:t>
            </w:r>
          </w:p>
        </w:tc>
        <w:tc>
          <w:tcPr>
            <w:tcW w:w="1269"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0.02031</w:t>
            </w:r>
          </w:p>
        </w:tc>
        <w:tc>
          <w:tcPr>
            <w:tcW w:w="1181"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0.01938</w:t>
            </w:r>
          </w:p>
        </w:tc>
        <w:tc>
          <w:tcPr>
            <w:tcW w:w="1320"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0.02014</w:t>
            </w:r>
          </w:p>
        </w:tc>
      </w:tr>
      <w:tr w:rsidR="00D500E4" w:rsidRPr="00E54A64" w:rsidTr="00223F81">
        <w:trPr>
          <w:trHeight w:val="310"/>
          <w:jc w:val="center"/>
        </w:trPr>
        <w:tc>
          <w:tcPr>
            <w:tcW w:w="98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CGB107</w:t>
            </w:r>
          </w:p>
        </w:tc>
        <w:tc>
          <w:tcPr>
            <w:tcW w:w="708"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700</w:t>
            </w:r>
          </w:p>
        </w:tc>
        <w:tc>
          <w:tcPr>
            <w:tcW w:w="840"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30</w:t>
            </w:r>
          </w:p>
        </w:tc>
        <w:tc>
          <w:tcPr>
            <w:tcW w:w="751" w:type="dxa"/>
            <w:tcBorders>
              <w:top w:val="nil"/>
              <w:left w:val="nil"/>
              <w:bottom w:val="nil"/>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2.5FN</w:t>
            </w:r>
          </w:p>
        </w:tc>
        <w:tc>
          <w:tcPr>
            <w:tcW w:w="1331"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0.02402</w:t>
            </w:r>
          </w:p>
        </w:tc>
        <w:tc>
          <w:tcPr>
            <w:tcW w:w="1269"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0.02515</w:t>
            </w:r>
          </w:p>
        </w:tc>
        <w:tc>
          <w:tcPr>
            <w:tcW w:w="1181"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0.02374</w:t>
            </w:r>
          </w:p>
        </w:tc>
        <w:tc>
          <w:tcPr>
            <w:tcW w:w="1320" w:type="dxa"/>
            <w:tcBorders>
              <w:top w:val="nil"/>
              <w:left w:val="nil"/>
              <w:bottom w:val="nil"/>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0.02543</w:t>
            </w:r>
          </w:p>
        </w:tc>
      </w:tr>
      <w:tr w:rsidR="00D500E4" w:rsidRPr="00E54A64" w:rsidTr="00223F81">
        <w:trPr>
          <w:trHeight w:val="310"/>
          <w:jc w:val="center"/>
        </w:trPr>
        <w:tc>
          <w:tcPr>
            <w:tcW w:w="981" w:type="dxa"/>
            <w:tcBorders>
              <w:top w:val="nil"/>
              <w:left w:val="nil"/>
              <w:bottom w:val="single" w:sz="4" w:space="0" w:color="auto"/>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CGB108</w:t>
            </w:r>
          </w:p>
        </w:tc>
        <w:tc>
          <w:tcPr>
            <w:tcW w:w="708" w:type="dxa"/>
            <w:tcBorders>
              <w:top w:val="nil"/>
              <w:left w:val="nil"/>
              <w:bottom w:val="single" w:sz="4" w:space="0" w:color="auto"/>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700</w:t>
            </w:r>
          </w:p>
        </w:tc>
        <w:tc>
          <w:tcPr>
            <w:tcW w:w="840" w:type="dxa"/>
            <w:tcBorders>
              <w:top w:val="nil"/>
              <w:left w:val="nil"/>
              <w:bottom w:val="single" w:sz="4" w:space="0" w:color="auto"/>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30</w:t>
            </w:r>
          </w:p>
        </w:tc>
        <w:tc>
          <w:tcPr>
            <w:tcW w:w="751" w:type="dxa"/>
            <w:tcBorders>
              <w:top w:val="nil"/>
              <w:left w:val="nil"/>
              <w:bottom w:val="single" w:sz="4" w:space="0" w:color="auto"/>
              <w:right w:val="nil"/>
            </w:tcBorders>
            <w:noWrap/>
            <w:vAlign w:val="center"/>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2.5FN</w:t>
            </w:r>
          </w:p>
        </w:tc>
        <w:tc>
          <w:tcPr>
            <w:tcW w:w="1331" w:type="dxa"/>
            <w:tcBorders>
              <w:top w:val="nil"/>
              <w:left w:val="nil"/>
              <w:bottom w:val="single" w:sz="4" w:space="0" w:color="auto"/>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0.02124</w:t>
            </w:r>
          </w:p>
        </w:tc>
        <w:tc>
          <w:tcPr>
            <w:tcW w:w="1269" w:type="dxa"/>
            <w:tcBorders>
              <w:top w:val="nil"/>
              <w:left w:val="nil"/>
              <w:bottom w:val="single" w:sz="4" w:space="0" w:color="auto"/>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0.02207</w:t>
            </w:r>
          </w:p>
        </w:tc>
        <w:tc>
          <w:tcPr>
            <w:tcW w:w="1181" w:type="dxa"/>
            <w:tcBorders>
              <w:top w:val="nil"/>
              <w:left w:val="nil"/>
              <w:bottom w:val="single" w:sz="4" w:space="0" w:color="auto"/>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0.02071</w:t>
            </w:r>
          </w:p>
        </w:tc>
        <w:tc>
          <w:tcPr>
            <w:tcW w:w="1320" w:type="dxa"/>
            <w:tcBorders>
              <w:top w:val="nil"/>
              <w:left w:val="nil"/>
              <w:bottom w:val="single" w:sz="4" w:space="0" w:color="auto"/>
              <w:right w:val="nil"/>
            </w:tcBorders>
            <w:noWrap/>
            <w:vAlign w:val="bottom"/>
            <w:hideMark/>
          </w:tcPr>
          <w:p w:rsidR="00D500E4" w:rsidRPr="00E54A64" w:rsidRDefault="00D500E4" w:rsidP="00316912">
            <w:pPr>
              <w:spacing w:after="0"/>
              <w:jc w:val="center"/>
              <w:rPr>
                <w:rFonts w:eastAsia="Times New Roman" w:cs="Times New Roman"/>
                <w:color w:val="000000"/>
                <w:sz w:val="18"/>
                <w:szCs w:val="18"/>
              </w:rPr>
            </w:pPr>
            <w:r w:rsidRPr="00E54A64">
              <w:rPr>
                <w:rFonts w:eastAsia="Times New Roman" w:cs="Times New Roman"/>
                <w:color w:val="000000"/>
                <w:sz w:val="18"/>
                <w:szCs w:val="18"/>
              </w:rPr>
              <w:t>0.02260</w:t>
            </w:r>
          </w:p>
        </w:tc>
      </w:tr>
      <w:tr w:rsidR="00D500E4" w:rsidRPr="00E54A64" w:rsidTr="00223F81">
        <w:trPr>
          <w:trHeight w:val="370"/>
          <w:jc w:val="center"/>
        </w:trPr>
        <w:tc>
          <w:tcPr>
            <w:tcW w:w="7061" w:type="dxa"/>
            <w:gridSpan w:val="7"/>
            <w:tcBorders>
              <w:top w:val="nil"/>
              <w:left w:val="nil"/>
              <w:bottom w:val="nil"/>
              <w:right w:val="nil"/>
            </w:tcBorders>
            <w:noWrap/>
            <w:vAlign w:val="bottom"/>
            <w:hideMark/>
          </w:tcPr>
          <w:p w:rsidR="00D500E4" w:rsidRPr="00E54A64" w:rsidRDefault="00D500E4" w:rsidP="00316912">
            <w:pPr>
              <w:spacing w:after="0"/>
              <w:rPr>
                <w:rFonts w:eastAsia="Times New Roman" w:cs="Times New Roman"/>
                <w:color w:val="000000"/>
                <w:sz w:val="18"/>
                <w:szCs w:val="18"/>
              </w:rPr>
            </w:pPr>
            <w:r w:rsidRPr="00E54A64">
              <w:rPr>
                <w:rFonts w:eastAsia="Times New Roman" w:cs="Times New Roman"/>
                <w:color w:val="000000"/>
                <w:sz w:val="18"/>
                <w:szCs w:val="18"/>
                <w:vertAlign w:val="superscript"/>
              </w:rPr>
              <w:t>1</w:t>
            </w:r>
            <w:r w:rsidRPr="00E54A64">
              <w:rPr>
                <w:rFonts w:eastAsia="Times New Roman" w:cs="Times New Roman"/>
                <w:color w:val="000000"/>
                <w:sz w:val="18"/>
                <w:szCs w:val="18"/>
              </w:rPr>
              <w:t>Starting material glass (refer to Table 1 for compositional information)</w:t>
            </w:r>
          </w:p>
        </w:tc>
        <w:tc>
          <w:tcPr>
            <w:tcW w:w="1320" w:type="dxa"/>
            <w:tcBorders>
              <w:top w:val="nil"/>
              <w:left w:val="nil"/>
              <w:bottom w:val="nil"/>
              <w:right w:val="nil"/>
            </w:tcBorders>
            <w:noWrap/>
            <w:vAlign w:val="bottom"/>
            <w:hideMark/>
          </w:tcPr>
          <w:p w:rsidR="00D500E4" w:rsidRPr="00E54A64" w:rsidRDefault="00D500E4" w:rsidP="00316912">
            <w:pPr>
              <w:spacing w:after="0"/>
              <w:rPr>
                <w:rFonts w:eastAsia="Times New Roman" w:cs="Times New Roman"/>
                <w:color w:val="000000"/>
                <w:sz w:val="18"/>
                <w:szCs w:val="18"/>
              </w:rPr>
            </w:pPr>
          </w:p>
        </w:tc>
      </w:tr>
    </w:tbl>
    <w:p w:rsidR="00DF0F96" w:rsidRDefault="00DF0F96" w:rsidP="00380C49">
      <w:pPr>
        <w:spacing w:line="480" w:lineRule="auto"/>
        <w:ind w:firstLine="720"/>
        <w:rPr>
          <w:rFonts w:cs="Times New Roman"/>
        </w:rPr>
      </w:pPr>
    </w:p>
    <w:p w:rsidR="00DF0F96" w:rsidRDefault="00DF0F96" w:rsidP="00DF0F96">
      <w:r>
        <w:br w:type="page"/>
      </w:r>
    </w:p>
    <w:p w:rsidR="00D500E4" w:rsidRDefault="00D500E4" w:rsidP="00380C49">
      <w:pPr>
        <w:spacing w:line="480" w:lineRule="auto"/>
        <w:ind w:firstLine="720"/>
        <w:rPr>
          <w:rFonts w:cs="Times New Roman"/>
        </w:rPr>
        <w:sectPr w:rsidR="00D500E4" w:rsidSect="00D500E4">
          <w:footerReference w:type="default" r:id="rId71"/>
          <w:pgSz w:w="12240" w:h="15840"/>
          <w:pgMar w:top="1440" w:right="1440" w:bottom="1440" w:left="2304" w:header="720" w:footer="720" w:gutter="0"/>
          <w:cols w:space="720"/>
          <w:docGrid w:linePitch="360"/>
        </w:sectPr>
      </w:pPr>
    </w:p>
    <w:p w:rsidR="00223F81" w:rsidRPr="00223F81" w:rsidRDefault="00223F81" w:rsidP="00223F81">
      <w:pPr>
        <w:pStyle w:val="Caption"/>
        <w:keepNext/>
        <w:jc w:val="center"/>
        <w:rPr>
          <w:sz w:val="24"/>
          <w:szCs w:val="24"/>
        </w:rPr>
      </w:pPr>
      <w:bookmarkStart w:id="154" w:name="_Toc490131691"/>
      <w:r w:rsidRPr="00223F81">
        <w:rPr>
          <w:sz w:val="24"/>
          <w:szCs w:val="24"/>
        </w:rPr>
        <w:t xml:space="preserve">Table </w:t>
      </w:r>
      <w:r w:rsidR="00B23FDA">
        <w:rPr>
          <w:sz w:val="24"/>
          <w:szCs w:val="24"/>
        </w:rPr>
        <w:fldChar w:fldCharType="begin"/>
      </w:r>
      <w:r w:rsidR="00B23FDA">
        <w:rPr>
          <w:sz w:val="24"/>
          <w:szCs w:val="24"/>
        </w:rPr>
        <w:instrText xml:space="preserve"> STYLEREF 1 \s </w:instrText>
      </w:r>
      <w:r w:rsidR="00B23FDA">
        <w:rPr>
          <w:sz w:val="24"/>
          <w:szCs w:val="24"/>
        </w:rPr>
        <w:fldChar w:fldCharType="separate"/>
      </w:r>
      <w:r w:rsidR="000C5FC3">
        <w:rPr>
          <w:noProof/>
          <w:sz w:val="24"/>
          <w:szCs w:val="24"/>
        </w:rPr>
        <w:t>4</w:t>
      </w:r>
      <w:r w:rsidR="00B23FDA">
        <w:rPr>
          <w:sz w:val="24"/>
          <w:szCs w:val="24"/>
        </w:rPr>
        <w:fldChar w:fldCharType="end"/>
      </w:r>
      <w:r w:rsidR="00B23FDA">
        <w:rPr>
          <w:sz w:val="24"/>
          <w:szCs w:val="24"/>
        </w:rPr>
        <w:noBreakHyphen/>
      </w:r>
      <w:r w:rsidR="00B23FDA">
        <w:rPr>
          <w:sz w:val="24"/>
          <w:szCs w:val="24"/>
        </w:rPr>
        <w:fldChar w:fldCharType="begin"/>
      </w:r>
      <w:r w:rsidR="00B23FDA">
        <w:rPr>
          <w:sz w:val="24"/>
          <w:szCs w:val="24"/>
        </w:rPr>
        <w:instrText xml:space="preserve"> SEQ Table \* ARABIC \s 1 </w:instrText>
      </w:r>
      <w:r w:rsidR="00B23FDA">
        <w:rPr>
          <w:sz w:val="24"/>
          <w:szCs w:val="24"/>
        </w:rPr>
        <w:fldChar w:fldCharType="separate"/>
      </w:r>
      <w:r w:rsidR="000C5FC3">
        <w:rPr>
          <w:noProof/>
          <w:sz w:val="24"/>
          <w:szCs w:val="24"/>
        </w:rPr>
        <w:t>3</w:t>
      </w:r>
      <w:r w:rsidR="00B23FDA">
        <w:rPr>
          <w:sz w:val="24"/>
          <w:szCs w:val="24"/>
        </w:rPr>
        <w:fldChar w:fldCharType="end"/>
      </w:r>
      <w:r w:rsidRPr="00223F81">
        <w:rPr>
          <w:rFonts w:eastAsia="Times New Roman" w:cs="Times New Roman"/>
          <w:color w:val="000000"/>
          <w:sz w:val="24"/>
          <w:szCs w:val="24"/>
        </w:rPr>
        <w:t xml:space="preserve"> Chemical composition of glass products</w:t>
      </w:r>
      <w:bookmarkEnd w:id="154"/>
    </w:p>
    <w:tbl>
      <w:tblPr>
        <w:tblW w:w="12960" w:type="dxa"/>
        <w:tblLayout w:type="fixed"/>
        <w:tblCellMar>
          <w:top w:w="15" w:type="dxa"/>
          <w:bottom w:w="15" w:type="dxa"/>
        </w:tblCellMar>
        <w:tblLook w:val="04A0" w:firstRow="1" w:lastRow="0" w:firstColumn="1" w:lastColumn="0" w:noHBand="0" w:noVBand="1"/>
      </w:tblPr>
      <w:tblGrid>
        <w:gridCol w:w="844"/>
        <w:gridCol w:w="1447"/>
        <w:gridCol w:w="1447"/>
        <w:gridCol w:w="1447"/>
        <w:gridCol w:w="1447"/>
        <w:gridCol w:w="727"/>
        <w:gridCol w:w="590"/>
        <w:gridCol w:w="130"/>
        <w:gridCol w:w="855"/>
        <w:gridCol w:w="592"/>
        <w:gridCol w:w="98"/>
        <w:gridCol w:w="978"/>
        <w:gridCol w:w="371"/>
        <w:gridCol w:w="319"/>
        <w:gridCol w:w="978"/>
        <w:gridCol w:w="150"/>
        <w:gridCol w:w="540"/>
      </w:tblGrid>
      <w:tr w:rsidR="006D3B9B" w:rsidRPr="00151AA1" w:rsidTr="006D3B9B">
        <w:trPr>
          <w:gridAfter w:val="1"/>
          <w:wAfter w:w="540" w:type="dxa"/>
          <w:trHeight w:val="310"/>
        </w:trPr>
        <w:tc>
          <w:tcPr>
            <w:tcW w:w="844" w:type="dxa"/>
            <w:tcBorders>
              <w:top w:val="nil"/>
              <w:left w:val="nil"/>
              <w:bottom w:val="nil"/>
              <w:right w:val="nil"/>
            </w:tcBorders>
            <w:noWrap/>
            <w:vAlign w:val="bottom"/>
            <w:hideMark/>
          </w:tcPr>
          <w:p w:rsidR="006D3B9B" w:rsidRPr="00151AA1" w:rsidRDefault="006D3B9B" w:rsidP="00316912">
            <w:pPr>
              <w:spacing w:after="0"/>
              <w:rPr>
                <w:rFonts w:eastAsia="Times New Roman" w:cs="Times New Roman"/>
                <w:sz w:val="18"/>
                <w:szCs w:val="18"/>
              </w:rPr>
            </w:pPr>
          </w:p>
        </w:tc>
        <w:tc>
          <w:tcPr>
            <w:tcW w:w="1447" w:type="dxa"/>
            <w:tcBorders>
              <w:top w:val="nil"/>
              <w:left w:val="nil"/>
              <w:bottom w:val="single" w:sz="4" w:space="0" w:color="auto"/>
              <w:right w:val="nil"/>
            </w:tcBorders>
            <w:noWrap/>
            <w:vAlign w:val="bottom"/>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CGB86</w:t>
            </w:r>
          </w:p>
        </w:tc>
        <w:tc>
          <w:tcPr>
            <w:tcW w:w="1447" w:type="dxa"/>
            <w:tcBorders>
              <w:top w:val="nil"/>
              <w:left w:val="nil"/>
              <w:bottom w:val="single" w:sz="4" w:space="0" w:color="auto"/>
              <w:right w:val="nil"/>
            </w:tcBorders>
            <w:noWrap/>
            <w:vAlign w:val="bottom"/>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CGB87</w:t>
            </w:r>
          </w:p>
        </w:tc>
        <w:tc>
          <w:tcPr>
            <w:tcW w:w="1447" w:type="dxa"/>
            <w:tcBorders>
              <w:top w:val="nil"/>
              <w:left w:val="nil"/>
              <w:bottom w:val="single" w:sz="4" w:space="0" w:color="auto"/>
              <w:right w:val="nil"/>
            </w:tcBorders>
            <w:noWrap/>
            <w:vAlign w:val="bottom"/>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CGB88</w:t>
            </w:r>
          </w:p>
        </w:tc>
        <w:tc>
          <w:tcPr>
            <w:tcW w:w="1447" w:type="dxa"/>
            <w:tcBorders>
              <w:top w:val="nil"/>
              <w:left w:val="nil"/>
              <w:bottom w:val="single" w:sz="4" w:space="0" w:color="auto"/>
              <w:right w:val="nil"/>
            </w:tcBorders>
            <w:noWrap/>
            <w:vAlign w:val="bottom"/>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CGB97</w:t>
            </w:r>
          </w:p>
        </w:tc>
        <w:tc>
          <w:tcPr>
            <w:tcW w:w="1447" w:type="dxa"/>
            <w:gridSpan w:val="3"/>
            <w:tcBorders>
              <w:top w:val="nil"/>
              <w:left w:val="nil"/>
              <w:bottom w:val="single" w:sz="4" w:space="0" w:color="auto"/>
              <w:right w:val="nil"/>
            </w:tcBorders>
            <w:noWrap/>
            <w:vAlign w:val="bottom"/>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CGB98</w:t>
            </w:r>
          </w:p>
        </w:tc>
        <w:tc>
          <w:tcPr>
            <w:tcW w:w="1447" w:type="dxa"/>
            <w:gridSpan w:val="2"/>
            <w:tcBorders>
              <w:top w:val="nil"/>
              <w:left w:val="nil"/>
              <w:bottom w:val="single" w:sz="4" w:space="0" w:color="auto"/>
              <w:right w:val="nil"/>
            </w:tcBorders>
            <w:noWrap/>
            <w:vAlign w:val="bottom"/>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CGB99</w:t>
            </w:r>
          </w:p>
        </w:tc>
        <w:tc>
          <w:tcPr>
            <w:tcW w:w="1447" w:type="dxa"/>
            <w:gridSpan w:val="3"/>
            <w:tcBorders>
              <w:top w:val="nil"/>
              <w:left w:val="nil"/>
              <w:bottom w:val="single" w:sz="4" w:space="0" w:color="auto"/>
              <w:right w:val="nil"/>
            </w:tcBorders>
            <w:noWrap/>
            <w:vAlign w:val="bottom"/>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CGB100</w:t>
            </w:r>
          </w:p>
        </w:tc>
        <w:tc>
          <w:tcPr>
            <w:tcW w:w="1447" w:type="dxa"/>
            <w:gridSpan w:val="3"/>
            <w:tcBorders>
              <w:top w:val="nil"/>
              <w:left w:val="nil"/>
              <w:bottom w:val="single" w:sz="4" w:space="0" w:color="auto"/>
              <w:right w:val="nil"/>
            </w:tcBorders>
            <w:noWrap/>
            <w:vAlign w:val="bottom"/>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CGB101</w:t>
            </w:r>
          </w:p>
        </w:tc>
      </w:tr>
      <w:tr w:rsidR="006D3B9B" w:rsidRPr="00151AA1" w:rsidTr="006D3B9B">
        <w:trPr>
          <w:gridAfter w:val="1"/>
          <w:wAfter w:w="540" w:type="dxa"/>
          <w:trHeight w:val="310"/>
        </w:trPr>
        <w:tc>
          <w:tcPr>
            <w:tcW w:w="844" w:type="dxa"/>
            <w:tcBorders>
              <w:top w:val="nil"/>
              <w:left w:val="nil"/>
              <w:bottom w:val="nil"/>
              <w:right w:val="nil"/>
            </w:tcBorders>
            <w:noWrap/>
            <w:vAlign w:val="center"/>
            <w:hideMark/>
          </w:tcPr>
          <w:p w:rsidR="006D3B9B" w:rsidRPr="00151AA1" w:rsidRDefault="006D3B9B" w:rsidP="00316912">
            <w:pPr>
              <w:spacing w:after="0"/>
              <w:jc w:val="right"/>
              <w:rPr>
                <w:rFonts w:eastAsia="Times New Roman" w:cs="Times New Roman"/>
                <w:color w:val="000000"/>
                <w:sz w:val="18"/>
                <w:szCs w:val="18"/>
              </w:rPr>
            </w:pPr>
            <w:r w:rsidRPr="00151AA1">
              <w:rPr>
                <w:rFonts w:eastAsia="Times New Roman" w:cs="Times New Roman"/>
                <w:color w:val="000000"/>
                <w:sz w:val="18"/>
                <w:szCs w:val="18"/>
              </w:rPr>
              <w:t>T (</w:t>
            </w:r>
            <w:r w:rsidRPr="00151AA1">
              <w:rPr>
                <w:rFonts w:ascii="Calibri" w:eastAsia="Times New Roman" w:hAnsi="Calibri" w:cs="Calibri"/>
                <w:color w:val="000000"/>
                <w:sz w:val="18"/>
                <w:szCs w:val="18"/>
              </w:rPr>
              <w:t>°C)</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750</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850</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750</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800</w:t>
            </w:r>
          </w:p>
        </w:tc>
        <w:tc>
          <w:tcPr>
            <w:tcW w:w="1447" w:type="dxa"/>
            <w:gridSpan w:val="3"/>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800</w:t>
            </w:r>
          </w:p>
        </w:tc>
        <w:tc>
          <w:tcPr>
            <w:tcW w:w="1447" w:type="dxa"/>
            <w:gridSpan w:val="2"/>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800</w:t>
            </w:r>
          </w:p>
        </w:tc>
        <w:tc>
          <w:tcPr>
            <w:tcW w:w="1447" w:type="dxa"/>
            <w:gridSpan w:val="3"/>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700</w:t>
            </w:r>
          </w:p>
        </w:tc>
        <w:tc>
          <w:tcPr>
            <w:tcW w:w="1447" w:type="dxa"/>
            <w:gridSpan w:val="3"/>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700</w:t>
            </w:r>
          </w:p>
        </w:tc>
      </w:tr>
      <w:tr w:rsidR="006D3B9B" w:rsidRPr="00151AA1" w:rsidTr="006D3B9B">
        <w:trPr>
          <w:gridAfter w:val="1"/>
          <w:wAfter w:w="540" w:type="dxa"/>
          <w:trHeight w:val="310"/>
        </w:trPr>
        <w:tc>
          <w:tcPr>
            <w:tcW w:w="844" w:type="dxa"/>
            <w:tcBorders>
              <w:top w:val="nil"/>
              <w:left w:val="nil"/>
              <w:bottom w:val="nil"/>
              <w:right w:val="nil"/>
            </w:tcBorders>
            <w:noWrap/>
            <w:vAlign w:val="center"/>
            <w:hideMark/>
          </w:tcPr>
          <w:p w:rsidR="006D3B9B" w:rsidRPr="00151AA1" w:rsidRDefault="006D3B9B" w:rsidP="00316912">
            <w:pPr>
              <w:spacing w:after="0"/>
              <w:jc w:val="right"/>
              <w:rPr>
                <w:rFonts w:eastAsia="Times New Roman" w:cs="Times New Roman"/>
                <w:color w:val="000000"/>
                <w:sz w:val="18"/>
                <w:szCs w:val="18"/>
              </w:rPr>
            </w:pPr>
            <w:r w:rsidRPr="00151AA1">
              <w:rPr>
                <w:rFonts w:eastAsia="Times New Roman" w:cs="Times New Roman"/>
                <w:color w:val="000000"/>
                <w:sz w:val="18"/>
                <w:szCs w:val="18"/>
              </w:rPr>
              <w:t>t (days)</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1</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2</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90</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30</w:t>
            </w:r>
          </w:p>
        </w:tc>
        <w:tc>
          <w:tcPr>
            <w:tcW w:w="1447" w:type="dxa"/>
            <w:gridSpan w:val="3"/>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30</w:t>
            </w:r>
          </w:p>
        </w:tc>
        <w:tc>
          <w:tcPr>
            <w:tcW w:w="1447" w:type="dxa"/>
            <w:gridSpan w:val="2"/>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30</w:t>
            </w:r>
          </w:p>
        </w:tc>
        <w:tc>
          <w:tcPr>
            <w:tcW w:w="1447" w:type="dxa"/>
            <w:gridSpan w:val="3"/>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30</w:t>
            </w:r>
          </w:p>
        </w:tc>
        <w:tc>
          <w:tcPr>
            <w:tcW w:w="1447" w:type="dxa"/>
            <w:gridSpan w:val="3"/>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30</w:t>
            </w:r>
          </w:p>
        </w:tc>
      </w:tr>
      <w:tr w:rsidR="006D3B9B" w:rsidRPr="00151AA1" w:rsidTr="006D3B9B">
        <w:trPr>
          <w:gridAfter w:val="1"/>
          <w:wAfter w:w="540" w:type="dxa"/>
          <w:trHeight w:val="370"/>
        </w:trPr>
        <w:tc>
          <w:tcPr>
            <w:tcW w:w="844" w:type="dxa"/>
            <w:tcBorders>
              <w:top w:val="nil"/>
              <w:left w:val="nil"/>
              <w:bottom w:val="nil"/>
              <w:right w:val="nil"/>
            </w:tcBorders>
            <w:noWrap/>
            <w:vAlign w:val="center"/>
            <w:hideMark/>
          </w:tcPr>
          <w:p w:rsidR="006D3B9B" w:rsidRPr="00151AA1" w:rsidRDefault="006D3B9B" w:rsidP="00316912">
            <w:pPr>
              <w:spacing w:after="0"/>
              <w:jc w:val="right"/>
              <w:rPr>
                <w:rFonts w:eastAsia="Times New Roman" w:cs="Times New Roman"/>
                <w:color w:val="000000"/>
                <w:sz w:val="18"/>
                <w:szCs w:val="18"/>
              </w:rPr>
            </w:pPr>
            <w:r w:rsidRPr="00151AA1">
              <w:rPr>
                <w:rFonts w:eastAsia="Times New Roman" w:cs="Times New Roman"/>
                <w:color w:val="000000"/>
                <w:sz w:val="18"/>
                <w:szCs w:val="18"/>
              </w:rPr>
              <w:t>SM</w:t>
            </w:r>
            <w:r w:rsidRPr="00151AA1">
              <w:rPr>
                <w:rFonts w:eastAsia="Times New Roman" w:cs="Times New Roman"/>
                <w:color w:val="000000"/>
                <w:sz w:val="18"/>
                <w:szCs w:val="18"/>
                <w:vertAlign w:val="superscript"/>
              </w:rPr>
              <w:t>1</w:t>
            </w:r>
          </w:p>
        </w:tc>
        <w:tc>
          <w:tcPr>
            <w:tcW w:w="1447" w:type="dxa"/>
            <w:tcBorders>
              <w:top w:val="nil"/>
              <w:left w:val="nil"/>
              <w:bottom w:val="single" w:sz="4" w:space="0" w:color="auto"/>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MAC</w:t>
            </w:r>
          </w:p>
        </w:tc>
        <w:tc>
          <w:tcPr>
            <w:tcW w:w="1447" w:type="dxa"/>
            <w:tcBorders>
              <w:top w:val="nil"/>
              <w:left w:val="nil"/>
              <w:bottom w:val="single" w:sz="4" w:space="0" w:color="auto"/>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MAC</w:t>
            </w:r>
          </w:p>
        </w:tc>
        <w:tc>
          <w:tcPr>
            <w:tcW w:w="1447" w:type="dxa"/>
            <w:tcBorders>
              <w:top w:val="nil"/>
              <w:left w:val="nil"/>
              <w:bottom w:val="single" w:sz="4" w:space="0" w:color="auto"/>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MAC</w:t>
            </w:r>
          </w:p>
        </w:tc>
        <w:tc>
          <w:tcPr>
            <w:tcW w:w="1447" w:type="dxa"/>
            <w:tcBorders>
              <w:top w:val="nil"/>
              <w:left w:val="nil"/>
              <w:bottom w:val="single" w:sz="4" w:space="0" w:color="auto"/>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5AN</w:t>
            </w:r>
          </w:p>
        </w:tc>
        <w:tc>
          <w:tcPr>
            <w:tcW w:w="1447" w:type="dxa"/>
            <w:gridSpan w:val="3"/>
            <w:tcBorders>
              <w:top w:val="nil"/>
              <w:left w:val="nil"/>
              <w:bottom w:val="single" w:sz="4" w:space="0" w:color="auto"/>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5AN</w:t>
            </w:r>
          </w:p>
        </w:tc>
        <w:tc>
          <w:tcPr>
            <w:tcW w:w="1447" w:type="dxa"/>
            <w:gridSpan w:val="2"/>
            <w:tcBorders>
              <w:top w:val="nil"/>
              <w:left w:val="nil"/>
              <w:bottom w:val="single" w:sz="4" w:space="0" w:color="auto"/>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5AN</w:t>
            </w:r>
          </w:p>
        </w:tc>
        <w:tc>
          <w:tcPr>
            <w:tcW w:w="1447" w:type="dxa"/>
            <w:gridSpan w:val="3"/>
            <w:tcBorders>
              <w:top w:val="nil"/>
              <w:left w:val="nil"/>
              <w:bottom w:val="single" w:sz="4" w:space="0" w:color="auto"/>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5CN</w:t>
            </w:r>
          </w:p>
        </w:tc>
        <w:tc>
          <w:tcPr>
            <w:tcW w:w="1447" w:type="dxa"/>
            <w:gridSpan w:val="3"/>
            <w:tcBorders>
              <w:top w:val="nil"/>
              <w:left w:val="nil"/>
              <w:bottom w:val="single" w:sz="4" w:space="0" w:color="auto"/>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5CN</w:t>
            </w:r>
          </w:p>
        </w:tc>
      </w:tr>
      <w:tr w:rsidR="006D3B9B" w:rsidRPr="00151AA1" w:rsidTr="006D3B9B">
        <w:trPr>
          <w:gridAfter w:val="1"/>
          <w:wAfter w:w="540" w:type="dxa"/>
          <w:trHeight w:val="350"/>
        </w:trPr>
        <w:tc>
          <w:tcPr>
            <w:tcW w:w="844" w:type="dxa"/>
            <w:tcBorders>
              <w:top w:val="nil"/>
              <w:left w:val="nil"/>
              <w:bottom w:val="nil"/>
              <w:right w:val="nil"/>
            </w:tcBorders>
            <w:noWrap/>
            <w:vAlign w:val="center"/>
            <w:hideMark/>
          </w:tcPr>
          <w:p w:rsidR="006D3B9B" w:rsidRPr="00151AA1" w:rsidRDefault="006D3B9B" w:rsidP="00316912">
            <w:pPr>
              <w:spacing w:after="0"/>
              <w:jc w:val="right"/>
              <w:rPr>
                <w:rFonts w:eastAsia="Times New Roman" w:cs="Times New Roman"/>
                <w:color w:val="000000"/>
                <w:sz w:val="18"/>
                <w:szCs w:val="18"/>
              </w:rPr>
            </w:pPr>
            <w:r w:rsidRPr="00151AA1">
              <w:rPr>
                <w:rFonts w:eastAsia="Times New Roman" w:cs="Times New Roman"/>
                <w:color w:val="000000"/>
                <w:sz w:val="18"/>
                <w:szCs w:val="18"/>
              </w:rPr>
              <w:t xml:space="preserve">    SiO</w:t>
            </w:r>
            <w:r w:rsidRPr="00151AA1">
              <w:rPr>
                <w:rFonts w:eastAsia="Times New Roman" w:cs="Times New Roman"/>
                <w:color w:val="000000"/>
                <w:sz w:val="18"/>
                <w:szCs w:val="18"/>
                <w:vertAlign w:val="subscript"/>
              </w:rPr>
              <w:t>2</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65.82</w:t>
            </w:r>
            <w:r>
              <w:rPr>
                <w:rFonts w:eastAsia="Times New Roman" w:cs="Times New Roman"/>
                <w:color w:val="000000"/>
                <w:sz w:val="18"/>
                <w:szCs w:val="18"/>
              </w:rPr>
              <w:t xml:space="preserve"> (0.41)</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65.98</w:t>
            </w:r>
            <w:r>
              <w:rPr>
                <w:rFonts w:eastAsia="Times New Roman" w:cs="Times New Roman"/>
                <w:color w:val="000000"/>
                <w:sz w:val="18"/>
                <w:szCs w:val="18"/>
              </w:rPr>
              <w:t xml:space="preserve"> (0.28)</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66.77</w:t>
            </w:r>
            <w:r>
              <w:rPr>
                <w:rFonts w:eastAsia="Times New Roman" w:cs="Times New Roman"/>
                <w:color w:val="000000"/>
                <w:sz w:val="18"/>
                <w:szCs w:val="18"/>
              </w:rPr>
              <w:t xml:space="preserve"> (0.26)</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71.89</w:t>
            </w:r>
            <w:r>
              <w:rPr>
                <w:rFonts w:eastAsia="Times New Roman" w:cs="Times New Roman"/>
                <w:color w:val="000000"/>
                <w:sz w:val="18"/>
                <w:szCs w:val="18"/>
              </w:rPr>
              <w:t xml:space="preserve"> (0.31)</w:t>
            </w:r>
          </w:p>
        </w:tc>
        <w:tc>
          <w:tcPr>
            <w:tcW w:w="1447" w:type="dxa"/>
            <w:gridSpan w:val="3"/>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72.04</w:t>
            </w:r>
            <w:r>
              <w:rPr>
                <w:rFonts w:eastAsia="Times New Roman" w:cs="Times New Roman"/>
                <w:color w:val="000000"/>
                <w:sz w:val="18"/>
                <w:szCs w:val="18"/>
              </w:rPr>
              <w:t xml:space="preserve"> (0.38)</w:t>
            </w:r>
          </w:p>
        </w:tc>
        <w:tc>
          <w:tcPr>
            <w:tcW w:w="1447" w:type="dxa"/>
            <w:gridSpan w:val="2"/>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71.58</w:t>
            </w:r>
            <w:r>
              <w:rPr>
                <w:rFonts w:eastAsia="Times New Roman" w:cs="Times New Roman"/>
                <w:color w:val="000000"/>
                <w:sz w:val="18"/>
                <w:szCs w:val="18"/>
              </w:rPr>
              <w:t xml:space="preserve"> (027)</w:t>
            </w:r>
          </w:p>
        </w:tc>
        <w:tc>
          <w:tcPr>
            <w:tcW w:w="1447" w:type="dxa"/>
            <w:gridSpan w:val="3"/>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71.39</w:t>
            </w:r>
            <w:r>
              <w:rPr>
                <w:rFonts w:eastAsia="Times New Roman" w:cs="Times New Roman"/>
                <w:color w:val="000000"/>
                <w:sz w:val="18"/>
                <w:szCs w:val="18"/>
              </w:rPr>
              <w:t xml:space="preserve"> (0.27)</w:t>
            </w:r>
          </w:p>
        </w:tc>
        <w:tc>
          <w:tcPr>
            <w:tcW w:w="1447" w:type="dxa"/>
            <w:gridSpan w:val="3"/>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71.13</w:t>
            </w:r>
            <w:r>
              <w:rPr>
                <w:rFonts w:eastAsia="Times New Roman" w:cs="Times New Roman"/>
                <w:color w:val="000000"/>
                <w:sz w:val="18"/>
                <w:szCs w:val="18"/>
              </w:rPr>
              <w:t xml:space="preserve"> (0.38)</w:t>
            </w:r>
          </w:p>
        </w:tc>
      </w:tr>
      <w:tr w:rsidR="006D3B9B" w:rsidRPr="00151AA1" w:rsidTr="006D3B9B">
        <w:trPr>
          <w:gridAfter w:val="1"/>
          <w:wAfter w:w="540" w:type="dxa"/>
          <w:trHeight w:val="350"/>
        </w:trPr>
        <w:tc>
          <w:tcPr>
            <w:tcW w:w="844" w:type="dxa"/>
            <w:tcBorders>
              <w:top w:val="nil"/>
              <w:left w:val="nil"/>
              <w:bottom w:val="nil"/>
              <w:right w:val="nil"/>
            </w:tcBorders>
            <w:noWrap/>
            <w:vAlign w:val="center"/>
            <w:hideMark/>
          </w:tcPr>
          <w:p w:rsidR="006D3B9B" w:rsidRPr="00151AA1" w:rsidRDefault="006D3B9B" w:rsidP="00316912">
            <w:pPr>
              <w:spacing w:after="0"/>
              <w:jc w:val="right"/>
              <w:rPr>
                <w:rFonts w:eastAsia="Times New Roman" w:cs="Times New Roman"/>
                <w:color w:val="000000"/>
                <w:sz w:val="18"/>
                <w:szCs w:val="18"/>
              </w:rPr>
            </w:pPr>
            <w:r w:rsidRPr="00151AA1">
              <w:rPr>
                <w:rFonts w:eastAsia="Times New Roman" w:cs="Times New Roman"/>
                <w:color w:val="000000"/>
                <w:sz w:val="18"/>
                <w:szCs w:val="18"/>
              </w:rPr>
              <w:t xml:space="preserve">    B</w:t>
            </w:r>
            <w:r w:rsidRPr="00151AA1">
              <w:rPr>
                <w:rFonts w:eastAsia="Times New Roman" w:cs="Times New Roman"/>
                <w:color w:val="000000"/>
                <w:sz w:val="18"/>
                <w:szCs w:val="18"/>
                <w:vertAlign w:val="subscript"/>
              </w:rPr>
              <w:t>2</w:t>
            </w:r>
            <w:r w:rsidRPr="00151AA1">
              <w:rPr>
                <w:rFonts w:eastAsia="Times New Roman" w:cs="Times New Roman"/>
                <w:color w:val="000000"/>
                <w:sz w:val="18"/>
                <w:szCs w:val="18"/>
              </w:rPr>
              <w:t>O</w:t>
            </w:r>
            <w:r w:rsidRPr="00151AA1">
              <w:rPr>
                <w:rFonts w:eastAsia="Times New Roman" w:cs="Times New Roman"/>
                <w:color w:val="000000"/>
                <w:sz w:val="18"/>
                <w:szCs w:val="18"/>
                <w:vertAlign w:val="subscript"/>
              </w:rPr>
              <w:t>3</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0.56</w:t>
            </w:r>
            <w:r>
              <w:rPr>
                <w:rFonts w:eastAsia="Times New Roman" w:cs="Times New Roman"/>
                <w:color w:val="000000"/>
                <w:sz w:val="18"/>
                <w:szCs w:val="18"/>
              </w:rPr>
              <w:t xml:space="preserve"> (0.11)</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0.43</w:t>
            </w:r>
            <w:r>
              <w:rPr>
                <w:rFonts w:eastAsia="Times New Roman" w:cs="Times New Roman"/>
                <w:color w:val="000000"/>
                <w:sz w:val="18"/>
                <w:szCs w:val="18"/>
              </w:rPr>
              <w:t xml:space="preserve"> (0.09)</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0.71</w:t>
            </w:r>
            <w:r>
              <w:rPr>
                <w:rFonts w:eastAsia="Times New Roman" w:cs="Times New Roman"/>
                <w:color w:val="000000"/>
                <w:sz w:val="18"/>
                <w:szCs w:val="18"/>
              </w:rPr>
              <w:t xml:space="preserve"> (0.14)</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2.75</w:t>
            </w:r>
            <w:r>
              <w:rPr>
                <w:rFonts w:eastAsia="Times New Roman" w:cs="Times New Roman"/>
                <w:color w:val="000000"/>
                <w:sz w:val="18"/>
                <w:szCs w:val="18"/>
              </w:rPr>
              <w:t xml:space="preserve"> (0.14)</w:t>
            </w:r>
          </w:p>
        </w:tc>
        <w:tc>
          <w:tcPr>
            <w:tcW w:w="1447" w:type="dxa"/>
            <w:gridSpan w:val="3"/>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2.88</w:t>
            </w:r>
            <w:r>
              <w:rPr>
                <w:rFonts w:eastAsia="Times New Roman" w:cs="Times New Roman"/>
                <w:color w:val="000000"/>
                <w:sz w:val="18"/>
                <w:szCs w:val="18"/>
              </w:rPr>
              <w:t xml:space="preserve"> (0.20)</w:t>
            </w:r>
          </w:p>
        </w:tc>
        <w:tc>
          <w:tcPr>
            <w:tcW w:w="1447" w:type="dxa"/>
            <w:gridSpan w:val="2"/>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2.99</w:t>
            </w:r>
            <w:r>
              <w:rPr>
                <w:rFonts w:eastAsia="Times New Roman" w:cs="Times New Roman"/>
                <w:color w:val="000000"/>
                <w:sz w:val="18"/>
                <w:szCs w:val="18"/>
              </w:rPr>
              <w:t xml:space="preserve"> (0.15)</w:t>
            </w:r>
          </w:p>
        </w:tc>
        <w:tc>
          <w:tcPr>
            <w:tcW w:w="1447" w:type="dxa"/>
            <w:gridSpan w:val="3"/>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2.93</w:t>
            </w:r>
            <w:r>
              <w:rPr>
                <w:rFonts w:eastAsia="Times New Roman" w:cs="Times New Roman"/>
                <w:color w:val="000000"/>
                <w:sz w:val="18"/>
                <w:szCs w:val="18"/>
              </w:rPr>
              <w:t xml:space="preserve"> (0.18)</w:t>
            </w:r>
          </w:p>
        </w:tc>
        <w:tc>
          <w:tcPr>
            <w:tcW w:w="1447" w:type="dxa"/>
            <w:gridSpan w:val="3"/>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2.73</w:t>
            </w:r>
            <w:r>
              <w:rPr>
                <w:rFonts w:eastAsia="Times New Roman" w:cs="Times New Roman"/>
                <w:color w:val="000000"/>
                <w:sz w:val="18"/>
                <w:szCs w:val="18"/>
              </w:rPr>
              <w:t xml:space="preserve"> (0.12)</w:t>
            </w:r>
          </w:p>
        </w:tc>
      </w:tr>
      <w:tr w:rsidR="006D3B9B" w:rsidRPr="00151AA1" w:rsidTr="006D3B9B">
        <w:trPr>
          <w:gridAfter w:val="1"/>
          <w:wAfter w:w="540" w:type="dxa"/>
          <w:trHeight w:val="350"/>
        </w:trPr>
        <w:tc>
          <w:tcPr>
            <w:tcW w:w="844" w:type="dxa"/>
            <w:tcBorders>
              <w:top w:val="nil"/>
              <w:left w:val="nil"/>
              <w:bottom w:val="nil"/>
              <w:right w:val="nil"/>
            </w:tcBorders>
            <w:noWrap/>
            <w:vAlign w:val="center"/>
            <w:hideMark/>
          </w:tcPr>
          <w:p w:rsidR="006D3B9B" w:rsidRPr="00151AA1" w:rsidRDefault="006D3B9B" w:rsidP="00316912">
            <w:pPr>
              <w:spacing w:after="0"/>
              <w:jc w:val="right"/>
              <w:rPr>
                <w:rFonts w:eastAsia="Times New Roman" w:cs="Times New Roman"/>
                <w:color w:val="000000"/>
                <w:sz w:val="18"/>
                <w:szCs w:val="18"/>
              </w:rPr>
            </w:pPr>
            <w:r w:rsidRPr="00151AA1">
              <w:rPr>
                <w:rFonts w:eastAsia="Times New Roman" w:cs="Times New Roman"/>
                <w:color w:val="000000"/>
                <w:sz w:val="18"/>
                <w:szCs w:val="18"/>
              </w:rPr>
              <w:t xml:space="preserve">   Al</w:t>
            </w:r>
            <w:r w:rsidRPr="00151AA1">
              <w:rPr>
                <w:rFonts w:eastAsia="Times New Roman" w:cs="Times New Roman"/>
                <w:color w:val="000000"/>
                <w:sz w:val="18"/>
                <w:szCs w:val="18"/>
                <w:vertAlign w:val="subscript"/>
              </w:rPr>
              <w:t>2</w:t>
            </w:r>
            <w:r w:rsidRPr="00151AA1">
              <w:rPr>
                <w:rFonts w:eastAsia="Times New Roman" w:cs="Times New Roman"/>
                <w:color w:val="000000"/>
                <w:sz w:val="18"/>
                <w:szCs w:val="18"/>
              </w:rPr>
              <w:t>O</w:t>
            </w:r>
            <w:r w:rsidRPr="00151AA1">
              <w:rPr>
                <w:rFonts w:eastAsia="Times New Roman" w:cs="Times New Roman"/>
                <w:color w:val="000000"/>
                <w:sz w:val="18"/>
                <w:szCs w:val="18"/>
                <w:vertAlign w:val="subscript"/>
              </w:rPr>
              <w:t>3</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14.69</w:t>
            </w:r>
            <w:r>
              <w:rPr>
                <w:rFonts w:eastAsia="Times New Roman" w:cs="Times New Roman"/>
                <w:color w:val="000000"/>
                <w:sz w:val="18"/>
                <w:szCs w:val="18"/>
              </w:rPr>
              <w:t xml:space="preserve"> (0.10)</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14.78</w:t>
            </w:r>
            <w:r>
              <w:rPr>
                <w:rFonts w:eastAsia="Times New Roman" w:cs="Times New Roman"/>
                <w:color w:val="000000"/>
                <w:sz w:val="18"/>
                <w:szCs w:val="18"/>
              </w:rPr>
              <w:t xml:space="preserve"> (0.12)</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14.70</w:t>
            </w:r>
            <w:r>
              <w:rPr>
                <w:rFonts w:eastAsia="Times New Roman" w:cs="Times New Roman"/>
                <w:color w:val="000000"/>
                <w:sz w:val="18"/>
                <w:szCs w:val="18"/>
              </w:rPr>
              <w:t xml:space="preserve"> (0.08)</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11.45</w:t>
            </w:r>
            <w:r>
              <w:rPr>
                <w:rFonts w:eastAsia="Times New Roman" w:cs="Times New Roman"/>
                <w:color w:val="000000"/>
                <w:sz w:val="18"/>
                <w:szCs w:val="18"/>
              </w:rPr>
              <w:t xml:space="preserve"> (0.10)</w:t>
            </w:r>
          </w:p>
        </w:tc>
        <w:tc>
          <w:tcPr>
            <w:tcW w:w="1447" w:type="dxa"/>
            <w:gridSpan w:val="3"/>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11.47</w:t>
            </w:r>
            <w:r>
              <w:rPr>
                <w:rFonts w:eastAsia="Times New Roman" w:cs="Times New Roman"/>
                <w:color w:val="000000"/>
                <w:sz w:val="18"/>
                <w:szCs w:val="18"/>
              </w:rPr>
              <w:t xml:space="preserve"> (0.05)</w:t>
            </w:r>
          </w:p>
        </w:tc>
        <w:tc>
          <w:tcPr>
            <w:tcW w:w="1447" w:type="dxa"/>
            <w:gridSpan w:val="2"/>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11.39</w:t>
            </w:r>
            <w:r>
              <w:rPr>
                <w:rFonts w:eastAsia="Times New Roman" w:cs="Times New Roman"/>
                <w:color w:val="000000"/>
                <w:sz w:val="18"/>
                <w:szCs w:val="18"/>
              </w:rPr>
              <w:t xml:space="preserve"> (0.08)</w:t>
            </w:r>
          </w:p>
        </w:tc>
        <w:tc>
          <w:tcPr>
            <w:tcW w:w="1447" w:type="dxa"/>
            <w:gridSpan w:val="3"/>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11.32</w:t>
            </w:r>
            <w:r>
              <w:rPr>
                <w:rFonts w:eastAsia="Times New Roman" w:cs="Times New Roman"/>
                <w:color w:val="000000"/>
                <w:sz w:val="18"/>
                <w:szCs w:val="18"/>
              </w:rPr>
              <w:t xml:space="preserve"> (0.09)</w:t>
            </w:r>
          </w:p>
        </w:tc>
        <w:tc>
          <w:tcPr>
            <w:tcW w:w="1447" w:type="dxa"/>
            <w:gridSpan w:val="3"/>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11.42</w:t>
            </w:r>
            <w:r>
              <w:rPr>
                <w:rFonts w:eastAsia="Times New Roman" w:cs="Times New Roman"/>
                <w:color w:val="000000"/>
                <w:sz w:val="18"/>
                <w:szCs w:val="18"/>
              </w:rPr>
              <w:t xml:space="preserve"> (0.10)</w:t>
            </w:r>
          </w:p>
        </w:tc>
      </w:tr>
      <w:tr w:rsidR="006D3B9B" w:rsidRPr="00151AA1" w:rsidTr="006D3B9B">
        <w:trPr>
          <w:gridAfter w:val="1"/>
          <w:wAfter w:w="540" w:type="dxa"/>
          <w:trHeight w:val="350"/>
        </w:trPr>
        <w:tc>
          <w:tcPr>
            <w:tcW w:w="844" w:type="dxa"/>
            <w:tcBorders>
              <w:top w:val="nil"/>
              <w:left w:val="nil"/>
              <w:bottom w:val="nil"/>
              <w:right w:val="nil"/>
            </w:tcBorders>
            <w:noWrap/>
            <w:vAlign w:val="center"/>
            <w:hideMark/>
          </w:tcPr>
          <w:p w:rsidR="006D3B9B" w:rsidRPr="00151AA1" w:rsidRDefault="006D3B9B" w:rsidP="00316912">
            <w:pPr>
              <w:spacing w:after="0"/>
              <w:jc w:val="right"/>
              <w:rPr>
                <w:rFonts w:eastAsia="Times New Roman" w:cs="Times New Roman"/>
                <w:color w:val="000000"/>
                <w:sz w:val="18"/>
                <w:szCs w:val="18"/>
              </w:rPr>
            </w:pPr>
            <w:r w:rsidRPr="00151AA1">
              <w:rPr>
                <w:rFonts w:eastAsia="Times New Roman" w:cs="Times New Roman"/>
                <w:color w:val="000000"/>
                <w:sz w:val="18"/>
                <w:szCs w:val="18"/>
              </w:rPr>
              <w:t xml:space="preserve">    Na</w:t>
            </w:r>
            <w:r w:rsidRPr="00151AA1">
              <w:rPr>
                <w:rFonts w:eastAsia="Times New Roman" w:cs="Times New Roman"/>
                <w:color w:val="000000"/>
                <w:sz w:val="18"/>
                <w:szCs w:val="18"/>
                <w:vertAlign w:val="subscript"/>
              </w:rPr>
              <w:t>2</w:t>
            </w:r>
            <w:r w:rsidRPr="00151AA1">
              <w:rPr>
                <w:rFonts w:eastAsia="Times New Roman" w:cs="Times New Roman"/>
                <w:color w:val="000000"/>
                <w:sz w:val="18"/>
                <w:szCs w:val="18"/>
              </w:rPr>
              <w:t>O</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3.54</w:t>
            </w:r>
            <w:r>
              <w:rPr>
                <w:rFonts w:eastAsia="Times New Roman" w:cs="Times New Roman"/>
                <w:color w:val="000000"/>
                <w:sz w:val="18"/>
                <w:szCs w:val="18"/>
              </w:rPr>
              <w:t xml:space="preserve"> (0.06) </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3.64</w:t>
            </w:r>
            <w:r>
              <w:rPr>
                <w:rFonts w:eastAsia="Times New Roman" w:cs="Times New Roman"/>
                <w:color w:val="000000"/>
                <w:sz w:val="18"/>
                <w:szCs w:val="18"/>
              </w:rPr>
              <w:t xml:space="preserve"> (0.04)</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3.53</w:t>
            </w:r>
            <w:r>
              <w:rPr>
                <w:rFonts w:eastAsia="Times New Roman" w:cs="Times New Roman"/>
                <w:color w:val="000000"/>
                <w:sz w:val="18"/>
                <w:szCs w:val="18"/>
              </w:rPr>
              <w:t xml:space="preserve"> (0.07)</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3.77</w:t>
            </w:r>
            <w:r>
              <w:rPr>
                <w:rFonts w:eastAsia="Times New Roman" w:cs="Times New Roman"/>
                <w:color w:val="000000"/>
                <w:sz w:val="18"/>
                <w:szCs w:val="18"/>
              </w:rPr>
              <w:t xml:space="preserve"> (0.10)</w:t>
            </w:r>
          </w:p>
        </w:tc>
        <w:tc>
          <w:tcPr>
            <w:tcW w:w="1447" w:type="dxa"/>
            <w:gridSpan w:val="3"/>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3.76</w:t>
            </w:r>
            <w:r>
              <w:rPr>
                <w:rFonts w:eastAsia="Times New Roman" w:cs="Times New Roman"/>
                <w:color w:val="000000"/>
                <w:sz w:val="18"/>
                <w:szCs w:val="18"/>
              </w:rPr>
              <w:t xml:space="preserve"> (0.08)</w:t>
            </w:r>
          </w:p>
        </w:tc>
        <w:tc>
          <w:tcPr>
            <w:tcW w:w="1447" w:type="dxa"/>
            <w:gridSpan w:val="2"/>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3.72</w:t>
            </w:r>
            <w:r>
              <w:rPr>
                <w:rFonts w:eastAsia="Times New Roman" w:cs="Times New Roman"/>
                <w:color w:val="000000"/>
                <w:sz w:val="18"/>
                <w:szCs w:val="18"/>
              </w:rPr>
              <w:t xml:space="preserve"> (0.12)</w:t>
            </w:r>
          </w:p>
        </w:tc>
        <w:tc>
          <w:tcPr>
            <w:tcW w:w="1447" w:type="dxa"/>
            <w:gridSpan w:val="3"/>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3.64</w:t>
            </w:r>
            <w:r>
              <w:rPr>
                <w:rFonts w:eastAsia="Times New Roman" w:cs="Times New Roman"/>
                <w:color w:val="000000"/>
                <w:sz w:val="18"/>
                <w:szCs w:val="18"/>
              </w:rPr>
              <w:t xml:space="preserve"> (0.09)</w:t>
            </w:r>
          </w:p>
        </w:tc>
        <w:tc>
          <w:tcPr>
            <w:tcW w:w="1447" w:type="dxa"/>
            <w:gridSpan w:val="3"/>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3.64</w:t>
            </w:r>
            <w:r>
              <w:rPr>
                <w:rFonts w:eastAsia="Times New Roman" w:cs="Times New Roman"/>
                <w:color w:val="000000"/>
                <w:sz w:val="18"/>
                <w:szCs w:val="18"/>
              </w:rPr>
              <w:t xml:space="preserve"> (0.11)</w:t>
            </w:r>
          </w:p>
        </w:tc>
      </w:tr>
      <w:tr w:rsidR="006D3B9B" w:rsidRPr="00151AA1" w:rsidTr="006D3B9B">
        <w:trPr>
          <w:gridAfter w:val="1"/>
          <w:wAfter w:w="540" w:type="dxa"/>
          <w:trHeight w:val="350"/>
        </w:trPr>
        <w:tc>
          <w:tcPr>
            <w:tcW w:w="844" w:type="dxa"/>
            <w:tcBorders>
              <w:top w:val="nil"/>
              <w:left w:val="nil"/>
              <w:bottom w:val="nil"/>
              <w:right w:val="nil"/>
            </w:tcBorders>
            <w:noWrap/>
            <w:vAlign w:val="center"/>
            <w:hideMark/>
          </w:tcPr>
          <w:p w:rsidR="006D3B9B" w:rsidRPr="00151AA1" w:rsidRDefault="006D3B9B" w:rsidP="00316912">
            <w:pPr>
              <w:spacing w:after="0"/>
              <w:jc w:val="right"/>
              <w:rPr>
                <w:rFonts w:eastAsia="Times New Roman" w:cs="Times New Roman"/>
                <w:color w:val="000000"/>
                <w:sz w:val="18"/>
                <w:szCs w:val="18"/>
              </w:rPr>
            </w:pPr>
            <w:r w:rsidRPr="00151AA1">
              <w:rPr>
                <w:rFonts w:eastAsia="Times New Roman" w:cs="Times New Roman"/>
                <w:color w:val="000000"/>
                <w:sz w:val="18"/>
                <w:szCs w:val="18"/>
              </w:rPr>
              <w:t xml:space="preserve">     K</w:t>
            </w:r>
            <w:r w:rsidRPr="00151AA1">
              <w:rPr>
                <w:rFonts w:eastAsia="Times New Roman" w:cs="Times New Roman"/>
                <w:color w:val="000000"/>
                <w:sz w:val="18"/>
                <w:szCs w:val="18"/>
                <w:vertAlign w:val="subscript"/>
              </w:rPr>
              <w:t>2</w:t>
            </w:r>
            <w:r w:rsidRPr="00151AA1">
              <w:rPr>
                <w:rFonts w:eastAsia="Times New Roman" w:cs="Times New Roman"/>
                <w:color w:val="000000"/>
                <w:sz w:val="18"/>
                <w:szCs w:val="18"/>
              </w:rPr>
              <w:t>O</w:t>
            </w:r>
          </w:p>
        </w:tc>
        <w:tc>
          <w:tcPr>
            <w:tcW w:w="1447" w:type="dxa"/>
            <w:tcBorders>
              <w:top w:val="nil"/>
              <w:left w:val="nil"/>
              <w:bottom w:val="single" w:sz="4" w:space="0" w:color="auto"/>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3.40</w:t>
            </w:r>
            <w:r>
              <w:rPr>
                <w:rFonts w:eastAsia="Times New Roman" w:cs="Times New Roman"/>
                <w:color w:val="000000"/>
                <w:sz w:val="18"/>
                <w:szCs w:val="18"/>
              </w:rPr>
              <w:t xml:space="preserve"> (0.04)</w:t>
            </w:r>
          </w:p>
        </w:tc>
        <w:tc>
          <w:tcPr>
            <w:tcW w:w="1447" w:type="dxa"/>
            <w:tcBorders>
              <w:top w:val="nil"/>
              <w:left w:val="nil"/>
              <w:bottom w:val="single" w:sz="4" w:space="0" w:color="auto"/>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3.51</w:t>
            </w:r>
            <w:r>
              <w:rPr>
                <w:rFonts w:eastAsia="Times New Roman" w:cs="Times New Roman"/>
                <w:color w:val="000000"/>
                <w:sz w:val="18"/>
                <w:szCs w:val="18"/>
              </w:rPr>
              <w:t xml:space="preserve"> (0.04)</w:t>
            </w:r>
          </w:p>
        </w:tc>
        <w:tc>
          <w:tcPr>
            <w:tcW w:w="1447" w:type="dxa"/>
            <w:tcBorders>
              <w:top w:val="nil"/>
              <w:left w:val="nil"/>
              <w:bottom w:val="single" w:sz="4" w:space="0" w:color="auto"/>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3.40</w:t>
            </w:r>
            <w:r>
              <w:rPr>
                <w:rFonts w:eastAsia="Times New Roman" w:cs="Times New Roman"/>
                <w:color w:val="000000"/>
                <w:sz w:val="18"/>
                <w:szCs w:val="18"/>
              </w:rPr>
              <w:t xml:space="preserve"> (0.06)</w:t>
            </w:r>
          </w:p>
        </w:tc>
        <w:tc>
          <w:tcPr>
            <w:tcW w:w="1447" w:type="dxa"/>
            <w:tcBorders>
              <w:top w:val="nil"/>
              <w:left w:val="nil"/>
              <w:bottom w:val="single" w:sz="4" w:space="0" w:color="auto"/>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4.39</w:t>
            </w:r>
            <w:r>
              <w:rPr>
                <w:rFonts w:eastAsia="Times New Roman" w:cs="Times New Roman"/>
                <w:color w:val="000000"/>
                <w:sz w:val="18"/>
                <w:szCs w:val="18"/>
              </w:rPr>
              <w:t xml:space="preserve"> (0.10)</w:t>
            </w:r>
          </w:p>
        </w:tc>
        <w:tc>
          <w:tcPr>
            <w:tcW w:w="1447" w:type="dxa"/>
            <w:gridSpan w:val="3"/>
            <w:tcBorders>
              <w:top w:val="nil"/>
              <w:left w:val="nil"/>
              <w:bottom w:val="single" w:sz="4" w:space="0" w:color="auto"/>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4.29</w:t>
            </w:r>
            <w:r>
              <w:rPr>
                <w:rFonts w:eastAsia="Times New Roman" w:cs="Times New Roman"/>
                <w:color w:val="000000"/>
                <w:sz w:val="18"/>
                <w:szCs w:val="18"/>
              </w:rPr>
              <w:t xml:space="preserve"> (0.08)</w:t>
            </w:r>
          </w:p>
        </w:tc>
        <w:tc>
          <w:tcPr>
            <w:tcW w:w="1447" w:type="dxa"/>
            <w:gridSpan w:val="2"/>
            <w:tcBorders>
              <w:top w:val="nil"/>
              <w:left w:val="nil"/>
              <w:bottom w:val="single" w:sz="4" w:space="0" w:color="auto"/>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4.32</w:t>
            </w:r>
            <w:r>
              <w:rPr>
                <w:rFonts w:eastAsia="Times New Roman" w:cs="Times New Roman"/>
                <w:color w:val="000000"/>
                <w:sz w:val="18"/>
                <w:szCs w:val="18"/>
              </w:rPr>
              <w:t xml:space="preserve"> (0.07)</w:t>
            </w:r>
          </w:p>
        </w:tc>
        <w:tc>
          <w:tcPr>
            <w:tcW w:w="1447" w:type="dxa"/>
            <w:gridSpan w:val="3"/>
            <w:tcBorders>
              <w:top w:val="nil"/>
              <w:left w:val="nil"/>
              <w:bottom w:val="single" w:sz="4" w:space="0" w:color="auto"/>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4.31</w:t>
            </w:r>
            <w:r>
              <w:rPr>
                <w:rFonts w:eastAsia="Times New Roman" w:cs="Times New Roman"/>
                <w:color w:val="000000"/>
                <w:sz w:val="18"/>
                <w:szCs w:val="18"/>
              </w:rPr>
              <w:t xml:space="preserve"> (0.04)</w:t>
            </w:r>
          </w:p>
        </w:tc>
        <w:tc>
          <w:tcPr>
            <w:tcW w:w="1447" w:type="dxa"/>
            <w:gridSpan w:val="3"/>
            <w:tcBorders>
              <w:top w:val="nil"/>
              <w:left w:val="nil"/>
              <w:bottom w:val="single" w:sz="4" w:space="0" w:color="auto"/>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4.31</w:t>
            </w:r>
            <w:r>
              <w:rPr>
                <w:rFonts w:eastAsia="Times New Roman" w:cs="Times New Roman"/>
                <w:color w:val="000000"/>
                <w:sz w:val="18"/>
                <w:szCs w:val="18"/>
              </w:rPr>
              <w:t xml:space="preserve"> (0.07)</w:t>
            </w:r>
          </w:p>
        </w:tc>
      </w:tr>
      <w:tr w:rsidR="006D3B9B" w:rsidRPr="00151AA1" w:rsidTr="006D3B9B">
        <w:trPr>
          <w:gridAfter w:val="1"/>
          <w:wAfter w:w="540" w:type="dxa"/>
          <w:trHeight w:val="370"/>
        </w:trPr>
        <w:tc>
          <w:tcPr>
            <w:tcW w:w="844" w:type="dxa"/>
            <w:tcBorders>
              <w:top w:val="nil"/>
              <w:left w:val="nil"/>
              <w:bottom w:val="nil"/>
              <w:right w:val="nil"/>
            </w:tcBorders>
            <w:noWrap/>
            <w:vAlign w:val="center"/>
            <w:hideMark/>
          </w:tcPr>
          <w:p w:rsidR="006D3B9B" w:rsidRPr="00151AA1" w:rsidRDefault="006D3B9B" w:rsidP="00316912">
            <w:pPr>
              <w:spacing w:after="0"/>
              <w:jc w:val="right"/>
              <w:rPr>
                <w:rFonts w:eastAsia="Times New Roman" w:cs="Times New Roman"/>
                <w:color w:val="000000"/>
                <w:sz w:val="18"/>
                <w:szCs w:val="18"/>
              </w:rPr>
            </w:pPr>
            <w:r w:rsidRPr="00151AA1">
              <w:rPr>
                <w:rFonts w:eastAsia="Times New Roman" w:cs="Times New Roman"/>
                <w:color w:val="000000"/>
                <w:sz w:val="18"/>
                <w:szCs w:val="18"/>
              </w:rPr>
              <w:t>Total</w:t>
            </w:r>
            <w:r w:rsidRPr="00151AA1">
              <w:rPr>
                <w:rFonts w:eastAsia="Times New Roman" w:cs="Times New Roman"/>
                <w:color w:val="000000"/>
                <w:sz w:val="18"/>
                <w:szCs w:val="18"/>
                <w:vertAlign w:val="superscript"/>
              </w:rPr>
              <w:t>2</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88.02</w:t>
            </w:r>
            <w:r>
              <w:rPr>
                <w:rFonts w:eastAsia="Times New Roman" w:cs="Times New Roman"/>
                <w:color w:val="000000"/>
                <w:sz w:val="18"/>
                <w:szCs w:val="18"/>
              </w:rPr>
              <w:t xml:space="preserve"> (0.49)</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88.34</w:t>
            </w:r>
            <w:r>
              <w:rPr>
                <w:rFonts w:eastAsia="Times New Roman" w:cs="Times New Roman"/>
                <w:color w:val="000000"/>
                <w:sz w:val="18"/>
                <w:szCs w:val="18"/>
              </w:rPr>
              <w:t xml:space="preserve"> (0.34)</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89.11</w:t>
            </w:r>
            <w:r>
              <w:rPr>
                <w:rFonts w:eastAsia="Times New Roman" w:cs="Times New Roman"/>
                <w:color w:val="000000"/>
                <w:sz w:val="18"/>
                <w:szCs w:val="18"/>
              </w:rPr>
              <w:t xml:space="preserve"> (0.32)</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94.26</w:t>
            </w:r>
            <w:r>
              <w:rPr>
                <w:rFonts w:eastAsia="Times New Roman" w:cs="Times New Roman"/>
                <w:color w:val="000000"/>
                <w:sz w:val="18"/>
                <w:szCs w:val="18"/>
              </w:rPr>
              <w:t xml:space="preserve"> (0.49)</w:t>
            </w:r>
          </w:p>
        </w:tc>
        <w:tc>
          <w:tcPr>
            <w:tcW w:w="1447" w:type="dxa"/>
            <w:gridSpan w:val="3"/>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94.42</w:t>
            </w:r>
            <w:r>
              <w:rPr>
                <w:rFonts w:eastAsia="Times New Roman" w:cs="Times New Roman"/>
                <w:color w:val="000000"/>
                <w:sz w:val="18"/>
                <w:szCs w:val="18"/>
              </w:rPr>
              <w:t xml:space="preserve"> (0.41)</w:t>
            </w:r>
          </w:p>
        </w:tc>
        <w:tc>
          <w:tcPr>
            <w:tcW w:w="1447" w:type="dxa"/>
            <w:gridSpan w:val="2"/>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94.01</w:t>
            </w:r>
            <w:r>
              <w:rPr>
                <w:rFonts w:eastAsia="Times New Roman" w:cs="Times New Roman"/>
                <w:color w:val="000000"/>
                <w:sz w:val="18"/>
                <w:szCs w:val="18"/>
              </w:rPr>
              <w:t xml:space="preserve"> (0.41)</w:t>
            </w:r>
          </w:p>
        </w:tc>
        <w:tc>
          <w:tcPr>
            <w:tcW w:w="1447" w:type="dxa"/>
            <w:gridSpan w:val="3"/>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93.58</w:t>
            </w:r>
            <w:r>
              <w:rPr>
                <w:rFonts w:eastAsia="Times New Roman" w:cs="Times New Roman"/>
                <w:color w:val="000000"/>
                <w:sz w:val="18"/>
                <w:szCs w:val="18"/>
              </w:rPr>
              <w:t xml:space="preserve"> (0.38)</w:t>
            </w:r>
          </w:p>
        </w:tc>
        <w:tc>
          <w:tcPr>
            <w:tcW w:w="1447" w:type="dxa"/>
            <w:gridSpan w:val="3"/>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93.22</w:t>
            </w:r>
            <w:r>
              <w:rPr>
                <w:rFonts w:eastAsia="Times New Roman" w:cs="Times New Roman"/>
                <w:color w:val="000000"/>
                <w:sz w:val="18"/>
                <w:szCs w:val="18"/>
              </w:rPr>
              <w:t xml:space="preserve"> (0.47)</w:t>
            </w:r>
          </w:p>
        </w:tc>
      </w:tr>
      <w:tr w:rsidR="006D3B9B" w:rsidRPr="00151AA1" w:rsidTr="006D3B9B">
        <w:trPr>
          <w:gridAfter w:val="1"/>
          <w:wAfter w:w="540" w:type="dxa"/>
          <w:trHeight w:val="310"/>
        </w:trPr>
        <w:tc>
          <w:tcPr>
            <w:tcW w:w="844" w:type="dxa"/>
            <w:tcBorders>
              <w:top w:val="nil"/>
              <w:left w:val="nil"/>
              <w:bottom w:val="nil"/>
              <w:right w:val="nil"/>
            </w:tcBorders>
            <w:noWrap/>
            <w:vAlign w:val="center"/>
            <w:hideMark/>
          </w:tcPr>
          <w:p w:rsidR="006D3B9B" w:rsidRPr="00151AA1" w:rsidRDefault="006D3B9B" w:rsidP="00316912">
            <w:pPr>
              <w:spacing w:after="0"/>
              <w:jc w:val="right"/>
              <w:rPr>
                <w:rFonts w:eastAsia="Times New Roman" w:cs="Times New Roman"/>
                <w:color w:val="000000"/>
                <w:sz w:val="18"/>
                <w:szCs w:val="18"/>
              </w:rPr>
            </w:pPr>
            <w:r w:rsidRPr="00151AA1">
              <w:rPr>
                <w:rFonts w:eastAsia="Times New Roman" w:cs="Times New Roman"/>
                <w:color w:val="000000"/>
                <w:sz w:val="18"/>
                <w:szCs w:val="18"/>
              </w:rPr>
              <w:t>N</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30</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25</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15</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15</w:t>
            </w:r>
          </w:p>
        </w:tc>
        <w:tc>
          <w:tcPr>
            <w:tcW w:w="1447" w:type="dxa"/>
            <w:gridSpan w:val="3"/>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15</w:t>
            </w:r>
          </w:p>
        </w:tc>
        <w:tc>
          <w:tcPr>
            <w:tcW w:w="1447" w:type="dxa"/>
            <w:gridSpan w:val="2"/>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15</w:t>
            </w:r>
          </w:p>
        </w:tc>
        <w:tc>
          <w:tcPr>
            <w:tcW w:w="1447" w:type="dxa"/>
            <w:gridSpan w:val="3"/>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15</w:t>
            </w:r>
          </w:p>
        </w:tc>
        <w:tc>
          <w:tcPr>
            <w:tcW w:w="1447" w:type="dxa"/>
            <w:gridSpan w:val="3"/>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15</w:t>
            </w:r>
          </w:p>
        </w:tc>
      </w:tr>
      <w:tr w:rsidR="006D3B9B" w:rsidRPr="00151AA1" w:rsidTr="006D3B9B">
        <w:trPr>
          <w:gridAfter w:val="1"/>
          <w:wAfter w:w="540" w:type="dxa"/>
          <w:trHeight w:val="390"/>
        </w:trPr>
        <w:tc>
          <w:tcPr>
            <w:tcW w:w="844" w:type="dxa"/>
            <w:tcBorders>
              <w:top w:val="nil"/>
              <w:left w:val="nil"/>
              <w:bottom w:val="nil"/>
              <w:right w:val="nil"/>
            </w:tcBorders>
            <w:noWrap/>
            <w:vAlign w:val="center"/>
            <w:hideMark/>
          </w:tcPr>
          <w:p w:rsidR="006D3B9B" w:rsidRPr="00151AA1" w:rsidRDefault="006D3B9B" w:rsidP="00316912">
            <w:pPr>
              <w:spacing w:after="0"/>
              <w:jc w:val="right"/>
              <w:rPr>
                <w:rFonts w:eastAsia="Times New Roman" w:cs="Times New Roman"/>
                <w:color w:val="000000"/>
                <w:sz w:val="18"/>
                <w:szCs w:val="18"/>
              </w:rPr>
            </w:pPr>
            <w:r w:rsidRPr="00151AA1">
              <w:rPr>
                <w:rFonts w:eastAsia="Times New Roman" w:cs="Times New Roman"/>
                <w:color w:val="000000"/>
                <w:sz w:val="18"/>
                <w:szCs w:val="18"/>
              </w:rPr>
              <w:t>H</w:t>
            </w:r>
            <w:r w:rsidRPr="00151AA1">
              <w:rPr>
                <w:rFonts w:eastAsia="Times New Roman" w:cs="Times New Roman"/>
                <w:color w:val="000000"/>
                <w:sz w:val="18"/>
                <w:szCs w:val="18"/>
                <w:vertAlign w:val="subscript"/>
              </w:rPr>
              <w:t>2</w:t>
            </w:r>
            <w:r w:rsidRPr="00151AA1">
              <w:rPr>
                <w:rFonts w:eastAsia="Times New Roman" w:cs="Times New Roman"/>
                <w:color w:val="000000"/>
                <w:sz w:val="18"/>
                <w:szCs w:val="18"/>
              </w:rPr>
              <w:t>O</w:t>
            </w:r>
            <w:r w:rsidRPr="00151AA1">
              <w:rPr>
                <w:rFonts w:eastAsia="Times New Roman" w:cs="Times New Roman"/>
                <w:color w:val="000000"/>
                <w:sz w:val="18"/>
                <w:szCs w:val="18"/>
                <w:vertAlign w:val="superscript"/>
              </w:rPr>
              <w:t>3</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11.98</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11.66</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10.89</w:t>
            </w:r>
          </w:p>
        </w:tc>
        <w:tc>
          <w:tcPr>
            <w:tcW w:w="1447" w:type="dxa"/>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5.74</w:t>
            </w:r>
          </w:p>
        </w:tc>
        <w:tc>
          <w:tcPr>
            <w:tcW w:w="1447" w:type="dxa"/>
            <w:gridSpan w:val="3"/>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5.58</w:t>
            </w:r>
          </w:p>
        </w:tc>
        <w:tc>
          <w:tcPr>
            <w:tcW w:w="1447" w:type="dxa"/>
            <w:gridSpan w:val="2"/>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5.99</w:t>
            </w:r>
          </w:p>
        </w:tc>
        <w:tc>
          <w:tcPr>
            <w:tcW w:w="1447" w:type="dxa"/>
            <w:gridSpan w:val="3"/>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6.42</w:t>
            </w:r>
          </w:p>
        </w:tc>
        <w:tc>
          <w:tcPr>
            <w:tcW w:w="1447" w:type="dxa"/>
            <w:gridSpan w:val="3"/>
            <w:tcBorders>
              <w:top w:val="nil"/>
              <w:left w:val="nil"/>
              <w:bottom w:val="nil"/>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6.78</w:t>
            </w:r>
          </w:p>
        </w:tc>
      </w:tr>
      <w:tr w:rsidR="006D3B9B" w:rsidRPr="00151AA1" w:rsidTr="006D3B9B">
        <w:trPr>
          <w:gridAfter w:val="1"/>
          <w:wAfter w:w="540" w:type="dxa"/>
          <w:trHeight w:val="370"/>
        </w:trPr>
        <w:tc>
          <w:tcPr>
            <w:tcW w:w="844" w:type="dxa"/>
            <w:tcBorders>
              <w:top w:val="nil"/>
              <w:left w:val="nil"/>
              <w:bottom w:val="nil"/>
              <w:right w:val="nil"/>
            </w:tcBorders>
            <w:noWrap/>
            <w:vAlign w:val="center"/>
            <w:hideMark/>
          </w:tcPr>
          <w:p w:rsidR="006D3B9B" w:rsidRPr="00151AA1" w:rsidRDefault="006D3B9B" w:rsidP="00316912">
            <w:pPr>
              <w:spacing w:after="0"/>
              <w:jc w:val="right"/>
              <w:rPr>
                <w:rFonts w:eastAsia="Times New Roman" w:cs="Times New Roman"/>
                <w:color w:val="000000"/>
                <w:sz w:val="18"/>
                <w:szCs w:val="18"/>
              </w:rPr>
            </w:pPr>
            <w:r w:rsidRPr="00151AA1">
              <w:rPr>
                <w:rFonts w:eastAsia="Times New Roman" w:cs="Times New Roman"/>
                <w:color w:val="000000"/>
                <w:sz w:val="18"/>
                <w:szCs w:val="18"/>
              </w:rPr>
              <w:t>ASI</w:t>
            </w:r>
            <w:r w:rsidRPr="00151AA1">
              <w:rPr>
                <w:rFonts w:eastAsia="Times New Roman" w:cs="Times New Roman"/>
                <w:color w:val="000000"/>
                <w:sz w:val="18"/>
                <w:szCs w:val="18"/>
                <w:vertAlign w:val="superscript"/>
              </w:rPr>
              <w:t>4</w:t>
            </w:r>
          </w:p>
        </w:tc>
        <w:tc>
          <w:tcPr>
            <w:tcW w:w="1447" w:type="dxa"/>
            <w:tcBorders>
              <w:top w:val="nil"/>
              <w:left w:val="nil"/>
              <w:bottom w:val="single" w:sz="4" w:space="0" w:color="auto"/>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1.55</w:t>
            </w:r>
            <w:r>
              <w:rPr>
                <w:rFonts w:eastAsia="Times New Roman" w:cs="Times New Roman"/>
                <w:color w:val="000000"/>
                <w:sz w:val="18"/>
                <w:szCs w:val="18"/>
              </w:rPr>
              <w:t xml:space="preserve"> (0.02)</w:t>
            </w:r>
          </w:p>
        </w:tc>
        <w:tc>
          <w:tcPr>
            <w:tcW w:w="1447" w:type="dxa"/>
            <w:tcBorders>
              <w:top w:val="nil"/>
              <w:left w:val="nil"/>
              <w:bottom w:val="single" w:sz="4" w:space="0" w:color="auto"/>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1.51</w:t>
            </w:r>
            <w:r>
              <w:rPr>
                <w:rFonts w:eastAsia="Times New Roman" w:cs="Times New Roman"/>
                <w:color w:val="000000"/>
                <w:sz w:val="18"/>
                <w:szCs w:val="18"/>
              </w:rPr>
              <w:t xml:space="preserve"> (0.02)</w:t>
            </w:r>
          </w:p>
        </w:tc>
        <w:tc>
          <w:tcPr>
            <w:tcW w:w="1447" w:type="dxa"/>
            <w:tcBorders>
              <w:top w:val="nil"/>
              <w:left w:val="nil"/>
              <w:bottom w:val="single" w:sz="4" w:space="0" w:color="auto"/>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1.55</w:t>
            </w:r>
            <w:r>
              <w:rPr>
                <w:rFonts w:eastAsia="Times New Roman" w:cs="Times New Roman"/>
                <w:color w:val="000000"/>
                <w:sz w:val="18"/>
                <w:szCs w:val="18"/>
              </w:rPr>
              <w:t xml:space="preserve"> (0.02)</w:t>
            </w:r>
          </w:p>
        </w:tc>
        <w:tc>
          <w:tcPr>
            <w:tcW w:w="1447" w:type="dxa"/>
            <w:tcBorders>
              <w:top w:val="nil"/>
              <w:left w:val="nil"/>
              <w:bottom w:val="single" w:sz="4" w:space="0" w:color="auto"/>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1.05</w:t>
            </w:r>
            <w:r>
              <w:rPr>
                <w:rFonts w:eastAsia="Times New Roman" w:cs="Times New Roman"/>
                <w:color w:val="000000"/>
                <w:sz w:val="18"/>
                <w:szCs w:val="18"/>
              </w:rPr>
              <w:t xml:space="preserve"> (0.02)</w:t>
            </w:r>
          </w:p>
        </w:tc>
        <w:tc>
          <w:tcPr>
            <w:tcW w:w="1447" w:type="dxa"/>
            <w:gridSpan w:val="3"/>
            <w:tcBorders>
              <w:top w:val="nil"/>
              <w:left w:val="nil"/>
              <w:bottom w:val="single" w:sz="4" w:space="0" w:color="auto"/>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1.06</w:t>
            </w:r>
            <w:r>
              <w:rPr>
                <w:rFonts w:eastAsia="Times New Roman" w:cs="Times New Roman"/>
                <w:color w:val="000000"/>
                <w:sz w:val="18"/>
                <w:szCs w:val="18"/>
              </w:rPr>
              <w:t xml:space="preserve"> (0.01)</w:t>
            </w:r>
          </w:p>
        </w:tc>
        <w:tc>
          <w:tcPr>
            <w:tcW w:w="1447" w:type="dxa"/>
            <w:gridSpan w:val="2"/>
            <w:tcBorders>
              <w:top w:val="nil"/>
              <w:left w:val="nil"/>
              <w:bottom w:val="single" w:sz="4" w:space="0" w:color="auto"/>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1.06</w:t>
            </w:r>
            <w:r>
              <w:rPr>
                <w:rFonts w:eastAsia="Times New Roman" w:cs="Times New Roman"/>
                <w:color w:val="000000"/>
                <w:sz w:val="18"/>
                <w:szCs w:val="18"/>
              </w:rPr>
              <w:t xml:space="preserve"> (0.02)</w:t>
            </w:r>
          </w:p>
        </w:tc>
        <w:tc>
          <w:tcPr>
            <w:tcW w:w="1447" w:type="dxa"/>
            <w:gridSpan w:val="3"/>
            <w:tcBorders>
              <w:top w:val="nil"/>
              <w:left w:val="nil"/>
              <w:bottom w:val="single" w:sz="4" w:space="0" w:color="auto"/>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1.06</w:t>
            </w:r>
            <w:r>
              <w:rPr>
                <w:rFonts w:eastAsia="Times New Roman" w:cs="Times New Roman"/>
                <w:color w:val="000000"/>
                <w:sz w:val="18"/>
                <w:szCs w:val="18"/>
              </w:rPr>
              <w:t xml:space="preserve"> (0.02)</w:t>
            </w:r>
          </w:p>
        </w:tc>
        <w:tc>
          <w:tcPr>
            <w:tcW w:w="1447" w:type="dxa"/>
            <w:gridSpan w:val="3"/>
            <w:tcBorders>
              <w:top w:val="nil"/>
              <w:left w:val="nil"/>
              <w:bottom w:val="single" w:sz="4" w:space="0" w:color="auto"/>
              <w:right w:val="nil"/>
            </w:tcBorders>
            <w:noWrap/>
            <w:vAlign w:val="center"/>
            <w:hideMark/>
          </w:tcPr>
          <w:p w:rsidR="006D3B9B" w:rsidRPr="00151AA1" w:rsidRDefault="006D3B9B" w:rsidP="00316912">
            <w:pPr>
              <w:spacing w:after="0"/>
              <w:jc w:val="center"/>
              <w:rPr>
                <w:rFonts w:eastAsia="Times New Roman" w:cs="Times New Roman"/>
                <w:color w:val="000000"/>
                <w:sz w:val="18"/>
                <w:szCs w:val="18"/>
              </w:rPr>
            </w:pPr>
            <w:r w:rsidRPr="00151AA1">
              <w:rPr>
                <w:rFonts w:eastAsia="Times New Roman" w:cs="Times New Roman"/>
                <w:color w:val="000000"/>
                <w:sz w:val="18"/>
                <w:szCs w:val="18"/>
              </w:rPr>
              <w:t>1.07</w:t>
            </w:r>
            <w:r>
              <w:rPr>
                <w:rFonts w:eastAsia="Times New Roman" w:cs="Times New Roman"/>
                <w:color w:val="000000"/>
                <w:sz w:val="18"/>
                <w:szCs w:val="18"/>
              </w:rPr>
              <w:t xml:space="preserve"> (0.02)</w:t>
            </w:r>
          </w:p>
        </w:tc>
      </w:tr>
      <w:tr w:rsidR="006D3B9B" w:rsidRPr="00151AA1" w:rsidTr="006D3B9B">
        <w:trPr>
          <w:trHeight w:val="370"/>
        </w:trPr>
        <w:tc>
          <w:tcPr>
            <w:tcW w:w="844" w:type="dxa"/>
            <w:tcBorders>
              <w:top w:val="nil"/>
              <w:left w:val="nil"/>
              <w:bottom w:val="nil"/>
              <w:right w:val="nil"/>
            </w:tcBorders>
            <w:noWrap/>
            <w:vAlign w:val="bottom"/>
            <w:hideMark/>
          </w:tcPr>
          <w:p w:rsidR="006D3B9B" w:rsidRPr="00151AA1" w:rsidRDefault="006D3B9B" w:rsidP="00316912">
            <w:pPr>
              <w:spacing w:after="0"/>
              <w:jc w:val="center"/>
              <w:rPr>
                <w:rFonts w:eastAsia="Times New Roman" w:cs="Times New Roman"/>
                <w:color w:val="000000"/>
                <w:sz w:val="18"/>
                <w:szCs w:val="18"/>
              </w:rPr>
            </w:pPr>
          </w:p>
        </w:tc>
        <w:tc>
          <w:tcPr>
            <w:tcW w:w="7105" w:type="dxa"/>
            <w:gridSpan w:val="6"/>
            <w:tcBorders>
              <w:top w:val="nil"/>
              <w:left w:val="nil"/>
              <w:bottom w:val="nil"/>
              <w:right w:val="nil"/>
            </w:tcBorders>
            <w:noWrap/>
            <w:vAlign w:val="bottom"/>
            <w:hideMark/>
          </w:tcPr>
          <w:p w:rsidR="006D3B9B" w:rsidRPr="00151AA1" w:rsidRDefault="006D3B9B" w:rsidP="00316912">
            <w:pPr>
              <w:spacing w:after="0"/>
              <w:rPr>
                <w:rFonts w:eastAsia="Times New Roman" w:cs="Times New Roman"/>
                <w:color w:val="000000"/>
                <w:sz w:val="18"/>
                <w:szCs w:val="18"/>
              </w:rPr>
            </w:pPr>
            <w:r w:rsidRPr="00151AA1">
              <w:rPr>
                <w:rFonts w:eastAsia="Times New Roman" w:cs="Times New Roman"/>
                <w:color w:val="000000"/>
                <w:sz w:val="18"/>
                <w:szCs w:val="18"/>
                <w:vertAlign w:val="superscript"/>
              </w:rPr>
              <w:t>1</w:t>
            </w:r>
            <w:r w:rsidRPr="00151AA1">
              <w:rPr>
                <w:rFonts w:eastAsia="Times New Roman" w:cs="Times New Roman"/>
                <w:color w:val="000000"/>
                <w:sz w:val="18"/>
                <w:szCs w:val="18"/>
              </w:rPr>
              <w:t>SM: Starting material glass (refer to Table 1 for composition)</w:t>
            </w:r>
          </w:p>
        </w:tc>
        <w:tc>
          <w:tcPr>
            <w:tcW w:w="985" w:type="dxa"/>
            <w:gridSpan w:val="2"/>
            <w:tcBorders>
              <w:top w:val="nil"/>
              <w:left w:val="nil"/>
              <w:bottom w:val="nil"/>
              <w:right w:val="nil"/>
            </w:tcBorders>
            <w:noWrap/>
            <w:vAlign w:val="bottom"/>
            <w:hideMark/>
          </w:tcPr>
          <w:p w:rsidR="006D3B9B" w:rsidRPr="00151AA1" w:rsidRDefault="006D3B9B" w:rsidP="00316912">
            <w:pPr>
              <w:spacing w:after="0"/>
              <w:rPr>
                <w:rFonts w:eastAsia="Times New Roman" w:cs="Times New Roman"/>
                <w:color w:val="000000"/>
                <w:sz w:val="18"/>
                <w:szCs w:val="18"/>
              </w:rPr>
            </w:pPr>
          </w:p>
        </w:tc>
        <w:tc>
          <w:tcPr>
            <w:tcW w:w="690" w:type="dxa"/>
            <w:gridSpan w:val="2"/>
            <w:tcBorders>
              <w:top w:val="nil"/>
              <w:left w:val="nil"/>
              <w:bottom w:val="nil"/>
              <w:right w:val="nil"/>
            </w:tcBorders>
            <w:noWrap/>
            <w:vAlign w:val="bottom"/>
            <w:hideMark/>
          </w:tcPr>
          <w:p w:rsidR="006D3B9B" w:rsidRPr="00151AA1" w:rsidRDefault="006D3B9B" w:rsidP="00316912">
            <w:pPr>
              <w:spacing w:after="0"/>
              <w:rPr>
                <w:rFonts w:eastAsia="Times New Roman" w:cs="Times New Roman"/>
                <w:sz w:val="18"/>
                <w:szCs w:val="18"/>
              </w:rPr>
            </w:pPr>
          </w:p>
        </w:tc>
        <w:tc>
          <w:tcPr>
            <w:tcW w:w="978" w:type="dxa"/>
            <w:tcBorders>
              <w:top w:val="nil"/>
              <w:left w:val="nil"/>
              <w:bottom w:val="nil"/>
              <w:right w:val="nil"/>
            </w:tcBorders>
            <w:noWrap/>
            <w:vAlign w:val="bottom"/>
            <w:hideMark/>
          </w:tcPr>
          <w:p w:rsidR="006D3B9B" w:rsidRPr="00151AA1" w:rsidRDefault="006D3B9B" w:rsidP="00316912">
            <w:pPr>
              <w:spacing w:after="0"/>
              <w:rPr>
                <w:rFonts w:eastAsia="Times New Roman" w:cs="Times New Roman"/>
                <w:sz w:val="18"/>
                <w:szCs w:val="18"/>
              </w:rPr>
            </w:pPr>
          </w:p>
        </w:tc>
        <w:tc>
          <w:tcPr>
            <w:tcW w:w="690" w:type="dxa"/>
            <w:gridSpan w:val="2"/>
            <w:tcBorders>
              <w:top w:val="nil"/>
              <w:left w:val="nil"/>
              <w:bottom w:val="nil"/>
              <w:right w:val="nil"/>
            </w:tcBorders>
            <w:noWrap/>
            <w:vAlign w:val="bottom"/>
            <w:hideMark/>
          </w:tcPr>
          <w:p w:rsidR="006D3B9B" w:rsidRPr="00151AA1" w:rsidRDefault="006D3B9B" w:rsidP="00316912">
            <w:pPr>
              <w:spacing w:after="0"/>
              <w:rPr>
                <w:rFonts w:eastAsia="Times New Roman" w:cs="Times New Roman"/>
                <w:sz w:val="18"/>
                <w:szCs w:val="18"/>
              </w:rPr>
            </w:pPr>
          </w:p>
        </w:tc>
        <w:tc>
          <w:tcPr>
            <w:tcW w:w="978" w:type="dxa"/>
            <w:tcBorders>
              <w:top w:val="nil"/>
              <w:left w:val="nil"/>
              <w:bottom w:val="nil"/>
              <w:right w:val="nil"/>
            </w:tcBorders>
            <w:noWrap/>
            <w:vAlign w:val="bottom"/>
            <w:hideMark/>
          </w:tcPr>
          <w:p w:rsidR="006D3B9B" w:rsidRPr="00151AA1" w:rsidRDefault="006D3B9B" w:rsidP="00316912">
            <w:pPr>
              <w:spacing w:after="0"/>
              <w:rPr>
                <w:rFonts w:eastAsia="Times New Roman" w:cs="Times New Roman"/>
                <w:sz w:val="18"/>
                <w:szCs w:val="18"/>
              </w:rPr>
            </w:pPr>
          </w:p>
        </w:tc>
        <w:tc>
          <w:tcPr>
            <w:tcW w:w="690" w:type="dxa"/>
            <w:gridSpan w:val="2"/>
            <w:tcBorders>
              <w:top w:val="nil"/>
              <w:left w:val="nil"/>
              <w:bottom w:val="nil"/>
              <w:right w:val="nil"/>
            </w:tcBorders>
            <w:noWrap/>
            <w:vAlign w:val="bottom"/>
            <w:hideMark/>
          </w:tcPr>
          <w:p w:rsidR="006D3B9B" w:rsidRPr="00151AA1" w:rsidRDefault="006D3B9B" w:rsidP="00316912">
            <w:pPr>
              <w:spacing w:after="0"/>
              <w:rPr>
                <w:rFonts w:eastAsia="Times New Roman" w:cs="Times New Roman"/>
                <w:sz w:val="18"/>
                <w:szCs w:val="18"/>
              </w:rPr>
            </w:pPr>
          </w:p>
        </w:tc>
      </w:tr>
      <w:tr w:rsidR="006D3B9B" w:rsidRPr="00151AA1" w:rsidTr="006D3B9B">
        <w:trPr>
          <w:trHeight w:val="370"/>
        </w:trPr>
        <w:tc>
          <w:tcPr>
            <w:tcW w:w="844" w:type="dxa"/>
            <w:tcBorders>
              <w:top w:val="nil"/>
              <w:left w:val="nil"/>
              <w:bottom w:val="nil"/>
              <w:right w:val="nil"/>
            </w:tcBorders>
            <w:noWrap/>
            <w:vAlign w:val="bottom"/>
            <w:hideMark/>
          </w:tcPr>
          <w:p w:rsidR="006D3B9B" w:rsidRPr="00151AA1" w:rsidRDefault="006D3B9B" w:rsidP="00316912">
            <w:pPr>
              <w:spacing w:after="0"/>
              <w:rPr>
                <w:rFonts w:eastAsia="Times New Roman" w:cs="Times New Roman"/>
                <w:sz w:val="18"/>
                <w:szCs w:val="18"/>
              </w:rPr>
            </w:pPr>
          </w:p>
        </w:tc>
        <w:tc>
          <w:tcPr>
            <w:tcW w:w="10448" w:type="dxa"/>
            <w:gridSpan w:val="13"/>
            <w:tcBorders>
              <w:top w:val="nil"/>
              <w:left w:val="nil"/>
              <w:bottom w:val="nil"/>
              <w:right w:val="nil"/>
            </w:tcBorders>
            <w:noWrap/>
            <w:vAlign w:val="bottom"/>
            <w:hideMark/>
          </w:tcPr>
          <w:p w:rsidR="006D3B9B" w:rsidRPr="00151AA1" w:rsidRDefault="006D3B9B" w:rsidP="00316912">
            <w:pPr>
              <w:spacing w:after="0"/>
              <w:rPr>
                <w:rFonts w:eastAsia="Times New Roman" w:cs="Times New Roman"/>
                <w:color w:val="000000"/>
                <w:sz w:val="18"/>
                <w:szCs w:val="18"/>
              </w:rPr>
            </w:pPr>
            <w:r w:rsidRPr="00151AA1">
              <w:rPr>
                <w:rFonts w:eastAsia="Times New Roman" w:cs="Times New Roman"/>
                <w:color w:val="000000"/>
                <w:sz w:val="18"/>
                <w:szCs w:val="18"/>
                <w:vertAlign w:val="superscript"/>
              </w:rPr>
              <w:t>2</w:t>
            </w:r>
            <w:r w:rsidRPr="00151AA1">
              <w:rPr>
                <w:rFonts w:eastAsia="Times New Roman" w:cs="Times New Roman"/>
                <w:color w:val="000000"/>
                <w:sz w:val="18"/>
                <w:szCs w:val="18"/>
              </w:rPr>
              <w:t>Totals for CGB86, 87, 88 do not include several minor to trace elements (e.g. Rb, Cs, F, Li)</w:t>
            </w:r>
          </w:p>
        </w:tc>
        <w:tc>
          <w:tcPr>
            <w:tcW w:w="978" w:type="dxa"/>
            <w:tcBorders>
              <w:top w:val="nil"/>
              <w:left w:val="nil"/>
              <w:bottom w:val="nil"/>
              <w:right w:val="nil"/>
            </w:tcBorders>
            <w:noWrap/>
            <w:vAlign w:val="bottom"/>
            <w:hideMark/>
          </w:tcPr>
          <w:p w:rsidR="006D3B9B" w:rsidRPr="00151AA1" w:rsidRDefault="006D3B9B" w:rsidP="00316912">
            <w:pPr>
              <w:spacing w:after="0"/>
              <w:rPr>
                <w:rFonts w:eastAsia="Times New Roman" w:cs="Times New Roman"/>
                <w:color w:val="000000"/>
                <w:sz w:val="18"/>
                <w:szCs w:val="18"/>
              </w:rPr>
            </w:pPr>
          </w:p>
        </w:tc>
        <w:tc>
          <w:tcPr>
            <w:tcW w:w="690" w:type="dxa"/>
            <w:gridSpan w:val="2"/>
            <w:tcBorders>
              <w:top w:val="nil"/>
              <w:left w:val="nil"/>
              <w:bottom w:val="nil"/>
              <w:right w:val="nil"/>
            </w:tcBorders>
            <w:noWrap/>
            <w:vAlign w:val="bottom"/>
            <w:hideMark/>
          </w:tcPr>
          <w:p w:rsidR="006D3B9B" w:rsidRPr="00151AA1" w:rsidRDefault="006D3B9B" w:rsidP="00316912">
            <w:pPr>
              <w:spacing w:after="0"/>
              <w:rPr>
                <w:rFonts w:eastAsia="Times New Roman" w:cs="Times New Roman"/>
                <w:sz w:val="18"/>
                <w:szCs w:val="18"/>
              </w:rPr>
            </w:pPr>
          </w:p>
        </w:tc>
      </w:tr>
      <w:tr w:rsidR="006D3B9B" w:rsidRPr="00151AA1" w:rsidTr="006D3B9B">
        <w:trPr>
          <w:trHeight w:val="390"/>
        </w:trPr>
        <w:tc>
          <w:tcPr>
            <w:tcW w:w="844" w:type="dxa"/>
            <w:tcBorders>
              <w:top w:val="nil"/>
              <w:left w:val="nil"/>
              <w:bottom w:val="nil"/>
              <w:right w:val="nil"/>
            </w:tcBorders>
            <w:noWrap/>
            <w:vAlign w:val="bottom"/>
            <w:hideMark/>
          </w:tcPr>
          <w:p w:rsidR="006D3B9B" w:rsidRPr="00151AA1" w:rsidRDefault="006D3B9B" w:rsidP="00316912">
            <w:pPr>
              <w:spacing w:after="0"/>
              <w:rPr>
                <w:rFonts w:eastAsia="Times New Roman" w:cs="Times New Roman"/>
                <w:sz w:val="18"/>
                <w:szCs w:val="18"/>
              </w:rPr>
            </w:pPr>
          </w:p>
        </w:tc>
        <w:tc>
          <w:tcPr>
            <w:tcW w:w="12116" w:type="dxa"/>
            <w:gridSpan w:val="16"/>
            <w:tcBorders>
              <w:top w:val="nil"/>
              <w:left w:val="nil"/>
              <w:bottom w:val="nil"/>
              <w:right w:val="nil"/>
            </w:tcBorders>
            <w:noWrap/>
            <w:vAlign w:val="bottom"/>
            <w:hideMark/>
          </w:tcPr>
          <w:p w:rsidR="006D3B9B" w:rsidRPr="00151AA1" w:rsidRDefault="006D3B9B" w:rsidP="00316912">
            <w:pPr>
              <w:spacing w:after="0"/>
              <w:rPr>
                <w:rFonts w:eastAsia="Times New Roman" w:cs="Times New Roman"/>
                <w:color w:val="000000"/>
                <w:sz w:val="18"/>
                <w:szCs w:val="18"/>
              </w:rPr>
            </w:pPr>
            <w:r w:rsidRPr="00151AA1">
              <w:rPr>
                <w:rFonts w:eastAsia="Times New Roman" w:cs="Times New Roman"/>
                <w:color w:val="000000"/>
                <w:sz w:val="18"/>
                <w:szCs w:val="18"/>
                <w:vertAlign w:val="superscript"/>
              </w:rPr>
              <w:t>3</w:t>
            </w:r>
            <w:r w:rsidRPr="00151AA1">
              <w:rPr>
                <w:rFonts w:eastAsia="Times New Roman" w:cs="Times New Roman"/>
                <w:color w:val="000000"/>
                <w:sz w:val="18"/>
                <w:szCs w:val="18"/>
              </w:rPr>
              <w:t>H</w:t>
            </w:r>
            <w:r w:rsidRPr="00151AA1">
              <w:rPr>
                <w:rFonts w:eastAsia="Times New Roman" w:cs="Times New Roman"/>
                <w:color w:val="000000"/>
                <w:sz w:val="18"/>
                <w:szCs w:val="18"/>
                <w:vertAlign w:val="subscript"/>
              </w:rPr>
              <w:t>2</w:t>
            </w:r>
            <w:r w:rsidRPr="00151AA1">
              <w:rPr>
                <w:rFonts w:eastAsia="Times New Roman" w:cs="Times New Roman"/>
                <w:color w:val="000000"/>
                <w:sz w:val="18"/>
                <w:szCs w:val="18"/>
              </w:rPr>
              <w:t>O calculated as difference of EMPA totals from 100%; For MAC exps, H</w:t>
            </w:r>
            <w:r w:rsidRPr="00151AA1">
              <w:rPr>
                <w:rFonts w:eastAsia="Times New Roman" w:cs="Times New Roman"/>
                <w:color w:val="000000"/>
                <w:sz w:val="18"/>
                <w:szCs w:val="18"/>
                <w:vertAlign w:val="subscript"/>
              </w:rPr>
              <w:t>2</w:t>
            </w:r>
            <w:r w:rsidRPr="00151AA1">
              <w:rPr>
                <w:rFonts w:eastAsia="Times New Roman" w:cs="Times New Roman"/>
                <w:color w:val="000000"/>
                <w:sz w:val="18"/>
                <w:szCs w:val="18"/>
              </w:rPr>
              <w:t>O estimate represents a maximum</w:t>
            </w:r>
          </w:p>
        </w:tc>
      </w:tr>
      <w:tr w:rsidR="006D3B9B" w:rsidRPr="00151AA1" w:rsidTr="006D3B9B">
        <w:trPr>
          <w:trHeight w:val="370"/>
        </w:trPr>
        <w:tc>
          <w:tcPr>
            <w:tcW w:w="844" w:type="dxa"/>
            <w:tcBorders>
              <w:top w:val="nil"/>
              <w:left w:val="nil"/>
              <w:bottom w:val="nil"/>
              <w:right w:val="nil"/>
            </w:tcBorders>
            <w:noWrap/>
            <w:vAlign w:val="bottom"/>
            <w:hideMark/>
          </w:tcPr>
          <w:p w:rsidR="006D3B9B" w:rsidRPr="00151AA1" w:rsidRDefault="006D3B9B" w:rsidP="00316912">
            <w:pPr>
              <w:spacing w:after="0"/>
              <w:rPr>
                <w:rFonts w:eastAsia="Times New Roman" w:cs="Times New Roman"/>
                <w:sz w:val="18"/>
                <w:szCs w:val="18"/>
              </w:rPr>
            </w:pPr>
          </w:p>
        </w:tc>
        <w:tc>
          <w:tcPr>
            <w:tcW w:w="6515" w:type="dxa"/>
            <w:gridSpan w:val="5"/>
            <w:tcBorders>
              <w:top w:val="nil"/>
              <w:left w:val="nil"/>
              <w:bottom w:val="nil"/>
              <w:right w:val="nil"/>
            </w:tcBorders>
            <w:noWrap/>
            <w:vAlign w:val="bottom"/>
            <w:hideMark/>
          </w:tcPr>
          <w:p w:rsidR="006D3B9B" w:rsidRPr="00151AA1" w:rsidRDefault="006D3B9B" w:rsidP="00316912">
            <w:pPr>
              <w:spacing w:after="0"/>
              <w:rPr>
                <w:rFonts w:eastAsia="Times New Roman" w:cs="Times New Roman"/>
                <w:color w:val="000000"/>
                <w:sz w:val="18"/>
                <w:szCs w:val="18"/>
              </w:rPr>
            </w:pPr>
            <w:r w:rsidRPr="00151AA1">
              <w:rPr>
                <w:rFonts w:eastAsia="Times New Roman" w:cs="Times New Roman"/>
                <w:color w:val="000000"/>
                <w:sz w:val="18"/>
                <w:szCs w:val="18"/>
                <w:vertAlign w:val="superscript"/>
              </w:rPr>
              <w:t>4</w:t>
            </w:r>
            <w:r w:rsidRPr="00151AA1">
              <w:rPr>
                <w:rFonts w:eastAsia="Times New Roman" w:cs="Times New Roman"/>
                <w:color w:val="000000"/>
                <w:sz w:val="18"/>
                <w:szCs w:val="18"/>
              </w:rPr>
              <w:t>ASI: Aluminum saturation index (molar Al/Na+K)</w:t>
            </w:r>
          </w:p>
        </w:tc>
        <w:tc>
          <w:tcPr>
            <w:tcW w:w="590" w:type="dxa"/>
            <w:tcBorders>
              <w:top w:val="nil"/>
              <w:left w:val="nil"/>
              <w:bottom w:val="nil"/>
              <w:right w:val="nil"/>
            </w:tcBorders>
            <w:noWrap/>
            <w:vAlign w:val="bottom"/>
            <w:hideMark/>
          </w:tcPr>
          <w:p w:rsidR="006D3B9B" w:rsidRPr="00151AA1" w:rsidRDefault="006D3B9B" w:rsidP="00316912">
            <w:pPr>
              <w:spacing w:after="0"/>
              <w:rPr>
                <w:rFonts w:eastAsia="Times New Roman" w:cs="Times New Roman"/>
                <w:color w:val="000000"/>
                <w:sz w:val="18"/>
                <w:szCs w:val="18"/>
              </w:rPr>
            </w:pPr>
          </w:p>
        </w:tc>
        <w:tc>
          <w:tcPr>
            <w:tcW w:w="985" w:type="dxa"/>
            <w:gridSpan w:val="2"/>
            <w:tcBorders>
              <w:top w:val="nil"/>
              <w:left w:val="nil"/>
              <w:bottom w:val="nil"/>
              <w:right w:val="nil"/>
            </w:tcBorders>
            <w:noWrap/>
            <w:vAlign w:val="bottom"/>
            <w:hideMark/>
          </w:tcPr>
          <w:p w:rsidR="006D3B9B" w:rsidRPr="00151AA1" w:rsidRDefault="006D3B9B" w:rsidP="00316912">
            <w:pPr>
              <w:spacing w:after="0"/>
              <w:rPr>
                <w:rFonts w:eastAsia="Times New Roman" w:cs="Times New Roman"/>
                <w:sz w:val="18"/>
                <w:szCs w:val="18"/>
              </w:rPr>
            </w:pPr>
          </w:p>
        </w:tc>
        <w:tc>
          <w:tcPr>
            <w:tcW w:w="690" w:type="dxa"/>
            <w:gridSpan w:val="2"/>
            <w:tcBorders>
              <w:top w:val="nil"/>
              <w:left w:val="nil"/>
              <w:bottom w:val="nil"/>
              <w:right w:val="nil"/>
            </w:tcBorders>
            <w:noWrap/>
            <w:vAlign w:val="bottom"/>
            <w:hideMark/>
          </w:tcPr>
          <w:p w:rsidR="006D3B9B" w:rsidRPr="00151AA1" w:rsidRDefault="006D3B9B" w:rsidP="00316912">
            <w:pPr>
              <w:spacing w:after="0"/>
              <w:rPr>
                <w:rFonts w:eastAsia="Times New Roman" w:cs="Times New Roman"/>
                <w:sz w:val="18"/>
                <w:szCs w:val="18"/>
              </w:rPr>
            </w:pPr>
          </w:p>
        </w:tc>
        <w:tc>
          <w:tcPr>
            <w:tcW w:w="978" w:type="dxa"/>
            <w:tcBorders>
              <w:top w:val="nil"/>
              <w:left w:val="nil"/>
              <w:bottom w:val="nil"/>
              <w:right w:val="nil"/>
            </w:tcBorders>
            <w:noWrap/>
            <w:vAlign w:val="bottom"/>
            <w:hideMark/>
          </w:tcPr>
          <w:p w:rsidR="006D3B9B" w:rsidRPr="00151AA1" w:rsidRDefault="006D3B9B" w:rsidP="00316912">
            <w:pPr>
              <w:spacing w:after="0"/>
              <w:rPr>
                <w:rFonts w:eastAsia="Times New Roman" w:cs="Times New Roman"/>
                <w:sz w:val="18"/>
                <w:szCs w:val="18"/>
              </w:rPr>
            </w:pPr>
          </w:p>
        </w:tc>
        <w:tc>
          <w:tcPr>
            <w:tcW w:w="690" w:type="dxa"/>
            <w:gridSpan w:val="2"/>
            <w:tcBorders>
              <w:top w:val="nil"/>
              <w:left w:val="nil"/>
              <w:bottom w:val="nil"/>
              <w:right w:val="nil"/>
            </w:tcBorders>
            <w:noWrap/>
            <w:vAlign w:val="bottom"/>
            <w:hideMark/>
          </w:tcPr>
          <w:p w:rsidR="006D3B9B" w:rsidRPr="00151AA1" w:rsidRDefault="006D3B9B" w:rsidP="00316912">
            <w:pPr>
              <w:spacing w:after="0"/>
              <w:rPr>
                <w:rFonts w:eastAsia="Times New Roman" w:cs="Times New Roman"/>
                <w:sz w:val="18"/>
                <w:szCs w:val="18"/>
              </w:rPr>
            </w:pPr>
          </w:p>
        </w:tc>
        <w:tc>
          <w:tcPr>
            <w:tcW w:w="978" w:type="dxa"/>
            <w:tcBorders>
              <w:top w:val="nil"/>
              <w:left w:val="nil"/>
              <w:bottom w:val="nil"/>
              <w:right w:val="nil"/>
            </w:tcBorders>
            <w:noWrap/>
            <w:vAlign w:val="bottom"/>
            <w:hideMark/>
          </w:tcPr>
          <w:p w:rsidR="006D3B9B" w:rsidRPr="00151AA1" w:rsidRDefault="006D3B9B" w:rsidP="00316912">
            <w:pPr>
              <w:spacing w:after="0"/>
              <w:rPr>
                <w:rFonts w:eastAsia="Times New Roman" w:cs="Times New Roman"/>
                <w:sz w:val="18"/>
                <w:szCs w:val="18"/>
              </w:rPr>
            </w:pPr>
          </w:p>
        </w:tc>
        <w:tc>
          <w:tcPr>
            <w:tcW w:w="690" w:type="dxa"/>
            <w:gridSpan w:val="2"/>
            <w:tcBorders>
              <w:top w:val="nil"/>
              <w:left w:val="nil"/>
              <w:bottom w:val="nil"/>
              <w:right w:val="nil"/>
            </w:tcBorders>
            <w:noWrap/>
            <w:vAlign w:val="bottom"/>
            <w:hideMark/>
          </w:tcPr>
          <w:p w:rsidR="006D3B9B" w:rsidRPr="00151AA1" w:rsidRDefault="006D3B9B" w:rsidP="00316912">
            <w:pPr>
              <w:spacing w:after="0"/>
              <w:rPr>
                <w:rFonts w:eastAsia="Times New Roman" w:cs="Times New Roman"/>
                <w:sz w:val="18"/>
                <w:szCs w:val="18"/>
              </w:rPr>
            </w:pPr>
          </w:p>
        </w:tc>
      </w:tr>
    </w:tbl>
    <w:p w:rsidR="00DF0F96" w:rsidRDefault="00DF0F96" w:rsidP="00380C49">
      <w:pPr>
        <w:spacing w:line="480" w:lineRule="auto"/>
        <w:ind w:firstLine="720"/>
        <w:rPr>
          <w:rFonts w:cs="Times New Roman"/>
        </w:rPr>
      </w:pPr>
    </w:p>
    <w:p w:rsidR="00DF0F96" w:rsidRDefault="006A1CD6" w:rsidP="00DF0F96">
      <w:r>
        <w:rPr>
          <w:b/>
          <w:noProof/>
        </w:rPr>
        <mc:AlternateContent>
          <mc:Choice Requires="wps">
            <w:drawing>
              <wp:anchor distT="0" distB="0" distL="114300" distR="114300" simplePos="0" relativeHeight="251805696" behindDoc="0" locked="0" layoutInCell="1" allowOverlap="1" wp14:anchorId="460CA844" wp14:editId="6EA005A7">
                <wp:simplePos x="0" y="0"/>
                <wp:positionH relativeFrom="margin">
                  <wp:posOffset>-914400</wp:posOffset>
                </wp:positionH>
                <wp:positionV relativeFrom="margin">
                  <wp:posOffset>1966595</wp:posOffset>
                </wp:positionV>
                <wp:extent cx="914400" cy="914400"/>
                <wp:effectExtent l="0" t="0" r="0" b="0"/>
                <wp:wrapNone/>
                <wp:docPr id="199" name="Rectangle 199"/>
                <wp:cNvGraphicFramePr/>
                <a:graphic xmlns:a="http://schemas.openxmlformats.org/drawingml/2006/main">
                  <a:graphicData uri="http://schemas.microsoft.com/office/word/2010/wordprocessingShape">
                    <wps:wsp>
                      <wps:cNvSpPr/>
                      <wps:spPr>
                        <a:xfrm rot="5400000">
                          <a:off x="0" y="0"/>
                          <a:ext cx="914400" cy="914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D3B9B" w:rsidRPr="00935830" w:rsidRDefault="006D3B9B" w:rsidP="006A1CD6">
                            <w:pPr>
                              <w:jc w:val="center"/>
                              <w:rPr>
                                <w:color w:val="000000" w:themeColor="text1"/>
                              </w:rPr>
                            </w:pPr>
                            <w:r>
                              <w:rPr>
                                <w:color w:val="000000" w:themeColor="text1"/>
                              </w:rPr>
                              <w:t>112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0CA844" id="Rectangle 199" o:spid="_x0000_s1057" style="position:absolute;margin-left:-1in;margin-top:154.85pt;width:1in;height:1in;rotation:90;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" filled="f" stroked="f" strokeweight="2pt">
                <v:textbox>
                  <w:txbxContent>
                    <w:p w:rsidR="006D3B9B" w:rsidRPr="00935830" w:rsidRDefault="006D3B9B" w:rsidP="006A1CD6">
                      <w:pPr>
                        <w:jc w:val="center"/>
                        <w:rPr>
                          <w:color w:val="000000" w:themeColor="text1"/>
                        </w:rPr>
                      </w:pPr>
                      <w:r>
                        <w:rPr>
                          <w:color w:val="000000" w:themeColor="text1"/>
                        </w:rPr>
                        <w:t>112</w:t>
                      </w:r>
                    </w:p>
                  </w:txbxContent>
                </v:textbox>
                <w10:wrap anchorx="margin" anchory="margin"/>
              </v:rect>
            </w:pict>
          </mc:Fallback>
        </mc:AlternateContent>
      </w:r>
      <w:r w:rsidR="00DF0F96">
        <w:br w:type="page"/>
      </w:r>
    </w:p>
    <w:p w:rsidR="00223F81" w:rsidRPr="00223F81" w:rsidRDefault="00223F81" w:rsidP="00223F81">
      <w:pPr>
        <w:pStyle w:val="Caption"/>
        <w:keepNext/>
        <w:jc w:val="center"/>
        <w:rPr>
          <w:sz w:val="24"/>
          <w:szCs w:val="24"/>
        </w:rPr>
      </w:pPr>
      <w:bookmarkStart w:id="155" w:name="_Toc490131692"/>
      <w:r w:rsidRPr="00223F81">
        <w:rPr>
          <w:sz w:val="24"/>
          <w:szCs w:val="24"/>
        </w:rPr>
        <w:t xml:space="preserve">Table </w:t>
      </w:r>
      <w:r w:rsidR="00B23FDA">
        <w:rPr>
          <w:sz w:val="24"/>
          <w:szCs w:val="24"/>
        </w:rPr>
        <w:fldChar w:fldCharType="begin"/>
      </w:r>
      <w:r w:rsidR="00B23FDA">
        <w:rPr>
          <w:sz w:val="24"/>
          <w:szCs w:val="24"/>
        </w:rPr>
        <w:instrText xml:space="preserve"> STYLEREF 1 \s </w:instrText>
      </w:r>
      <w:r w:rsidR="00B23FDA">
        <w:rPr>
          <w:sz w:val="24"/>
          <w:szCs w:val="24"/>
        </w:rPr>
        <w:fldChar w:fldCharType="separate"/>
      </w:r>
      <w:r w:rsidR="000C5FC3">
        <w:rPr>
          <w:noProof/>
          <w:sz w:val="24"/>
          <w:szCs w:val="24"/>
        </w:rPr>
        <w:t>4</w:t>
      </w:r>
      <w:r w:rsidR="00B23FDA">
        <w:rPr>
          <w:sz w:val="24"/>
          <w:szCs w:val="24"/>
        </w:rPr>
        <w:fldChar w:fldCharType="end"/>
      </w:r>
      <w:r w:rsidR="00B23FDA">
        <w:rPr>
          <w:sz w:val="24"/>
          <w:szCs w:val="24"/>
        </w:rPr>
        <w:noBreakHyphen/>
      </w:r>
      <w:r w:rsidR="00B23FDA">
        <w:rPr>
          <w:sz w:val="24"/>
          <w:szCs w:val="24"/>
        </w:rPr>
        <w:fldChar w:fldCharType="begin"/>
      </w:r>
      <w:r w:rsidR="00B23FDA">
        <w:rPr>
          <w:sz w:val="24"/>
          <w:szCs w:val="24"/>
        </w:rPr>
        <w:instrText xml:space="preserve"> SEQ Table \* ARABIC \s 1 </w:instrText>
      </w:r>
      <w:r w:rsidR="00B23FDA">
        <w:rPr>
          <w:sz w:val="24"/>
          <w:szCs w:val="24"/>
        </w:rPr>
        <w:fldChar w:fldCharType="separate"/>
      </w:r>
      <w:r w:rsidR="000C5FC3">
        <w:rPr>
          <w:noProof/>
          <w:sz w:val="24"/>
          <w:szCs w:val="24"/>
        </w:rPr>
        <w:t>4</w:t>
      </w:r>
      <w:r w:rsidR="00B23FDA">
        <w:rPr>
          <w:sz w:val="24"/>
          <w:szCs w:val="24"/>
        </w:rPr>
        <w:fldChar w:fldCharType="end"/>
      </w:r>
      <w:r w:rsidRPr="00223F81">
        <w:rPr>
          <w:rFonts w:eastAsia="Times New Roman" w:cs="Times New Roman"/>
          <w:color w:val="000000"/>
          <w:sz w:val="24"/>
          <w:szCs w:val="24"/>
        </w:rPr>
        <w:t xml:space="preserve"> Boron isotopic fractionation factors and partition coefficients</w:t>
      </w:r>
      <w:bookmarkEnd w:id="155"/>
    </w:p>
    <w:tbl>
      <w:tblPr>
        <w:tblW w:w="12960" w:type="dxa"/>
        <w:tblCellMar>
          <w:top w:w="15" w:type="dxa"/>
          <w:bottom w:w="15" w:type="dxa"/>
        </w:tblCellMar>
        <w:tblLook w:val="04A0" w:firstRow="1" w:lastRow="0" w:firstColumn="1" w:lastColumn="0" w:noHBand="0" w:noVBand="1"/>
      </w:tblPr>
      <w:tblGrid>
        <w:gridCol w:w="939"/>
        <w:gridCol w:w="694"/>
        <w:gridCol w:w="1185"/>
        <w:gridCol w:w="708"/>
        <w:gridCol w:w="1109"/>
        <w:gridCol w:w="703"/>
        <w:gridCol w:w="1323"/>
        <w:gridCol w:w="531"/>
        <w:gridCol w:w="703"/>
        <w:gridCol w:w="958"/>
        <w:gridCol w:w="703"/>
        <w:gridCol w:w="842"/>
        <w:gridCol w:w="803"/>
        <w:gridCol w:w="703"/>
        <w:gridCol w:w="1056"/>
      </w:tblGrid>
      <w:tr w:rsidR="00223F81" w:rsidRPr="00173FF7" w:rsidTr="00223F81">
        <w:trPr>
          <w:trHeight w:val="390"/>
        </w:trPr>
        <w:tc>
          <w:tcPr>
            <w:tcW w:w="939"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sz w:val="18"/>
                <w:szCs w:val="18"/>
              </w:rPr>
            </w:pPr>
          </w:p>
        </w:tc>
        <w:tc>
          <w:tcPr>
            <w:tcW w:w="695"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sz w:val="18"/>
                <w:szCs w:val="18"/>
              </w:rPr>
            </w:pPr>
          </w:p>
        </w:tc>
        <w:tc>
          <w:tcPr>
            <w:tcW w:w="1186"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sz w:val="18"/>
                <w:szCs w:val="18"/>
              </w:rPr>
            </w:pPr>
          </w:p>
        </w:tc>
        <w:tc>
          <w:tcPr>
            <w:tcW w:w="709"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sz w:val="18"/>
                <w:szCs w:val="18"/>
              </w:rPr>
            </w:pPr>
          </w:p>
        </w:tc>
        <w:tc>
          <w:tcPr>
            <w:tcW w:w="1811" w:type="dxa"/>
            <w:gridSpan w:val="2"/>
            <w:tcBorders>
              <w:top w:val="nil"/>
              <w:left w:val="nil"/>
              <w:bottom w:val="nil"/>
              <w:right w:val="nil"/>
            </w:tcBorders>
            <w:noWrap/>
            <w:vAlign w:val="bottom"/>
            <w:hideMark/>
          </w:tcPr>
          <w:p w:rsidR="00223F81" w:rsidRPr="00173FF7" w:rsidRDefault="00223F81" w:rsidP="00316912">
            <w:pPr>
              <w:spacing w:after="0"/>
              <w:rPr>
                <w:rFonts w:eastAsia="Times New Roman" w:cs="Times New Roman"/>
                <w:color w:val="000000"/>
                <w:sz w:val="18"/>
                <w:szCs w:val="18"/>
                <w:u w:val="single"/>
              </w:rPr>
            </w:pPr>
            <w:r w:rsidRPr="00173FF7">
              <w:rPr>
                <w:rFonts w:eastAsia="Times New Roman" w:cs="Times New Roman"/>
                <w:color w:val="000000"/>
                <w:sz w:val="18"/>
                <w:szCs w:val="18"/>
                <w:u w:val="single"/>
              </w:rPr>
              <w:t>B</w:t>
            </w:r>
            <w:r w:rsidRPr="00173FF7">
              <w:rPr>
                <w:rFonts w:eastAsia="Times New Roman" w:cs="Times New Roman"/>
                <w:color w:val="000000"/>
                <w:sz w:val="18"/>
                <w:szCs w:val="18"/>
                <w:u w:val="single"/>
                <w:vertAlign w:val="subscript"/>
              </w:rPr>
              <w:t>2</w:t>
            </w:r>
            <w:r w:rsidRPr="00173FF7">
              <w:rPr>
                <w:rFonts w:eastAsia="Times New Roman" w:cs="Times New Roman"/>
                <w:color w:val="000000"/>
                <w:sz w:val="18"/>
                <w:szCs w:val="18"/>
                <w:u w:val="single"/>
              </w:rPr>
              <w:t>O</w:t>
            </w:r>
            <w:r w:rsidRPr="00173FF7">
              <w:rPr>
                <w:rFonts w:eastAsia="Times New Roman" w:cs="Times New Roman"/>
                <w:color w:val="000000"/>
                <w:sz w:val="18"/>
                <w:szCs w:val="18"/>
                <w:u w:val="single"/>
                <w:vertAlign w:val="subscript"/>
              </w:rPr>
              <w:t>3</w:t>
            </w:r>
            <w:r w:rsidRPr="00173FF7">
              <w:rPr>
                <w:rFonts w:eastAsia="Times New Roman" w:cs="Times New Roman"/>
                <w:color w:val="000000"/>
                <w:sz w:val="18"/>
                <w:szCs w:val="18"/>
                <w:u w:val="single"/>
              </w:rPr>
              <w:t xml:space="preserve"> (wt%)</w:t>
            </w:r>
            <w:r w:rsidRPr="00173FF7">
              <w:rPr>
                <w:rFonts w:eastAsia="Times New Roman" w:cs="Times New Roman"/>
                <w:color w:val="000000"/>
                <w:sz w:val="18"/>
                <w:szCs w:val="18"/>
                <w:u w:val="single"/>
                <w:vertAlign w:val="superscript"/>
              </w:rPr>
              <w:t>2</w:t>
            </w:r>
          </w:p>
        </w:tc>
        <w:tc>
          <w:tcPr>
            <w:tcW w:w="1325"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color w:val="000000"/>
                <w:sz w:val="18"/>
                <w:szCs w:val="18"/>
                <w:u w:val="single"/>
              </w:rPr>
            </w:pPr>
          </w:p>
        </w:tc>
        <w:tc>
          <w:tcPr>
            <w:tcW w:w="529"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sz w:val="18"/>
                <w:szCs w:val="18"/>
              </w:rPr>
            </w:pPr>
          </w:p>
        </w:tc>
        <w:tc>
          <w:tcPr>
            <w:tcW w:w="701"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sz w:val="18"/>
                <w:szCs w:val="18"/>
              </w:rPr>
            </w:pPr>
          </w:p>
        </w:tc>
        <w:tc>
          <w:tcPr>
            <w:tcW w:w="959"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color w:val="000000"/>
                <w:sz w:val="18"/>
                <w:szCs w:val="18"/>
                <w:u w:val="single"/>
              </w:rPr>
            </w:pPr>
            <w:r w:rsidRPr="00173FF7">
              <w:rPr>
                <w:rFonts w:eastAsia="Times New Roman" w:cs="Times New Roman"/>
                <w:color w:val="000000"/>
                <w:sz w:val="18"/>
                <w:szCs w:val="18"/>
                <w:u w:val="single"/>
              </w:rPr>
              <w:t>δ</w:t>
            </w:r>
            <w:r w:rsidRPr="00173FF7">
              <w:rPr>
                <w:rFonts w:eastAsia="Times New Roman" w:cs="Times New Roman"/>
                <w:color w:val="000000"/>
                <w:sz w:val="18"/>
                <w:szCs w:val="18"/>
                <w:u w:val="single"/>
                <w:vertAlign w:val="superscript"/>
              </w:rPr>
              <w:t>11</w:t>
            </w:r>
            <w:r w:rsidRPr="00173FF7">
              <w:rPr>
                <w:rFonts w:eastAsia="Times New Roman" w:cs="Times New Roman"/>
                <w:color w:val="000000"/>
                <w:sz w:val="18"/>
                <w:szCs w:val="18"/>
                <w:u w:val="single"/>
              </w:rPr>
              <w:t>B (‰)</w:t>
            </w:r>
          </w:p>
        </w:tc>
        <w:tc>
          <w:tcPr>
            <w:tcW w:w="701"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color w:val="000000"/>
                <w:sz w:val="18"/>
                <w:szCs w:val="18"/>
                <w:u w:val="single"/>
              </w:rPr>
            </w:pPr>
          </w:p>
        </w:tc>
        <w:tc>
          <w:tcPr>
            <w:tcW w:w="843"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sz w:val="18"/>
                <w:szCs w:val="18"/>
              </w:rPr>
            </w:pPr>
          </w:p>
        </w:tc>
        <w:tc>
          <w:tcPr>
            <w:tcW w:w="804"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sz w:val="18"/>
                <w:szCs w:val="18"/>
              </w:rPr>
            </w:pPr>
          </w:p>
        </w:tc>
        <w:tc>
          <w:tcPr>
            <w:tcW w:w="701"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sz w:val="18"/>
                <w:szCs w:val="18"/>
              </w:rPr>
            </w:pPr>
          </w:p>
        </w:tc>
        <w:tc>
          <w:tcPr>
            <w:tcW w:w="1057"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sz w:val="18"/>
                <w:szCs w:val="18"/>
              </w:rPr>
            </w:pPr>
          </w:p>
        </w:tc>
      </w:tr>
      <w:tr w:rsidR="00223F81" w:rsidRPr="00173FF7" w:rsidTr="00223F81">
        <w:trPr>
          <w:trHeight w:val="370"/>
        </w:trPr>
        <w:tc>
          <w:tcPr>
            <w:tcW w:w="939" w:type="dxa"/>
            <w:tcBorders>
              <w:top w:val="nil"/>
              <w:left w:val="nil"/>
              <w:bottom w:val="single" w:sz="4" w:space="0" w:color="auto"/>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Exp#</w:t>
            </w:r>
          </w:p>
        </w:tc>
        <w:tc>
          <w:tcPr>
            <w:tcW w:w="695" w:type="dxa"/>
            <w:tcBorders>
              <w:top w:val="nil"/>
              <w:left w:val="nil"/>
              <w:bottom w:val="single" w:sz="4" w:space="0" w:color="auto"/>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T (°C)</w:t>
            </w:r>
          </w:p>
        </w:tc>
        <w:tc>
          <w:tcPr>
            <w:tcW w:w="1186" w:type="dxa"/>
            <w:tcBorders>
              <w:top w:val="nil"/>
              <w:left w:val="nil"/>
              <w:bottom w:val="single" w:sz="4" w:space="0" w:color="auto"/>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time (days)</w:t>
            </w:r>
          </w:p>
        </w:tc>
        <w:tc>
          <w:tcPr>
            <w:tcW w:w="709" w:type="dxa"/>
            <w:tcBorders>
              <w:top w:val="nil"/>
              <w:left w:val="nil"/>
              <w:bottom w:val="single" w:sz="4" w:space="0" w:color="auto"/>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SM</w:t>
            </w:r>
            <w:r w:rsidRPr="00173FF7">
              <w:rPr>
                <w:rFonts w:eastAsia="Times New Roman" w:cs="Times New Roman"/>
                <w:color w:val="000000"/>
                <w:sz w:val="18"/>
                <w:szCs w:val="18"/>
                <w:vertAlign w:val="superscript"/>
              </w:rPr>
              <w:t>1</w:t>
            </w:r>
          </w:p>
        </w:tc>
        <w:tc>
          <w:tcPr>
            <w:tcW w:w="1110" w:type="dxa"/>
            <w:tcBorders>
              <w:top w:val="nil"/>
              <w:left w:val="nil"/>
              <w:bottom w:val="single" w:sz="4" w:space="0" w:color="auto"/>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Final glass</w:t>
            </w:r>
          </w:p>
        </w:tc>
        <w:tc>
          <w:tcPr>
            <w:tcW w:w="701" w:type="dxa"/>
            <w:tcBorders>
              <w:top w:val="nil"/>
              <w:left w:val="nil"/>
              <w:bottom w:val="single" w:sz="4" w:space="0" w:color="auto"/>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2σS.E.</w:t>
            </w:r>
          </w:p>
        </w:tc>
        <w:tc>
          <w:tcPr>
            <w:tcW w:w="1325" w:type="dxa"/>
            <w:tcBorders>
              <w:top w:val="nil"/>
              <w:left w:val="nil"/>
              <w:bottom w:val="single" w:sz="4" w:space="0" w:color="auto"/>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Final aq. sln.</w:t>
            </w:r>
          </w:p>
        </w:tc>
        <w:tc>
          <w:tcPr>
            <w:tcW w:w="529" w:type="dxa"/>
            <w:tcBorders>
              <w:top w:val="nil"/>
              <w:left w:val="nil"/>
              <w:bottom w:val="single" w:sz="4" w:space="0" w:color="auto"/>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D</w:t>
            </w:r>
            <w:r w:rsidRPr="00173FF7">
              <w:rPr>
                <w:rFonts w:eastAsia="Times New Roman" w:cs="Times New Roman"/>
                <w:color w:val="000000"/>
                <w:sz w:val="18"/>
                <w:szCs w:val="18"/>
                <w:vertAlign w:val="subscript"/>
              </w:rPr>
              <w:t>B</w:t>
            </w:r>
          </w:p>
        </w:tc>
        <w:tc>
          <w:tcPr>
            <w:tcW w:w="701" w:type="dxa"/>
            <w:tcBorders>
              <w:top w:val="nil"/>
              <w:left w:val="nil"/>
              <w:bottom w:val="single" w:sz="4" w:space="0" w:color="auto"/>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2σS.E.</w:t>
            </w:r>
          </w:p>
        </w:tc>
        <w:tc>
          <w:tcPr>
            <w:tcW w:w="959" w:type="dxa"/>
            <w:tcBorders>
              <w:top w:val="nil"/>
              <w:left w:val="nil"/>
              <w:bottom w:val="single" w:sz="4" w:space="0" w:color="auto"/>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Glass</w:t>
            </w:r>
          </w:p>
        </w:tc>
        <w:tc>
          <w:tcPr>
            <w:tcW w:w="701" w:type="dxa"/>
            <w:tcBorders>
              <w:top w:val="nil"/>
              <w:left w:val="nil"/>
              <w:bottom w:val="single" w:sz="4" w:space="0" w:color="auto"/>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2σS.E.</w:t>
            </w:r>
          </w:p>
        </w:tc>
        <w:tc>
          <w:tcPr>
            <w:tcW w:w="843" w:type="dxa"/>
            <w:tcBorders>
              <w:top w:val="nil"/>
              <w:left w:val="nil"/>
              <w:bottom w:val="single" w:sz="4" w:space="0" w:color="auto"/>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Aq. Sln.</w:t>
            </w:r>
          </w:p>
        </w:tc>
        <w:tc>
          <w:tcPr>
            <w:tcW w:w="804" w:type="dxa"/>
            <w:tcBorders>
              <w:top w:val="nil"/>
              <w:left w:val="nil"/>
              <w:bottom w:val="single" w:sz="4" w:space="0" w:color="auto"/>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Δ</w:t>
            </w:r>
          </w:p>
        </w:tc>
        <w:tc>
          <w:tcPr>
            <w:tcW w:w="701" w:type="dxa"/>
            <w:tcBorders>
              <w:top w:val="nil"/>
              <w:left w:val="nil"/>
              <w:bottom w:val="single" w:sz="4" w:space="0" w:color="auto"/>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2σS.E.</w:t>
            </w:r>
          </w:p>
        </w:tc>
        <w:tc>
          <w:tcPr>
            <w:tcW w:w="1057" w:type="dxa"/>
            <w:tcBorders>
              <w:top w:val="nil"/>
              <w:left w:val="nil"/>
              <w:bottom w:val="single" w:sz="4" w:space="0" w:color="auto"/>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α</w:t>
            </w:r>
          </w:p>
        </w:tc>
      </w:tr>
      <w:tr w:rsidR="00223F81" w:rsidRPr="00173FF7" w:rsidTr="00223F81">
        <w:trPr>
          <w:trHeight w:val="310"/>
        </w:trPr>
        <w:tc>
          <w:tcPr>
            <w:tcW w:w="93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CGB86</w:t>
            </w:r>
          </w:p>
        </w:tc>
        <w:tc>
          <w:tcPr>
            <w:tcW w:w="695"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750</w:t>
            </w:r>
          </w:p>
        </w:tc>
        <w:tc>
          <w:tcPr>
            <w:tcW w:w="1186"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w:t>
            </w:r>
          </w:p>
        </w:tc>
        <w:tc>
          <w:tcPr>
            <w:tcW w:w="70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MAC</w:t>
            </w:r>
          </w:p>
        </w:tc>
        <w:tc>
          <w:tcPr>
            <w:tcW w:w="1110"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w:t>
            </w:r>
          </w:p>
        </w:tc>
        <w:tc>
          <w:tcPr>
            <w:tcW w:w="1325"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w:t>
            </w:r>
          </w:p>
        </w:tc>
        <w:tc>
          <w:tcPr>
            <w:tcW w:w="52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w:t>
            </w:r>
          </w:p>
        </w:tc>
        <w:tc>
          <w:tcPr>
            <w:tcW w:w="95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-11.2</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0.8</w:t>
            </w:r>
          </w:p>
        </w:tc>
        <w:tc>
          <w:tcPr>
            <w:tcW w:w="843"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-10.8</w:t>
            </w:r>
          </w:p>
        </w:tc>
        <w:tc>
          <w:tcPr>
            <w:tcW w:w="804"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-0.3</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w:t>
            </w:r>
          </w:p>
        </w:tc>
        <w:tc>
          <w:tcPr>
            <w:tcW w:w="1057"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1.0001</w:t>
            </w:r>
          </w:p>
        </w:tc>
      </w:tr>
      <w:tr w:rsidR="00223F81" w:rsidRPr="00173FF7" w:rsidTr="00223F81">
        <w:trPr>
          <w:trHeight w:val="310"/>
        </w:trPr>
        <w:tc>
          <w:tcPr>
            <w:tcW w:w="93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CGB87</w:t>
            </w:r>
          </w:p>
        </w:tc>
        <w:tc>
          <w:tcPr>
            <w:tcW w:w="695"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850</w:t>
            </w:r>
          </w:p>
        </w:tc>
        <w:tc>
          <w:tcPr>
            <w:tcW w:w="1186"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2</w:t>
            </w:r>
          </w:p>
        </w:tc>
        <w:tc>
          <w:tcPr>
            <w:tcW w:w="70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MAC</w:t>
            </w:r>
          </w:p>
        </w:tc>
        <w:tc>
          <w:tcPr>
            <w:tcW w:w="1110"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w:t>
            </w:r>
          </w:p>
        </w:tc>
        <w:tc>
          <w:tcPr>
            <w:tcW w:w="1325"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w:t>
            </w:r>
          </w:p>
        </w:tc>
        <w:tc>
          <w:tcPr>
            <w:tcW w:w="52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w:t>
            </w:r>
          </w:p>
        </w:tc>
        <w:tc>
          <w:tcPr>
            <w:tcW w:w="95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-10.4</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0.7</w:t>
            </w:r>
          </w:p>
        </w:tc>
        <w:tc>
          <w:tcPr>
            <w:tcW w:w="843"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-11.4</w:t>
            </w:r>
          </w:p>
        </w:tc>
        <w:tc>
          <w:tcPr>
            <w:tcW w:w="804"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1.1</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w:t>
            </w:r>
          </w:p>
        </w:tc>
        <w:tc>
          <w:tcPr>
            <w:tcW w:w="1057"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0.9993</w:t>
            </w:r>
          </w:p>
        </w:tc>
      </w:tr>
      <w:tr w:rsidR="00223F81" w:rsidRPr="00173FF7" w:rsidTr="00223F81">
        <w:trPr>
          <w:trHeight w:val="310"/>
        </w:trPr>
        <w:tc>
          <w:tcPr>
            <w:tcW w:w="93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CGB88</w:t>
            </w:r>
          </w:p>
        </w:tc>
        <w:tc>
          <w:tcPr>
            <w:tcW w:w="695"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750</w:t>
            </w:r>
          </w:p>
        </w:tc>
        <w:tc>
          <w:tcPr>
            <w:tcW w:w="1186"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90</w:t>
            </w:r>
          </w:p>
        </w:tc>
        <w:tc>
          <w:tcPr>
            <w:tcW w:w="70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MAC</w:t>
            </w:r>
          </w:p>
        </w:tc>
        <w:tc>
          <w:tcPr>
            <w:tcW w:w="1110"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0.25</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0.03</w:t>
            </w:r>
          </w:p>
        </w:tc>
        <w:tc>
          <w:tcPr>
            <w:tcW w:w="1325"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0.26</w:t>
            </w:r>
          </w:p>
        </w:tc>
        <w:tc>
          <w:tcPr>
            <w:tcW w:w="52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1.03</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0.17</w:t>
            </w:r>
          </w:p>
        </w:tc>
        <w:tc>
          <w:tcPr>
            <w:tcW w:w="95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-16.0</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2.0</w:t>
            </w:r>
          </w:p>
        </w:tc>
        <w:tc>
          <w:tcPr>
            <w:tcW w:w="843"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-8.4</w:t>
            </w:r>
          </w:p>
        </w:tc>
        <w:tc>
          <w:tcPr>
            <w:tcW w:w="804"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-7.5</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2.8</w:t>
            </w:r>
          </w:p>
        </w:tc>
        <w:tc>
          <w:tcPr>
            <w:tcW w:w="1057"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0.9924</w:t>
            </w:r>
          </w:p>
        </w:tc>
      </w:tr>
      <w:tr w:rsidR="00223F81" w:rsidRPr="00173FF7" w:rsidTr="00223F81">
        <w:trPr>
          <w:trHeight w:val="310"/>
        </w:trPr>
        <w:tc>
          <w:tcPr>
            <w:tcW w:w="93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CGB97</w:t>
            </w:r>
          </w:p>
        </w:tc>
        <w:tc>
          <w:tcPr>
            <w:tcW w:w="695"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800</w:t>
            </w:r>
          </w:p>
        </w:tc>
        <w:tc>
          <w:tcPr>
            <w:tcW w:w="1186"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30</w:t>
            </w:r>
          </w:p>
        </w:tc>
        <w:tc>
          <w:tcPr>
            <w:tcW w:w="70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5AN</w:t>
            </w:r>
          </w:p>
        </w:tc>
        <w:tc>
          <w:tcPr>
            <w:tcW w:w="1110"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2.68</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0.06</w:t>
            </w:r>
          </w:p>
        </w:tc>
        <w:tc>
          <w:tcPr>
            <w:tcW w:w="1325"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3.36</w:t>
            </w:r>
          </w:p>
        </w:tc>
        <w:tc>
          <w:tcPr>
            <w:tcW w:w="52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1.25</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0.04</w:t>
            </w:r>
          </w:p>
        </w:tc>
        <w:tc>
          <w:tcPr>
            <w:tcW w:w="95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-5.9</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0.9</w:t>
            </w:r>
          </w:p>
        </w:tc>
        <w:tc>
          <w:tcPr>
            <w:tcW w:w="843"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+3.7</w:t>
            </w:r>
          </w:p>
        </w:tc>
        <w:tc>
          <w:tcPr>
            <w:tcW w:w="804"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-9.5</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1.3</w:t>
            </w:r>
          </w:p>
        </w:tc>
        <w:tc>
          <w:tcPr>
            <w:tcW w:w="1057"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0.9905</w:t>
            </w:r>
          </w:p>
        </w:tc>
      </w:tr>
      <w:tr w:rsidR="00223F81" w:rsidRPr="00173FF7" w:rsidTr="00223F81">
        <w:trPr>
          <w:trHeight w:val="310"/>
        </w:trPr>
        <w:tc>
          <w:tcPr>
            <w:tcW w:w="93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CGB98</w:t>
            </w:r>
          </w:p>
        </w:tc>
        <w:tc>
          <w:tcPr>
            <w:tcW w:w="695"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800</w:t>
            </w:r>
          </w:p>
        </w:tc>
        <w:tc>
          <w:tcPr>
            <w:tcW w:w="1186"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30</w:t>
            </w:r>
          </w:p>
        </w:tc>
        <w:tc>
          <w:tcPr>
            <w:tcW w:w="70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5AN</w:t>
            </w:r>
          </w:p>
        </w:tc>
        <w:tc>
          <w:tcPr>
            <w:tcW w:w="1110"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2.56</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0.12</w:t>
            </w:r>
          </w:p>
        </w:tc>
        <w:tc>
          <w:tcPr>
            <w:tcW w:w="1325"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3.31</w:t>
            </w:r>
          </w:p>
        </w:tc>
        <w:tc>
          <w:tcPr>
            <w:tcW w:w="52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1.29</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0.08</w:t>
            </w:r>
          </w:p>
        </w:tc>
        <w:tc>
          <w:tcPr>
            <w:tcW w:w="95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-6.2</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1.1</w:t>
            </w:r>
          </w:p>
        </w:tc>
        <w:tc>
          <w:tcPr>
            <w:tcW w:w="843"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+3.6</w:t>
            </w:r>
          </w:p>
        </w:tc>
        <w:tc>
          <w:tcPr>
            <w:tcW w:w="804"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-9.8</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1.5</w:t>
            </w:r>
          </w:p>
        </w:tc>
        <w:tc>
          <w:tcPr>
            <w:tcW w:w="1057"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0.9902</w:t>
            </w:r>
          </w:p>
        </w:tc>
      </w:tr>
      <w:tr w:rsidR="00223F81" w:rsidRPr="00173FF7" w:rsidTr="00223F81">
        <w:trPr>
          <w:trHeight w:val="310"/>
        </w:trPr>
        <w:tc>
          <w:tcPr>
            <w:tcW w:w="93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CGB99</w:t>
            </w:r>
          </w:p>
        </w:tc>
        <w:tc>
          <w:tcPr>
            <w:tcW w:w="695"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800</w:t>
            </w:r>
          </w:p>
        </w:tc>
        <w:tc>
          <w:tcPr>
            <w:tcW w:w="1186"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30</w:t>
            </w:r>
          </w:p>
        </w:tc>
        <w:tc>
          <w:tcPr>
            <w:tcW w:w="70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5AN</w:t>
            </w:r>
          </w:p>
        </w:tc>
        <w:tc>
          <w:tcPr>
            <w:tcW w:w="1110"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2.89</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0.23</w:t>
            </w:r>
          </w:p>
        </w:tc>
        <w:tc>
          <w:tcPr>
            <w:tcW w:w="1325"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3.16</w:t>
            </w:r>
          </w:p>
        </w:tc>
        <w:tc>
          <w:tcPr>
            <w:tcW w:w="52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1.09</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0.12</w:t>
            </w:r>
          </w:p>
        </w:tc>
        <w:tc>
          <w:tcPr>
            <w:tcW w:w="95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-6.2</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1.0</w:t>
            </w:r>
          </w:p>
        </w:tc>
        <w:tc>
          <w:tcPr>
            <w:tcW w:w="843"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+4.7</w:t>
            </w:r>
          </w:p>
        </w:tc>
        <w:tc>
          <w:tcPr>
            <w:tcW w:w="804"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-10.9</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1.3</w:t>
            </w:r>
          </w:p>
        </w:tc>
        <w:tc>
          <w:tcPr>
            <w:tcW w:w="1057"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0.9891</w:t>
            </w:r>
          </w:p>
        </w:tc>
      </w:tr>
      <w:tr w:rsidR="00223F81" w:rsidRPr="00173FF7" w:rsidTr="00223F81">
        <w:trPr>
          <w:trHeight w:val="310"/>
        </w:trPr>
        <w:tc>
          <w:tcPr>
            <w:tcW w:w="93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CGB100</w:t>
            </w:r>
          </w:p>
        </w:tc>
        <w:tc>
          <w:tcPr>
            <w:tcW w:w="695"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700</w:t>
            </w:r>
          </w:p>
        </w:tc>
        <w:tc>
          <w:tcPr>
            <w:tcW w:w="1186"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30</w:t>
            </w:r>
          </w:p>
        </w:tc>
        <w:tc>
          <w:tcPr>
            <w:tcW w:w="70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5CN</w:t>
            </w:r>
          </w:p>
        </w:tc>
        <w:tc>
          <w:tcPr>
            <w:tcW w:w="1110"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2.43</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0.12</w:t>
            </w:r>
          </w:p>
        </w:tc>
        <w:tc>
          <w:tcPr>
            <w:tcW w:w="1325"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3.57</w:t>
            </w:r>
          </w:p>
        </w:tc>
        <w:tc>
          <w:tcPr>
            <w:tcW w:w="52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1.47</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0.09</w:t>
            </w:r>
          </w:p>
        </w:tc>
        <w:tc>
          <w:tcPr>
            <w:tcW w:w="95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-4.5</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1.1</w:t>
            </w:r>
          </w:p>
        </w:tc>
        <w:tc>
          <w:tcPr>
            <w:tcW w:w="843"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+2.3</w:t>
            </w:r>
          </w:p>
        </w:tc>
        <w:tc>
          <w:tcPr>
            <w:tcW w:w="804"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-6.8</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1.6</w:t>
            </w:r>
          </w:p>
        </w:tc>
        <w:tc>
          <w:tcPr>
            <w:tcW w:w="1057"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0.9933</w:t>
            </w:r>
          </w:p>
        </w:tc>
      </w:tr>
      <w:tr w:rsidR="00223F81" w:rsidRPr="00173FF7" w:rsidTr="00223F81">
        <w:trPr>
          <w:trHeight w:val="310"/>
        </w:trPr>
        <w:tc>
          <w:tcPr>
            <w:tcW w:w="93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CGB101</w:t>
            </w:r>
          </w:p>
        </w:tc>
        <w:tc>
          <w:tcPr>
            <w:tcW w:w="695"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700</w:t>
            </w:r>
          </w:p>
        </w:tc>
        <w:tc>
          <w:tcPr>
            <w:tcW w:w="1186"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30</w:t>
            </w:r>
          </w:p>
        </w:tc>
        <w:tc>
          <w:tcPr>
            <w:tcW w:w="70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5CN</w:t>
            </w:r>
          </w:p>
        </w:tc>
        <w:tc>
          <w:tcPr>
            <w:tcW w:w="1110"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2.46</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0.04</w:t>
            </w:r>
          </w:p>
        </w:tc>
        <w:tc>
          <w:tcPr>
            <w:tcW w:w="1325"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3.84</w:t>
            </w:r>
          </w:p>
        </w:tc>
        <w:tc>
          <w:tcPr>
            <w:tcW w:w="52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1.56</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0.03</w:t>
            </w:r>
          </w:p>
        </w:tc>
        <w:tc>
          <w:tcPr>
            <w:tcW w:w="95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-3.7</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1.0</w:t>
            </w:r>
          </w:p>
        </w:tc>
        <w:tc>
          <w:tcPr>
            <w:tcW w:w="843"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+1.9</w:t>
            </w:r>
          </w:p>
        </w:tc>
        <w:tc>
          <w:tcPr>
            <w:tcW w:w="804"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-5.6</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1.4</w:t>
            </w:r>
          </w:p>
        </w:tc>
        <w:tc>
          <w:tcPr>
            <w:tcW w:w="1057"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0.9944</w:t>
            </w:r>
          </w:p>
        </w:tc>
      </w:tr>
      <w:tr w:rsidR="00223F81" w:rsidRPr="00173FF7" w:rsidTr="00223F81">
        <w:trPr>
          <w:trHeight w:val="310"/>
        </w:trPr>
        <w:tc>
          <w:tcPr>
            <w:tcW w:w="93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CGB102</w:t>
            </w:r>
          </w:p>
        </w:tc>
        <w:tc>
          <w:tcPr>
            <w:tcW w:w="695"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700</w:t>
            </w:r>
          </w:p>
        </w:tc>
        <w:tc>
          <w:tcPr>
            <w:tcW w:w="1186"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30</w:t>
            </w:r>
          </w:p>
        </w:tc>
        <w:tc>
          <w:tcPr>
            <w:tcW w:w="70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5CN</w:t>
            </w:r>
          </w:p>
        </w:tc>
        <w:tc>
          <w:tcPr>
            <w:tcW w:w="1110"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2.60</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0.02</w:t>
            </w:r>
          </w:p>
        </w:tc>
        <w:tc>
          <w:tcPr>
            <w:tcW w:w="1325"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3.58</w:t>
            </w:r>
          </w:p>
        </w:tc>
        <w:tc>
          <w:tcPr>
            <w:tcW w:w="52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1.38</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0.01</w:t>
            </w:r>
          </w:p>
        </w:tc>
        <w:tc>
          <w:tcPr>
            <w:tcW w:w="95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-3.5</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0.9</w:t>
            </w:r>
          </w:p>
        </w:tc>
        <w:tc>
          <w:tcPr>
            <w:tcW w:w="843"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+1.9</w:t>
            </w:r>
          </w:p>
        </w:tc>
        <w:tc>
          <w:tcPr>
            <w:tcW w:w="804"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-5.3</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1.3</w:t>
            </w:r>
          </w:p>
        </w:tc>
        <w:tc>
          <w:tcPr>
            <w:tcW w:w="1057"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0.9947</w:t>
            </w:r>
          </w:p>
        </w:tc>
      </w:tr>
      <w:tr w:rsidR="00223F81" w:rsidRPr="00173FF7" w:rsidTr="00223F81">
        <w:trPr>
          <w:trHeight w:val="310"/>
        </w:trPr>
        <w:tc>
          <w:tcPr>
            <w:tcW w:w="93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CGB103</w:t>
            </w:r>
          </w:p>
        </w:tc>
        <w:tc>
          <w:tcPr>
            <w:tcW w:w="695"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800</w:t>
            </w:r>
          </w:p>
        </w:tc>
        <w:tc>
          <w:tcPr>
            <w:tcW w:w="1186"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30</w:t>
            </w:r>
          </w:p>
        </w:tc>
        <w:tc>
          <w:tcPr>
            <w:tcW w:w="70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2.5AN</w:t>
            </w:r>
          </w:p>
        </w:tc>
        <w:tc>
          <w:tcPr>
            <w:tcW w:w="1110"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1.66</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0.15</w:t>
            </w:r>
          </w:p>
        </w:tc>
        <w:tc>
          <w:tcPr>
            <w:tcW w:w="1325"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1.20</w:t>
            </w:r>
          </w:p>
        </w:tc>
        <w:tc>
          <w:tcPr>
            <w:tcW w:w="52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0.73</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0.11</w:t>
            </w:r>
          </w:p>
        </w:tc>
        <w:tc>
          <w:tcPr>
            <w:tcW w:w="95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-2.8</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1.4</w:t>
            </w:r>
          </w:p>
        </w:tc>
        <w:tc>
          <w:tcPr>
            <w:tcW w:w="843"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+4.1</w:t>
            </w:r>
          </w:p>
        </w:tc>
        <w:tc>
          <w:tcPr>
            <w:tcW w:w="804"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-6.9</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2.0</w:t>
            </w:r>
          </w:p>
        </w:tc>
        <w:tc>
          <w:tcPr>
            <w:tcW w:w="1057"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0.9931</w:t>
            </w:r>
          </w:p>
        </w:tc>
      </w:tr>
      <w:tr w:rsidR="00223F81" w:rsidRPr="00173FF7" w:rsidTr="00223F81">
        <w:trPr>
          <w:trHeight w:val="310"/>
        </w:trPr>
        <w:tc>
          <w:tcPr>
            <w:tcW w:w="93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CGB104</w:t>
            </w:r>
          </w:p>
        </w:tc>
        <w:tc>
          <w:tcPr>
            <w:tcW w:w="695"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800</w:t>
            </w:r>
          </w:p>
        </w:tc>
        <w:tc>
          <w:tcPr>
            <w:tcW w:w="1186"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30</w:t>
            </w:r>
          </w:p>
        </w:tc>
        <w:tc>
          <w:tcPr>
            <w:tcW w:w="70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2.5AN</w:t>
            </w:r>
          </w:p>
        </w:tc>
        <w:tc>
          <w:tcPr>
            <w:tcW w:w="1110"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1.53</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0.15</w:t>
            </w:r>
          </w:p>
        </w:tc>
        <w:tc>
          <w:tcPr>
            <w:tcW w:w="1325"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1.41</w:t>
            </w:r>
          </w:p>
        </w:tc>
        <w:tc>
          <w:tcPr>
            <w:tcW w:w="52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0.92</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0.13</w:t>
            </w:r>
          </w:p>
        </w:tc>
        <w:tc>
          <w:tcPr>
            <w:tcW w:w="95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-2.6</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1.2</w:t>
            </w:r>
          </w:p>
        </w:tc>
        <w:tc>
          <w:tcPr>
            <w:tcW w:w="843"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+3.5</w:t>
            </w:r>
          </w:p>
        </w:tc>
        <w:tc>
          <w:tcPr>
            <w:tcW w:w="804"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-6.1</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1.7</w:t>
            </w:r>
          </w:p>
        </w:tc>
        <w:tc>
          <w:tcPr>
            <w:tcW w:w="1057"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0.9939</w:t>
            </w:r>
          </w:p>
        </w:tc>
      </w:tr>
      <w:tr w:rsidR="00223F81" w:rsidRPr="00173FF7" w:rsidTr="00223F81">
        <w:trPr>
          <w:trHeight w:val="310"/>
        </w:trPr>
        <w:tc>
          <w:tcPr>
            <w:tcW w:w="93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CGB105</w:t>
            </w:r>
          </w:p>
        </w:tc>
        <w:tc>
          <w:tcPr>
            <w:tcW w:w="695"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800</w:t>
            </w:r>
          </w:p>
        </w:tc>
        <w:tc>
          <w:tcPr>
            <w:tcW w:w="1186"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30</w:t>
            </w:r>
          </w:p>
        </w:tc>
        <w:tc>
          <w:tcPr>
            <w:tcW w:w="70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2.5AN</w:t>
            </w:r>
          </w:p>
        </w:tc>
        <w:tc>
          <w:tcPr>
            <w:tcW w:w="1110"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1.46</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0.13</w:t>
            </w:r>
          </w:p>
        </w:tc>
        <w:tc>
          <w:tcPr>
            <w:tcW w:w="1325"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1.54</w:t>
            </w:r>
          </w:p>
        </w:tc>
        <w:tc>
          <w:tcPr>
            <w:tcW w:w="52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1.06</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0.13</w:t>
            </w:r>
          </w:p>
        </w:tc>
        <w:tc>
          <w:tcPr>
            <w:tcW w:w="95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-3.6</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1.6</w:t>
            </w:r>
          </w:p>
        </w:tc>
        <w:tc>
          <w:tcPr>
            <w:tcW w:w="843"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+4.2</w:t>
            </w:r>
          </w:p>
        </w:tc>
        <w:tc>
          <w:tcPr>
            <w:tcW w:w="804"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-7.8</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2.3</w:t>
            </w:r>
          </w:p>
        </w:tc>
        <w:tc>
          <w:tcPr>
            <w:tcW w:w="1057"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0.9922</w:t>
            </w:r>
          </w:p>
        </w:tc>
      </w:tr>
      <w:tr w:rsidR="00223F81" w:rsidRPr="00173FF7" w:rsidTr="00223F81">
        <w:trPr>
          <w:trHeight w:val="310"/>
        </w:trPr>
        <w:tc>
          <w:tcPr>
            <w:tcW w:w="93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CGB106</w:t>
            </w:r>
          </w:p>
        </w:tc>
        <w:tc>
          <w:tcPr>
            <w:tcW w:w="695"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700</w:t>
            </w:r>
          </w:p>
        </w:tc>
        <w:tc>
          <w:tcPr>
            <w:tcW w:w="1186"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30</w:t>
            </w:r>
          </w:p>
        </w:tc>
        <w:tc>
          <w:tcPr>
            <w:tcW w:w="70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2.5FN</w:t>
            </w:r>
          </w:p>
        </w:tc>
        <w:tc>
          <w:tcPr>
            <w:tcW w:w="1110"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1.02</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0.10</w:t>
            </w:r>
          </w:p>
        </w:tc>
        <w:tc>
          <w:tcPr>
            <w:tcW w:w="1325"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1.87</w:t>
            </w:r>
          </w:p>
        </w:tc>
        <w:tc>
          <w:tcPr>
            <w:tcW w:w="52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1.83</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0.20</w:t>
            </w:r>
          </w:p>
        </w:tc>
        <w:tc>
          <w:tcPr>
            <w:tcW w:w="95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-5.5</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1.1</w:t>
            </w:r>
          </w:p>
        </w:tc>
        <w:tc>
          <w:tcPr>
            <w:tcW w:w="843"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+2.3</w:t>
            </w:r>
          </w:p>
        </w:tc>
        <w:tc>
          <w:tcPr>
            <w:tcW w:w="804"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-7.8</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1.5</w:t>
            </w:r>
          </w:p>
        </w:tc>
        <w:tc>
          <w:tcPr>
            <w:tcW w:w="1057"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0.9922</w:t>
            </w:r>
          </w:p>
        </w:tc>
      </w:tr>
      <w:tr w:rsidR="00223F81" w:rsidRPr="00173FF7" w:rsidTr="00223F81">
        <w:trPr>
          <w:trHeight w:val="310"/>
        </w:trPr>
        <w:tc>
          <w:tcPr>
            <w:tcW w:w="93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CGB107</w:t>
            </w:r>
          </w:p>
        </w:tc>
        <w:tc>
          <w:tcPr>
            <w:tcW w:w="695"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700</w:t>
            </w:r>
          </w:p>
        </w:tc>
        <w:tc>
          <w:tcPr>
            <w:tcW w:w="1186"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30</w:t>
            </w:r>
          </w:p>
        </w:tc>
        <w:tc>
          <w:tcPr>
            <w:tcW w:w="70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2.5FN</w:t>
            </w:r>
          </w:p>
        </w:tc>
        <w:tc>
          <w:tcPr>
            <w:tcW w:w="1110"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1.43</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0.11</w:t>
            </w:r>
          </w:p>
        </w:tc>
        <w:tc>
          <w:tcPr>
            <w:tcW w:w="1325"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1.49</w:t>
            </w:r>
          </w:p>
        </w:tc>
        <w:tc>
          <w:tcPr>
            <w:tcW w:w="52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1.04</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0.11</w:t>
            </w:r>
          </w:p>
        </w:tc>
        <w:tc>
          <w:tcPr>
            <w:tcW w:w="959"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-3.7</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1.1</w:t>
            </w:r>
          </w:p>
        </w:tc>
        <w:tc>
          <w:tcPr>
            <w:tcW w:w="843"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+2.5</w:t>
            </w:r>
          </w:p>
        </w:tc>
        <w:tc>
          <w:tcPr>
            <w:tcW w:w="804"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-6.2</w:t>
            </w:r>
          </w:p>
        </w:tc>
        <w:tc>
          <w:tcPr>
            <w:tcW w:w="701"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1.6</w:t>
            </w:r>
          </w:p>
        </w:tc>
        <w:tc>
          <w:tcPr>
            <w:tcW w:w="1057" w:type="dxa"/>
            <w:tcBorders>
              <w:top w:val="nil"/>
              <w:left w:val="nil"/>
              <w:bottom w:val="nil"/>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0.9938</w:t>
            </w:r>
          </w:p>
        </w:tc>
      </w:tr>
      <w:tr w:rsidR="00223F81" w:rsidRPr="00173FF7" w:rsidTr="00223F81">
        <w:trPr>
          <w:trHeight w:val="310"/>
        </w:trPr>
        <w:tc>
          <w:tcPr>
            <w:tcW w:w="939" w:type="dxa"/>
            <w:tcBorders>
              <w:top w:val="nil"/>
              <w:left w:val="nil"/>
              <w:bottom w:val="single" w:sz="4" w:space="0" w:color="auto"/>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CGB108</w:t>
            </w:r>
          </w:p>
        </w:tc>
        <w:tc>
          <w:tcPr>
            <w:tcW w:w="695" w:type="dxa"/>
            <w:tcBorders>
              <w:top w:val="nil"/>
              <w:left w:val="nil"/>
              <w:bottom w:val="single" w:sz="4" w:space="0" w:color="auto"/>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700</w:t>
            </w:r>
          </w:p>
        </w:tc>
        <w:tc>
          <w:tcPr>
            <w:tcW w:w="1186" w:type="dxa"/>
            <w:tcBorders>
              <w:top w:val="nil"/>
              <w:left w:val="nil"/>
              <w:bottom w:val="single" w:sz="4" w:space="0" w:color="auto"/>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30</w:t>
            </w:r>
          </w:p>
        </w:tc>
        <w:tc>
          <w:tcPr>
            <w:tcW w:w="709" w:type="dxa"/>
            <w:tcBorders>
              <w:top w:val="nil"/>
              <w:left w:val="nil"/>
              <w:bottom w:val="single" w:sz="4" w:space="0" w:color="auto"/>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2.5FN</w:t>
            </w:r>
          </w:p>
        </w:tc>
        <w:tc>
          <w:tcPr>
            <w:tcW w:w="1110" w:type="dxa"/>
            <w:tcBorders>
              <w:top w:val="nil"/>
              <w:left w:val="nil"/>
              <w:bottom w:val="single" w:sz="4" w:space="0" w:color="auto"/>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1.39</w:t>
            </w:r>
          </w:p>
        </w:tc>
        <w:tc>
          <w:tcPr>
            <w:tcW w:w="701" w:type="dxa"/>
            <w:tcBorders>
              <w:top w:val="nil"/>
              <w:left w:val="nil"/>
              <w:bottom w:val="single" w:sz="4" w:space="0" w:color="auto"/>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0.03</w:t>
            </w:r>
          </w:p>
        </w:tc>
        <w:tc>
          <w:tcPr>
            <w:tcW w:w="1325" w:type="dxa"/>
            <w:tcBorders>
              <w:top w:val="nil"/>
              <w:left w:val="nil"/>
              <w:bottom w:val="single" w:sz="4" w:space="0" w:color="auto"/>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1.54</w:t>
            </w:r>
          </w:p>
        </w:tc>
        <w:tc>
          <w:tcPr>
            <w:tcW w:w="529" w:type="dxa"/>
            <w:tcBorders>
              <w:top w:val="nil"/>
              <w:left w:val="nil"/>
              <w:bottom w:val="single" w:sz="4" w:space="0" w:color="auto"/>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1.11</w:t>
            </w:r>
          </w:p>
        </w:tc>
        <w:tc>
          <w:tcPr>
            <w:tcW w:w="701" w:type="dxa"/>
            <w:tcBorders>
              <w:top w:val="nil"/>
              <w:left w:val="nil"/>
              <w:bottom w:val="single" w:sz="4" w:space="0" w:color="auto"/>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0.03</w:t>
            </w:r>
          </w:p>
        </w:tc>
        <w:tc>
          <w:tcPr>
            <w:tcW w:w="959" w:type="dxa"/>
            <w:tcBorders>
              <w:top w:val="nil"/>
              <w:left w:val="nil"/>
              <w:bottom w:val="single" w:sz="4" w:space="0" w:color="auto"/>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-4.0</w:t>
            </w:r>
          </w:p>
        </w:tc>
        <w:tc>
          <w:tcPr>
            <w:tcW w:w="701" w:type="dxa"/>
            <w:tcBorders>
              <w:top w:val="nil"/>
              <w:left w:val="nil"/>
              <w:bottom w:val="single" w:sz="4" w:space="0" w:color="auto"/>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1.4</w:t>
            </w:r>
          </w:p>
        </w:tc>
        <w:tc>
          <w:tcPr>
            <w:tcW w:w="843" w:type="dxa"/>
            <w:tcBorders>
              <w:top w:val="nil"/>
              <w:left w:val="nil"/>
              <w:bottom w:val="single" w:sz="4" w:space="0" w:color="auto"/>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+2.6</w:t>
            </w:r>
          </w:p>
        </w:tc>
        <w:tc>
          <w:tcPr>
            <w:tcW w:w="804" w:type="dxa"/>
            <w:tcBorders>
              <w:top w:val="nil"/>
              <w:left w:val="nil"/>
              <w:bottom w:val="single" w:sz="4" w:space="0" w:color="auto"/>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-6.6</w:t>
            </w:r>
          </w:p>
        </w:tc>
        <w:tc>
          <w:tcPr>
            <w:tcW w:w="701" w:type="dxa"/>
            <w:tcBorders>
              <w:top w:val="nil"/>
              <w:left w:val="nil"/>
              <w:bottom w:val="single" w:sz="4" w:space="0" w:color="auto"/>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2.0</w:t>
            </w:r>
          </w:p>
        </w:tc>
        <w:tc>
          <w:tcPr>
            <w:tcW w:w="1057" w:type="dxa"/>
            <w:tcBorders>
              <w:top w:val="nil"/>
              <w:left w:val="nil"/>
              <w:bottom w:val="single" w:sz="4" w:space="0" w:color="auto"/>
              <w:right w:val="nil"/>
            </w:tcBorders>
            <w:noWrap/>
            <w:vAlign w:val="center"/>
            <w:hideMark/>
          </w:tcPr>
          <w:p w:rsidR="00223F81" w:rsidRPr="00173FF7" w:rsidRDefault="00223F81" w:rsidP="00316912">
            <w:pPr>
              <w:spacing w:after="0"/>
              <w:jc w:val="center"/>
              <w:rPr>
                <w:rFonts w:eastAsia="Times New Roman" w:cs="Times New Roman"/>
                <w:color w:val="000000"/>
                <w:sz w:val="18"/>
                <w:szCs w:val="18"/>
              </w:rPr>
            </w:pPr>
            <w:r w:rsidRPr="00173FF7">
              <w:rPr>
                <w:rFonts w:eastAsia="Times New Roman" w:cs="Times New Roman"/>
                <w:color w:val="000000"/>
                <w:sz w:val="18"/>
                <w:szCs w:val="18"/>
              </w:rPr>
              <w:t>0.9934</w:t>
            </w:r>
          </w:p>
        </w:tc>
      </w:tr>
      <w:tr w:rsidR="00223F81" w:rsidRPr="00173FF7" w:rsidTr="00223F81">
        <w:trPr>
          <w:trHeight w:val="370"/>
        </w:trPr>
        <w:tc>
          <w:tcPr>
            <w:tcW w:w="7194" w:type="dxa"/>
            <w:gridSpan w:val="8"/>
            <w:tcBorders>
              <w:top w:val="nil"/>
              <w:left w:val="nil"/>
              <w:bottom w:val="nil"/>
              <w:right w:val="nil"/>
            </w:tcBorders>
            <w:noWrap/>
            <w:vAlign w:val="bottom"/>
            <w:hideMark/>
          </w:tcPr>
          <w:p w:rsidR="00223F81" w:rsidRPr="00173FF7" w:rsidRDefault="00223F81" w:rsidP="00316912">
            <w:pPr>
              <w:spacing w:after="0"/>
              <w:rPr>
                <w:rFonts w:eastAsia="Times New Roman" w:cs="Times New Roman"/>
                <w:color w:val="000000"/>
                <w:sz w:val="18"/>
                <w:szCs w:val="18"/>
              </w:rPr>
            </w:pPr>
            <w:r w:rsidRPr="00173FF7">
              <w:rPr>
                <w:rFonts w:eastAsia="Times New Roman" w:cs="Times New Roman"/>
                <w:color w:val="000000"/>
                <w:sz w:val="18"/>
                <w:szCs w:val="18"/>
                <w:vertAlign w:val="superscript"/>
              </w:rPr>
              <w:t>1</w:t>
            </w:r>
            <w:r w:rsidRPr="00173FF7">
              <w:rPr>
                <w:rFonts w:eastAsia="Times New Roman" w:cs="Times New Roman"/>
                <w:color w:val="000000"/>
                <w:sz w:val="18"/>
                <w:szCs w:val="18"/>
              </w:rPr>
              <w:t>Starting material glass (refer to Table 1 for compositional information)</w:t>
            </w:r>
          </w:p>
        </w:tc>
        <w:tc>
          <w:tcPr>
            <w:tcW w:w="701"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color w:val="000000"/>
                <w:sz w:val="18"/>
                <w:szCs w:val="18"/>
              </w:rPr>
            </w:pPr>
          </w:p>
        </w:tc>
        <w:tc>
          <w:tcPr>
            <w:tcW w:w="959"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sz w:val="18"/>
                <w:szCs w:val="18"/>
              </w:rPr>
            </w:pPr>
          </w:p>
        </w:tc>
        <w:tc>
          <w:tcPr>
            <w:tcW w:w="701"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sz w:val="18"/>
                <w:szCs w:val="18"/>
              </w:rPr>
            </w:pPr>
          </w:p>
        </w:tc>
        <w:tc>
          <w:tcPr>
            <w:tcW w:w="843"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sz w:val="18"/>
                <w:szCs w:val="18"/>
              </w:rPr>
            </w:pPr>
          </w:p>
        </w:tc>
        <w:tc>
          <w:tcPr>
            <w:tcW w:w="804"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sz w:val="18"/>
                <w:szCs w:val="18"/>
              </w:rPr>
            </w:pPr>
          </w:p>
        </w:tc>
        <w:tc>
          <w:tcPr>
            <w:tcW w:w="701"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sz w:val="18"/>
                <w:szCs w:val="18"/>
              </w:rPr>
            </w:pPr>
          </w:p>
        </w:tc>
        <w:tc>
          <w:tcPr>
            <w:tcW w:w="1057"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sz w:val="18"/>
                <w:szCs w:val="18"/>
              </w:rPr>
            </w:pPr>
          </w:p>
        </w:tc>
      </w:tr>
      <w:tr w:rsidR="00223F81" w:rsidRPr="00173FF7" w:rsidTr="00223F81">
        <w:trPr>
          <w:trHeight w:val="370"/>
        </w:trPr>
        <w:tc>
          <w:tcPr>
            <w:tcW w:w="2820" w:type="dxa"/>
            <w:gridSpan w:val="3"/>
            <w:tcBorders>
              <w:top w:val="nil"/>
              <w:left w:val="nil"/>
              <w:bottom w:val="nil"/>
              <w:right w:val="nil"/>
            </w:tcBorders>
            <w:noWrap/>
            <w:vAlign w:val="bottom"/>
            <w:hideMark/>
          </w:tcPr>
          <w:p w:rsidR="00223F81" w:rsidRPr="00173FF7" w:rsidRDefault="00223F81" w:rsidP="00316912">
            <w:pPr>
              <w:spacing w:after="0"/>
              <w:rPr>
                <w:rFonts w:eastAsia="Times New Roman" w:cs="Times New Roman"/>
                <w:color w:val="000000"/>
                <w:sz w:val="18"/>
                <w:szCs w:val="18"/>
              </w:rPr>
            </w:pPr>
            <w:r w:rsidRPr="00173FF7">
              <w:rPr>
                <w:rFonts w:eastAsia="Times New Roman" w:cs="Times New Roman"/>
                <w:color w:val="000000"/>
                <w:sz w:val="18"/>
                <w:szCs w:val="18"/>
                <w:vertAlign w:val="superscript"/>
              </w:rPr>
              <w:t>2</w:t>
            </w:r>
            <w:r w:rsidRPr="00173FF7">
              <w:rPr>
                <w:rFonts w:eastAsia="Times New Roman" w:cs="Times New Roman"/>
                <w:color w:val="000000"/>
                <w:sz w:val="18"/>
                <w:szCs w:val="18"/>
              </w:rPr>
              <w:t>SIMS measurement</w:t>
            </w:r>
          </w:p>
        </w:tc>
        <w:tc>
          <w:tcPr>
            <w:tcW w:w="709"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color w:val="000000"/>
                <w:sz w:val="18"/>
                <w:szCs w:val="18"/>
              </w:rPr>
            </w:pPr>
          </w:p>
        </w:tc>
        <w:tc>
          <w:tcPr>
            <w:tcW w:w="1110"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sz w:val="18"/>
                <w:szCs w:val="18"/>
              </w:rPr>
            </w:pPr>
          </w:p>
        </w:tc>
        <w:tc>
          <w:tcPr>
            <w:tcW w:w="701"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sz w:val="18"/>
                <w:szCs w:val="18"/>
              </w:rPr>
            </w:pPr>
          </w:p>
        </w:tc>
        <w:tc>
          <w:tcPr>
            <w:tcW w:w="1325"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sz w:val="18"/>
                <w:szCs w:val="18"/>
              </w:rPr>
            </w:pPr>
          </w:p>
        </w:tc>
        <w:tc>
          <w:tcPr>
            <w:tcW w:w="529"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sz w:val="18"/>
                <w:szCs w:val="18"/>
              </w:rPr>
            </w:pPr>
          </w:p>
        </w:tc>
        <w:tc>
          <w:tcPr>
            <w:tcW w:w="701"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sz w:val="18"/>
                <w:szCs w:val="18"/>
              </w:rPr>
            </w:pPr>
          </w:p>
        </w:tc>
        <w:tc>
          <w:tcPr>
            <w:tcW w:w="959"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sz w:val="18"/>
                <w:szCs w:val="18"/>
              </w:rPr>
            </w:pPr>
          </w:p>
        </w:tc>
        <w:tc>
          <w:tcPr>
            <w:tcW w:w="701"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sz w:val="18"/>
                <w:szCs w:val="18"/>
              </w:rPr>
            </w:pPr>
          </w:p>
        </w:tc>
        <w:tc>
          <w:tcPr>
            <w:tcW w:w="843"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sz w:val="18"/>
                <w:szCs w:val="18"/>
              </w:rPr>
            </w:pPr>
          </w:p>
        </w:tc>
        <w:tc>
          <w:tcPr>
            <w:tcW w:w="804"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sz w:val="18"/>
                <w:szCs w:val="18"/>
              </w:rPr>
            </w:pPr>
          </w:p>
        </w:tc>
        <w:tc>
          <w:tcPr>
            <w:tcW w:w="701"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sz w:val="18"/>
                <w:szCs w:val="18"/>
              </w:rPr>
            </w:pPr>
          </w:p>
        </w:tc>
        <w:tc>
          <w:tcPr>
            <w:tcW w:w="1057" w:type="dxa"/>
            <w:tcBorders>
              <w:top w:val="nil"/>
              <w:left w:val="nil"/>
              <w:bottom w:val="nil"/>
              <w:right w:val="nil"/>
            </w:tcBorders>
            <w:noWrap/>
            <w:vAlign w:val="bottom"/>
            <w:hideMark/>
          </w:tcPr>
          <w:p w:rsidR="00223F81" w:rsidRPr="00173FF7" w:rsidRDefault="00223F81" w:rsidP="00316912">
            <w:pPr>
              <w:spacing w:after="0"/>
              <w:rPr>
                <w:rFonts w:eastAsia="Times New Roman" w:cs="Times New Roman"/>
                <w:sz w:val="18"/>
                <w:szCs w:val="18"/>
              </w:rPr>
            </w:pPr>
          </w:p>
        </w:tc>
      </w:tr>
    </w:tbl>
    <w:p w:rsidR="00665C0F" w:rsidRDefault="00665C0F" w:rsidP="00380C49">
      <w:pPr>
        <w:spacing w:line="480" w:lineRule="auto"/>
        <w:ind w:firstLine="720"/>
        <w:rPr>
          <w:rFonts w:cs="Times New Roman"/>
        </w:rPr>
      </w:pPr>
    </w:p>
    <w:p w:rsidR="00665C0F" w:rsidRDefault="006A1CD6">
      <w:pPr>
        <w:rPr>
          <w:rFonts w:cs="Times New Roman"/>
        </w:rPr>
      </w:pPr>
      <w:r>
        <w:rPr>
          <w:b/>
          <w:noProof/>
        </w:rPr>
        <mc:AlternateContent>
          <mc:Choice Requires="wps">
            <w:drawing>
              <wp:anchor distT="0" distB="0" distL="114300" distR="114300" simplePos="0" relativeHeight="251807744" behindDoc="0" locked="0" layoutInCell="1" allowOverlap="1" wp14:anchorId="6B35C139" wp14:editId="08429FAC">
                <wp:simplePos x="0" y="0"/>
                <wp:positionH relativeFrom="margin">
                  <wp:posOffset>-914400</wp:posOffset>
                </wp:positionH>
                <wp:positionV relativeFrom="margin">
                  <wp:posOffset>1960880</wp:posOffset>
                </wp:positionV>
                <wp:extent cx="914400" cy="914400"/>
                <wp:effectExtent l="0" t="0" r="0" b="0"/>
                <wp:wrapNone/>
                <wp:docPr id="200" name="Rectangle 200"/>
                <wp:cNvGraphicFramePr/>
                <a:graphic xmlns:a="http://schemas.openxmlformats.org/drawingml/2006/main">
                  <a:graphicData uri="http://schemas.microsoft.com/office/word/2010/wordprocessingShape">
                    <wps:wsp>
                      <wps:cNvSpPr/>
                      <wps:spPr>
                        <a:xfrm rot="5400000">
                          <a:off x="0" y="0"/>
                          <a:ext cx="914400" cy="914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D3B9B" w:rsidRPr="00935830" w:rsidRDefault="006D3B9B" w:rsidP="006A1CD6">
                            <w:pPr>
                              <w:rPr>
                                <w:color w:val="000000" w:themeColor="text1"/>
                              </w:rPr>
                            </w:pPr>
                            <w:r>
                              <w:rPr>
                                <w:color w:val="000000" w:themeColor="text1"/>
                              </w:rPr>
                              <w:t>113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35C139" id="Rectangle 200" o:spid="_x0000_s1058" style="position:absolute;margin-left:-1in;margin-top:154.4pt;width:1in;height:1in;rotation:90;z-index:2518077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" filled="f" stroked="f" strokeweight="2pt">
                <v:textbox>
                  <w:txbxContent>
                    <w:p w:rsidR="006D3B9B" w:rsidRPr="00935830" w:rsidRDefault="006D3B9B" w:rsidP="006A1CD6">
                      <w:pPr>
                        <w:rPr>
                          <w:color w:val="000000" w:themeColor="text1"/>
                        </w:rPr>
                      </w:pPr>
                      <w:r>
                        <w:rPr>
                          <w:color w:val="000000" w:themeColor="text1"/>
                        </w:rPr>
                        <w:t>113</w:t>
                      </w:r>
                    </w:p>
                  </w:txbxContent>
                </v:textbox>
                <w10:wrap anchorx="margin" anchory="margin"/>
              </v:rect>
            </w:pict>
          </mc:Fallback>
        </mc:AlternateContent>
      </w:r>
      <w:r w:rsidR="00665C0F">
        <w:rPr>
          <w:rFonts w:cs="Times New Roman"/>
        </w:rPr>
        <w:br w:type="page"/>
      </w:r>
    </w:p>
    <w:p w:rsidR="00D500E4" w:rsidRDefault="00D500E4" w:rsidP="00380C49">
      <w:pPr>
        <w:pStyle w:val="Heading1"/>
        <w:spacing w:line="480" w:lineRule="auto"/>
        <w:rPr>
          <w:rFonts w:cs="Times New Roman"/>
        </w:rPr>
        <w:sectPr w:rsidR="00D500E4" w:rsidSect="00D500E4">
          <w:footerReference w:type="default" r:id="rId72"/>
          <w:pgSz w:w="15840" w:h="12240" w:orient="landscape"/>
          <w:pgMar w:top="2304" w:right="1440" w:bottom="1440" w:left="1440" w:header="720" w:footer="720" w:gutter="0"/>
          <w:cols w:space="720"/>
          <w:docGrid w:linePitch="360"/>
        </w:sectPr>
      </w:pPr>
    </w:p>
    <w:p w:rsidR="00665C0F" w:rsidRPr="00D87CEE" w:rsidRDefault="00E14432" w:rsidP="00380C49">
      <w:pPr>
        <w:pStyle w:val="Heading1"/>
        <w:spacing w:line="480" w:lineRule="auto"/>
        <w:rPr>
          <w:rFonts w:cs="Times New Roman"/>
        </w:rPr>
      </w:pPr>
      <w:bookmarkStart w:id="156" w:name="_Toc491246055"/>
      <w:r>
        <w:rPr>
          <w:rFonts w:cs="Times New Roman"/>
        </w:rPr>
        <w:t>The relationship of Mn enrichment and</w:t>
      </w:r>
      <w:r w:rsidR="00665C0F" w:rsidRPr="00D87CEE">
        <w:rPr>
          <w:rFonts w:cs="Times New Roman"/>
        </w:rPr>
        <w:t xml:space="preserve"> spessartine saturation in granite-pegmatite systems</w:t>
      </w:r>
      <w:bookmarkEnd w:id="156"/>
    </w:p>
    <w:p w:rsidR="00665C0F" w:rsidRPr="00380C49" w:rsidRDefault="000E575D" w:rsidP="00380C49">
      <w:pPr>
        <w:pStyle w:val="Heading2"/>
        <w:spacing w:line="480" w:lineRule="auto"/>
        <w:rPr>
          <w:rFonts w:cs="Times New Roman"/>
          <w:bCs/>
          <w:sz w:val="24"/>
        </w:rPr>
      </w:pPr>
      <w:bookmarkStart w:id="157" w:name="_Toc491246056"/>
      <w:r w:rsidRPr="00380C49">
        <w:rPr>
          <w:rFonts w:cs="Times New Roman"/>
          <w:bCs/>
          <w:sz w:val="24"/>
        </w:rPr>
        <w:t xml:space="preserve">1. </w:t>
      </w:r>
      <w:r w:rsidR="00665C0F" w:rsidRPr="00380C49">
        <w:rPr>
          <w:rFonts w:cs="Times New Roman"/>
          <w:bCs/>
          <w:sz w:val="24"/>
        </w:rPr>
        <w:t>Introduction</w:t>
      </w:r>
      <w:bookmarkEnd w:id="157"/>
    </w:p>
    <w:p w:rsidR="00665C0F" w:rsidRDefault="00665C0F" w:rsidP="00665C0F">
      <w:pPr>
        <w:spacing w:after="120" w:line="480" w:lineRule="auto"/>
        <w:ind w:firstLine="720"/>
        <w:rPr>
          <w:rFonts w:cs="Times New Roman"/>
        </w:rPr>
      </w:pPr>
      <w:r>
        <w:rPr>
          <w:rFonts w:cs="Times New Roman"/>
        </w:rPr>
        <w:t>Garnet rich in spessartine (Sps) component, Mn</w:t>
      </w:r>
      <w:r w:rsidRPr="00E8113C">
        <w:rPr>
          <w:rFonts w:cs="Times New Roman"/>
          <w:vertAlign w:val="subscript"/>
        </w:rPr>
        <w:t>3</w:t>
      </w:r>
      <w:r>
        <w:rPr>
          <w:rFonts w:cs="Times New Roman"/>
        </w:rPr>
        <w:t>Al</w:t>
      </w:r>
      <w:r w:rsidRPr="00E8113C">
        <w:rPr>
          <w:rFonts w:cs="Times New Roman"/>
          <w:vertAlign w:val="subscript"/>
        </w:rPr>
        <w:t>2</w:t>
      </w:r>
      <w:r>
        <w:rPr>
          <w:rFonts w:cs="Times New Roman"/>
        </w:rPr>
        <w:t>Si</w:t>
      </w:r>
      <w:r w:rsidRPr="00E8113C">
        <w:rPr>
          <w:rFonts w:cs="Times New Roman"/>
          <w:vertAlign w:val="subscript"/>
        </w:rPr>
        <w:t>3</w:t>
      </w:r>
      <w:r>
        <w:rPr>
          <w:rFonts w:cs="Times New Roman"/>
        </w:rPr>
        <w:t>O</w:t>
      </w:r>
      <w:r w:rsidRPr="00E8113C">
        <w:rPr>
          <w:rFonts w:cs="Times New Roman"/>
          <w:vertAlign w:val="subscript"/>
        </w:rPr>
        <w:t>12</w:t>
      </w:r>
      <w:r>
        <w:rPr>
          <w:rFonts w:cs="Times New Roman"/>
        </w:rPr>
        <w:t>, occurs principally in three geologic environments. One is in coticules, which are products of metamorphi</w:t>
      </w:r>
      <w:r w:rsidR="00C868D7">
        <w:rPr>
          <w:rFonts w:cs="Times New Roman"/>
        </w:rPr>
        <w:t>sm of Mn-rich oxide nodules in</w:t>
      </w:r>
      <w:r>
        <w:rPr>
          <w:rFonts w:cs="Times New Roman"/>
        </w:rPr>
        <w:t xml:space="preserve"> aluminous marine sediment </w:t>
      </w:r>
      <w:r>
        <w:rPr>
          <w:rFonts w:cs="Times New Roman"/>
        </w:rPr>
        <w:fldChar w:fldCharType="begin" w:fldLock="1"/>
      </w:r>
      <w:r w:rsidR="00266290">
        <w:rPr>
          <w:rFonts w:cs="Times New Roman"/>
        </w:rPr>
        <w:instrText>ADDIN CSL_CITATION { "citationItems" : [ { "id" : "ITEM-1", "itemData" : { "author" : [ { "dropping-particle" : "", "family" : "Romer", "given" : "Rolf L.", "non-dropping-particle" : "", "parse-names" : false, "suffix" : "" }, { "dropping-particle" : "", "family" : "Kirsch", "given" : "Moritz", "non-dropping-particle" : "", "parse-names" : false, "suffix" : "" }, { "dropping-particle" : "", "family" : "Kroner", "given" : "Uwe", "non-dropping-particle" : "", "parse-names" : false, "suffix" : "" } ], "container-title" : "Canadian Journal of Earth Sciences", "id" : "ITEM-1", "issued" : { "date-parts" : [ [ "2011" ] ] }, "page" : "703-718", "title" : "Geochemical signature of Ordovician Mn-rich sedimentary rocks on the Avalonian shelf", "type" : "article-journal", "volume" : "48" }, "uris" : [ "http://www.mendeley.com/documents/?uuid=a1fbd710-1b37-4181-b80e-82b99d4363d8" ] } ], "mendeley" : { "formattedCitation" : "(Romer et al., 2011)", "plainTextFormattedCitation" : "(Romer et al., 2011)", "previouslyFormattedCitation" : "(Romer et al. 2011)" }, "properties" : { "noteIndex" : 0 }, "schema" : "https://github.com/citation-style-language/schema/raw/master/csl-citation.json" }</w:instrText>
      </w:r>
      <w:r>
        <w:rPr>
          <w:rFonts w:cs="Times New Roman"/>
        </w:rPr>
        <w:fldChar w:fldCharType="separate"/>
      </w:r>
      <w:r w:rsidR="00266290" w:rsidRPr="00266290">
        <w:rPr>
          <w:rFonts w:cs="Times New Roman"/>
          <w:noProof/>
        </w:rPr>
        <w:t>(Romer et al., 2011)</w:t>
      </w:r>
      <w:r>
        <w:rPr>
          <w:rFonts w:cs="Times New Roman"/>
        </w:rPr>
        <w:fldChar w:fldCharType="end"/>
      </w:r>
      <w:r>
        <w:rPr>
          <w:rFonts w:cs="Times New Roman"/>
        </w:rPr>
        <w:t xml:space="preserve">. A second setting is as euhedral crystals within lithophysae formed in lava flows of F-rich rhyolites, and in their analogous miarolitic granites </w:t>
      </w:r>
      <w:r>
        <w:rPr>
          <w:rFonts w:cs="Times New Roman"/>
        </w:rPr>
        <w:fldChar w:fldCharType="begin" w:fldLock="1"/>
      </w:r>
      <w:r w:rsidR="00266290">
        <w:rPr>
          <w:rFonts w:cs="Times New Roman"/>
        </w:rPr>
        <w:instrText>ADDIN CSL_CITATION { "citationItems" : [ { "id" : "ITEM-1", "itemData" : { "author" : [ { "dropping-particle" : "", "family" : "Christiansen", "given" : "Eric H.", "non-dropping-particle" : "", "parse-names" : false, "suffix" : "" }, { "dropping-particle" : "V.", "family" : "Bikun", "given" : "James", "non-dropping-particle" : "", "parse-names" : false, "suffix" : "" }, { "dropping-particle" : "", "family" : "Sheridan", "given" : "Michael F.", "non-dropping-particle" : "", "parse-names" : false, "suffix" : "" }, { "dropping-particle" : "", "family" : "Burt", "given" : "Donald M.", "non-dropping-particle" : "", "parse-names" : false, "suffix" : "" } ], "container-title" : "American Mineralogist", "id" : "ITEM-1", "issued" : { "date-parts" : [ [ "1984" ] ] }, "page" : "223-236", "title" : "Geochemical evolution of topaz rhyolites from the Thomas Range and Spor Mountain, Utah", "type" : "article-journal", "volume" : "69" }, "uris" : [ "http://www.mendeley.com/documents/?uuid=40855454-aa8a-421e-ab88-333969d5d042" ] } ], "mendeley" : { "formattedCitation" : "(Christiansen et al., 1984)", "plainTextFormattedCitation" : "(Christiansen et al., 1984)", "previouslyFormattedCitation" : "(Christiansen et al. 1984)" }, "properties" : { "noteIndex" : 0 }, "schema" : "https://github.com/citation-style-language/schema/raw/master/csl-citation.json" }</w:instrText>
      </w:r>
      <w:r>
        <w:rPr>
          <w:rFonts w:cs="Times New Roman"/>
        </w:rPr>
        <w:fldChar w:fldCharType="separate"/>
      </w:r>
      <w:r w:rsidR="00266290" w:rsidRPr="00266290">
        <w:rPr>
          <w:rFonts w:cs="Times New Roman"/>
          <w:noProof/>
        </w:rPr>
        <w:t>(Christiansen et al., 1984)</w:t>
      </w:r>
      <w:r>
        <w:rPr>
          <w:rFonts w:cs="Times New Roman"/>
        </w:rPr>
        <w:fldChar w:fldCharType="end"/>
      </w:r>
      <w:r>
        <w:rPr>
          <w:rFonts w:cs="Times New Roman"/>
        </w:rPr>
        <w:t>. The third</w:t>
      </w:r>
      <w:r w:rsidR="00C868D7">
        <w:rPr>
          <w:rFonts w:cs="Times New Roman"/>
        </w:rPr>
        <w:t>,</w:t>
      </w:r>
      <w:r>
        <w:rPr>
          <w:rFonts w:cs="Times New Roman"/>
        </w:rPr>
        <w:t xml:space="preserve"> and far more common</w:t>
      </w:r>
      <w:r w:rsidR="00C868D7">
        <w:rPr>
          <w:rFonts w:cs="Times New Roman"/>
        </w:rPr>
        <w:t>,</w:t>
      </w:r>
      <w:r>
        <w:rPr>
          <w:rFonts w:cs="Times New Roman"/>
        </w:rPr>
        <w:t xml:space="preserve"> occurrence is in association with highly-fractionated peraluminous granites and pegmatites, those that are characterized as S-type </w:t>
      </w:r>
      <w:r>
        <w:rPr>
          <w:rFonts w:cs="Times New Roman"/>
        </w:rPr>
        <w:fldChar w:fldCharType="begin" w:fldLock="1"/>
      </w:r>
      <w:r w:rsidR="00266290">
        <w:rPr>
          <w:rFonts w:cs="Times New Roman"/>
        </w:rPr>
        <w:instrText>ADDIN CSL_CITATION { "citationItems" : [ { "id" : "ITEM-1", "itemData" : { "author" : [ { "dropping-particle" : "", "family" : "Chappell", "given" : "B. W.", "non-dropping-particle" : "", "parse-names" : false, "suffix" : "" }, { "dropping-particle" : "", "family" : "White", "given" : "A. J R", "non-dropping-particle" : "", "parse-names" : false, "suffix" : "" } ], "container-title" : "Australian Journal of Earth Sciences", "id" : "ITEM-1", "issue" : "4", "issued" : { "date-parts" : [ [ "2001" ] ] }, "page" : "489-499", "title" : "Two contrasting granite types: 25 years later", "type" : "article-journal", "volume" : "48" }, "uris" : [ "http://www.mendeley.com/documents/?uuid=0d16e675-507a-46ca-bffb-9d051a1a30ab" ] } ], "mendeley" : { "formattedCitation" : "(Chappell and White, 2001)", "plainTextFormattedCitation" : "(Chappell and White, 2001)", "previouslyFormattedCitation" : "(Chappell and White 2001)" }, "properties" : { "noteIndex" : 0 }, "schema" : "https://github.com/citation-style-language/schema/raw/master/csl-citation.json" }</w:instrText>
      </w:r>
      <w:r>
        <w:rPr>
          <w:rFonts w:cs="Times New Roman"/>
        </w:rPr>
        <w:fldChar w:fldCharType="separate"/>
      </w:r>
      <w:r w:rsidR="00266290" w:rsidRPr="00266290">
        <w:rPr>
          <w:rFonts w:cs="Times New Roman"/>
          <w:noProof/>
        </w:rPr>
        <w:t>(Chappell and White, 2001)</w:t>
      </w:r>
      <w:r>
        <w:rPr>
          <w:rFonts w:cs="Times New Roman"/>
        </w:rPr>
        <w:fldChar w:fldCharType="end"/>
      </w:r>
      <w:r>
        <w:rPr>
          <w:rFonts w:cs="Times New Roman"/>
        </w:rPr>
        <w:t xml:space="preserve">. The study presented here applies </w:t>
      </w:r>
      <w:r w:rsidR="00C868D7">
        <w:rPr>
          <w:rFonts w:cs="Times New Roman"/>
        </w:rPr>
        <w:t>entirely</w:t>
      </w:r>
      <w:r>
        <w:rPr>
          <w:rFonts w:cs="Times New Roman"/>
        </w:rPr>
        <w:t xml:space="preserve"> to the third environment.</w:t>
      </w:r>
    </w:p>
    <w:p w:rsidR="00665C0F" w:rsidRPr="003A6C5A" w:rsidRDefault="00665C0F" w:rsidP="00665C0F">
      <w:pPr>
        <w:spacing w:after="120" w:line="480" w:lineRule="auto"/>
        <w:ind w:firstLine="720"/>
        <w:rPr>
          <w:rFonts w:cs="Times New Roman"/>
        </w:rPr>
      </w:pPr>
      <w:r>
        <w:rPr>
          <w:rFonts w:cs="Times New Roman"/>
        </w:rPr>
        <w:t xml:space="preserve">Melt generated by the anatexis of metasedimentary rock, the source material of peraluminous S-type granites, contains minor to trace concentrations of the mafic elements Fe, Mg, and Mn (e.g., </w:t>
      </w:r>
      <w:r>
        <w:rPr>
          <w:rFonts w:cs="Times New Roman"/>
        </w:rPr>
        <w:fldChar w:fldCharType="begin" w:fldLock="1"/>
      </w:r>
      <w:r w:rsidR="00266290">
        <w:rPr>
          <w:rFonts w:cs="Times New Roman"/>
        </w:rPr>
        <w:instrText>ADDIN CSL_CITATION { "citationItems" : [ { "id" : "ITEM-1", "itemData" : { "author" : [ { "dropping-particle" : "", "family" : "Acosta-Vigil", "given" : "Antonio", "non-dropping-particle" : "", "parse-names" : false, "suffix" : "" }, { "dropping-particle" : "", "family" : "Cesare", "given" : "Bernardo", "non-dropping-particle" : "", "parse-names" : false, "suffix" : "" }, { "dropping-particle" : "", "family" : "London", "given" : "David", "non-dropping-particle" : "", "parse-names" : false, "suffix" : "" }, { "dropping-particle" : "", "family" : "Morgan", "given" : "George B.", "non-dropping-particle" : "", "parse-names" : false, "suffix" : "" } ], "container-title" : "Chemical Geology", "id" : "ITEM-1", "issued" : { "date-parts" : [ [ "2007" ] ] }, "page" : "450-465", "title" : "Microstructures and composition of melt inclusions in a crustal anatectic environment, represented by metapelitic enclaves within El Hoyazo dacits, SE Spain", "type" : "article-journal", "volume" : "237" }, "uris" : [ "http://www.mendeley.com/documents/?uuid=2442ca6c-45e2-4873-aec0-5cbad6779eb2" ] } ], "mendeley" : { "formattedCitation" : "(Acosta-Vigil et al., 2007)", "manualFormatting" : "Acosta-Vigil et al. 2007)", "plainTextFormattedCitation" : "(Acosta-Vigil et al., 2007)", "previouslyFormattedCitation" : "(Acosta-Vigil et al. 2007)" }, "properties" : { "noteIndex" : 0 }, "schema" : "https://github.com/citation-style-language/schema/raw/master/csl-citation.json" }</w:instrText>
      </w:r>
      <w:r>
        <w:rPr>
          <w:rFonts w:cs="Times New Roman"/>
        </w:rPr>
        <w:fldChar w:fldCharType="separate"/>
      </w:r>
      <w:r w:rsidRPr="00550BB5">
        <w:rPr>
          <w:rFonts w:cs="Times New Roman"/>
          <w:noProof/>
        </w:rPr>
        <w:t>Acosta-Vigil et al. 2007)</w:t>
      </w:r>
      <w:r>
        <w:rPr>
          <w:rFonts w:cs="Times New Roman"/>
        </w:rPr>
        <w:fldChar w:fldCharType="end"/>
      </w:r>
      <w:r>
        <w:rPr>
          <w:rFonts w:cs="Times New Roman"/>
        </w:rPr>
        <w:t xml:space="preserve">. However, the end stages of crystallization of S-type granitic magmas culminate </w:t>
      </w:r>
      <w:r w:rsidRPr="003A6C5A">
        <w:rPr>
          <w:rFonts w:cs="Times New Roman"/>
        </w:rPr>
        <w:t xml:space="preserve">in pegmatites that commonly contain </w:t>
      </w:r>
      <w:r>
        <w:rPr>
          <w:rFonts w:cs="Times New Roman"/>
        </w:rPr>
        <w:t xml:space="preserve">spessartine-rich </w:t>
      </w:r>
      <w:r w:rsidRPr="003A6C5A">
        <w:rPr>
          <w:rFonts w:cs="Times New Roman"/>
        </w:rPr>
        <w:t xml:space="preserve">garnet and several phosphates near their Mn end-member compositions. </w:t>
      </w:r>
      <w:r>
        <w:rPr>
          <w:rFonts w:cs="Times New Roman"/>
        </w:rPr>
        <w:fldChar w:fldCharType="begin" w:fldLock="1"/>
      </w:r>
      <w:r w:rsidR="00266290">
        <w:rPr>
          <w:rFonts w:cs="Times New Roman"/>
        </w:rPr>
        <w:instrText>ADDIN CSL_CITATION { "citationItems" : [ { "id" : "ITEM-1", "itemData" : { "abstract" : "-Granitic pegmatites of the rare_element (and miarolitic) class display extreme fractionation and accumulation.of rare lithophile elements, beyond the limits observed in other igneous and postmagmatic assemblages. Enrichment in Li and -Cs leads to precipitation of rock-forming spodumene, petalite, Li-phosphates or lepidolite, and pollucite. These gqeoes-can be interpreted as crystallochemically conditioned Li-and-Csbased feldspathoids, crystallizing along with (and after) the last generations of primary K-and Nalfeldspars. Extreme fractionation is encountered in K-feldspar gi,znb !,9.rK/Qs 22.4, K/Tt 236, Rb,zCs 6.5, Rb,/Tt 130 io 35, K,/Ba 18,0@, BalRb &lt;0.002); muscovite and lepidolite q/R! !.4, K,/Cs 4.0, K/Tl3ZO, Rb,/Cs 4.4, nb,ril SO ro 3.6, N/Ga239): pollucite (KAl 10, Rb/Tl 60io l3); micro-ute, srmpsonite and other late oxide minerals of Ta (Nb/Ta &lt; 0.001); manganoranialire (Fe,/Mn 0.@3): spes_ sartine @e,/Mn &lt; 0.@3); lithiophilite (FeZVn &lt; O.oii: iraf_ yoy (ZrlHf 0.014), and hawteyite and dernjite (in/Cd, 0.067)-Classic crystallochemical concepts of Goldichmictr and Ringwood alone are not adequate tb explain the above values. Selective extraction and transport in a volatile phase (by diffusion or in an exsolved hydrous fluid), complex_ ing stable to relatively low late-to postmagmaiic temiera-tures, and crystallochemical preferences for specific mineral structures operate in conjunction with crystal,/melt frac-tionation; the environment evolves from that of a volatile_ saturated residual granitic melt, through that ofa melt coex_ isting with exsolved supercritical fluid, to that of an aque_ ous solution and possibly a gas phase, in a closed oire-stricted system.", "author" : [ { "dropping-particle" : "", "family" : "\u010cern\u00fd", "given" : "Petr", "non-dropping-particle" : "", "parse-names" : false, "suffix" : "" }, { "dropping-particle" : "", "family" : "Meintzer", "given" : "R. E.", "non-dropping-particle" : "", "parse-names" : false, "suffix" : "" }, { "dropping-particle" : "", "family" : "Anderson", "given" : "A. J.", "non-dropping-particle" : "", "parse-names" : false, "suffix" : "" } ], "container-title" : "Canadian Mineralogist", "id" : "ITEM-1", "issued" : { "date-parts" : [ [ "1985" ] ] }, "page" : "381-421", "title" : "Extreme fractionation in rare-element granitic pegmatites: Selected examples of data and mechanisms", "type" : "article-journal", "volume" : "23" }, "uris" : [ "http://www.mendeley.com/documents/?uuid=1dffeb90-1928-3499-ab28-7b4ed23b2c08" ] } ], "mendeley" : { "formattedCitation" : "(\u010cern\u00fd et al., 1985)", "manualFormatting" : "\u010cern\u00fd et al. (1985)", "plainTextFormattedCitation" : "(\u010cern\u00fd et al., 1985)", "previouslyFormattedCitation" : "(\u010cern\u00fd et al. 1985)" }, "properties" : { "noteIndex" : 0 }, "schema" : "https://github.com/citation-style-language/schema/raw/master/csl-citation.json" }</w:instrText>
      </w:r>
      <w:r>
        <w:rPr>
          <w:rFonts w:cs="Times New Roman"/>
        </w:rPr>
        <w:fldChar w:fldCharType="separate"/>
      </w:r>
      <w:r w:rsidRPr="00550BB5">
        <w:rPr>
          <w:rFonts w:cs="Times New Roman"/>
          <w:noProof/>
        </w:rPr>
        <w:t xml:space="preserve">Černý et al. </w:t>
      </w:r>
      <w:r>
        <w:rPr>
          <w:rFonts w:cs="Times New Roman"/>
          <w:noProof/>
        </w:rPr>
        <w:t>(</w:t>
      </w:r>
      <w:r w:rsidRPr="00550BB5">
        <w:rPr>
          <w:rFonts w:cs="Times New Roman"/>
          <w:noProof/>
        </w:rPr>
        <w:t>1985)</w:t>
      </w:r>
      <w:r>
        <w:rPr>
          <w:rFonts w:cs="Times New Roman"/>
        </w:rPr>
        <w:fldChar w:fldCharType="end"/>
      </w:r>
      <w:r>
        <w:rPr>
          <w:rFonts w:cs="Times New Roman"/>
        </w:rPr>
        <w:t xml:space="preserve"> showed that the Fe/Mn ratio decreases and Mn content of garnet increases with the progress of crystallization from parental granites to the most evolved types of granitic pegmatites  The evolutionary trend in garnet </w:t>
      </w:r>
      <w:r w:rsidRPr="003A6C5A">
        <w:rPr>
          <w:rFonts w:cs="Times New Roman"/>
        </w:rPr>
        <w:fldChar w:fldCharType="begin" w:fldLock="1"/>
      </w:r>
      <w:r w:rsidR="00266290">
        <w:rPr>
          <w:rFonts w:cs="Times New Roman"/>
        </w:rPr>
        <w:instrText>ADDIN CSL_CITATION { "citationItems" : [ { "id" : "ITEM-1", "itemData" : { "abstract" : "-Granitic pegmatites of the rare_element (and miarolitic) class display extreme fractionation and accumulation.of rare lithophile elements, beyond the limits observed in other igneous and postmagmatic assemblages. Enrichment in Li and -Cs leads to precipitation of rock-forming spodumene, petalite, Li-phosphates or lepidolite, and pollucite. These gqeoes-can be interpreted as crystallochemically conditioned Li-and-Csbased feldspathoids, crystallizing along with (and after) the last generations of primary K-and Nalfeldspars. Extreme fractionation is encountered in K-feldspar gi,znb !,9.rK/Qs 22.4, K/Tt 236, Rb,zCs 6.5, Rb,/Tt 130 io 35, K,/Ba 18,0@, BalRb &lt;0.002); muscovite and lepidolite q/R! !.4, K,/Cs 4.0, K/Tl3ZO, Rb,/Cs 4.4, nb,ril SO ro 3.6, N/Ga239): pollucite (KAl 10, Rb/Tl 60io l3); micro-ute, srmpsonite and other late oxide minerals of Ta (Nb/Ta &lt; 0.001); manganoranialire (Fe,/Mn 0.@3): spes_ sartine @e,/Mn &lt; 0.@3); lithiophilite (FeZVn &lt; O.oii: iraf_ yoy (ZrlHf 0.014), and hawteyite and dernjite (in/Cd, 0.067)-Classic crystallochemical concepts of Goldichmictr and Ringwood alone are not adequate tb explain the above values. Selective extraction and transport in a volatile phase (by diffusion or in an exsolved hydrous fluid), complex_ ing stable to relatively low late-to postmagmaiic temiera-tures, and crystallochemical preferences for specific mineral structures operate in conjunction with crystal,/melt frac-tionation; the environment evolves from that of a volatile_ saturated residual granitic melt, through that ofa melt coex_ isting with exsolved supercritical fluid, to that of an aque_ ous solution and possibly a gas phase, in a closed oire-stricted system.", "author" : [ { "dropping-particle" : "", "family" : "\u010cern\u00fd", "given" : "Petr", "non-dropping-particle" : "", "parse-names" : false, "suffix" : "" }, { "dropping-particle" : "", "family" : "Meintzer", "given" : "R. E.", "non-dropping-particle" : "", "parse-names" : false, "suffix" : "" }, { "dropping-particle" : "", "family" : "Anderson", "given" : "A. J.", "non-dropping-particle" : "", "parse-names" : false, "suffix" : "" } ], "container-title" : "Canadian Mineralogist", "id" : "ITEM-1", "issued" : { "date-parts" : [ [ "1985" ] ] }, "page" : "381-421", "title" : "Extreme fractionation in rare-element granitic pegmatites: Selected examples of data and mechanisms", "type" : "article-journal", "volume" : "23" }, "uris" : [ "http://www.mendeley.com/documents/?uuid=1dffeb90-1928-3499-ab28-7b4ed23b2c08" ] } ], "mendeley" : { "formattedCitation" : "(\u010cern\u00fd et al., 1985)", "manualFormatting" : "(\u010cern\u00fd et al. 1985)", "plainTextFormattedCitation" : "(\u010cern\u00fd et al., 1985)", "previouslyFormattedCitation" : "(\u010cern\u00fd et al. 1985)" }, "properties" : { "noteIndex" : 0 }, "schema" : "https://github.com/citation-style-language/schema/raw/master/csl-citation.json" }</w:instrText>
      </w:r>
      <w:r w:rsidRPr="003A6C5A">
        <w:rPr>
          <w:rFonts w:cs="Times New Roman"/>
        </w:rPr>
        <w:fldChar w:fldCharType="separate"/>
      </w:r>
      <w:r w:rsidRPr="003A6C5A">
        <w:rPr>
          <w:rFonts w:cs="Times New Roman"/>
          <w:noProof/>
        </w:rPr>
        <w:t>(Černý et al. 1985)</w:t>
      </w:r>
      <w:r w:rsidRPr="003A6C5A">
        <w:rPr>
          <w:rFonts w:cs="Times New Roman"/>
        </w:rPr>
        <w:fldChar w:fldCharType="end"/>
      </w:r>
      <w:r>
        <w:rPr>
          <w:rFonts w:cs="Times New Roman"/>
        </w:rPr>
        <w:t xml:space="preserve"> could be construed to signify that Fe is more compatible in garnet than is Mn, such that the eventual crystallization of spessartine results mostly from the depletion of Fe in melt through the crystallization of garnet</w:t>
      </w:r>
      <w:r w:rsidRPr="003A6C5A">
        <w:rPr>
          <w:rFonts w:cs="Times New Roman"/>
        </w:rPr>
        <w:t xml:space="preserve">. </w:t>
      </w:r>
      <w:r>
        <w:rPr>
          <w:rFonts w:cs="Times New Roman"/>
        </w:rPr>
        <w:t>Experiments that entailed the crystallization of garnet from silicic melt at the moderate pressure and temperature (600</w:t>
      </w:r>
      <w:r>
        <w:rPr>
          <w:rFonts w:cs="Times New Roman"/>
        </w:rPr>
        <w:sym w:font="Symbol" w:char="F0B0"/>
      </w:r>
      <w:r>
        <w:rPr>
          <w:rFonts w:cs="Times New Roman"/>
        </w:rPr>
        <w:t>-750</w:t>
      </w:r>
      <w:r>
        <w:rPr>
          <w:rFonts w:cs="Times New Roman"/>
        </w:rPr>
        <w:sym w:font="Symbol" w:char="F0B0"/>
      </w:r>
      <w:r>
        <w:rPr>
          <w:rFonts w:cs="Times New Roman"/>
        </w:rPr>
        <w:t xml:space="preserve">C, 200 MPa) of the cordierite-andalusite facies demonstrated that Mn is more compatible than Fe in garnet at these conditions </w:t>
      </w:r>
      <w:r>
        <w:rPr>
          <w:rFonts w:cs="Times New Roman"/>
        </w:rPr>
        <w:fldChar w:fldCharType="begin" w:fldLock="1"/>
      </w:r>
      <w:r w:rsidR="00266290">
        <w:rPr>
          <w:rFonts w:cs="Times New Roman"/>
        </w:rPr>
        <w:instrText>ADDIN CSL_CITATION { "citationItems" : [ { "id" : "ITEM-1", "itemData" : { "author" : [ { "dropping-particle" : "", "family" : "Icenhower", "given" : "Jonathan P.", "non-dropping-particle" : "", "parse-names" : false, "suffix" : "" } ], "id" : "ITEM-1", "issued" : { "date-parts" : [ [ "1995" ] ] }, "number-of-pages" : "1-224", "publisher" : "University of Oklahoma", "title" : "Experimental determination of element behavior in silicic systems during hydrous partial fusion", "type" : "thesis" }, "uris" : [ "http://www.mendeley.com/documents/?uuid=c6f1aab2-0b31-4c4a-a0d4-19359613f5df" ] } ], "mendeley" : { "formattedCitation" : "(Icenhower, 1995)", "plainTextFormattedCitation" : "(Icenhower, 1995)", "previouslyFormattedCitation" : "(Icenhower 1995)" }, "properties" : { "noteIndex" : 0 }, "schema" : "https://github.com/citation-style-language/schema/raw/master/csl-citation.json" }</w:instrText>
      </w:r>
      <w:r>
        <w:rPr>
          <w:rFonts w:cs="Times New Roman"/>
        </w:rPr>
        <w:fldChar w:fldCharType="separate"/>
      </w:r>
      <w:r w:rsidR="00266290" w:rsidRPr="00266290">
        <w:rPr>
          <w:rFonts w:cs="Times New Roman"/>
          <w:noProof/>
        </w:rPr>
        <w:t>(Icenhower, 1995)</w:t>
      </w:r>
      <w:r>
        <w:rPr>
          <w:rFonts w:cs="Times New Roman"/>
        </w:rPr>
        <w:fldChar w:fldCharType="end"/>
      </w:r>
      <w:r w:rsidRPr="003A6C5A">
        <w:rPr>
          <w:rFonts w:cs="Times New Roman"/>
        </w:rPr>
        <w:t xml:space="preserve">. </w:t>
      </w:r>
      <w:r>
        <w:rPr>
          <w:rFonts w:cs="Times New Roman"/>
        </w:rPr>
        <w:t xml:space="preserve">Therefore, other mafic phases (biotite, cordierite, and tourmaline) in which Mn is less compatible than Fe apparently control the fractionation patterns for garnet in these rocks </w:t>
      </w:r>
      <w:r>
        <w:rPr>
          <w:rFonts w:cs="Times New Roman"/>
        </w:rPr>
        <w:fldChar w:fldCharType="begin" w:fldLock="1"/>
      </w:r>
      <w:r w:rsidR="00266290">
        <w:rPr>
          <w:rFonts w:cs="Times New Roman"/>
        </w:rPr>
        <w:instrText>ADDIN CSL_CITATION { "citationItems" : [ { "id" : "ITEM-1", "itemData" : { "author" : [ { "dropping-particle" : "", "family" : "London", "given" : "David", "non-dropping-particle" : "", "parse-names" : false, "suffix" : "" }, { "dropping-particle" : "", "family" : "Evensen", "given" : "Joseph M.", "non-dropping-particle" : "", "parse-names" : false, "suffix" : "" }, { "dropping-particle" : "", "family" : "Fritz", "given" : "Eric A.", "non-dropping-particle" : "", "parse-names" : false, "suffix" : "" }, { "dropping-particle" : "", "family" : "Icenhower", "given" : "Jonathan P.", "non-dropping-particle" : "", "parse-names" : false, "suffix" : "" }, { "dropping-particle" : "", "family" : "Morgan", "given" : "George B.", "non-dropping-particle" : "", "parse-names" : false, "suffix" : "" }, { "dropping-particle" : "", "family" : "Wolf", "given" : "Michael B.", "non-dropping-particle" : "", "parse-names" : false, "suffix" : "" } ], "container-title" : "Eleventh Annual V.M. Goldscmidt Conference", "id" : "ITEM-1", "issued" : { "date-parts" : [ [ "2001" ] ] }, "page" : "abstract no.3369", "publisher-place" : "Hot Springs, VA", "title" : "Enrichment and accomodation of manganese in granite-pegmatite systems", "type" : "paper-conference" }, "uris" : [ "http://www.mendeley.com/documents/?uuid=bd1863fd-547d-4401-b04a-6c48e2617567" ] } ], "mendeley" : { "formattedCitation" : "(London et al., 2001)", "plainTextFormattedCitation" : "(London et al., 2001)", "previouslyFormattedCitation" : "(London et al. 2001)" }, "properties" : { "noteIndex" : 0 }, "schema" : "https://github.com/citation-style-language/schema/raw/master/csl-citation.json" }</w:instrText>
      </w:r>
      <w:r>
        <w:rPr>
          <w:rFonts w:cs="Times New Roman"/>
        </w:rPr>
        <w:fldChar w:fldCharType="separate"/>
      </w:r>
      <w:r w:rsidR="00266290" w:rsidRPr="00266290">
        <w:rPr>
          <w:rFonts w:cs="Times New Roman"/>
          <w:noProof/>
        </w:rPr>
        <w:t>(London et al., 2001)</w:t>
      </w:r>
      <w:r>
        <w:rPr>
          <w:rFonts w:cs="Times New Roman"/>
        </w:rPr>
        <w:fldChar w:fldCharType="end"/>
      </w:r>
      <w:r>
        <w:rPr>
          <w:rFonts w:cs="Times New Roman"/>
        </w:rPr>
        <w:t>. The experimental study present here serves as a test of that hypothesis.</w:t>
      </w:r>
    </w:p>
    <w:p w:rsidR="00665C0F" w:rsidRPr="000E575D" w:rsidRDefault="000E575D" w:rsidP="0047415D">
      <w:pPr>
        <w:pStyle w:val="Heading3"/>
        <w:spacing w:line="480" w:lineRule="auto"/>
        <w:rPr>
          <w:rFonts w:cs="Times New Roman"/>
          <w:bCs/>
        </w:rPr>
      </w:pPr>
      <w:bookmarkStart w:id="158" w:name="_Toc491246057"/>
      <w:r w:rsidRPr="000E575D">
        <w:rPr>
          <w:rFonts w:cs="Times New Roman"/>
          <w:bCs/>
        </w:rPr>
        <w:t>1.1</w:t>
      </w:r>
      <w:r w:rsidR="0047415D">
        <w:rPr>
          <w:rFonts w:cs="Times New Roman"/>
          <w:bCs/>
        </w:rPr>
        <w:t>.</w:t>
      </w:r>
      <w:r w:rsidRPr="000E575D">
        <w:rPr>
          <w:rFonts w:cs="Times New Roman"/>
          <w:bCs/>
        </w:rPr>
        <w:t xml:space="preserve"> </w:t>
      </w:r>
      <w:r w:rsidR="00665C0F" w:rsidRPr="000E575D">
        <w:rPr>
          <w:rFonts w:cs="Times New Roman"/>
          <w:bCs/>
        </w:rPr>
        <w:t>Prior Experimentation</w:t>
      </w:r>
      <w:bookmarkEnd w:id="158"/>
    </w:p>
    <w:p w:rsidR="00665C0F" w:rsidRDefault="00665C0F" w:rsidP="00665C0F">
      <w:pPr>
        <w:spacing w:after="120" w:line="480" w:lineRule="auto"/>
        <w:ind w:firstLine="720"/>
        <w:rPr>
          <w:rFonts w:cs="Times New Roman"/>
        </w:rPr>
      </w:pPr>
      <w:r>
        <w:rPr>
          <w:rFonts w:cs="Times New Roman"/>
        </w:rPr>
        <w:t xml:space="preserve">The exchange of Fe and Mg between biotite and garnet </w:t>
      </w:r>
      <w:r>
        <w:rPr>
          <w:rFonts w:cs="Times New Roman"/>
        </w:rPr>
        <w:fldChar w:fldCharType="begin" w:fldLock="1"/>
      </w:r>
      <w:r w:rsidR="00266290">
        <w:rPr>
          <w:rFonts w:cs="Times New Roman"/>
        </w:rPr>
        <w:instrText>ADDIN CSL_CITATION { "citationItems" : [ { "id" : "ITEM-1", "itemData" : { "author" : [ { "dropping-particle" : "", "family" : "Holdaway", "given" : "Michael J.", "non-dropping-particle" : "", "parse-names" : false, "suffix" : "" } ], "container-title" : "Mineralogical Magazine", "id" : "ITEM-1", "issue" : "1", "issued" : { "date-parts" : [ [ "2004" ] ] }, "page" : "1-14", "title" : "Optimization of some key geothermobarometers for pelitic metamorphic rocks", "type" : "article-journal", "volume" : "68" }, "uris" : [ "http://www.mendeley.com/documents/?uuid=acf410f0-2fe4-40bf-953f-a767f07d0d7f" ] } ], "mendeley" : { "formattedCitation" : "(Holdaway, 2004)", "manualFormatting" : "(Holdaway 2004, and references therein)", "plainTextFormattedCitation" : "(Holdaway, 2004)", "previouslyFormattedCitation" : "(Holdaway 2004)" }, "properties" : { "noteIndex" : 0 }, "schema" : "https://github.com/citation-style-language/schema/raw/master/csl-citation.json" }</w:instrText>
      </w:r>
      <w:r>
        <w:rPr>
          <w:rFonts w:cs="Times New Roman"/>
        </w:rPr>
        <w:fldChar w:fldCharType="separate"/>
      </w:r>
      <w:r w:rsidRPr="00550BB5">
        <w:rPr>
          <w:rFonts w:cs="Times New Roman"/>
          <w:noProof/>
        </w:rPr>
        <w:t>(Holdaway 2004</w:t>
      </w:r>
      <w:r>
        <w:rPr>
          <w:rFonts w:cs="Times New Roman"/>
          <w:noProof/>
        </w:rPr>
        <w:t>, and references therein</w:t>
      </w:r>
      <w:r w:rsidRPr="00550BB5">
        <w:rPr>
          <w:rFonts w:cs="Times New Roman"/>
          <w:noProof/>
        </w:rPr>
        <w:t>)</w:t>
      </w:r>
      <w:r>
        <w:rPr>
          <w:rFonts w:cs="Times New Roman"/>
        </w:rPr>
        <w:fldChar w:fldCharType="end"/>
      </w:r>
      <w:r>
        <w:rPr>
          <w:rFonts w:cs="Times New Roman"/>
        </w:rPr>
        <w:t xml:space="preserve"> and between garnet and cordierite </w:t>
      </w:r>
      <w:r>
        <w:rPr>
          <w:rFonts w:cs="Times New Roman"/>
        </w:rPr>
        <w:fldChar w:fldCharType="begin" w:fldLock="1"/>
      </w:r>
      <w:r w:rsidR="00266290">
        <w:rPr>
          <w:rFonts w:cs="Times New Roman"/>
        </w:rPr>
        <w:instrText>ADDIN CSL_CITATION { "citationItems" : [ { "id" : "ITEM-1", "itemData" : { "author" : [ { "dropping-particle" : "", "family" : "Dwivedi", "given" : "Shyam B.", "non-dropping-particle" : "", "parse-names" : false, "suffix" : "" }, { "dropping-particle" : "", "family" : "Mohan", "given" : "Anand", "non-dropping-particle" : "", "parse-names" : false, "suffix" : "" }, { "dropping-particle" : "", "family" : "Lal", "given" : "Ravindra K.", "non-dropping-particle" : "", "parse-names" : false, "suffix" : "" } ], "container-title" : "European Journal of Mineralogy", "id" : "ITEM-1", "issued" : { "date-parts" : [ [ "1998" ] ] }, "page" : "281-289", "title" : "Recalibration of the Fe-Mg exchange reaction between garnet and cordierite as a thermometer", "type" : "article-journal", "volume" : "10" }, "uris" : [ "http://www.mendeley.com/documents/?uuid=4711ea86-400d-435e-948b-cf26764dbbf7" ] } ], "mendeley" : { "formattedCitation" : "(Dwivedi et al., 1998)", "manualFormatting" : "(Dwivedi et al. 1998, and references therein)", "plainTextFormattedCitation" : "(Dwivedi et al., 1998)", "previouslyFormattedCitation" : "(Dwivedi et al. 1998)" }, "properties" : { "noteIndex" : 0 }, "schema" : "https://github.com/citation-style-language/schema/raw/master/csl-citation.json" }</w:instrText>
      </w:r>
      <w:r>
        <w:rPr>
          <w:rFonts w:cs="Times New Roman"/>
        </w:rPr>
        <w:fldChar w:fldCharType="separate"/>
      </w:r>
      <w:r w:rsidRPr="00550BB5">
        <w:rPr>
          <w:rFonts w:cs="Times New Roman"/>
          <w:noProof/>
        </w:rPr>
        <w:t>(Dwivedi et al. 1998</w:t>
      </w:r>
      <w:r>
        <w:rPr>
          <w:rFonts w:cs="Times New Roman"/>
          <w:noProof/>
        </w:rPr>
        <w:t>, and references therein</w:t>
      </w:r>
      <w:r w:rsidRPr="00550BB5">
        <w:rPr>
          <w:rFonts w:cs="Times New Roman"/>
          <w:noProof/>
        </w:rPr>
        <w:t>)</w:t>
      </w:r>
      <w:r>
        <w:rPr>
          <w:rFonts w:cs="Times New Roman"/>
        </w:rPr>
        <w:fldChar w:fldCharType="end"/>
      </w:r>
      <w:r>
        <w:rPr>
          <w:rFonts w:cs="Times New Roman"/>
        </w:rPr>
        <w:t xml:space="preserve"> have been thoroughly investigated. Most such studies entailed hydrothermal synthesis, and a melt was not present.  Partition coefficients for mafic components between tourmaline and other mafic minerals or melt are similarly unknown. </w:t>
      </w:r>
      <w:r>
        <w:rPr>
          <w:rFonts w:cs="Times New Roman"/>
        </w:rPr>
        <w:fldChar w:fldCharType="begin" w:fldLock="1"/>
      </w:r>
      <w:r w:rsidR="00266290">
        <w:rPr>
          <w:rFonts w:cs="Times New Roman"/>
        </w:rPr>
        <w:instrText>ADDIN CSL_CITATION { "citationItems" : [ { "id" : "ITEM-1", "itemData" : { "DOI" : "10.2138/am.2009.3022", "ISBN" : "0003-004X", "ISSN" : "0003004X", "author" : [ { "dropping-particle" : "", "family" : "Hinsberg", "given" : "Vincent J.", "non-dropping-particle" : "van", "parse-names" : false, "suffix" : "" }, { "dropping-particle" : "", "family" : "Schumacher", "given" : "John C.", "non-dropping-particle" : "", "parse-names" : false, "suffix" : "" } ], "container-title" : "American Mineralogist", "id" : "ITEM-1", "issue" : "5-6", "issued" : { "date-parts" : [ [ "2009" ] ] }, "page" : "761-770", "title" : "The geothermobarometric potential of tourmaline, based on experimental and natural data", "type" : "article-journal", "volume" : "94" }, "uris" : [ "http://www.mendeley.com/documents/?uuid=4161a339-013e-4191-a4e3-3657dbe21a7f" ] } ], "mendeley" : { "formattedCitation" : "(van Hinsberg and Schumacher, 2009)", "manualFormatting" : "Van Hinsberg and Schumacher (2009)", "plainTextFormattedCitation" : "(van Hinsberg and Schumacher, 2009)", "previouslyFormattedCitation" : "(van Hinsberg and Schumacher 2009)" }, "properties" : { "noteIndex" : 0 }, "schema" : "https://github.com/citation-style-language/schema/raw/master/csl-citation.json" }</w:instrText>
      </w:r>
      <w:r>
        <w:rPr>
          <w:rFonts w:cs="Times New Roman"/>
        </w:rPr>
        <w:fldChar w:fldCharType="separate"/>
      </w:r>
      <w:r>
        <w:rPr>
          <w:rFonts w:cs="Times New Roman"/>
          <w:noProof/>
        </w:rPr>
        <w:t>V</w:t>
      </w:r>
      <w:r w:rsidRPr="00550BB5">
        <w:rPr>
          <w:rFonts w:cs="Times New Roman"/>
          <w:noProof/>
        </w:rPr>
        <w:t xml:space="preserve">an Hinsberg and Schumacher </w:t>
      </w:r>
      <w:r>
        <w:rPr>
          <w:rFonts w:cs="Times New Roman"/>
          <w:noProof/>
        </w:rPr>
        <w:t>(</w:t>
      </w:r>
      <w:r w:rsidRPr="00550BB5">
        <w:rPr>
          <w:rFonts w:cs="Times New Roman"/>
          <w:noProof/>
        </w:rPr>
        <w:t>2009)</w:t>
      </w:r>
      <w:r>
        <w:rPr>
          <w:rFonts w:cs="Times New Roman"/>
        </w:rPr>
        <w:fldChar w:fldCharType="end"/>
      </w:r>
      <w:r>
        <w:rPr>
          <w:rFonts w:cs="Times New Roman"/>
        </w:rPr>
        <w:t xml:space="preserve"> attempted to calibrate the distribution of Fe and Mg between tourmaline and biotite at hydrothermal conditions, but their experimental results showed almost no correlation between Fe-Mg exchange and temperature.</w:t>
      </w:r>
    </w:p>
    <w:p w:rsidR="00665C0F" w:rsidRDefault="00665C0F" w:rsidP="00665C0F">
      <w:pPr>
        <w:spacing w:after="120" w:line="480" w:lineRule="auto"/>
        <w:ind w:firstLine="720"/>
        <w:rPr>
          <w:rFonts w:cs="Times New Roman"/>
        </w:rPr>
      </w:pPr>
      <w:r>
        <w:rPr>
          <w:rFonts w:cs="Times New Roman"/>
        </w:rPr>
        <w:t xml:space="preserve">The compatibility of Mn in biotite, garnet, and cordierite, and the partition coefficients for Mn between minerals and melt, are essentially unstudied through experimentation. Though mineral-melt partition coefficients for Fe and Mg might be extracted from a few experimental investigations in which mafic minerals coarse enough for analysis grew from the melt, that is not true for Mn. Because of low Mn concentrations in typical starting materials, the concentrations of Mn in most experimental products are at or below detection levels by electron microprobe analysis. </w:t>
      </w:r>
    </w:p>
    <w:p w:rsidR="00665C0F" w:rsidRDefault="00665C0F" w:rsidP="00665C0F">
      <w:pPr>
        <w:spacing w:after="120" w:line="480" w:lineRule="auto"/>
        <w:ind w:firstLine="720"/>
        <w:rPr>
          <w:rFonts w:cs="Times New Roman"/>
        </w:rPr>
      </w:pPr>
      <w:r>
        <w:rPr>
          <w:rFonts w:cs="Times New Roman"/>
        </w:rPr>
        <w:fldChar w:fldCharType="begin" w:fldLock="1"/>
      </w:r>
      <w:r w:rsidR="00266290">
        <w:rPr>
          <w:rFonts w:cs="Times New Roman"/>
        </w:rPr>
        <w:instrText>ADDIN CSL_CITATION { "citationItems" : [ { "id" : "ITEM-1", "itemData" : { "author" : [ { "dropping-particle" : "", "family" : "Maner", "given" : "James L.", "non-dropping-particle" : "", "parse-names" : false, "suffix" : "" }, { "dropping-particle" : "", "family" : "London", "given" : "David", "non-dropping-particle" : "", "parse-names" : false, "suffix" : "" }, { "dropping-particle" : "", "family" : "Morgan", "given" : "George B.", "non-dropping-particle" : "", "parse-names" : false, "suffix" : "" } ], "container-title" : "Geological Society of America Abstracts with Programs", "id" : "ITEM-1", "issued" : { "date-parts" : [ [ "2013" ] ] }, "page" : "17", "publisher-place" : "Austin, TX", "title" : "Toward an experimentally calibrated garnet-tourmaline geothermometer", "type" : "paper-conference" }, "uris" : [ "http://www.mendeley.com/documents/?uuid=7b4ea7b6-c7c7-4e42-8697-1c6ce8ca7caa" ] } ], "mendeley" : { "formattedCitation" : "(Maner et al., 2013)", "manualFormatting" : "Maner et al. (2013)", "plainTextFormattedCitation" : "(Maner et al., 2013)", "previouslyFormattedCitation" : "(Maner et al. 2013)" }, "properties" : { "noteIndex" : 0 }, "schema" : "https://github.com/citation-style-language/schema/raw/master/csl-citation.json" }</w:instrText>
      </w:r>
      <w:r>
        <w:rPr>
          <w:rFonts w:cs="Times New Roman"/>
        </w:rPr>
        <w:fldChar w:fldCharType="separate"/>
      </w:r>
      <w:r w:rsidRPr="00056293">
        <w:rPr>
          <w:rFonts w:cs="Times New Roman"/>
          <w:noProof/>
        </w:rPr>
        <w:t xml:space="preserve">Maner et al. </w:t>
      </w:r>
      <w:r>
        <w:rPr>
          <w:rFonts w:cs="Times New Roman"/>
          <w:noProof/>
        </w:rPr>
        <w:t>(</w:t>
      </w:r>
      <w:r w:rsidRPr="00056293">
        <w:rPr>
          <w:rFonts w:cs="Times New Roman"/>
          <w:noProof/>
        </w:rPr>
        <w:t>2013)</w:t>
      </w:r>
      <w:r>
        <w:rPr>
          <w:rFonts w:cs="Times New Roman"/>
        </w:rPr>
        <w:fldChar w:fldCharType="end"/>
      </w:r>
      <w:r>
        <w:rPr>
          <w:rFonts w:cs="Times New Roman"/>
        </w:rPr>
        <w:t xml:space="preserve"> attempted to calibrate the exchange of Fe and Mn between garnet and tourmaline as a potential geothermometer for peraluminous granitic pegmatites. Like </w:t>
      </w:r>
      <w:r>
        <w:rPr>
          <w:rFonts w:cs="Times New Roman"/>
        </w:rPr>
        <w:fldChar w:fldCharType="begin" w:fldLock="1"/>
      </w:r>
      <w:r w:rsidR="00266290">
        <w:rPr>
          <w:rFonts w:cs="Times New Roman"/>
        </w:rPr>
        <w:instrText>ADDIN CSL_CITATION { "citationItems" : [ { "id" : "ITEM-1", "itemData" : { "DOI" : "10.2138/am.2009.3022", "ISBN" : "0003-004X", "ISSN" : "0003004X", "author" : [ { "dropping-particle" : "", "family" : "Hinsberg", "given" : "Vincent J.", "non-dropping-particle" : "van", "parse-names" : false, "suffix" : "" }, { "dropping-particle" : "", "family" : "Schumacher", "given" : "John C.", "non-dropping-particle" : "", "parse-names" : false, "suffix" : "" } ], "container-title" : "American Mineralogist", "id" : "ITEM-1", "issue" : "5-6", "issued" : { "date-parts" : [ [ "2009" ] ] }, "page" : "761-770", "title" : "The geothermobarometric potential of tourmaline, based on experimental and natural data", "type" : "article-journal", "volume" : "94" }, "uris" : [ "http://www.mendeley.com/documents/?uuid=4161a339-013e-4191-a4e3-3657dbe21a7f" ] } ], "mendeley" : { "formattedCitation" : "(van Hinsberg and Schumacher, 2009)", "manualFormatting" : "van Hinsberg and Schumacher (2009)", "plainTextFormattedCitation" : "(van Hinsberg and Schumacher, 2009)", "previouslyFormattedCitation" : "(van Hinsberg and Schumacher 2009)" }, "properties" : { "noteIndex" : 0 }, "schema" : "https://github.com/citation-style-language/schema/raw/master/csl-citation.json" }</w:instrText>
      </w:r>
      <w:r>
        <w:rPr>
          <w:rFonts w:cs="Times New Roman"/>
        </w:rPr>
        <w:fldChar w:fldCharType="separate"/>
      </w:r>
      <w:r>
        <w:rPr>
          <w:rFonts w:cs="Times New Roman"/>
          <w:noProof/>
        </w:rPr>
        <w:t>van Hinsberg and Schumacher (</w:t>
      </w:r>
      <w:r w:rsidRPr="00550BB5">
        <w:rPr>
          <w:rFonts w:cs="Times New Roman"/>
          <w:noProof/>
        </w:rPr>
        <w:t>2009)</w:t>
      </w:r>
      <w:r>
        <w:rPr>
          <w:rFonts w:cs="Times New Roman"/>
        </w:rPr>
        <w:fldChar w:fldCharType="end"/>
      </w:r>
      <w:r>
        <w:rPr>
          <w:rFonts w:cs="Times New Roman"/>
        </w:rPr>
        <w:t xml:space="preserve">, </w:t>
      </w:r>
      <w:r>
        <w:rPr>
          <w:rFonts w:cs="Times New Roman"/>
        </w:rPr>
        <w:fldChar w:fldCharType="begin" w:fldLock="1"/>
      </w:r>
      <w:r w:rsidR="00266290">
        <w:rPr>
          <w:rFonts w:cs="Times New Roman"/>
        </w:rPr>
        <w:instrText>ADDIN CSL_CITATION { "citationItems" : [ { "id" : "ITEM-1", "itemData" : { "author" : [ { "dropping-particle" : "", "family" : "Maner", "given" : "James L.", "non-dropping-particle" : "", "parse-names" : false, "suffix" : "" }, { "dropping-particle" : "", "family" : "London", "given" : "David", "non-dropping-particle" : "", "parse-names" : false, "suffix" : "" }, { "dropping-particle" : "", "family" : "Morgan", "given" : "George B.", "non-dropping-particle" : "", "parse-names" : false, "suffix" : "" } ], "container-title" : "Geological Society of America Abstracts with Programs", "id" : "ITEM-1", "issued" : { "date-parts" : [ [ "2013" ] ] }, "page" : "17", "publisher-place" : "Austin, TX", "title" : "Toward an experimentally calibrated garnet-tourmaline geothermometer", "type" : "paper-conference" }, "uris" : [ "http://www.mendeley.com/documents/?uuid=7b4ea7b6-c7c7-4e42-8697-1c6ce8ca7caa" ] } ], "mendeley" : { "formattedCitation" : "(Maner et al., 2013)", "manualFormatting" : "Maner et al. (2013)", "plainTextFormattedCitation" : "(Maner et al., 2013)", "previouslyFormattedCitation" : "(Maner et al. 2013)" }, "properties" : { "noteIndex" : 0 }, "schema" : "https://github.com/citation-style-language/schema/raw/master/csl-citation.json" }</w:instrText>
      </w:r>
      <w:r>
        <w:rPr>
          <w:rFonts w:cs="Times New Roman"/>
        </w:rPr>
        <w:fldChar w:fldCharType="separate"/>
      </w:r>
      <w:r w:rsidRPr="00550BB5">
        <w:rPr>
          <w:rFonts w:cs="Times New Roman"/>
          <w:noProof/>
        </w:rPr>
        <w:t xml:space="preserve">Maner et al. </w:t>
      </w:r>
      <w:r>
        <w:rPr>
          <w:rFonts w:cs="Times New Roman"/>
          <w:noProof/>
        </w:rPr>
        <w:t>(</w:t>
      </w:r>
      <w:r w:rsidRPr="00550BB5">
        <w:rPr>
          <w:rFonts w:cs="Times New Roman"/>
          <w:noProof/>
        </w:rPr>
        <w:t>2013)</w:t>
      </w:r>
      <w:r>
        <w:rPr>
          <w:rFonts w:cs="Times New Roman"/>
        </w:rPr>
        <w:fldChar w:fldCharType="end"/>
      </w:r>
      <w:r>
        <w:rPr>
          <w:rFonts w:cs="Times New Roman"/>
        </w:rPr>
        <w:t xml:space="preserve"> documented a wide spread in the partition coefficients and a poor correlation of element exchange with temperature. Moreover, very low compatibility of Mn in tourmaline brought that phase to saturation in Mn at nearly trace levels.</w:t>
      </w:r>
    </w:p>
    <w:p w:rsidR="00665C0F" w:rsidRPr="003A6C5A" w:rsidRDefault="00665C0F" w:rsidP="00665C0F">
      <w:pPr>
        <w:spacing w:after="120" w:line="480" w:lineRule="auto"/>
        <w:ind w:firstLine="720"/>
        <w:rPr>
          <w:rFonts w:cs="Times New Roman"/>
        </w:rPr>
      </w:pPr>
      <w:r w:rsidRPr="003A6C5A">
        <w:rPr>
          <w:rFonts w:cs="Times New Roman"/>
        </w:rPr>
        <w:t>Though progress has been made toward understanding the mechanisms that control the compositions of garnet crystals in granitic igneous rocks, the partition coefficients for Mn</w:t>
      </w:r>
      <w:r>
        <w:rPr>
          <w:rFonts w:cs="Times New Roman"/>
        </w:rPr>
        <w:t xml:space="preserve"> </w:t>
      </w:r>
      <w:r w:rsidRPr="003A6C5A">
        <w:rPr>
          <w:rFonts w:cs="Times New Roman"/>
        </w:rPr>
        <w:t>among garnet, tourmaline</w:t>
      </w:r>
      <w:r>
        <w:rPr>
          <w:rFonts w:cs="Times New Roman"/>
        </w:rPr>
        <w:t>, biotite, cordierite,</w:t>
      </w:r>
      <w:r w:rsidRPr="003A6C5A">
        <w:rPr>
          <w:rFonts w:cs="Times New Roman"/>
        </w:rPr>
        <w:t xml:space="preserve"> and hydrous, boron-bearing peraluminous granitic melt have not been ascertained. These data are necessary for quantitative chemical modeling (e.g., via Rayleigh fractionation) of </w:t>
      </w:r>
      <w:r>
        <w:rPr>
          <w:rFonts w:cs="Times New Roman"/>
        </w:rPr>
        <w:t>the Mn contents of granitic liquids</w:t>
      </w:r>
      <w:r w:rsidRPr="003A6C5A">
        <w:rPr>
          <w:rFonts w:cs="Times New Roman"/>
        </w:rPr>
        <w:t>. Toward this end, the primary goals of this study are to present mineral-melt partitioning measurements for Mn, Fe, and Mg between boron-bearing, hydrous, peraluminous granitic melt and garnet, tourmaline, and cordierite. Other experimental data (D</w:t>
      </w:r>
      <w:r w:rsidRPr="003A6C5A">
        <w:rPr>
          <w:rFonts w:cs="Times New Roman"/>
          <w:vertAlign w:val="subscript"/>
        </w:rPr>
        <w:t>M</w:t>
      </w:r>
      <w:r w:rsidRPr="003A6C5A">
        <w:rPr>
          <w:rFonts w:cs="Times New Roman"/>
          <w:vertAlign w:val="superscript"/>
        </w:rPr>
        <w:t>Bt-melt</w:t>
      </w:r>
      <w:r w:rsidRPr="003A6C5A">
        <w:rPr>
          <w:rFonts w:cs="Times New Roman"/>
          <w:vertAlign w:val="subscript"/>
        </w:rPr>
        <w:t xml:space="preserve"> </w:t>
      </w:r>
      <w:r w:rsidRPr="003A6C5A">
        <w:rPr>
          <w:rFonts w:cs="Times New Roman"/>
        </w:rPr>
        <w:t>and D</w:t>
      </w:r>
      <w:r w:rsidRPr="003A6C5A">
        <w:rPr>
          <w:rFonts w:cs="Times New Roman"/>
          <w:vertAlign w:val="subscript"/>
        </w:rPr>
        <w:t>M</w:t>
      </w:r>
      <w:r w:rsidRPr="003A6C5A">
        <w:rPr>
          <w:rFonts w:cs="Times New Roman"/>
          <w:vertAlign w:val="superscript"/>
        </w:rPr>
        <w:t>Ms-melt</w:t>
      </w:r>
      <w:r w:rsidRPr="003A6C5A">
        <w:rPr>
          <w:rFonts w:cs="Times New Roman"/>
        </w:rPr>
        <w:t xml:space="preserve">: </w:t>
      </w:r>
      <w:r>
        <w:rPr>
          <w:rFonts w:cs="Times New Roman"/>
        </w:rPr>
        <w:fldChar w:fldCharType="begin" w:fldLock="1"/>
      </w:r>
      <w:r w:rsidR="00266290">
        <w:rPr>
          <w:rFonts w:cs="Times New Roman"/>
        </w:rPr>
        <w:instrText>ADDIN CSL_CITATION { "citationItems" : [ { "id" : "ITEM-1", "itemData" : { "author" : [ { "dropping-particle" : "", "family" : "Icenhower", "given" : "Jonathan P.", "non-dropping-particle" : "", "parse-names" : false, "suffix" : "" }, { "dropping-particle" : "", "family" : "London", "given" : "David", "non-dropping-particle" : "", "parse-names" : false, "suffix" : "" } ], "container-title" : "American Mineralogist", "id" : "ITEM-1", "issued" : { "date-parts" : [ [ "1995" ] ] }, "page" : "1229-1251", "title" : "An experimental study of element partitioning among biotite, muscovite, and coexisting peraluminous silicic melt at 200 MPa (H2O)", "type" : "article-journal", "volume" : "80" }, "uris" : [ "http://www.mendeley.com/documents/?uuid=23fdb646-5602-46c4-b5be-c227993f42de" ] }, { "id" : "ITEM-2", "itemData" : { "author" : [ { "dropping-particle" : "", "family" : "Icenhower", "given" : "Jonathan P.", "non-dropping-particle" : "", "parse-names" : false, "suffix" : "" } ], "id" : "ITEM-2", "issued" : { "date-parts" : [ [ "1995" ] ] }, "number-of-pages" : "1-224", "publisher" : "University of Oklahoma", "title" : "Experimental determination of element behavior in silicic systems during hydrous partial fusion", "type" : "thesis" }, "uris" : [ "http://www.mendeley.com/documents/?uuid=c6f1aab2-0b31-4c4a-a0d4-19359613f5df" ] } ], "mendeley" : { "formattedCitation" : "(Icenhower, 1995; Icenhower and London, 1995)", "manualFormatting" : "Icenhower 1995; Icenhower and London 1995)", "plainTextFormattedCitation" : "(Icenhower, 1995; Icenhower and London, 1995)", "previouslyFormattedCitation" : "(Icenhower 1995; Icenhower and London 1995)" }, "properties" : { "noteIndex" : 0 }, "schema" : "https://github.com/citation-style-language/schema/raw/master/csl-citation.json" }</w:instrText>
      </w:r>
      <w:r>
        <w:rPr>
          <w:rFonts w:cs="Times New Roman"/>
        </w:rPr>
        <w:fldChar w:fldCharType="separate"/>
      </w:r>
      <w:r w:rsidRPr="00056293">
        <w:rPr>
          <w:rFonts w:cs="Times New Roman"/>
          <w:noProof/>
        </w:rPr>
        <w:t>Icenhower 1995; Icenhower and London 1995)</w:t>
      </w:r>
      <w:r>
        <w:rPr>
          <w:rFonts w:cs="Times New Roman"/>
        </w:rPr>
        <w:fldChar w:fldCharType="end"/>
      </w:r>
      <w:r>
        <w:rPr>
          <w:rFonts w:cs="Times New Roman"/>
        </w:rPr>
        <w:t xml:space="preserve"> </w:t>
      </w:r>
      <w:r w:rsidRPr="003A6C5A">
        <w:rPr>
          <w:rFonts w:cs="Times New Roman"/>
        </w:rPr>
        <w:t xml:space="preserve">are included as needed for Rayleigh modeling. The </w:t>
      </w:r>
      <w:r>
        <w:rPr>
          <w:rFonts w:cs="Times New Roman"/>
        </w:rPr>
        <w:t xml:space="preserve">Rayleigh model serves as a test of the validity of the experimental data for the accumulation of Mn </w:t>
      </w:r>
      <w:r w:rsidRPr="003A6C5A">
        <w:rPr>
          <w:rFonts w:cs="Times New Roman"/>
        </w:rPr>
        <w:t xml:space="preserve">from anatexis to crystallization of two-mica granite. </w:t>
      </w:r>
      <w:r>
        <w:rPr>
          <w:rFonts w:cs="Times New Roman"/>
        </w:rPr>
        <w:t>Starting with an appropriate liquid composition and mineral modes, the model should, and does, predict spessartine saturation only after extended crystallization of the initial melt at near-minimum temperatures.</w:t>
      </w:r>
    </w:p>
    <w:p w:rsidR="00665C0F" w:rsidRPr="0047415D" w:rsidRDefault="000E575D" w:rsidP="0047415D">
      <w:pPr>
        <w:pStyle w:val="Heading2"/>
        <w:spacing w:line="480" w:lineRule="auto"/>
        <w:rPr>
          <w:rFonts w:cs="Times New Roman"/>
          <w:bCs/>
          <w:sz w:val="24"/>
          <w:szCs w:val="24"/>
        </w:rPr>
      </w:pPr>
      <w:bookmarkStart w:id="159" w:name="_Toc491246058"/>
      <w:r w:rsidRPr="0047415D">
        <w:rPr>
          <w:rFonts w:cs="Times New Roman"/>
          <w:bCs/>
          <w:sz w:val="24"/>
          <w:szCs w:val="24"/>
        </w:rPr>
        <w:t xml:space="preserve">2. </w:t>
      </w:r>
      <w:r w:rsidR="00665C0F" w:rsidRPr="0047415D">
        <w:rPr>
          <w:rFonts w:cs="Times New Roman"/>
          <w:bCs/>
          <w:sz w:val="24"/>
          <w:szCs w:val="24"/>
        </w:rPr>
        <w:t>Methods</w:t>
      </w:r>
      <w:bookmarkEnd w:id="159"/>
    </w:p>
    <w:p w:rsidR="00665C0F" w:rsidRPr="0047415D" w:rsidRDefault="000E575D" w:rsidP="0047415D">
      <w:pPr>
        <w:pStyle w:val="Heading3"/>
        <w:spacing w:line="480" w:lineRule="auto"/>
        <w:rPr>
          <w:rFonts w:cs="Times New Roman"/>
          <w:bCs/>
        </w:rPr>
      </w:pPr>
      <w:bookmarkStart w:id="160" w:name="_Toc491246059"/>
      <w:r w:rsidRPr="0047415D">
        <w:rPr>
          <w:rFonts w:cs="Times New Roman"/>
          <w:bCs/>
        </w:rPr>
        <w:t>2.1</w:t>
      </w:r>
      <w:r w:rsidR="0047415D" w:rsidRPr="0047415D">
        <w:rPr>
          <w:rFonts w:cs="Times New Roman"/>
          <w:bCs/>
        </w:rPr>
        <w:t>.</w:t>
      </w:r>
      <w:r w:rsidRPr="0047415D">
        <w:rPr>
          <w:rFonts w:cs="Times New Roman"/>
          <w:bCs/>
        </w:rPr>
        <w:t xml:space="preserve"> </w:t>
      </w:r>
      <w:r w:rsidR="00665C0F" w:rsidRPr="0047415D">
        <w:rPr>
          <w:rFonts w:cs="Times New Roman"/>
          <w:bCs/>
        </w:rPr>
        <w:t>Experimental Design</w:t>
      </w:r>
      <w:bookmarkEnd w:id="160"/>
    </w:p>
    <w:p w:rsidR="00665C0F" w:rsidRPr="003A6C5A" w:rsidRDefault="00665C0F" w:rsidP="00665C0F">
      <w:pPr>
        <w:pStyle w:val="ListParagraph"/>
        <w:spacing w:after="120" w:line="480" w:lineRule="auto"/>
        <w:ind w:left="0" w:firstLine="720"/>
        <w:rPr>
          <w:rFonts w:cs="Times New Roman"/>
        </w:rPr>
      </w:pPr>
      <w:r w:rsidRPr="003A6C5A">
        <w:rPr>
          <w:rFonts w:cs="Times New Roman"/>
        </w:rPr>
        <w:t>Experiments were designed to crystallize tourmaline, garnet, and cordierite from nearly crystal-free hydrous, boron-bearing, peraluminous granitic melt. Several experiments were heated to 800°</w:t>
      </w:r>
      <w:r>
        <w:rPr>
          <w:rFonts w:cs="Times New Roman"/>
        </w:rPr>
        <w:t>C</w:t>
      </w:r>
      <w:r w:rsidRPr="003A6C5A">
        <w:rPr>
          <w:rFonts w:cs="Times New Roman"/>
        </w:rPr>
        <w:t xml:space="preserve"> or 850°C and quenched to check for crystallin</w:t>
      </w:r>
      <w:r>
        <w:rPr>
          <w:rFonts w:cs="Times New Roman"/>
        </w:rPr>
        <w:t>ity and chemical homogeneity of</w:t>
      </w:r>
      <w:r w:rsidRPr="002235A6">
        <w:rPr>
          <w:rFonts w:cs="Times New Roman"/>
        </w:rPr>
        <w:t xml:space="preserve"> </w:t>
      </w:r>
      <w:r w:rsidRPr="003A6C5A">
        <w:rPr>
          <w:rFonts w:cs="Times New Roman"/>
        </w:rPr>
        <w:t>the resultant liquid (quenched to glass). Experiments intended to produce crystalline phases were either (1) quenched to room temperature from 850°C then heated directly to the temperature of interest, or (2) dropped down from 850°C in a single isobaric cooling step to a synthesis temperature. The former experiments are referred to as forward-direction experiments and the latter as reverse-direction experiments.</w:t>
      </w:r>
      <w:r>
        <w:rPr>
          <w:rFonts w:cs="Times New Roman"/>
        </w:rPr>
        <w:t xml:space="preserve"> Replicate</w:t>
      </w:r>
      <w:r w:rsidRPr="003A6C5A">
        <w:rPr>
          <w:rFonts w:cs="Times New Roman"/>
        </w:rPr>
        <w:t xml:space="preserve"> experiments conducted at 650°</w:t>
      </w:r>
      <w:r>
        <w:rPr>
          <w:rFonts w:cs="Times New Roman"/>
        </w:rPr>
        <w:t>C</w:t>
      </w:r>
      <w:r w:rsidRPr="003A6C5A">
        <w:rPr>
          <w:rFonts w:cs="Times New Roman"/>
        </w:rPr>
        <w:t>, 700°</w:t>
      </w:r>
      <w:r>
        <w:rPr>
          <w:rFonts w:cs="Times New Roman"/>
        </w:rPr>
        <w:t>C</w:t>
      </w:r>
      <w:r w:rsidRPr="003A6C5A">
        <w:rPr>
          <w:rFonts w:cs="Times New Roman"/>
        </w:rPr>
        <w:t xml:space="preserve">, and 750°C had run durations between 1 and 30 days, forming a time-series for these temperatures. The compositions of glasses </w:t>
      </w:r>
      <w:r>
        <w:rPr>
          <w:rFonts w:cs="Times New Roman"/>
        </w:rPr>
        <w:t xml:space="preserve">and minerals </w:t>
      </w:r>
      <w:r w:rsidRPr="003A6C5A">
        <w:rPr>
          <w:rFonts w:cs="Times New Roman"/>
        </w:rPr>
        <w:t>produced in these experiments were monitored for changes over time. A period of 14 days at 750°C and 30 days at 650°C proved to be sufficient for attainment of steady-state conditions</w:t>
      </w:r>
      <w:r>
        <w:rPr>
          <w:rFonts w:cs="Times New Roman"/>
        </w:rPr>
        <w:t>, as indicated by constancy of the compositions of garnet rims and immediately adjacent glass</w:t>
      </w:r>
      <w:r w:rsidRPr="003A6C5A">
        <w:rPr>
          <w:rFonts w:cs="Times New Roman"/>
        </w:rPr>
        <w:t>. Partition coefficients were determined using the composition</w:t>
      </w:r>
      <w:r>
        <w:rPr>
          <w:rFonts w:cs="Times New Roman"/>
        </w:rPr>
        <w:t>s</w:t>
      </w:r>
      <w:r w:rsidRPr="003A6C5A">
        <w:rPr>
          <w:rFonts w:cs="Times New Roman"/>
        </w:rPr>
        <w:t xml:space="preserve"> of crystal rims and </w:t>
      </w:r>
      <w:r>
        <w:rPr>
          <w:rFonts w:cs="Times New Roman"/>
        </w:rPr>
        <w:t xml:space="preserve">adjacent </w:t>
      </w:r>
      <w:r w:rsidRPr="003A6C5A">
        <w:rPr>
          <w:rFonts w:cs="Times New Roman"/>
        </w:rPr>
        <w:t xml:space="preserve">liquid (glass) from all </w:t>
      </w:r>
      <w:r w:rsidRPr="00BA461C">
        <w:rPr>
          <w:rFonts w:cs="Times New Roman"/>
        </w:rPr>
        <w:t>experiments, both forward and reverse thermal direction</w:t>
      </w:r>
      <w:r w:rsidR="00BA461C">
        <w:rPr>
          <w:rStyle w:val="FootnoteReference"/>
          <w:rFonts w:cs="Times New Roman"/>
        </w:rPr>
        <w:footnoteReference w:id="1"/>
      </w:r>
      <w:r w:rsidRPr="00BA461C">
        <w:rPr>
          <w:rFonts w:cs="Times New Roman"/>
        </w:rPr>
        <w:t>,</w:t>
      </w:r>
      <w:r w:rsidRPr="003A6C5A">
        <w:rPr>
          <w:rFonts w:cs="Times New Roman"/>
        </w:rPr>
        <w:t xml:space="preserve"> on the </w:t>
      </w:r>
      <w:r>
        <w:rPr>
          <w:rFonts w:cs="Times New Roman"/>
        </w:rPr>
        <w:t>grounds</w:t>
      </w:r>
      <w:r w:rsidRPr="003A6C5A">
        <w:rPr>
          <w:rFonts w:cs="Times New Roman"/>
        </w:rPr>
        <w:t xml:space="preserve"> that steady-state results </w:t>
      </w:r>
      <w:r>
        <w:rPr>
          <w:rFonts w:cs="Times New Roman"/>
        </w:rPr>
        <w:t xml:space="preserve">(i.e., constancy of mineral and melt compositions with time) </w:t>
      </w:r>
      <w:r w:rsidRPr="003A6C5A">
        <w:rPr>
          <w:rFonts w:cs="Times New Roman"/>
        </w:rPr>
        <w:t xml:space="preserve">reflected </w:t>
      </w:r>
      <w:r>
        <w:rPr>
          <w:rFonts w:cs="Times New Roman"/>
        </w:rPr>
        <w:t xml:space="preserve">a close approach to </w:t>
      </w:r>
      <w:r w:rsidRPr="003A6C5A">
        <w:rPr>
          <w:rFonts w:cs="Times New Roman"/>
        </w:rPr>
        <w:t>local equilibration between crystal and melt.</w:t>
      </w:r>
    </w:p>
    <w:p w:rsidR="00665C0F" w:rsidRPr="009F5DE0" w:rsidRDefault="009F5DE0" w:rsidP="0047415D">
      <w:pPr>
        <w:pStyle w:val="Heading3"/>
        <w:spacing w:line="480" w:lineRule="auto"/>
        <w:rPr>
          <w:rFonts w:cs="Times New Roman"/>
          <w:bCs/>
        </w:rPr>
      </w:pPr>
      <w:bookmarkStart w:id="162" w:name="_Toc491246060"/>
      <w:r w:rsidRPr="009F5DE0">
        <w:rPr>
          <w:rFonts w:cs="Times New Roman"/>
          <w:bCs/>
        </w:rPr>
        <w:t>2.2</w:t>
      </w:r>
      <w:r w:rsidR="0047415D">
        <w:rPr>
          <w:rFonts w:cs="Times New Roman"/>
          <w:bCs/>
        </w:rPr>
        <w:t>.</w:t>
      </w:r>
      <w:r w:rsidRPr="009F5DE0">
        <w:rPr>
          <w:rFonts w:cs="Times New Roman"/>
          <w:bCs/>
        </w:rPr>
        <w:t xml:space="preserve"> </w:t>
      </w:r>
      <w:r w:rsidR="00665C0F" w:rsidRPr="009F5DE0">
        <w:rPr>
          <w:rFonts w:cs="Times New Roman"/>
          <w:bCs/>
        </w:rPr>
        <w:t>Preparation of Starting Materials for Experiments</w:t>
      </w:r>
      <w:bookmarkEnd w:id="162"/>
    </w:p>
    <w:p w:rsidR="00665C0F" w:rsidRDefault="00665C0F" w:rsidP="00665C0F">
      <w:pPr>
        <w:spacing w:after="120" w:line="480" w:lineRule="auto"/>
        <w:ind w:firstLine="720"/>
        <w:rPr>
          <w:rFonts w:cs="Times New Roman"/>
        </w:rPr>
      </w:pPr>
      <w:r w:rsidRPr="003A6C5A">
        <w:rPr>
          <w:rFonts w:cs="Times New Roman"/>
        </w:rPr>
        <w:t>Starting materials for experimental work include</w:t>
      </w:r>
      <w:r>
        <w:rPr>
          <w:rFonts w:cs="Times New Roman"/>
        </w:rPr>
        <w:t>d</w:t>
      </w:r>
      <w:r w:rsidRPr="003A6C5A">
        <w:rPr>
          <w:rFonts w:cs="Times New Roman"/>
        </w:rPr>
        <w:t xml:space="preserve"> high-purity chemical reagents, a fabricated glass, and natural minerals. The base compositions of all starting material mixtures were designed to be near the minimum composition of the metaluminous haplogranite system at 200 MPa</w:t>
      </w:r>
      <w:r w:rsidRPr="003A6C5A">
        <w:rPr>
          <w:rFonts w:cs="Times New Roman"/>
          <w:vertAlign w:val="subscript"/>
        </w:rPr>
        <w:t>H2O</w:t>
      </w:r>
      <w:r w:rsidRPr="003A6C5A">
        <w:rPr>
          <w:rFonts w:cs="Times New Roman"/>
        </w:rPr>
        <w:t xml:space="preserve"> </w:t>
      </w:r>
      <w:r w:rsidRPr="003A6C5A">
        <w:rPr>
          <w:rFonts w:cs="Times New Roman"/>
        </w:rPr>
        <w:fldChar w:fldCharType="begin" w:fldLock="1"/>
      </w:r>
      <w:r w:rsidR="00266290">
        <w:rPr>
          <w:rFonts w:cs="Times New Roman"/>
        </w:rPr>
        <w:instrText>ADDIN CSL_CITATION { "citationItems" : [ { "id" : "ITEM-1", "itemData" : { "author" : [ { "dropping-particle" : "", "family" : "Tuttle", "given" : "O.F.", "non-dropping-particle" : "", "parse-names" : false, "suffix" : "" }, { "dropping-particle" : "", "family" : "Bowen", "given" : "N.L.", "non-dropping-particle" : "", "parse-names" : false, "suffix" : "" } ], "container-title" : "Geological Society of America, Memoir 74", "id" : "ITEM-1", "issued" : { "date-parts" : [ [ "1958" ] ] }, "title" : "Origin of granite in light of experimental studies in the system NaAlSi3O8-KAlSi3O8-SiO2-H2O", "type" : "article-journal" }, "uris" : [ "http://www.mendeley.com/documents/?uuid=f52c84f0-9f47-408d-9e69-29f51b59697d" ] } ], "mendeley" : { "formattedCitation" : "(Tuttle and Bowen, 1958)", "plainTextFormattedCitation" : "(Tuttle and Bowen, 1958)", "previouslyFormattedCitation" : "(Tuttle and Bowen 1958)" }, "properties" : { "noteIndex" : 0 }, "schema" : "https://github.com/citation-style-language/schema/raw/master/csl-citation.json" }</w:instrText>
      </w:r>
      <w:r w:rsidRPr="003A6C5A">
        <w:rPr>
          <w:rFonts w:cs="Times New Roman"/>
        </w:rPr>
        <w:fldChar w:fldCharType="separate"/>
      </w:r>
      <w:r w:rsidR="00266290" w:rsidRPr="00266290">
        <w:rPr>
          <w:rFonts w:cs="Times New Roman"/>
          <w:noProof/>
        </w:rPr>
        <w:t>(Tuttle and Bowen, 1958)</w:t>
      </w:r>
      <w:r w:rsidRPr="003A6C5A">
        <w:rPr>
          <w:rFonts w:cs="Times New Roman"/>
        </w:rPr>
        <w:fldChar w:fldCharType="end"/>
      </w:r>
      <w:r w:rsidRPr="003A6C5A">
        <w:rPr>
          <w:rFonts w:cs="Times New Roman"/>
        </w:rPr>
        <w:t xml:space="preserve">. This was accomplished by either </w:t>
      </w:r>
      <w:r>
        <w:rPr>
          <w:rFonts w:cs="Times New Roman"/>
        </w:rPr>
        <w:t>using a synthetic glass (HG g</w:t>
      </w:r>
      <w:r w:rsidRPr="003A6C5A">
        <w:rPr>
          <w:rFonts w:cs="Times New Roman"/>
        </w:rPr>
        <w:t xml:space="preserve">lass, Table </w:t>
      </w:r>
      <w:r w:rsidR="0083401A">
        <w:rPr>
          <w:rFonts w:cs="Times New Roman"/>
        </w:rPr>
        <w:t>5-</w:t>
      </w:r>
      <w:r w:rsidRPr="003A6C5A">
        <w:rPr>
          <w:rFonts w:cs="Times New Roman"/>
        </w:rPr>
        <w:t xml:space="preserve">1) or by combining natural and synthetic minerals (Table </w:t>
      </w:r>
      <w:r w:rsidR="0083401A">
        <w:rPr>
          <w:rFonts w:cs="Times New Roman"/>
        </w:rPr>
        <w:t>5-</w:t>
      </w:r>
      <w:r w:rsidRPr="003A6C5A">
        <w:rPr>
          <w:rFonts w:cs="Times New Roman"/>
        </w:rPr>
        <w:t>1) and chemical reagents.</w:t>
      </w:r>
    </w:p>
    <w:p w:rsidR="00665C0F" w:rsidRDefault="00665C0F" w:rsidP="00665C0F">
      <w:pPr>
        <w:spacing w:after="120" w:line="480" w:lineRule="auto"/>
        <w:ind w:firstLine="720"/>
        <w:rPr>
          <w:rFonts w:cs="Times New Roman"/>
        </w:rPr>
      </w:pPr>
      <w:r w:rsidRPr="003A6C5A">
        <w:rPr>
          <w:rFonts w:cs="Times New Roman"/>
        </w:rPr>
        <w:t xml:space="preserve">The experimental study of </w:t>
      </w:r>
      <w:r>
        <w:rPr>
          <w:rFonts w:cs="Times New Roman"/>
        </w:rPr>
        <w:fldChar w:fldCharType="begin" w:fldLock="1"/>
      </w:r>
      <w:r w:rsidR="00266290">
        <w:rPr>
          <w:rFonts w:cs="Times New Roman"/>
        </w:rPr>
        <w:instrText>ADDIN CSL_CITATION { "citationItems" : [ { "id" : "ITEM-1", "itemData" : { "DOI" : "10.1007/s004100050346", "ISBN" : "0010-7999", "ISSN" : "00107999", "abstract" : "Abstract Experiments at 750 \u00b0C, 200 MPa(H2O), a (H2O)=1, and fO2\u223cNi-NiO established that the equilibrium among tourmaline, biotite, cordierite, and melt (\u00b1 spinel, aluminosilicate, or corundum) occurs with \u223c2 wt% B2O3 in strongly peraluminous melt with an aluminosity, measured by the parameter ASI, of &gt;1.2. The experiments demonstrate the relationship of tourmaline stability to the activity product of the tourmaline components boron and aluminum, which are inversely related to one another. Tourmaline is unstable in metaluminous to mildly peraluminous melts (ASI &lt;1.2) at 750 \u00b0C regardless of their boron content. For a given aluminosity, addition of components such as F requires a greater boron content of melt at this equilibrium. The stability of tourmaline increases with decreasing temperatures below 750 \u00b0C. At the inception of melting, tourmaline breaks down incongruently to assemblages containing crystalline AFM silicates (biotite, cordierite, garnet, sillimanite), aluminates (spinel, corundum), and B-enriched but Fe-Mg-poor melt. Granitic melts are likely to be undersaturated in tourmaline from the start of their crystallization, and their initial boron contents will be limited by the abundance of tourmaline in their source rocks. Quartzofeldspathic (gneissic, metapelitic) rocks that reached conditions of the granulite facies and still contain (prograde) tourmaline are rare, and probably have never yielded a partial melt. Most leucogranitic magmas will initially crystallize biotite, cordierite, or garnet, but not tourmaline. With crystallization, the Fe-Mg content of melt decreases, and the B2O3 content increases until the tourmaline-biotite and/or tourmaline-cordierite (or garnet) equilibria are attained. The B2O3 content of melt is buffered as long as these equilibria continue to operate, but low initial Fe-Mg contents of the magmas limit the quantity of boron that can be consumed by these reactions to &lt;1 wt% B2O3. Normally, leucogranitic magmas contain insufficient Fe and Mg to conserve all boron as tourmaline and thus lose a large fraction of magmatic boron to wallrocks. Leucogranites and pegmatites with tourmaline as an early and only AFM silicate mineral probably contained &gt;2 wt% B2O3 in their bulk magmas.", "author" : [ { "dropping-particle" : "", "family" : "Wolf", "given" : "Michael B.", "non-dropping-particle" : "", "parse-names" : false, "suffix" : "" }, { "dropping-particle" : "", "family" : "London", "given" : "David", "non-dropping-particle" : "", "parse-names" : false, "suffix" : "" } ], "container-title" : "Contributions to Mineralogy and Petrology", "id" : "ITEM-1", "issue" : "1", "issued" : { "date-parts" : [ [ "1997" ] ] }, "page" : "12-30", "title" : "Boron in granitic magmas: stability of tourmaline in equilibrium with biotite and cordierite", "type" : "article-journal", "volume" : "130" }, "uris" : [ "http://www.mendeley.com/documents/?uuid=9deba15f-4918-469f-98ee-4cde0ffd355d" ] } ], "mendeley" : { "formattedCitation" : "(Wolf and London, 1997)", "manualFormatting" : "Wolf and London (1997)", "plainTextFormattedCitation" : "(Wolf and London, 1997)", "previouslyFormattedCitation" : "(Wolf and London 1997)" }, "properties" : { "noteIndex" : 0 }, "schema" : "https://github.com/citation-style-language/schema/raw/master/csl-citation.json" }</w:instrText>
      </w:r>
      <w:r>
        <w:rPr>
          <w:rFonts w:cs="Times New Roman"/>
        </w:rPr>
        <w:fldChar w:fldCharType="separate"/>
      </w:r>
      <w:r w:rsidRPr="00056293">
        <w:rPr>
          <w:rFonts w:cs="Times New Roman"/>
          <w:noProof/>
        </w:rPr>
        <w:t xml:space="preserve">Wolf and London </w:t>
      </w:r>
      <w:r>
        <w:rPr>
          <w:rFonts w:cs="Times New Roman"/>
          <w:noProof/>
        </w:rPr>
        <w:t>(</w:t>
      </w:r>
      <w:r w:rsidRPr="00056293">
        <w:rPr>
          <w:rFonts w:cs="Times New Roman"/>
          <w:noProof/>
        </w:rPr>
        <w:t>1997)</w:t>
      </w:r>
      <w:r>
        <w:rPr>
          <w:rFonts w:cs="Times New Roman"/>
        </w:rPr>
        <w:fldChar w:fldCharType="end"/>
      </w:r>
      <w:r w:rsidRPr="003A6C5A">
        <w:rPr>
          <w:rFonts w:cs="Times New Roman"/>
        </w:rPr>
        <w:t xml:space="preserve"> provided the starting point for our experiments. </w:t>
      </w:r>
      <w:r>
        <w:rPr>
          <w:rFonts w:cs="Times New Roman"/>
        </w:rPr>
        <w:fldChar w:fldCharType="begin" w:fldLock="1"/>
      </w:r>
      <w:r w:rsidR="00266290">
        <w:rPr>
          <w:rFonts w:cs="Times New Roman"/>
        </w:rPr>
        <w:instrText>ADDIN CSL_CITATION { "citationItems" : [ { "id" : "ITEM-1", "itemData" : { "DOI" : "10.1007/s004100050346", "ISBN" : "0010-7999", "ISSN" : "00107999", "abstract" : "Abstract Experiments at 750 \u00b0C, 200 MPa(H2O), a (H2O)=1, and fO2\u223cNi-NiO established that the equilibrium among tourmaline, biotite, cordierite, and melt (\u00b1 spinel, aluminosilicate, or corundum) occurs with \u223c2 wt% B2O3 in strongly peraluminous melt with an aluminosity, measured by the parameter ASI, of &gt;1.2. The experiments demonstrate the relationship of tourmaline stability to the activity product of the tourmaline components boron and aluminum, which are inversely related to one another. Tourmaline is unstable in metaluminous to mildly peraluminous melts (ASI &lt;1.2) at 750 \u00b0C regardless of their boron content. For a given aluminosity, addition of components such as F requires a greater boron content of melt at this equilibrium. The stability of tourmaline increases with decreasing temperatures below 750 \u00b0C. At the inception of melting, tourmaline breaks down incongruently to assemblages containing crystalline AFM silicates (biotite, cordierite, garnet, sillimanite), aluminates (spinel, corundum), and B-enriched but Fe-Mg-poor melt. Granitic melts are likely to be undersaturated in tourmaline from the start of their crystallization, and their initial boron contents will be limited by the abundance of tourmaline in their source rocks. Quartzofeldspathic (gneissic, metapelitic) rocks that reached conditions of the granulite facies and still contain (prograde) tourmaline are rare, and probably have never yielded a partial melt. Most leucogranitic magmas will initially crystallize biotite, cordierite, or garnet, but not tourmaline. With crystallization, the Fe-Mg content of melt decreases, and the B2O3 content increases until the tourmaline-biotite and/or tourmaline-cordierite (or garnet) equilibria are attained. The B2O3 content of melt is buffered as long as these equilibria continue to operate, but low initial Fe-Mg contents of the magmas limit the quantity of boron that can be consumed by these reactions to &lt;1 wt% B2O3. Normally, leucogranitic magmas contain insufficient Fe and Mg to conserve all boron as tourmaline and thus lose a large fraction of magmatic boron to wallrocks. Leucogranites and pegmatites with tourmaline as an early and only AFM silicate mineral probably contained &gt;2 wt% B2O3 in their bulk magmas.", "author" : [ { "dropping-particle" : "", "family" : "Wolf", "given" : "Michael B.", "non-dropping-particle" : "", "parse-names" : false, "suffix" : "" }, { "dropping-particle" : "", "family" : "London", "given" : "David", "non-dropping-particle" : "", "parse-names" : false, "suffix" : "" } ], "container-title" : "Contributions to Mineralogy and Petrology", "id" : "ITEM-1", "issue" : "1", "issued" : { "date-parts" : [ [ "1997" ] ] }, "page" : "12-30", "title" : "Boron in granitic magmas: stability of tourmaline in equilibrium with biotite and cordierite", "type" : "article-journal", "volume" : "130" }, "uris" : [ "http://www.mendeley.com/documents/?uuid=9deba15f-4918-469f-98ee-4cde0ffd355d" ] } ], "mendeley" : { "formattedCitation" : "(Wolf and London, 1997)", "manualFormatting" : "Wolf and London (1997)", "plainTextFormattedCitation" : "(Wolf and London, 1997)", "previouslyFormattedCitation" : "(Wolf and London 1997)" }, "properties" : { "noteIndex" : 0 }, "schema" : "https://github.com/citation-style-language/schema/raw/master/csl-citation.json" }</w:instrText>
      </w:r>
      <w:r>
        <w:rPr>
          <w:rFonts w:cs="Times New Roman"/>
        </w:rPr>
        <w:fldChar w:fldCharType="separate"/>
      </w:r>
      <w:r w:rsidRPr="00056293">
        <w:rPr>
          <w:rFonts w:cs="Times New Roman"/>
          <w:noProof/>
        </w:rPr>
        <w:t xml:space="preserve">Wolf and London </w:t>
      </w:r>
      <w:r>
        <w:rPr>
          <w:rFonts w:cs="Times New Roman"/>
          <w:noProof/>
        </w:rPr>
        <w:t>(</w:t>
      </w:r>
      <w:r w:rsidRPr="00056293">
        <w:rPr>
          <w:rFonts w:cs="Times New Roman"/>
          <w:noProof/>
        </w:rPr>
        <w:t>1997)</w:t>
      </w:r>
      <w:r>
        <w:rPr>
          <w:rFonts w:cs="Times New Roman"/>
        </w:rPr>
        <w:fldChar w:fldCharType="end"/>
      </w:r>
      <w:r w:rsidRPr="003A6C5A">
        <w:rPr>
          <w:rFonts w:cs="Times New Roman"/>
        </w:rPr>
        <w:t xml:space="preserve"> showed that the stability of tourmaline in granitic melt is a function of the B content and the aluminum saturation index (ASI) of melt, calculated as molar Al/(Na+K+2Ca), such that at 750°C, tourmaline will crystallize in granitic melts having an ASI of at least 1.2 and B</w:t>
      </w:r>
      <w:r w:rsidRPr="003A6C5A">
        <w:rPr>
          <w:rFonts w:cs="Times New Roman"/>
          <w:vertAlign w:val="subscript"/>
        </w:rPr>
        <w:t>2</w:t>
      </w:r>
      <w:r w:rsidRPr="003A6C5A">
        <w:rPr>
          <w:rFonts w:cs="Times New Roman"/>
        </w:rPr>
        <w:t>O</w:t>
      </w:r>
      <w:r w:rsidRPr="003A6C5A">
        <w:rPr>
          <w:rFonts w:cs="Times New Roman"/>
          <w:vertAlign w:val="subscript"/>
        </w:rPr>
        <w:t>3</w:t>
      </w:r>
      <w:r w:rsidRPr="003A6C5A">
        <w:rPr>
          <w:rFonts w:cs="Times New Roman"/>
        </w:rPr>
        <w:t xml:space="preserve"> contents above 2 wt.% oxide. The ASI of each starting mixture</w:t>
      </w:r>
      <w:r>
        <w:rPr>
          <w:rFonts w:cs="Times New Roman"/>
        </w:rPr>
        <w:t xml:space="preserve"> </w:t>
      </w:r>
      <w:r w:rsidRPr="003A6C5A">
        <w:rPr>
          <w:rFonts w:cs="Times New Roman"/>
        </w:rPr>
        <w:t xml:space="preserve">used in </w:t>
      </w:r>
      <w:r>
        <w:rPr>
          <w:rFonts w:cs="Times New Roman"/>
        </w:rPr>
        <w:t>t</w:t>
      </w:r>
      <w:r w:rsidRPr="003A6C5A">
        <w:rPr>
          <w:rFonts w:cs="Times New Roman"/>
        </w:rPr>
        <w:t xml:space="preserve">he present study was controlled by adding aluminous minerals (Table </w:t>
      </w:r>
      <w:r w:rsidR="0083401A">
        <w:rPr>
          <w:rFonts w:cs="Times New Roman"/>
        </w:rPr>
        <w:t>5-</w:t>
      </w:r>
      <w:r w:rsidRPr="003A6C5A">
        <w:rPr>
          <w:rFonts w:cs="Times New Roman"/>
        </w:rPr>
        <w:t>1) or aluminum oxide/hydroxide chemical reagents to starting material mixtures to achieve a value of at least 1.2. Boron was added to all starting material mixtures as either (1) B</w:t>
      </w:r>
      <w:r w:rsidRPr="003A6C5A">
        <w:rPr>
          <w:rFonts w:cs="Times New Roman"/>
          <w:vertAlign w:val="subscript"/>
        </w:rPr>
        <w:t>2</w:t>
      </w:r>
      <w:r w:rsidRPr="003A6C5A">
        <w:rPr>
          <w:rFonts w:cs="Times New Roman"/>
        </w:rPr>
        <w:t>O</w:t>
      </w:r>
      <w:r w:rsidRPr="003A6C5A">
        <w:rPr>
          <w:rFonts w:cs="Times New Roman"/>
          <w:vertAlign w:val="subscript"/>
        </w:rPr>
        <w:t>3</w:t>
      </w:r>
      <w:r w:rsidRPr="003A6C5A">
        <w:rPr>
          <w:rFonts w:cs="Times New Roman"/>
        </w:rPr>
        <w:t xml:space="preserve"> glass, made by dehydrating boric acid in a Pt dish over a Bunsen burner, or (2) reagent-grade borax (Na</w:t>
      </w:r>
      <w:r w:rsidRPr="003A6C5A">
        <w:rPr>
          <w:rFonts w:cs="Times New Roman"/>
          <w:vertAlign w:val="subscript"/>
        </w:rPr>
        <w:t>2</w:t>
      </w:r>
      <w:r w:rsidRPr="003A6C5A">
        <w:rPr>
          <w:rFonts w:cs="Times New Roman"/>
        </w:rPr>
        <w:t>B</w:t>
      </w:r>
      <w:r w:rsidRPr="003A6C5A">
        <w:rPr>
          <w:rFonts w:cs="Times New Roman"/>
          <w:vertAlign w:val="subscript"/>
        </w:rPr>
        <w:t>4</w:t>
      </w:r>
      <w:r w:rsidRPr="003A6C5A">
        <w:rPr>
          <w:rFonts w:cs="Times New Roman"/>
        </w:rPr>
        <w:t>O</w:t>
      </w:r>
      <w:r w:rsidRPr="003A6C5A">
        <w:rPr>
          <w:rFonts w:cs="Times New Roman"/>
          <w:vertAlign w:val="subscript"/>
        </w:rPr>
        <w:t>7</w:t>
      </w:r>
      <w:r w:rsidRPr="003A6C5A">
        <w:rPr>
          <w:rFonts w:cs="Times New Roman"/>
        </w:rPr>
        <w:t>∙10H</w:t>
      </w:r>
      <w:r w:rsidRPr="003A6C5A">
        <w:rPr>
          <w:rFonts w:cs="Times New Roman"/>
          <w:vertAlign w:val="subscript"/>
        </w:rPr>
        <w:t>2</w:t>
      </w:r>
      <w:r w:rsidRPr="003A6C5A">
        <w:rPr>
          <w:rFonts w:cs="Times New Roman"/>
        </w:rPr>
        <w:t>O). Mixtures GT1.2 and GT1.2+ contained ~3 to 4 wt.% B</w:t>
      </w:r>
      <w:r w:rsidRPr="003A6C5A">
        <w:rPr>
          <w:rFonts w:cs="Times New Roman"/>
          <w:vertAlign w:val="subscript"/>
        </w:rPr>
        <w:t>2</w:t>
      </w:r>
      <w:r w:rsidRPr="003A6C5A">
        <w:rPr>
          <w:rFonts w:cs="Times New Roman"/>
        </w:rPr>
        <w:t>O</w:t>
      </w:r>
      <w:r w:rsidRPr="003A6C5A">
        <w:rPr>
          <w:rFonts w:cs="Times New Roman"/>
          <w:vertAlign w:val="subscript"/>
        </w:rPr>
        <w:t>3</w:t>
      </w:r>
      <w:r w:rsidRPr="003A6C5A">
        <w:rPr>
          <w:rFonts w:cs="Times New Roman"/>
        </w:rPr>
        <w:t xml:space="preserve"> whereas others (GT1.3 and MnGT-BC-4.1) contained between 6 and 8 wt.% B</w:t>
      </w:r>
      <w:r w:rsidRPr="003A6C5A">
        <w:rPr>
          <w:rFonts w:cs="Times New Roman"/>
          <w:vertAlign w:val="subscript"/>
        </w:rPr>
        <w:t>2</w:t>
      </w:r>
      <w:r w:rsidRPr="003A6C5A">
        <w:rPr>
          <w:rFonts w:cs="Times New Roman"/>
        </w:rPr>
        <w:t>O</w:t>
      </w:r>
      <w:r w:rsidRPr="003A6C5A">
        <w:rPr>
          <w:rFonts w:cs="Times New Roman"/>
          <w:vertAlign w:val="subscript"/>
        </w:rPr>
        <w:t>3</w:t>
      </w:r>
      <w:r w:rsidRPr="003A6C5A">
        <w:rPr>
          <w:rFonts w:cs="Times New Roman"/>
        </w:rPr>
        <w:t>. The high</w:t>
      </w:r>
      <w:r>
        <w:rPr>
          <w:rFonts w:cs="Times New Roman"/>
        </w:rPr>
        <w:t>er</w:t>
      </w:r>
      <w:r w:rsidRPr="003A6C5A">
        <w:rPr>
          <w:rFonts w:cs="Times New Roman"/>
        </w:rPr>
        <w:t xml:space="preserve"> boron contents ensured a yield of tourmaline crystals at the final run temperatures</w:t>
      </w:r>
      <w:r>
        <w:rPr>
          <w:rFonts w:cs="Times New Roman"/>
        </w:rPr>
        <w:t xml:space="preserve"> that was sufficient for microanalysis</w:t>
      </w:r>
      <w:r w:rsidRPr="003A6C5A">
        <w:rPr>
          <w:rFonts w:cs="Times New Roman"/>
        </w:rPr>
        <w:t xml:space="preserve">. </w:t>
      </w:r>
    </w:p>
    <w:p w:rsidR="00665C0F" w:rsidRPr="003A6C5A" w:rsidRDefault="00665C0F" w:rsidP="00665C0F">
      <w:pPr>
        <w:spacing w:after="120" w:line="480" w:lineRule="auto"/>
        <w:ind w:firstLine="720"/>
        <w:rPr>
          <w:rFonts w:cs="Times New Roman"/>
        </w:rPr>
      </w:pPr>
      <w:r w:rsidRPr="003A6C5A">
        <w:rPr>
          <w:rFonts w:cs="Times New Roman"/>
        </w:rPr>
        <w:t xml:space="preserve">The minimum concentrations of mafic oxide components in glass (melt) that are necessary to promote the growth of tourmaline were reported by </w:t>
      </w:r>
      <w:r>
        <w:rPr>
          <w:rFonts w:cs="Times New Roman"/>
        </w:rPr>
        <w:fldChar w:fldCharType="begin" w:fldLock="1"/>
      </w:r>
      <w:r w:rsidR="00266290">
        <w:rPr>
          <w:rFonts w:cs="Times New Roman"/>
        </w:rPr>
        <w:instrText>ADDIN CSL_CITATION { "citationItems" : [ { "id" : "ITEM-1", "itemData" : { "DOI" : "10.1007/s004100050346", "ISBN" : "0010-7999", "ISSN" : "00107999", "abstract" : "Abstract Experiments at 750 \u00b0C, 200 MPa(H2O), a (H2O)=1, and fO2\u223cNi-NiO established that the equilibrium among tourmaline, biotite, cordierite, and melt (\u00b1 spinel, aluminosilicate, or corundum) occurs with \u223c2 wt% B2O3 in strongly peraluminous melt with an aluminosity, measured by the parameter ASI, of &gt;1.2. The experiments demonstrate the relationship of tourmaline stability to the activity product of the tourmaline components boron and aluminum, which are inversely related to one another. Tourmaline is unstable in metaluminous to mildly peraluminous melts (ASI &lt;1.2) at 750 \u00b0C regardless of their boron content. For a given aluminosity, addition of components such as F requires a greater boron content of melt at this equilibrium. The stability of tourmaline increases with decreasing temperatures below 750 \u00b0C. At the inception of melting, tourmaline breaks down incongruently to assemblages containing crystalline AFM silicates (biotite, cordierite, garnet, sillimanite), aluminates (spinel, corundum), and B-enriched but Fe-Mg-poor melt. Granitic melts are likely to be undersaturated in tourmaline from the start of their crystallization, and their initial boron contents will be limited by the abundance of tourmaline in their source rocks. Quartzofeldspathic (gneissic, metapelitic) rocks that reached conditions of the granulite facies and still contain (prograde) tourmaline are rare, and probably have never yielded a partial melt. Most leucogranitic magmas will initially crystallize biotite, cordierite, or garnet, but not tourmaline. With crystallization, the Fe-Mg content of melt decreases, and the B2O3 content increases until the tourmaline-biotite and/or tourmaline-cordierite (or garnet) equilibria are attained. The B2O3 content of melt is buffered as long as these equilibria continue to operate, but low initial Fe-Mg contents of the magmas limit the quantity of boron that can be consumed by these reactions to &lt;1 wt% B2O3. Normally, leucogranitic magmas contain insufficient Fe and Mg to conserve all boron as tourmaline and thus lose a large fraction of magmatic boron to wallrocks. Leucogranites and pegmatites with tourmaline as an early and only AFM silicate mineral probably contained &gt;2 wt% B2O3 in their bulk magmas.", "author" : [ { "dropping-particle" : "", "family" : "Wolf", "given" : "Michael B.", "non-dropping-particle" : "", "parse-names" : false, "suffix" : "" }, { "dropping-particle" : "", "family" : "London", "given" : "David", "non-dropping-particle" : "", "parse-names" : false, "suffix" : "" } ], "container-title" : "Contributions to Mineralogy and Petrology", "id" : "ITEM-1", "issue" : "1", "issued" : { "date-parts" : [ [ "1997" ] ] }, "page" : "12-30", "title" : "Boron in granitic magmas: stability of tourmaline in equilibrium with biotite and cordierite", "type" : "article-journal", "volume" : "130" }, "uris" : [ "http://www.mendeley.com/documents/?uuid=9deba15f-4918-469f-98ee-4cde0ffd355d" ] } ], "mendeley" : { "formattedCitation" : "(Wolf and London, 1997)", "manualFormatting" : "Wolf and London (1997)", "plainTextFormattedCitation" : "(Wolf and London, 1997)", "previouslyFormattedCitation" : "(Wolf and London 1997)" }, "properties" : { "noteIndex" : 0 }, "schema" : "https://github.com/citation-style-language/schema/raw/master/csl-citation.json" }</w:instrText>
      </w:r>
      <w:r>
        <w:rPr>
          <w:rFonts w:cs="Times New Roman"/>
        </w:rPr>
        <w:fldChar w:fldCharType="separate"/>
      </w:r>
      <w:r w:rsidRPr="00056293">
        <w:rPr>
          <w:rFonts w:cs="Times New Roman"/>
          <w:noProof/>
        </w:rPr>
        <w:t xml:space="preserve">Wolf and London </w:t>
      </w:r>
      <w:r>
        <w:rPr>
          <w:rFonts w:cs="Times New Roman"/>
          <w:noProof/>
        </w:rPr>
        <w:t>(</w:t>
      </w:r>
      <w:r w:rsidRPr="00056293">
        <w:rPr>
          <w:rFonts w:cs="Times New Roman"/>
          <w:noProof/>
        </w:rPr>
        <w:t>1997)</w:t>
      </w:r>
      <w:r>
        <w:rPr>
          <w:rFonts w:cs="Times New Roman"/>
        </w:rPr>
        <w:fldChar w:fldCharType="end"/>
      </w:r>
      <w:r w:rsidRPr="003A6C5A">
        <w:rPr>
          <w:rFonts w:cs="Times New Roman"/>
        </w:rPr>
        <w:t xml:space="preserve">, and those values served as a baseline for this study. All starting material mixtures contained more than 1 wt.% MnO to facilitate </w:t>
      </w:r>
      <w:r>
        <w:rPr>
          <w:rFonts w:cs="Times New Roman"/>
        </w:rPr>
        <w:t xml:space="preserve">the growth of Mn-rich garnet </w:t>
      </w:r>
      <w:r>
        <w:rPr>
          <w:rFonts w:cs="Times New Roman"/>
        </w:rPr>
        <w:fldChar w:fldCharType="begin" w:fldLock="1"/>
      </w:r>
      <w:r w:rsidR="00266290">
        <w:rPr>
          <w:rFonts w:cs="Times New Roman"/>
        </w:rPr>
        <w:instrText>ADDIN CSL_CITATION { "citationItems" : [ { "id" : "ITEM-1", "itemData" : { "author" : [ { "dropping-particle" : "", "family" : "Icenhower", "given" : "Jonathan P.", "non-dropping-particle" : "", "parse-names" : false, "suffix" : "" } ], "id" : "ITEM-1", "issued" : { "date-parts" : [ [ "1995" ] ] }, "number-of-pages" : "1-224", "publisher" : "University of Oklahoma", "title" : "Experimental determination of element behavior in silicic systems during hydrous partial fusion", "type" : "thesis" }, "uris" : [ "http://www.mendeley.com/documents/?uuid=c6f1aab2-0b31-4c4a-a0d4-19359613f5df" ] } ], "mendeley" : { "formattedCitation" : "(Icenhower, 1995)", "plainTextFormattedCitation" : "(Icenhower, 1995)", "previouslyFormattedCitation" : "(Icenhower 1995)" }, "properties" : { "noteIndex" : 0 }, "schema" : "https://github.com/citation-style-language/schema/raw/master/csl-citation.json" }</w:instrText>
      </w:r>
      <w:r>
        <w:rPr>
          <w:rFonts w:cs="Times New Roman"/>
        </w:rPr>
        <w:fldChar w:fldCharType="separate"/>
      </w:r>
      <w:r w:rsidR="00266290" w:rsidRPr="00266290">
        <w:rPr>
          <w:rFonts w:cs="Times New Roman"/>
          <w:noProof/>
        </w:rPr>
        <w:t>(Icenhower, 1995)</w:t>
      </w:r>
      <w:r>
        <w:rPr>
          <w:rFonts w:cs="Times New Roman"/>
        </w:rPr>
        <w:fldChar w:fldCharType="end"/>
      </w:r>
      <w:r w:rsidRPr="003A6C5A">
        <w:rPr>
          <w:rFonts w:cs="Times New Roman"/>
        </w:rPr>
        <w:t xml:space="preserve">. Mafic components of each mixture were added as natural minerals (Table </w:t>
      </w:r>
      <w:r w:rsidR="0083401A">
        <w:rPr>
          <w:rFonts w:cs="Times New Roman"/>
        </w:rPr>
        <w:t>5-</w:t>
      </w:r>
      <w:r w:rsidRPr="003A6C5A">
        <w:rPr>
          <w:rFonts w:cs="Times New Roman"/>
        </w:rPr>
        <w:t xml:space="preserve">1), Fe metal, and/or MnO (see </w:t>
      </w:r>
      <w:r w:rsidR="00475C8F">
        <w:rPr>
          <w:rFonts w:cs="Times New Roman"/>
        </w:rPr>
        <w:t>Appendix 2</w:t>
      </w:r>
      <w:r w:rsidRPr="003A6C5A">
        <w:rPr>
          <w:rFonts w:cs="Times New Roman"/>
        </w:rPr>
        <w:t xml:space="preserve"> for details of preparation). </w:t>
      </w:r>
    </w:p>
    <w:p w:rsidR="00665C0F" w:rsidRPr="009F5DE0" w:rsidRDefault="009F5DE0" w:rsidP="0047415D">
      <w:pPr>
        <w:pStyle w:val="Heading3"/>
        <w:spacing w:line="480" w:lineRule="auto"/>
        <w:rPr>
          <w:rFonts w:cs="Times New Roman"/>
          <w:bCs/>
        </w:rPr>
      </w:pPr>
      <w:bookmarkStart w:id="163" w:name="_Toc491246061"/>
      <w:r w:rsidRPr="009F5DE0">
        <w:rPr>
          <w:rFonts w:cs="Times New Roman"/>
          <w:bCs/>
        </w:rPr>
        <w:t>2.3</w:t>
      </w:r>
      <w:r w:rsidR="0047415D">
        <w:rPr>
          <w:rFonts w:cs="Times New Roman"/>
          <w:bCs/>
        </w:rPr>
        <w:t>.</w:t>
      </w:r>
      <w:r w:rsidRPr="009F5DE0">
        <w:rPr>
          <w:rFonts w:cs="Times New Roman"/>
          <w:bCs/>
        </w:rPr>
        <w:t xml:space="preserve"> </w:t>
      </w:r>
      <w:r w:rsidR="00665C0F" w:rsidRPr="009F5DE0">
        <w:rPr>
          <w:rFonts w:cs="Times New Roman"/>
          <w:bCs/>
        </w:rPr>
        <w:t>Experimental Procedure</w:t>
      </w:r>
      <w:bookmarkEnd w:id="163"/>
    </w:p>
    <w:p w:rsidR="00665C0F" w:rsidRDefault="00665C0F" w:rsidP="00665C0F">
      <w:pPr>
        <w:pStyle w:val="ListParagraph"/>
        <w:spacing w:after="120" w:line="480" w:lineRule="auto"/>
        <w:ind w:left="0" w:firstLine="720"/>
        <w:rPr>
          <w:rFonts w:cs="Times New Roman"/>
        </w:rPr>
      </w:pPr>
      <w:r>
        <w:rPr>
          <w:rFonts w:cs="Times New Roman"/>
        </w:rPr>
        <w:t>Each experiment began by adding d</w:t>
      </w:r>
      <w:r w:rsidRPr="003A6C5A">
        <w:rPr>
          <w:rFonts w:cs="Times New Roman"/>
        </w:rPr>
        <w:t>eionized and ultra-filtered water (DIUF; Fis</w:t>
      </w:r>
      <w:r>
        <w:rPr>
          <w:rFonts w:cs="Times New Roman"/>
        </w:rPr>
        <w:t>her Scientific) to a gold</w:t>
      </w:r>
      <w:r w:rsidRPr="003A6C5A">
        <w:rPr>
          <w:rFonts w:cs="Times New Roman"/>
        </w:rPr>
        <w:t xml:space="preserve"> capsule </w:t>
      </w:r>
      <w:r>
        <w:rPr>
          <w:rFonts w:cs="Times New Roman"/>
        </w:rPr>
        <w:t xml:space="preserve">of </w:t>
      </w:r>
      <w:r w:rsidRPr="003A6C5A">
        <w:rPr>
          <w:rFonts w:cs="Times New Roman"/>
        </w:rPr>
        <w:t>20 x 3 mm and a wall thickness of 0.2 mm</w:t>
      </w:r>
      <w:r>
        <w:rPr>
          <w:rFonts w:cs="Times New Roman"/>
        </w:rPr>
        <w:t xml:space="preserve">, </w:t>
      </w:r>
      <w:r w:rsidRPr="003A6C5A">
        <w:rPr>
          <w:rFonts w:cs="Times New Roman"/>
        </w:rPr>
        <w:t xml:space="preserve">followed by </w:t>
      </w:r>
      <w:r>
        <w:rPr>
          <w:rFonts w:cs="Times New Roman"/>
        </w:rPr>
        <w:t>50</w:t>
      </w:r>
      <w:r w:rsidRPr="003A6C5A">
        <w:rPr>
          <w:rFonts w:cs="Times New Roman"/>
        </w:rPr>
        <w:t xml:space="preserve"> to </w:t>
      </w:r>
      <w:r>
        <w:rPr>
          <w:rFonts w:cs="Times New Roman"/>
        </w:rPr>
        <w:t>100</w:t>
      </w:r>
      <w:r w:rsidRPr="003A6C5A">
        <w:rPr>
          <w:rFonts w:cs="Times New Roman"/>
        </w:rPr>
        <w:t xml:space="preserve"> milligrams of a starting material mixture.</w:t>
      </w:r>
      <w:r>
        <w:rPr>
          <w:rFonts w:cs="Times New Roman"/>
        </w:rPr>
        <w:t xml:space="preserve"> </w:t>
      </w:r>
      <w:r w:rsidRPr="003A6C5A">
        <w:rPr>
          <w:rFonts w:cs="Times New Roman"/>
        </w:rPr>
        <w:t>Loaded capsules were wrapped with a sleeve of damp paper, frozen using cryogenic spray</w:t>
      </w:r>
      <w:r w:rsidRPr="003A6C5A">
        <w:rPr>
          <w:rFonts w:cs="Times New Roman"/>
          <w:vertAlign w:val="subscript"/>
        </w:rPr>
        <w:t xml:space="preserve"> </w:t>
      </w:r>
      <w:r w:rsidRPr="003A6C5A">
        <w:rPr>
          <w:rFonts w:cs="Times New Roman"/>
        </w:rPr>
        <w:t>to reduce volatilization of water during welding, and sealed by TIG (Tung</w:t>
      </w:r>
      <w:r>
        <w:rPr>
          <w:rFonts w:cs="Times New Roman"/>
        </w:rPr>
        <w:t xml:space="preserve">sten-Inert Gas: argon) </w:t>
      </w:r>
      <w:r w:rsidRPr="003A6C5A">
        <w:rPr>
          <w:rFonts w:cs="Times New Roman"/>
        </w:rPr>
        <w:t xml:space="preserve">welding.  The capsule was then weighed to check for loss of water during welding, labeled with the appropriate experiment number, reweighed, placed in an oven at ~120°C for at least 1 hour, and then reweighed again to check for leaks in the capsule (detected as water loss by weight loss). </w:t>
      </w:r>
      <w:r>
        <w:rPr>
          <w:rFonts w:cs="Times New Roman"/>
        </w:rPr>
        <w:t>Only</w:t>
      </w:r>
      <w:r w:rsidRPr="003A6C5A">
        <w:rPr>
          <w:rFonts w:cs="Times New Roman"/>
        </w:rPr>
        <w:t xml:space="preserve"> capsule</w:t>
      </w:r>
      <w:r>
        <w:rPr>
          <w:rFonts w:cs="Times New Roman"/>
        </w:rPr>
        <w:t>s</w:t>
      </w:r>
      <w:r w:rsidRPr="003A6C5A">
        <w:rPr>
          <w:rFonts w:cs="Times New Roman"/>
        </w:rPr>
        <w:t xml:space="preserve"> showing no leakage after sealing </w:t>
      </w:r>
      <w:r>
        <w:rPr>
          <w:rFonts w:cs="Times New Roman"/>
        </w:rPr>
        <w:t>were</w:t>
      </w:r>
      <w:r w:rsidRPr="003A6C5A">
        <w:rPr>
          <w:rFonts w:cs="Times New Roman"/>
        </w:rPr>
        <w:t xml:space="preserve"> </w:t>
      </w:r>
      <w:r>
        <w:rPr>
          <w:rFonts w:cs="Times New Roman"/>
        </w:rPr>
        <w:t>utilized</w:t>
      </w:r>
      <w:r w:rsidRPr="003A6C5A">
        <w:rPr>
          <w:rFonts w:cs="Times New Roman"/>
        </w:rPr>
        <w:t xml:space="preserve">. </w:t>
      </w:r>
    </w:p>
    <w:p w:rsidR="00665C0F" w:rsidRDefault="00665C0F" w:rsidP="00665C0F">
      <w:pPr>
        <w:spacing w:after="120" w:line="480" w:lineRule="auto"/>
        <w:ind w:firstLine="720"/>
        <w:rPr>
          <w:rFonts w:cs="Times New Roman"/>
        </w:rPr>
      </w:pPr>
      <w:r w:rsidRPr="003A6C5A">
        <w:rPr>
          <w:rFonts w:cs="Times New Roman"/>
        </w:rPr>
        <w:t xml:space="preserve">Experiments were conducted </w:t>
      </w:r>
      <w:r>
        <w:rPr>
          <w:rFonts w:cs="Times New Roman"/>
        </w:rPr>
        <w:t xml:space="preserve">open to a 2-liter pressure buffer </w:t>
      </w:r>
      <w:r w:rsidRPr="003A6C5A">
        <w:rPr>
          <w:rFonts w:cs="Times New Roman"/>
        </w:rPr>
        <w:t>in NIMONIC</w:t>
      </w:r>
      <w:r w:rsidRPr="003A6C5A">
        <w:rPr>
          <w:rFonts w:cs="Times New Roman"/>
          <w:vertAlign w:val="superscript"/>
        </w:rPr>
        <w:t>©</w:t>
      </w:r>
      <w:r w:rsidRPr="003A6C5A">
        <w:rPr>
          <w:rFonts w:cs="Times New Roman"/>
        </w:rPr>
        <w:t xml:space="preserve"> 105 or UDIMET cold-seal pressure vessels with water (plus a trace of Immunol</w:t>
      </w:r>
      <w:r w:rsidRPr="003A6C5A">
        <w:rPr>
          <w:rFonts w:cs="Times New Roman"/>
          <w:vertAlign w:val="superscript"/>
        </w:rPr>
        <w:t>TM</w:t>
      </w:r>
      <w:r w:rsidRPr="003A6C5A">
        <w:rPr>
          <w:rFonts w:cs="Times New Roman"/>
        </w:rPr>
        <w:t xml:space="preserve"> as a rust inhibitor) as the pressure medium.  The cool end of each vessel was tilted ~5° below horizontal to prevent the convection of water within the vessel.  Hastelloy-C filler-rods, which surround the thermocouple, also reduced convection of water and heat.  Temperature was monitored with an internal Chromel-Alumel thermocouple, and pressure was monitored with a factory-calibrated Heise bourdon tube gauge. Uncertainties in temperature and pressure are &lt;10°C and &lt;10 MPa, respectively.  </w:t>
      </w:r>
    </w:p>
    <w:p w:rsidR="00665C0F" w:rsidRPr="003A6C5A" w:rsidRDefault="00665C0F" w:rsidP="00665C0F">
      <w:pPr>
        <w:spacing w:after="120" w:line="480" w:lineRule="auto"/>
        <w:ind w:firstLine="720"/>
        <w:rPr>
          <w:rFonts w:cs="Times New Roman"/>
        </w:rPr>
      </w:pPr>
      <w:r w:rsidRPr="003A6C5A">
        <w:rPr>
          <w:rFonts w:cs="Times New Roman"/>
        </w:rPr>
        <w:t>Isobaric quenching was performed by removing the vessel from the furnace and applying a jet of compressed air. The average rate of cooling is approximately 200-300°C/min; vessels were cooled to below 150°C before de-pressurization.  Once the vessel was cool enough to handle, capsules were removed, rinsed with water, dried, weighed to check for leaks produced in the capsule during the experiment, punctured to check for free water or volatiles, and then opened to examine the products.</w:t>
      </w:r>
    </w:p>
    <w:p w:rsidR="00665C0F" w:rsidRPr="009F5DE0" w:rsidRDefault="009F5DE0" w:rsidP="0047415D">
      <w:pPr>
        <w:pStyle w:val="Heading3"/>
        <w:spacing w:line="480" w:lineRule="auto"/>
        <w:rPr>
          <w:rFonts w:cs="Times New Roman"/>
          <w:bCs/>
        </w:rPr>
      </w:pPr>
      <w:bookmarkStart w:id="164" w:name="_Toc491246062"/>
      <w:r w:rsidRPr="009F5DE0">
        <w:rPr>
          <w:rFonts w:cs="Times New Roman"/>
          <w:bCs/>
        </w:rPr>
        <w:t>2.4</w:t>
      </w:r>
      <w:r w:rsidR="0047415D">
        <w:rPr>
          <w:rFonts w:cs="Times New Roman"/>
          <w:bCs/>
        </w:rPr>
        <w:t>.</w:t>
      </w:r>
      <w:r w:rsidRPr="009F5DE0">
        <w:rPr>
          <w:rFonts w:cs="Times New Roman"/>
          <w:bCs/>
        </w:rPr>
        <w:t xml:space="preserve"> </w:t>
      </w:r>
      <w:r w:rsidR="00665C0F" w:rsidRPr="009F5DE0">
        <w:rPr>
          <w:rFonts w:cs="Times New Roman"/>
          <w:bCs/>
        </w:rPr>
        <w:t>Fugacity of Oxygen in Experiments</w:t>
      </w:r>
      <w:bookmarkEnd w:id="164"/>
    </w:p>
    <w:p w:rsidR="00665C0F" w:rsidRPr="003A6C5A" w:rsidRDefault="00665C0F" w:rsidP="00665C0F">
      <w:pPr>
        <w:spacing w:after="120" w:line="480" w:lineRule="auto"/>
        <w:ind w:firstLine="720"/>
        <w:rPr>
          <w:rFonts w:cs="Times New Roman"/>
        </w:rPr>
      </w:pPr>
      <w:r w:rsidRPr="003A6C5A">
        <w:rPr>
          <w:rFonts w:cs="Times New Roman"/>
        </w:rPr>
        <w:t xml:space="preserve">The oxygen fugacity, </w:t>
      </w:r>
      <w:r w:rsidRPr="003A6C5A">
        <w:rPr>
          <w:rFonts w:cs="Times New Roman"/>
          <w:i/>
          <w:iCs/>
        </w:rPr>
        <w:t>f</w:t>
      </w:r>
      <w:r w:rsidRPr="003A6C5A">
        <w:rPr>
          <w:rFonts w:cs="Times New Roman"/>
        </w:rPr>
        <w:t>(O</w:t>
      </w:r>
      <w:r w:rsidRPr="003A6C5A">
        <w:rPr>
          <w:rFonts w:cs="Times New Roman"/>
          <w:vertAlign w:val="subscript"/>
        </w:rPr>
        <w:t>2</w:t>
      </w:r>
      <w:r w:rsidRPr="003A6C5A">
        <w:rPr>
          <w:rFonts w:cs="Times New Roman"/>
        </w:rPr>
        <w:t xml:space="preserve">), of the experimental system is buffered by a reaction between the water pressure medium and the Ni-based vessel and filler rod alloys.  The </w:t>
      </w:r>
      <w:r w:rsidRPr="003A6C5A">
        <w:rPr>
          <w:rFonts w:cs="Times New Roman"/>
          <w:i/>
          <w:iCs/>
        </w:rPr>
        <w:t>f(</w:t>
      </w:r>
      <w:r w:rsidRPr="003A6C5A">
        <w:rPr>
          <w:rFonts w:cs="Times New Roman"/>
        </w:rPr>
        <w:t>O</w:t>
      </w:r>
      <w:r w:rsidRPr="003A6C5A">
        <w:rPr>
          <w:rFonts w:cs="Times New Roman"/>
          <w:vertAlign w:val="subscript"/>
        </w:rPr>
        <w:t>2</w:t>
      </w:r>
      <w:r w:rsidRPr="003A6C5A">
        <w:rPr>
          <w:rFonts w:cs="Times New Roman"/>
        </w:rPr>
        <w:t xml:space="preserve">) of the experimental apparatus is half a log unit below the Ni-NiO oxygen buffer (NNO) </w:t>
      </w:r>
      <w:r w:rsidRPr="003A6C5A">
        <w:rPr>
          <w:rFonts w:cs="Times New Roman"/>
        </w:rPr>
        <w:fldChar w:fldCharType="begin" w:fldLock="1"/>
      </w:r>
      <w:r w:rsidR="00266290">
        <w:rPr>
          <w:rFonts w:cs="Times New Roman"/>
        </w:rPr>
        <w:instrText>ADDIN CSL_CITATION { "citationItems" : [ { "id" : "ITEM-1", "itemData" : { "author" : [ { "dropping-particle" : "", "family" : "Wolf", "given" : "Michael B.", "non-dropping-particle" : "", "parse-names" : false, "suffix" : "" }, { "dropping-particle" : "", "family" : "London", "given" : "David", "non-dropping-particle" : "", "parse-names" : false, "suffix" : "" }, { "dropping-particle" : "", "family" : "Morgan", "given" : "George B.", "non-dropping-particle" : "", "parse-names" : false, "suffix" : "" } ], "container-title" : "Geological Society of America Abstracts with Programs", "id" : "ITEM-1", "issued" : { "date-parts" : [ [ "1994" ] ] }, "title" : "Effects of boron on the solubility of cassiterite and tantalite in granitic liquids", "type" : "paper-conference" }, "uris" : [ "http://www.mendeley.com/documents/?uuid=9cad8f65-f39f-4014-af04-2e534c0fcae9" ] } ], "mendeley" : { "formattedCitation" : "(Wolf et al., 1994)", "plainTextFormattedCitation" : "(Wolf et al., 1994)", "previouslyFormattedCitation" : "(Wolf et al. 1994)" }, "properties" : { "noteIndex" : 0 }, "schema" : "https://github.com/citation-style-language/schema/raw/master/csl-citation.json" }</w:instrText>
      </w:r>
      <w:r w:rsidRPr="003A6C5A">
        <w:rPr>
          <w:rFonts w:cs="Times New Roman"/>
        </w:rPr>
        <w:fldChar w:fldCharType="separate"/>
      </w:r>
      <w:r w:rsidR="00266290" w:rsidRPr="00266290">
        <w:rPr>
          <w:rFonts w:cs="Times New Roman"/>
          <w:noProof/>
        </w:rPr>
        <w:t>(Wolf et al., 1994)</w:t>
      </w:r>
      <w:r w:rsidRPr="003A6C5A">
        <w:rPr>
          <w:rFonts w:cs="Times New Roman"/>
        </w:rPr>
        <w:fldChar w:fldCharType="end"/>
      </w:r>
      <w:r w:rsidRPr="003A6C5A">
        <w:rPr>
          <w:rFonts w:cs="Times New Roman"/>
        </w:rPr>
        <w:t xml:space="preserve"> as determined from the solubility of cassiterite in reference to values cited by </w:t>
      </w:r>
      <w:r w:rsidRPr="003A6C5A">
        <w:rPr>
          <w:rFonts w:cs="Times New Roman"/>
        </w:rPr>
        <w:fldChar w:fldCharType="begin" w:fldLock="1"/>
      </w:r>
      <w:r w:rsidR="00266290">
        <w:rPr>
          <w:rFonts w:cs="Times New Roman"/>
        </w:rPr>
        <w:instrText>ADDIN CSL_CITATION { "citationItems" : [ { "id" : "ITEM-1", "itemData" : { "author" : [ { "dropping-particle" : "", "family" : "Taylor", "given" : "Jeff F.", "non-dropping-particle" : "", "parse-names" : false, "suffix" : "" }, { "dropping-particle" : "", "family" : "Wall", "given" : "Vic J.", "non-dropping-particle" : "", "parse-names" : false, "suffix" : "" } ], "container-title" : "Economic Geology", "id" : "ITEM-1", "issued" : { "date-parts" : [ [ "1992" ] ] }, "page" : "403-420", "title" : "The behavior of tin in granitoid magmas", "type" : "article-journal", "volume" : "87" }, "uris" : [ "http://www.mendeley.com/documents/?uuid=efb6bacd-7a80-459c-9494-f37ef9f62095" ] } ], "mendeley" : { "formattedCitation" : "(Taylor and Wall, 1992)", "manualFormatting" : "Taylor and Wall (1992)", "plainTextFormattedCitation" : "(Taylor and Wall, 1992)", "previouslyFormattedCitation" : "(Taylor and Wall 1992)" }, "properties" : { "noteIndex" : 0 }, "schema" : "https://github.com/citation-style-language/schema/raw/master/csl-citation.json" }</w:instrText>
      </w:r>
      <w:r w:rsidRPr="003A6C5A">
        <w:rPr>
          <w:rFonts w:cs="Times New Roman"/>
        </w:rPr>
        <w:fldChar w:fldCharType="separate"/>
      </w:r>
      <w:r w:rsidRPr="003A6C5A">
        <w:rPr>
          <w:rFonts w:cs="Times New Roman"/>
          <w:noProof/>
        </w:rPr>
        <w:t>Taylor and Wall (1992)</w:t>
      </w:r>
      <w:r w:rsidRPr="003A6C5A">
        <w:rPr>
          <w:rFonts w:cs="Times New Roman"/>
        </w:rPr>
        <w:fldChar w:fldCharType="end"/>
      </w:r>
      <w:r w:rsidRPr="003A6C5A">
        <w:rPr>
          <w:rFonts w:cs="Times New Roman"/>
        </w:rPr>
        <w:t xml:space="preserve">. At this </w:t>
      </w:r>
      <w:r w:rsidRPr="003A6C5A">
        <w:rPr>
          <w:rFonts w:cs="Times New Roman"/>
          <w:i/>
          <w:iCs/>
        </w:rPr>
        <w:t>f</w:t>
      </w:r>
      <w:r w:rsidRPr="003A6C5A">
        <w:rPr>
          <w:rFonts w:cs="Times New Roman"/>
        </w:rPr>
        <w:t>(O</w:t>
      </w:r>
      <w:r w:rsidRPr="003A6C5A">
        <w:rPr>
          <w:rFonts w:cs="Times New Roman"/>
          <w:vertAlign w:val="subscript"/>
        </w:rPr>
        <w:t>2</w:t>
      </w:r>
      <w:r w:rsidRPr="003A6C5A">
        <w:rPr>
          <w:rFonts w:cs="Times New Roman"/>
        </w:rPr>
        <w:t>), the fraction of Fe</w:t>
      </w:r>
      <w:r w:rsidRPr="003A6C5A">
        <w:rPr>
          <w:rFonts w:cs="Times New Roman"/>
          <w:vertAlign w:val="superscript"/>
        </w:rPr>
        <w:t>3+</w:t>
      </w:r>
      <w:r w:rsidRPr="003A6C5A">
        <w:rPr>
          <w:rFonts w:cs="Times New Roman"/>
        </w:rPr>
        <w:t>/Fe</w:t>
      </w:r>
      <w:r w:rsidRPr="003A6C5A">
        <w:rPr>
          <w:rFonts w:cs="Times New Roman"/>
          <w:vertAlign w:val="superscript"/>
        </w:rPr>
        <w:t>2+</w:t>
      </w:r>
      <w:r w:rsidRPr="003A6C5A">
        <w:rPr>
          <w:rFonts w:cs="Times New Roman"/>
        </w:rPr>
        <w:t xml:space="preserve"> is less than </w:t>
      </w:r>
      <w:r w:rsidR="00C868D7">
        <w:rPr>
          <w:rFonts w:cs="Times New Roman"/>
        </w:rPr>
        <w:t>0.1</w:t>
      </w:r>
      <w:r w:rsidRPr="003A6C5A">
        <w:rPr>
          <w:rFonts w:cs="Times New Roman"/>
        </w:rPr>
        <w:t xml:space="preserve">, based on the work of </w:t>
      </w:r>
      <w:r>
        <w:rPr>
          <w:rFonts w:cs="Times New Roman"/>
        </w:rPr>
        <w:fldChar w:fldCharType="begin" w:fldLock="1"/>
      </w:r>
      <w:r w:rsidR="00266290">
        <w:rPr>
          <w:rFonts w:cs="Times New Roman"/>
        </w:rPr>
        <w:instrText>ADDIN CSL_CITATION { "citationItems" : [ { "id" : "ITEM-1", "itemData" : { "author" : [ { "dropping-particle" : "", "family" : "Baker", "given" : "Leslie R.", "non-dropping-particle" : "", "parse-names" : false, "suffix" : "" }, { "dropping-particle" : "", "family" : "Rutherford", "given" : "Malcolm J.", "non-dropping-particle" : "", "parse-names" : false, "suffix" : "" } ], "container-title" : "Geochimica et Cosmochimica Acta", "id" : "ITEM-1", "issue" : "12", "issued" : { "date-parts" : [ [ "1996" ] ] }, "page" : "2179-2187", "title" : "The effect of dissolved water on the oxidation state of silicic melts", "type" : "article-journal", "volume" : "60" }, "uris" : [ "http://www.mendeley.com/documents/?uuid=aa7c3ade-75c6-4302-b8c0-1353f7d53eb5" ] }, { "id" : "ITEM-2", "itemData" : { "author" : [ { "dropping-particle" : "", "family" : "Moore", "given" : "Gordon", "non-dropping-particle" : "", "parse-names" : false, "suffix" : "" }, { "dropping-particle" : "", "family" : "Righter", "given" : "Kevin", "non-dropping-particle" : "", "parse-names" : false, "suffix" : "" }, { "dropping-particle" : "", "family" : "Carmichael", "given" : "I.S.E.", "non-dropping-particle" : "", "parse-names" : false, "suffix" : "" } ], "container-title" : "Contributions to Mineralogy and Petrology", "id" : "ITEM-2", "issue" : "170-179", "issued" : { "date-parts" : [ [ "1995" ] ] }, "title" : "The effect of dissolved water on the oxidation state of iron in natural silicate liquids", "type" : "article-journal", "volume" : "120" }, "uris" : [ "http://www.mendeley.com/documents/?uuid=10bf6a86-20af-45bb-a8c3-12a9a216ad80" ] } ], "mendeley" : { "formattedCitation" : "(Baker and Rutherford, 1996; Moore et al., 1995)", "manualFormatting" : "Moore et al. (1995) and Baker and Rutherford (1996)", "plainTextFormattedCitation" : "(Baker and Rutherford, 1996; Moore et al., 1995)", "previouslyFormattedCitation" : "(Moore et al. 1995; Baker and Rutherford 1996)" }, "properties" : { "noteIndex" : 0 }, "schema" : "https://github.com/citation-style-language/schema/raw/master/csl-citation.json" }</w:instrText>
      </w:r>
      <w:r>
        <w:rPr>
          <w:rFonts w:cs="Times New Roman"/>
        </w:rPr>
        <w:fldChar w:fldCharType="separate"/>
      </w:r>
      <w:r w:rsidRPr="003A6C5A">
        <w:rPr>
          <w:rFonts w:cs="Times New Roman"/>
          <w:noProof/>
        </w:rPr>
        <w:t>Moore et al. (1995) and Baker and Rutherford (1996)</w:t>
      </w:r>
      <w:r>
        <w:rPr>
          <w:rFonts w:cs="Times New Roman"/>
        </w:rPr>
        <w:fldChar w:fldCharType="end"/>
      </w:r>
      <w:r w:rsidRPr="003A6C5A">
        <w:rPr>
          <w:rFonts w:cs="Times New Roman"/>
        </w:rPr>
        <w:t xml:space="preserve"> for metaluminous granitic melts at NNO and temperatures below 900°C.  The fugacity of oxygen at the NNO oxygen buffer is below that of the Mn</w:t>
      </w:r>
      <w:r w:rsidRPr="003A6C5A">
        <w:rPr>
          <w:rFonts w:cs="Times New Roman"/>
          <w:vertAlign w:val="subscript"/>
        </w:rPr>
        <w:t>1-x</w:t>
      </w:r>
      <w:r w:rsidRPr="003A6C5A">
        <w:rPr>
          <w:rFonts w:cs="Times New Roman"/>
        </w:rPr>
        <w:t>O/Mn</w:t>
      </w:r>
      <w:r w:rsidRPr="003A6C5A">
        <w:rPr>
          <w:rFonts w:cs="Times New Roman"/>
          <w:vertAlign w:val="subscript"/>
        </w:rPr>
        <w:t>2</w:t>
      </w:r>
      <w:r w:rsidRPr="003A6C5A">
        <w:rPr>
          <w:rFonts w:cs="Times New Roman"/>
        </w:rPr>
        <w:t>O</w:t>
      </w:r>
      <w:r w:rsidRPr="003A6C5A">
        <w:rPr>
          <w:rFonts w:cs="Times New Roman"/>
          <w:vertAlign w:val="subscript"/>
        </w:rPr>
        <w:t>3</w:t>
      </w:r>
      <w:r w:rsidRPr="003A6C5A">
        <w:rPr>
          <w:rFonts w:cs="Times New Roman"/>
        </w:rPr>
        <w:t xml:space="preserve"> oxygen buffer </w:t>
      </w:r>
      <w:r w:rsidRPr="003A6C5A">
        <w:rPr>
          <w:rFonts w:cs="Times New Roman"/>
        </w:rPr>
        <w:fldChar w:fldCharType="begin" w:fldLock="1"/>
      </w:r>
      <w:r w:rsidR="00266290">
        <w:rPr>
          <w:rFonts w:cs="Times New Roman"/>
        </w:rPr>
        <w:instrText>ADDIN CSL_CITATION { "citationItems" : [ { "id" : "ITEM-1", "itemData" : { "author" : [ { "dropping-particle" : "", "family" : "Huebner", "given" : "J. Stephen", "non-dropping-particle" : "", "parse-names" : false, "suffix" : "" }, { "dropping-particle" : "", "family" : "Sato", "given" : "Motoaki", "non-dropping-particle" : "", "parse-names" : false, "suffix" : "" } ], "container-title" : "American Mineralogist", "id" : "ITEM-1", "issued" : { "date-parts" : [ [ "1970" ] ] }, "page" : "934-952", "title" : "The oxygen fugacity-temperature relationships of manganese oxide and nickel oxide buffers", "type" : "article-journal", "volume" : "55" }, "uris" : [ "http://www.mendeley.com/documents/?uuid=1be5c8e7-87be-48cb-be38-01d38de3bea1" ] } ], "mendeley" : { "formattedCitation" : "(Huebner and Sato, 1970)", "plainTextFormattedCitation" : "(Huebner and Sato, 1970)", "previouslyFormattedCitation" : "(Huebner and Sato 1970)" }, "properties" : { "noteIndex" : 0 }, "schema" : "https://github.com/citation-style-language/schema/raw/master/csl-citation.json" }</w:instrText>
      </w:r>
      <w:r w:rsidRPr="003A6C5A">
        <w:rPr>
          <w:rFonts w:cs="Times New Roman"/>
        </w:rPr>
        <w:fldChar w:fldCharType="separate"/>
      </w:r>
      <w:r w:rsidR="00266290" w:rsidRPr="00266290">
        <w:rPr>
          <w:rFonts w:cs="Times New Roman"/>
          <w:noProof/>
        </w:rPr>
        <w:t>(Huebner and Sato, 1970)</w:t>
      </w:r>
      <w:r w:rsidRPr="003A6C5A">
        <w:rPr>
          <w:rFonts w:cs="Times New Roman"/>
        </w:rPr>
        <w:fldChar w:fldCharType="end"/>
      </w:r>
      <w:r w:rsidRPr="003A6C5A">
        <w:rPr>
          <w:rFonts w:cs="Times New Roman"/>
        </w:rPr>
        <w:t>; therefore, all Mn should carry 2+ charge.</w:t>
      </w:r>
    </w:p>
    <w:p w:rsidR="00665C0F" w:rsidRPr="009F5DE0" w:rsidRDefault="009F5DE0" w:rsidP="0047415D">
      <w:pPr>
        <w:pStyle w:val="Heading3"/>
        <w:spacing w:line="480" w:lineRule="auto"/>
        <w:rPr>
          <w:rFonts w:cs="Times New Roman"/>
          <w:bCs/>
        </w:rPr>
      </w:pPr>
      <w:bookmarkStart w:id="165" w:name="_Toc491246063"/>
      <w:r w:rsidRPr="009F5DE0">
        <w:rPr>
          <w:rFonts w:cs="Times New Roman"/>
          <w:bCs/>
        </w:rPr>
        <w:t>2.5</w:t>
      </w:r>
      <w:r w:rsidR="0047415D">
        <w:rPr>
          <w:rFonts w:cs="Times New Roman"/>
          <w:bCs/>
        </w:rPr>
        <w:t>.</w:t>
      </w:r>
      <w:r w:rsidRPr="009F5DE0">
        <w:rPr>
          <w:rFonts w:cs="Times New Roman"/>
          <w:bCs/>
        </w:rPr>
        <w:t xml:space="preserve"> </w:t>
      </w:r>
      <w:r w:rsidR="00665C0F" w:rsidRPr="009F5DE0">
        <w:rPr>
          <w:rFonts w:cs="Times New Roman"/>
          <w:bCs/>
        </w:rPr>
        <w:t>Preparation of Experimental Products for Analysis</w:t>
      </w:r>
      <w:bookmarkEnd w:id="165"/>
    </w:p>
    <w:p w:rsidR="00665C0F" w:rsidRPr="003A6C5A" w:rsidRDefault="00665C0F" w:rsidP="00665C0F">
      <w:pPr>
        <w:spacing w:after="120" w:line="480" w:lineRule="auto"/>
        <w:ind w:firstLine="720"/>
        <w:rPr>
          <w:rFonts w:cs="Times New Roman"/>
        </w:rPr>
      </w:pPr>
      <w:r w:rsidRPr="003A6C5A">
        <w:rPr>
          <w:rFonts w:cs="Times New Roman"/>
        </w:rPr>
        <w:t>Experimental products were initially examined by using a stereoscopic binocular zoom microscope and oil- and/or epoxy-immersed grain mounts using a transmitted light petrographic microscope. Products were prepared for qualitative and quantitative electron microprobe analysis (EMPA) by placing products in 1” circular molds or ¼” brass holders and impregnated with EpoThin</w:t>
      </w:r>
      <w:r w:rsidRPr="003A6C5A">
        <w:rPr>
          <w:rFonts w:cs="Times New Roman"/>
          <w:vertAlign w:val="superscript"/>
        </w:rPr>
        <w:t>TM</w:t>
      </w:r>
      <w:r w:rsidRPr="003A6C5A">
        <w:rPr>
          <w:rFonts w:cs="Times New Roman"/>
        </w:rPr>
        <w:t xml:space="preserve"> epoxy (Buehler). Epoxy mounts were progressively ground down with lapping films to a 3 μm grit size, and then polished using diamond in water to a final grit size of ≤ ¼ μm. Polished experimental products were rinsed with alcohol, dried in a jet of air, and then placed in a desiccator prior to application of a carbon coat. </w:t>
      </w:r>
    </w:p>
    <w:p w:rsidR="00665C0F" w:rsidRPr="009F5DE0" w:rsidRDefault="009F5DE0" w:rsidP="0047415D">
      <w:pPr>
        <w:pStyle w:val="Heading3"/>
        <w:spacing w:line="480" w:lineRule="auto"/>
        <w:rPr>
          <w:rFonts w:cs="Times New Roman"/>
          <w:bCs/>
        </w:rPr>
      </w:pPr>
      <w:bookmarkStart w:id="166" w:name="_Toc491246064"/>
      <w:r w:rsidRPr="009F5DE0">
        <w:rPr>
          <w:rFonts w:cs="Times New Roman"/>
          <w:bCs/>
        </w:rPr>
        <w:t>2.6</w:t>
      </w:r>
      <w:r w:rsidR="0047415D">
        <w:rPr>
          <w:rFonts w:cs="Times New Roman"/>
          <w:bCs/>
        </w:rPr>
        <w:t>.</w:t>
      </w:r>
      <w:r w:rsidRPr="009F5DE0">
        <w:rPr>
          <w:rFonts w:cs="Times New Roman"/>
          <w:bCs/>
        </w:rPr>
        <w:t xml:space="preserve"> </w:t>
      </w:r>
      <w:r w:rsidR="00665C0F" w:rsidRPr="009F5DE0">
        <w:rPr>
          <w:rFonts w:cs="Times New Roman"/>
          <w:bCs/>
        </w:rPr>
        <w:t>Electron Beam Analytical Methodology</w:t>
      </w:r>
      <w:bookmarkEnd w:id="166"/>
    </w:p>
    <w:p w:rsidR="00665C0F" w:rsidRPr="003A6C5A" w:rsidRDefault="00665C0F" w:rsidP="00665C0F">
      <w:pPr>
        <w:spacing w:after="120" w:line="480" w:lineRule="auto"/>
        <w:ind w:firstLine="720"/>
        <w:rPr>
          <w:rFonts w:cs="Times New Roman"/>
        </w:rPr>
      </w:pPr>
      <w:r w:rsidRPr="003A6C5A">
        <w:rPr>
          <w:rFonts w:cs="Times New Roman"/>
        </w:rPr>
        <w:t>Most of the imaging and analyses were performed with a CAMECA SX50 electron microprobe at the University of Oklahoma. This instrument was equipped with five wavelength-dispersive spectrometers, a PGT Prism 2000 Energy-Dispersive X-ray Analyzer (EDXA) with Moxtek polymer entry window, and PC-based SAMx</w:t>
      </w:r>
      <w:r w:rsidRPr="003A6C5A">
        <w:rPr>
          <w:rFonts w:cs="Times New Roman"/>
          <w:vertAlign w:val="superscript"/>
        </w:rPr>
        <w:t>TM</w:t>
      </w:r>
      <w:r w:rsidRPr="003A6C5A">
        <w:rPr>
          <w:rFonts w:cs="Times New Roman"/>
        </w:rPr>
        <w:t xml:space="preserve"> automation system for both analysis and imaging. A small number of analyses were performed using a CAMECA SX100 microprobe beginning in 2015. Qualitative phase identification was accomplished using backscattered electron imaging coupled with EDXA</w:t>
      </w:r>
      <w:bookmarkStart w:id="167" w:name="OLE_LINK1"/>
      <w:r w:rsidRPr="003A6C5A">
        <w:rPr>
          <w:rFonts w:cs="Times New Roman"/>
        </w:rPr>
        <w:t xml:space="preserve"> using either a 15 or 20 kV accelerating voltage and 20 nA beam current</w:t>
      </w:r>
      <w:bookmarkEnd w:id="167"/>
      <w:r w:rsidRPr="003A6C5A">
        <w:rPr>
          <w:rFonts w:cs="Times New Roman"/>
        </w:rPr>
        <w:t xml:space="preserve">. </w:t>
      </w:r>
    </w:p>
    <w:p w:rsidR="00665C0F" w:rsidRPr="003A6C5A" w:rsidRDefault="00665C0F" w:rsidP="00665C0F">
      <w:pPr>
        <w:spacing w:after="120" w:line="480" w:lineRule="auto"/>
        <w:ind w:firstLine="720"/>
        <w:rPr>
          <w:rFonts w:cs="Times New Roman"/>
        </w:rPr>
      </w:pPr>
      <w:r w:rsidRPr="003A6C5A">
        <w:rPr>
          <w:rFonts w:cs="Times New Roman"/>
        </w:rPr>
        <w:t>Quantitative analyses were performed by Wavelength-Dispersive Spectrometry (WDS). Analytical conditions for tourmaline, garnet, and cordierite utilized a 15 kV accelerating voltage, 20 nA beam current, and 2 µm spot. Elements analyzed in tourmaline included B, F, Na, Mg, Al, Si, Ca, Ti, Mn, Fe, and Zn and detection limits were less than 0.05 wt.% oxide except for B and F which have detection limits of 0.24 wt.% oxide and 0.20 wt.% element, respectively. Garnet and cordierite crystals were analyzed for Fe, Mn, Na, Si, Cr, Ti, Al, Mg, K, and Ca; detection limits were below 0.06 wt.% oxide. Glass analyses used a two-condition routine to mitigate the migration of Na during analysis</w:t>
      </w:r>
      <w:r>
        <w:rPr>
          <w:rFonts w:cs="Times New Roman"/>
        </w:rPr>
        <w:t xml:space="preserve"> </w:t>
      </w:r>
      <w:r w:rsidRPr="003A6C5A">
        <w:rPr>
          <w:rFonts w:cs="Times New Roman"/>
        </w:rPr>
        <w:fldChar w:fldCharType="begin" w:fldLock="1"/>
      </w:r>
      <w:r w:rsidR="00266290">
        <w:rPr>
          <w:rFonts w:cs="Times New Roman"/>
        </w:rPr>
        <w:instrText>ADDIN CSL_CITATION { "citationItems" : [ { "id" : "ITEM-1", "itemData" : { "DOI" : "10.2138/am.2005.1769", "ISBN" : "0003-004X", "ISSN" : "0003004X", "abstract" : "The time-dependent lose of Na Ka X-ray intensity during electron-beam irradiation of hydrous alkali aluminosilicate glasses is apparently more significant during the initial few seconds of beam exposure than it is for anhydrous glasses, and it is pronounced for incident beam currents &gt;2-5 nA (using 15-20 \u00b5m beam diameters). Exponential fits of Na Ka intensity vs. time show a progressive decrease in the apparent zero-time intercepts for incident beams from 2 to 20 nA, and thus methods for correcting Na concentrations solely on the basis of curve fitting and extrapolation to zero-time values may underestimate Na contents by almost 10% (relative) for higher beam currents. Similar exponential fits to the intensity-time data for Al Ka and Si Ka show that \"grow-in\" is greater for Al than for Si. For incident currents &gt;= 5 nA, the magnitudes of all intensity changes also increase with total H2O content of glass. In the basis of these observations, the optimal conditions for analysis of hydrous alkali aluminosilicate glasses include a 2 nA beam with 20 \u00b5m diameter and counting times of 20-40s for the analysis of alkali aluminosilicate components, with Na and Al analyzed first (simultaneously, if possible). These methods minimize Na loss and grow)in for Al and Si to the point that little or no correction is needed, provide good statistical accuracy, and work with a wide variety of standard materials (i.e., glass standards with compositions and H2O contents comparablee to the unknowns are not needed). For complete analysis of more complex multicomponent systems, two beam conditions are recommended: an initial 2 nA, 20 \u00b5m diameter beam for analysis of alkali aluminosilicate components, followed by a 20 nA, 20 \u00b5m diameter beam for analysis of all other components. With the use of these methods, the H2O contents of hydrous glasses (H2O as the only unknown) can be determined by difference with uncertainties mostly &lt;5% (relative to FTIR values) for glasses containing up to 10 wt% H2O. At beam currents &gt; 5 nA, corrections for Na loss ignoring Al (and Si) grow-in underestimate H2O contents by about 10-50% of concentration.", "author" : [ { "dropping-particle" : "", "family" : "Morgan VI", "given" : "George B.", "non-dropping-particle" : "", "parse-names" : false, "suffix" : "" }, { "dropping-particle" : "", "family" : "London", "given" : "David", "non-dropping-particle" : "", "parse-names" : false, "suffix" : "" } ], "container-title" : "American Mineralogist", "id" : "ITEM-1", "issue" : "9-10", "issued" : { "date-parts" : [ [ "1996" ] ] }, "page" : "1176-1185", "title" : "Optimizing the electron microprobe analysis of hydrous alkali aluminosilicate glasses", "type" : "article-journal", "volume" : "81" }, "uris" : [ "http://www.mendeley.com/documents/?uuid=6bd6752b-d00a-43e5-818c-223a0e122043" ] }, { "id" : "ITEM-2", "itemData" : { "author" : [ { "dropping-particle" : "", "family" : "Morgan", "given" : "George B.", "non-dropping-particle" : "", "parse-names" : false, "suffix" : "" }, { "dropping-particle" : "", "family" : "London", "given" : "David", "non-dropping-particle" : "", "parse-names" : false, "suffix" : "" } ], "container-title" : "American Mineralogist", "id" : "ITEM-2", "issued" : { "date-parts" : [ [ "2005" ] ] }, "page" : "1131-1138", "title" : "Effect of current density on the electron microprobe analysis of alkali aluminosilicate glasses", "type" : "article-journal", "volume" : "90" }, "uris" : [ "http://www.mendeley.com/documents/?uuid=c4174026-716a-4710-9685-ee7f80f740e5" ] } ], "mendeley" : { "formattedCitation" : "(Morgan and London, 2005; Morgan VI and London, 1996)", "manualFormatting" : "(Morgan and London 1996; Morgan and London 2005)", "plainTextFormattedCitation" : "(Morgan and London, 2005; Morgan VI and London, 1996)", "previouslyFormattedCitation" : "(Morgan VI and London 1996; Morgan and London 2005)" }, "properties" : { "noteIndex" : 0 }, "schema" : "https://github.com/citation-style-language/schema/raw/master/csl-citation.json" }</w:instrText>
      </w:r>
      <w:r w:rsidRPr="003A6C5A">
        <w:rPr>
          <w:rFonts w:cs="Times New Roman"/>
        </w:rPr>
        <w:fldChar w:fldCharType="separate"/>
      </w:r>
      <w:r w:rsidRPr="003A6C5A">
        <w:rPr>
          <w:rFonts w:cs="Times New Roman"/>
          <w:noProof/>
        </w:rPr>
        <w:t>(Morgan and London 1996; Morgan and London 2005)</w:t>
      </w:r>
      <w:r w:rsidRPr="003A6C5A">
        <w:rPr>
          <w:rFonts w:cs="Times New Roman"/>
        </w:rPr>
        <w:fldChar w:fldCharType="end"/>
      </w:r>
      <w:r w:rsidRPr="003A6C5A">
        <w:rPr>
          <w:rFonts w:cs="Times New Roman"/>
        </w:rPr>
        <w:t xml:space="preserve">. The first condition used 15 kV accelerating voltage, 2 nA beam current, and 20 µm spot for analysis of Na, K, Ca, Al, and Si; the second condition used 15 kV accelerating voltage, 40 nA beam current, and 20 µm spot for analysis of Mg, Mn, Fe, Ti, F and B. Counting times for all elements resulted in detection limits less than 0.05 wt.% oxide except for B and which had detection limits of 0.24 wt.% oxide and 0.13 wt.% element, respectively. Data reduction employed the PAP method </w:t>
      </w:r>
      <w:r w:rsidRPr="003A6C5A">
        <w:rPr>
          <w:rFonts w:cs="Times New Roman"/>
        </w:rPr>
        <w:fldChar w:fldCharType="begin" w:fldLock="1"/>
      </w:r>
      <w:r w:rsidR="00266290">
        <w:rPr>
          <w:rFonts w:cs="Times New Roman"/>
        </w:rPr>
        <w:instrText>ADDIN CSL_CITATION { "citationItems" : [ { "id" : "ITEM-1", "itemData" : { "author" : [ { "dropping-particle" : "", "family" : "Pouchou", "given" : "J.L.", "non-dropping-particle" : "", "parse-names" : false, "suffix" : "" }, { "dropping-particle" : "", "family" : "Pichoir", "given" : "F.", "non-dropping-particle" : "", "parse-names" : false, "suffix" : "" } ], "container-title" : "Microbeam Analysis", "id" : "ITEM-1", "issued" : { "date-parts" : [ [ "1985" ] ] }, "page" : "104-106", "publisher" : "San Francisco Press, California", "title" : "\"PAP\" (\u0278-\u03c1-z) correction procedure for improved quantitative microanalysis", "type" : "chapter" }, "uris" : [ "http://www.mendeley.com/documents/?uuid=6e588b2f-7a78-44c6-b4d1-8c2f08cd1f56" ] } ], "mendeley" : { "formattedCitation" : "(Pouchou and Pichoir, 1985)", "plainTextFormattedCitation" : "(Pouchou and Pichoir, 1985)", "previouslyFormattedCitation" : "(Pouchou and Pichoir 1985)" }, "properties" : { "noteIndex" : 0 }, "schema" : "https://github.com/citation-style-language/schema/raw/master/csl-citation.json" }</w:instrText>
      </w:r>
      <w:r w:rsidRPr="003A6C5A">
        <w:rPr>
          <w:rFonts w:cs="Times New Roman"/>
        </w:rPr>
        <w:fldChar w:fldCharType="separate"/>
      </w:r>
      <w:r w:rsidR="00266290" w:rsidRPr="00266290">
        <w:rPr>
          <w:rFonts w:cs="Times New Roman"/>
          <w:noProof/>
        </w:rPr>
        <w:t>(Pouchou and Pichoir, 1985)</w:t>
      </w:r>
      <w:r w:rsidRPr="003A6C5A">
        <w:rPr>
          <w:rFonts w:cs="Times New Roman"/>
        </w:rPr>
        <w:fldChar w:fldCharType="end"/>
      </w:r>
      <w:r w:rsidRPr="003A6C5A">
        <w:rPr>
          <w:rFonts w:cs="Times New Roman"/>
        </w:rPr>
        <w:t xml:space="preserve">. </w:t>
      </w:r>
    </w:p>
    <w:p w:rsidR="00665C0F" w:rsidRPr="009F5DE0" w:rsidRDefault="009F5DE0" w:rsidP="0047415D">
      <w:pPr>
        <w:pStyle w:val="Heading3"/>
        <w:spacing w:line="480" w:lineRule="auto"/>
        <w:rPr>
          <w:rFonts w:cs="Times New Roman"/>
          <w:bCs/>
        </w:rPr>
      </w:pPr>
      <w:bookmarkStart w:id="168" w:name="_Toc491246065"/>
      <w:r w:rsidRPr="009F5DE0">
        <w:rPr>
          <w:rFonts w:cs="Times New Roman"/>
          <w:bCs/>
        </w:rPr>
        <w:t>2.7</w:t>
      </w:r>
      <w:r w:rsidR="0047415D">
        <w:rPr>
          <w:rFonts w:cs="Times New Roman"/>
          <w:bCs/>
        </w:rPr>
        <w:t>.</w:t>
      </w:r>
      <w:r w:rsidRPr="009F5DE0">
        <w:rPr>
          <w:rFonts w:cs="Times New Roman"/>
          <w:bCs/>
        </w:rPr>
        <w:t xml:space="preserve"> </w:t>
      </w:r>
      <w:r w:rsidR="00665C0F" w:rsidRPr="009F5DE0">
        <w:rPr>
          <w:rFonts w:cs="Times New Roman"/>
          <w:bCs/>
        </w:rPr>
        <w:t>Mineral Formula Calculations</w:t>
      </w:r>
      <w:bookmarkEnd w:id="168"/>
      <w:r w:rsidR="00665C0F" w:rsidRPr="009F5DE0">
        <w:rPr>
          <w:rFonts w:cs="Times New Roman"/>
          <w:bCs/>
        </w:rPr>
        <w:t xml:space="preserve"> </w:t>
      </w:r>
    </w:p>
    <w:p w:rsidR="00665C0F" w:rsidRPr="003A6C5A" w:rsidRDefault="00665C0F" w:rsidP="00665C0F">
      <w:pPr>
        <w:spacing w:after="120" w:line="480" w:lineRule="auto"/>
        <w:ind w:firstLine="720"/>
        <w:rPr>
          <w:rFonts w:cs="Times New Roman"/>
        </w:rPr>
      </w:pPr>
      <w:r w:rsidRPr="003A6C5A">
        <w:rPr>
          <w:rFonts w:cs="Times New Roman"/>
        </w:rPr>
        <w:t>Chemical formulae for garnet and cordierite crystals were calculated from EMPA chemical data based on 12 and 18 oxygen atoms, respectively. The chemical formula of the garnet group is {X</w:t>
      </w:r>
      <w:r w:rsidRPr="003A6C5A">
        <w:rPr>
          <w:rFonts w:cs="Times New Roman"/>
          <w:vertAlign w:val="subscript"/>
        </w:rPr>
        <w:t>3</w:t>
      </w:r>
      <w:r w:rsidRPr="003A6C5A">
        <w:rPr>
          <w:rFonts w:cs="Times New Roman"/>
        </w:rPr>
        <w:t>}[Y</w:t>
      </w:r>
      <w:r w:rsidRPr="003A6C5A">
        <w:rPr>
          <w:rFonts w:cs="Times New Roman"/>
          <w:vertAlign w:val="subscript"/>
        </w:rPr>
        <w:t>2</w:t>
      </w:r>
      <w:r w:rsidRPr="003A6C5A">
        <w:rPr>
          <w:rFonts w:cs="Times New Roman"/>
        </w:rPr>
        <w:t>](Z</w:t>
      </w:r>
      <w:r w:rsidRPr="003A6C5A">
        <w:rPr>
          <w:rFonts w:cs="Times New Roman"/>
          <w:vertAlign w:val="subscript"/>
        </w:rPr>
        <w:t>3</w:t>
      </w:r>
      <w:r w:rsidRPr="003A6C5A">
        <w:rPr>
          <w:rFonts w:cs="Times New Roman"/>
        </w:rPr>
        <w:t>)O</w:t>
      </w:r>
      <w:r w:rsidRPr="003A6C5A">
        <w:rPr>
          <w:rFonts w:cs="Times New Roman"/>
          <w:vertAlign w:val="subscript"/>
        </w:rPr>
        <w:t xml:space="preserve">12 </w:t>
      </w:r>
      <w:r w:rsidRPr="003A6C5A">
        <w:rPr>
          <w:rFonts w:cs="Times New Roman"/>
        </w:rPr>
        <w:fldChar w:fldCharType="begin" w:fldLock="1"/>
      </w:r>
      <w:r w:rsidR="00266290">
        <w:rPr>
          <w:rFonts w:cs="Times New Roman"/>
        </w:rPr>
        <w:instrText>ADDIN CSL_CITATION { "citationItems" : [ { "id" : "ITEM-1", "itemData" : { "DOI" : "10.2138/am.2013.4201", "ISBN" : "0003-004X", "ISSN" : "0003004X", "abstract" : "The garnet supergroup includes all minerals isostructural with garnet regardless of what elements occupy the four atomic sites, i.e., the supergroup includes several chemical classes. There are pres- ently 32 approved species, with an additional 5 possible species needing further study to be approved. The general formula for the garnet supergroup minerals is {X3 }[Y2 ](Z3 )\u03d512, where X, Y, and Z refer to dodecahedral, octahedral, and tetrahedral sites, respectively, and \u03d5 is O, OH, or F. Most garnets are cubic, space group Ia3d (no. 230), but two OH-bearing species (henritermierite and holtstamite) have tetragonal symmetry, space group, I41 /acd (no. 142), and their X, Z, and \u03d5 sites are split into more symmetrically unique atomic positions. Total charge at the Z site and symmetry are criteria for distinguishing groups, whereas the dominant-constituent and dominant-valency rules are critical in identifying species. Twenty-nine species belong to one of five groups: the tetragonal henritermierite group and the isometric bitikleite, schorlomite, garnet, and berzeliite groups with a total charge at Z of 8 (silicate), 9 (oxide), 10 (silicate), 12 (silicate), and 15 (vanadate, arsenate), respectively. Three species are single representatives of potential groups in which Z is vacant or occupied by monovalent (halide, hydroxide) or divalent cations (oxide). We recommend that suffixes (other than Levinson modifiers) not be used in naming minerals in the garnet supergroup. Existing names with suffixes have been replaced with new root names where necessary: bitikleite-(SnAl) to bitikleite, bitikleite-(SnFe) to dzhuluite, bitikleite-(ZrFe) to usturite, and elbrusite-(Zr) to elbrusite. The name hibschite has been discredited in favor of grossular as Si is the dominant cation at the Z site. Twenty-one end-members have been reported as subordinate components in minerals of the garnet supergroup of which six have been reported in amounts up to 20 mol% or more, and, thus, there is potential for more species to be discovered in the garnet supergroup. The nomenclature outlined in this report has been approved by the Commission on New Minerals, Nomenclature and Classification of the International Mineralogical Association (Voting Proposal 11-D).", "author" : [ { "dropping-particle" : "", "family" : "Grew", "given" : "Edward S.", "non-dropping-particle" : "", "parse-names" : false, "suffix" : "" }, { "dropping-particle" : "", "family" : "Locock", "given" : "Andrew J.", "non-dropping-particle" : "", "parse-names" : false, "suffix" : "" }, { "dropping-particle" : "", "family" : "Mills", "given" : "Stuart J.", "non-dropping-particle" : "", "parse-names" : false, "suffix" : "" }, { "dropping-particle" : "", "family" : "Galuskina", "given" : "Irina O.", "non-dropping-particle" : "", "parse-names" : false, "suffix" : "" }, { "dropping-particle" : "V.", "family" : "Galuskin", "given" : "Evgeny", "non-dropping-particle" : "", "parse-names" : false, "suffix" : "" }, { "dropping-particle" : "", "family" : "H\u00e5lenius", "given" : "Ulf", "non-dropping-particle" : "", "parse-names" : false, "suffix" : "" } ], "container-title" : "American Mineralogist", "id" : "ITEM-1", "issued" : { "date-parts" : [ [ "2013" ] ] }, "page" : "785-811", "title" : "IMA report: Nomenclature of the garnet supergroup", "type" : "article-journal", "volume" : "98" }, "uris" : [ "http://www.mendeley.com/documents/?uuid=53ea4361-356a-3def-ad80-3be90e7296cf" ] } ], "mendeley" : { "formattedCitation" : "(Grew et al., 2013)", "plainTextFormattedCitation" : "(Grew et al., 2013)", "previouslyFormattedCitation" : "(Grew et al. 2013)" }, "properties" : { "noteIndex" : 0 }, "schema" : "https://github.com/citation-style-language/schema/raw/master/csl-citation.json" }</w:instrText>
      </w:r>
      <w:r w:rsidRPr="003A6C5A">
        <w:rPr>
          <w:rFonts w:cs="Times New Roman"/>
        </w:rPr>
        <w:fldChar w:fldCharType="separate"/>
      </w:r>
      <w:r w:rsidR="00266290" w:rsidRPr="00266290">
        <w:rPr>
          <w:rFonts w:cs="Times New Roman"/>
          <w:noProof/>
        </w:rPr>
        <w:t>(Grew et al., 2013)</w:t>
      </w:r>
      <w:r w:rsidRPr="003A6C5A">
        <w:rPr>
          <w:rFonts w:cs="Times New Roman"/>
        </w:rPr>
        <w:fldChar w:fldCharType="end"/>
      </w:r>
      <w:r w:rsidRPr="003A6C5A">
        <w:rPr>
          <w:rFonts w:cs="Times New Roman"/>
        </w:rPr>
        <w:t xml:space="preserve">. Site assignments follow the method of </w:t>
      </w:r>
      <w:r>
        <w:rPr>
          <w:rFonts w:cs="Times New Roman"/>
        </w:rPr>
        <w:fldChar w:fldCharType="begin" w:fldLock="1"/>
      </w:r>
      <w:r w:rsidR="00266290">
        <w:rPr>
          <w:rFonts w:cs="Times New Roman"/>
        </w:rPr>
        <w:instrText>ADDIN CSL_CITATION { "citationItems" : [ { "id" : "ITEM-1", "itemData" : { "DOI" : "10.2138/am.2013.4201", "ISBN" : "0003-004X", "ISSN" : "0003004X", "abstract" : "The garnet supergroup includes all minerals isostructural with garnet regardless of what elements occupy the four atomic sites, i.e., the supergroup includes several chemical classes. There are pres- ently 32 approved species, with an additional 5 possible species needing further study to be approved. The general formula for the garnet supergroup minerals is {X3 }[Y2 ](Z3 )\u03d512, where X, Y, and Z refer to dodecahedral, octahedral, and tetrahedral sites, respectively, and \u03d5 is O, OH, or F. Most garnets are cubic, space group Ia3d (no. 230), but two OH-bearing species (henritermierite and holtstamite) have tetragonal symmetry, space group, I41 /acd (no. 142), and their X, Z, and \u03d5 sites are split into more symmetrically unique atomic positions. Total charge at the Z site and symmetry are criteria for distinguishing groups, whereas the dominant-constituent and dominant-valency rules are critical in identifying species. Twenty-nine species belong to one of five groups: the tetragonal henritermierite group and the isometric bitikleite, schorlomite, garnet, and berzeliite groups with a total charge at Z of 8 (silicate), 9 (oxide), 10 (silicate), 12 (silicate), and 15 (vanadate, arsenate), respectively. Three species are single representatives of potential groups in which Z is vacant or occupied by monovalent (halide, hydroxide) or divalent cations (oxide). We recommend that suffixes (other than Levinson modifiers) not be used in naming minerals in the garnet supergroup. Existing names with suffixes have been replaced with new root names where necessary: bitikleite-(SnAl) to bitikleite, bitikleite-(SnFe) to dzhuluite, bitikleite-(ZrFe) to usturite, and elbrusite-(Zr) to elbrusite. The name hibschite has been discredited in favor of grossular as Si is the dominant cation at the Z site. Twenty-one end-members have been reported as subordinate components in minerals of the garnet supergroup of which six have been reported in amounts up to 20 mol% or more, and, thus, there is potential for more species to be discovered in the garnet supergroup. The nomenclature outlined in this report has been approved by the Commission on New Minerals, Nomenclature and Classification of the International Mineralogical Association (Voting Proposal 11-D).", "author" : [ { "dropping-particle" : "", "family" : "Grew", "given" : "Edward S.", "non-dropping-particle" : "", "parse-names" : false, "suffix" : "" }, { "dropping-particle" : "", "family" : "Locock", "given" : "Andrew J.", "non-dropping-particle" : "", "parse-names" : false, "suffix" : "" }, { "dropping-particle" : "", "family" : "Mills", "given" : "Stuart J.", "non-dropping-particle" : "", "parse-names" : false, "suffix" : "" }, { "dropping-particle" : "", "family" : "Galuskina", "given" : "Irina O.", "non-dropping-particle" : "", "parse-names" : false, "suffix" : "" }, { "dropping-particle" : "V.", "family" : "Galuskin", "given" : "Evgeny", "non-dropping-particle" : "", "parse-names" : false, "suffix" : "" }, { "dropping-particle" : "", "family" : "H\u00e5lenius", "given" : "Ulf", "non-dropping-particle" : "", "parse-names" : false, "suffix" : "" } ], "container-title" : "American Mineralogist", "id" : "ITEM-1", "issued" : { "date-parts" : [ [ "2013" ] ] }, "page" : "785-811", "title" : "IMA report: Nomenclature of the garnet supergroup", "type" : "article-journal", "volume" : "98" }, "uris" : [ "http://www.mendeley.com/documents/?uuid=53ea4361-356a-3def-ad80-3be90e7296cf" ] } ], "mendeley" : { "formattedCitation" : "(Grew et al., 2013)", "manualFormatting" : "Grew et al. (2013)", "plainTextFormattedCitation" : "(Grew et al., 2013)", "previouslyFormattedCitation" : "(Grew et al. 2013)" }, "properties" : { "noteIndex" : 0 }, "schema" : "https://github.com/citation-style-language/schema/raw/master/csl-citation.json" }</w:instrText>
      </w:r>
      <w:r>
        <w:rPr>
          <w:rFonts w:cs="Times New Roman"/>
        </w:rPr>
        <w:fldChar w:fldCharType="separate"/>
      </w:r>
      <w:r w:rsidRPr="00056293">
        <w:rPr>
          <w:rFonts w:cs="Times New Roman"/>
          <w:noProof/>
        </w:rPr>
        <w:t xml:space="preserve">Grew et al. </w:t>
      </w:r>
      <w:r>
        <w:rPr>
          <w:rFonts w:cs="Times New Roman"/>
          <w:noProof/>
        </w:rPr>
        <w:t>(</w:t>
      </w:r>
      <w:r w:rsidRPr="00056293">
        <w:rPr>
          <w:rFonts w:cs="Times New Roman"/>
          <w:noProof/>
        </w:rPr>
        <w:t>2013)</w:t>
      </w:r>
      <w:r>
        <w:rPr>
          <w:rFonts w:cs="Times New Roman"/>
        </w:rPr>
        <w:fldChar w:fldCharType="end"/>
      </w:r>
      <w:r w:rsidRPr="003A6C5A">
        <w:rPr>
          <w:rFonts w:cs="Times New Roman"/>
        </w:rPr>
        <w:t>, and only include elements analyzed in this study. The chemical formula of the cordierite group is M</w:t>
      </w:r>
      <w:r w:rsidRPr="003A6C5A">
        <w:rPr>
          <w:rFonts w:cs="Times New Roman"/>
          <w:vertAlign w:val="subscript"/>
        </w:rPr>
        <w:t>2</w:t>
      </w:r>
      <w:r w:rsidRPr="003A6C5A">
        <w:rPr>
          <w:rFonts w:cs="Times New Roman"/>
        </w:rPr>
        <w:t>Al</w:t>
      </w:r>
      <w:r w:rsidRPr="003A6C5A">
        <w:rPr>
          <w:rFonts w:cs="Times New Roman"/>
          <w:vertAlign w:val="subscript"/>
        </w:rPr>
        <w:t>4</w:t>
      </w:r>
      <w:r w:rsidRPr="003A6C5A">
        <w:rPr>
          <w:rFonts w:cs="Times New Roman"/>
        </w:rPr>
        <w:t>Si</w:t>
      </w:r>
      <w:r w:rsidRPr="003A6C5A">
        <w:rPr>
          <w:rFonts w:cs="Times New Roman"/>
          <w:vertAlign w:val="subscript"/>
        </w:rPr>
        <w:t>5</w:t>
      </w:r>
      <w:r w:rsidRPr="003A6C5A">
        <w:rPr>
          <w:rFonts w:cs="Times New Roman"/>
        </w:rPr>
        <w:t>O</w:t>
      </w:r>
      <w:r w:rsidRPr="003A6C5A">
        <w:rPr>
          <w:rFonts w:cs="Times New Roman"/>
          <w:vertAlign w:val="subscript"/>
        </w:rPr>
        <w:t>18</w:t>
      </w:r>
      <w:r w:rsidRPr="003A6C5A">
        <w:rPr>
          <w:rFonts w:cs="Times New Roman"/>
        </w:rPr>
        <w:t>, where M can be occupied by Fe, Mg, and Mn.</w:t>
      </w:r>
    </w:p>
    <w:p w:rsidR="00665C0F" w:rsidRPr="003A6C5A" w:rsidRDefault="00665C0F" w:rsidP="00665C0F">
      <w:pPr>
        <w:spacing w:after="120" w:line="480" w:lineRule="auto"/>
        <w:ind w:firstLine="720"/>
        <w:rPr>
          <w:rFonts w:cs="Times New Roman"/>
        </w:rPr>
      </w:pPr>
      <w:r w:rsidRPr="003A6C5A">
        <w:rPr>
          <w:rFonts w:cs="Times New Roman"/>
        </w:rPr>
        <w:t>The chemical formula for minerals of the tourmaline supergroup is XY</w:t>
      </w:r>
      <w:r w:rsidRPr="003A6C5A">
        <w:rPr>
          <w:rFonts w:cs="Times New Roman"/>
          <w:vertAlign w:val="subscript"/>
        </w:rPr>
        <w:t>3</w:t>
      </w:r>
      <w:r w:rsidRPr="003A6C5A">
        <w:rPr>
          <w:rFonts w:cs="Times New Roman"/>
        </w:rPr>
        <w:t>Z</w:t>
      </w:r>
      <w:r w:rsidRPr="003A6C5A">
        <w:rPr>
          <w:rFonts w:cs="Times New Roman"/>
          <w:vertAlign w:val="subscript"/>
        </w:rPr>
        <w:t>6</w:t>
      </w:r>
      <w:r w:rsidRPr="003A6C5A">
        <w:rPr>
          <w:rFonts w:cs="Times New Roman"/>
        </w:rPr>
        <w:t>(BO</w:t>
      </w:r>
      <w:r w:rsidRPr="003A6C5A">
        <w:rPr>
          <w:rFonts w:cs="Times New Roman"/>
          <w:vertAlign w:val="subscript"/>
        </w:rPr>
        <w:t>3</w:t>
      </w:r>
      <w:r w:rsidRPr="003A6C5A">
        <w:rPr>
          <w:rFonts w:cs="Times New Roman"/>
        </w:rPr>
        <w:t>)</w:t>
      </w:r>
      <w:r w:rsidRPr="003A6C5A">
        <w:rPr>
          <w:rFonts w:cs="Times New Roman"/>
          <w:vertAlign w:val="subscript"/>
        </w:rPr>
        <w:t>3</w:t>
      </w:r>
      <w:r w:rsidRPr="003A6C5A">
        <w:rPr>
          <w:rFonts w:cs="Times New Roman"/>
        </w:rPr>
        <w:t>(T</w:t>
      </w:r>
      <w:r w:rsidRPr="003A6C5A">
        <w:rPr>
          <w:rFonts w:cs="Times New Roman"/>
          <w:vertAlign w:val="subscript"/>
        </w:rPr>
        <w:t>6</w:t>
      </w:r>
      <w:r w:rsidRPr="003A6C5A">
        <w:rPr>
          <w:rFonts w:cs="Times New Roman"/>
        </w:rPr>
        <w:t>O</w:t>
      </w:r>
      <w:r w:rsidRPr="003A6C5A">
        <w:rPr>
          <w:rFonts w:cs="Times New Roman"/>
          <w:vertAlign w:val="subscript"/>
        </w:rPr>
        <w:t>18</w:t>
      </w:r>
      <w:r w:rsidRPr="003A6C5A">
        <w:rPr>
          <w:rFonts w:cs="Times New Roman"/>
        </w:rPr>
        <w:t>)(V)</w:t>
      </w:r>
      <w:r w:rsidRPr="003A6C5A">
        <w:rPr>
          <w:rFonts w:cs="Times New Roman"/>
          <w:vertAlign w:val="subscript"/>
        </w:rPr>
        <w:t>3</w:t>
      </w:r>
      <w:r w:rsidRPr="003A6C5A">
        <w:rPr>
          <w:rFonts w:cs="Times New Roman"/>
        </w:rPr>
        <w:t xml:space="preserve">(W) </w:t>
      </w:r>
      <w:r w:rsidRPr="003A6C5A">
        <w:rPr>
          <w:rFonts w:cs="Times New Roman"/>
        </w:rPr>
        <w:fldChar w:fldCharType="begin" w:fldLock="1"/>
      </w:r>
      <w:r w:rsidR="00266290">
        <w:rPr>
          <w:rFonts w:cs="Times New Roman"/>
        </w:rPr>
        <w:instrText>ADDIN CSL_CITATION { "citationItems" : [ { "id" : "ITEM-1", "itemData" : { "DOI" : "10.2138/am.2011.3636", "ISBN" : "19453027", "ISSN" : "0003004X", "abstract" : "A nomenclature for tourmaline-supergroup minerals is based on chemical systematics using the generalized tourmaline structural formula: XY3 Z6 (T6 O18 )(BO3 )3 V3 W, where the most common ions (or vacancy) at each site are X = Na1+ , Ca2+ , K1+ , and vacancy; Y = Fe2+ , Mg2+ , Mn2+ , Al3+ , Li1+ , Fe3+ , and Cr3+ ; Z = Al3+ , Fe3+ , Mg2+ , and Cr3+ ; T = Si4+ , Al3+ , and B3+ ; B = B3+ ; V = OH1\u2013 and O2\u2013 ; and W = OH1\u2013 , F1\u2013 , and O2\u2013 . Most compositional variability occurs at the X, Y, Z, W, and V sites. Tourmaline species are defined in accordance with the dominant-valency rule such that in a relevant site the dominant ion of the dominant valence state is used for the basis of nomenclature. Tourmaline can be divided into several groups and subgroups. The primary groups are based on occupancy of the X site, which yields alkali, calcic, or X-vacant groups. Because each of these groups involves cations (or vacancy) with a different charge, coupled substitutions are required to relate the compositions of the groups. Within each group, there are several subgroups related by heterovalent coupled substitu- tions. If there is more than one tourmaline species within a subgroup, they are related by homovalent substitutions. Additionally, the following considerations are made. (1) In tourmaline-supergroup minerals dominated by either OH1\u2013 or F1\u2013 at the W site, the OH1\u2013 -dominant species is considered the reference root composition for that root name: e.g., dravite. (2) For a tourmaline composition that has most of the chemical characteristics of a root composition, but is dominated by other cations or anions at one or more sites, the mineral species is designated by the root name plus prefix modifiers, e.g., fluor-dravite. (3) If there are multiple prefixes, they should be arranged in the order occurring in the structural formula, e.g., \u201cpotassium-fluor-dravite.\u201d", "author" : [ { "dropping-particle" : "", "family" : "Henry", "given" : "Darrell J.", "non-dropping-particle" : "", "parse-names" : false, "suffix" : "" }, { "dropping-particle" : "", "family" : "Nov\u00e1k", "given" : "Milan", "non-dropping-particle" : "", "parse-names" : false, "suffix" : "" }, { "dropping-particle" : "", "family" : "Hawthorne", "given" : "Frank C.", "non-dropping-particle" : "", "parse-names" : false, "suffix" : "" }, { "dropping-particle" : "", "family" : "Ertl", "given" : "Andreas", "non-dropping-particle" : "", "parse-names" : false, "suffix" : "" }, { "dropping-particle" : "", "family" : "Dutrow", "given" : "Barbara L.", "non-dropping-particle" : "", "parse-names" : false, "suffix" : "" }, { "dropping-particle" : "", "family" : "Uher", "given" : "Pavel", "non-dropping-particle" : "", "parse-names" : false, "suffix" : "" }, { "dropping-particle" : "", "family" : "Pezzotta", "given" : "Federico", "non-dropping-particle" : "", "parse-names" : false, "suffix" : "" } ], "container-title" : "American Mineralogist", "id" : "ITEM-1", "issue" : "5-6", "issued" : { "date-parts" : [ [ "2011" ] ] }, "page" : "895-913", "title" : "Nomenclature of the tourmaline-supergroup minerals", "type" : "article-journal", "volume" : "96" }, "uris" : [ "http://www.mendeley.com/documents/?uuid=3f368782-c636-4c31-a451-c4ec16bcf0f7" ] } ], "mendeley" : { "formattedCitation" : "(Henry et al., 2011)", "plainTextFormattedCitation" : "(Henry et al., 2011)", "previouslyFormattedCitation" : "(Henry et al. 2011)" }, "properties" : { "noteIndex" : 0 }, "schema" : "https://github.com/citation-style-language/schema/raw/master/csl-citation.json" }</w:instrText>
      </w:r>
      <w:r w:rsidRPr="003A6C5A">
        <w:rPr>
          <w:rFonts w:cs="Times New Roman"/>
        </w:rPr>
        <w:fldChar w:fldCharType="separate"/>
      </w:r>
      <w:r w:rsidR="00266290" w:rsidRPr="00266290">
        <w:rPr>
          <w:rFonts w:cs="Times New Roman"/>
          <w:noProof/>
        </w:rPr>
        <w:t>(Henry et al., 2011)</w:t>
      </w:r>
      <w:r w:rsidRPr="003A6C5A">
        <w:rPr>
          <w:rFonts w:cs="Times New Roman"/>
        </w:rPr>
        <w:fldChar w:fldCharType="end"/>
      </w:r>
      <w:r w:rsidRPr="003A6C5A">
        <w:rPr>
          <w:rFonts w:cs="Times New Roman"/>
        </w:rPr>
        <w:t>. Cations were calculated from EMPA data on a 29 oxygen atom basis. An Excel</w:t>
      </w:r>
      <w:r w:rsidRPr="003A6C5A">
        <w:rPr>
          <w:rFonts w:cs="Times New Roman"/>
          <w:vertAlign w:val="superscript"/>
        </w:rPr>
        <w:t>TM</w:t>
      </w:r>
      <w:r w:rsidRPr="003A6C5A">
        <w:rPr>
          <w:rFonts w:cs="Times New Roman"/>
        </w:rPr>
        <w:t xml:space="preserve"> spreadsheet developed by </w:t>
      </w:r>
      <w:r w:rsidRPr="003A6C5A">
        <w:rPr>
          <w:rFonts w:cs="Times New Roman"/>
        </w:rPr>
        <w:fldChar w:fldCharType="begin" w:fldLock="1"/>
      </w:r>
      <w:r w:rsidR="00266290">
        <w:rPr>
          <w:rFonts w:cs="Times New Roman"/>
        </w:rPr>
        <w:instrText>ADDIN CSL_CITATION { "citationItems" : [ { "id" : "ITEM-1", "itemData" : { "DOI" : "10.2138/am-2016-5392", "ISSN" : "0003-004X", "author" : [ { "dropping-particle" : "", "family" : "Morgan", "given" : "George B.", "non-dropping-particle" : "", "parse-names" : false, "suffix" : "" } ], "container-title" : "American Mineralogist", "id" : "ITEM-1", "issue" : "1", "issued" : { "date-parts" : [ [ "2016" ] ] }, "page" : "111-119", "title" : "A spreadsheet for calculating normative mole fractions of end-member species for Na-Ca-Li-Fe &lt;sup&gt;2+&lt;/sup&gt; -Mg-Al tourmalines from electron microprobe data", "type" : "article-journal", "volume" : "101" }, "uris" : [ "http://www.mendeley.com/documents/?uuid=5eb11875-5b6d-4c49-882e-da320e3bb38a" ] } ], "mendeley" : { "formattedCitation" : "(Morgan, 2016)", "manualFormatting" : "Morgan (2016)", "plainTextFormattedCitation" : "(Morgan, 2016)", "previouslyFormattedCitation" : "(Morgan 2016)" }, "properties" : { "noteIndex" : 0 }, "schema" : "https://github.com/citation-style-language/schema/raw/master/csl-citation.json" }</w:instrText>
      </w:r>
      <w:r w:rsidRPr="003A6C5A">
        <w:rPr>
          <w:rFonts w:cs="Times New Roman"/>
        </w:rPr>
        <w:fldChar w:fldCharType="separate"/>
      </w:r>
      <w:r w:rsidRPr="003A6C5A">
        <w:rPr>
          <w:rFonts w:cs="Times New Roman"/>
          <w:noProof/>
        </w:rPr>
        <w:t>Morgan (2016)</w:t>
      </w:r>
      <w:r w:rsidRPr="003A6C5A">
        <w:rPr>
          <w:rFonts w:cs="Times New Roman"/>
        </w:rPr>
        <w:fldChar w:fldCharType="end"/>
      </w:r>
      <w:r w:rsidRPr="003A6C5A">
        <w:rPr>
          <w:rFonts w:cs="Times New Roman"/>
        </w:rPr>
        <w:t xml:space="preserve"> was used to calculate the percentages of end-member tourmaline components from the EMPA data. </w:t>
      </w:r>
    </w:p>
    <w:p w:rsidR="00665C0F" w:rsidRPr="0047415D" w:rsidRDefault="009F5DE0" w:rsidP="0047415D">
      <w:pPr>
        <w:pStyle w:val="Heading2"/>
        <w:spacing w:line="480" w:lineRule="auto"/>
        <w:rPr>
          <w:rFonts w:cs="Times New Roman"/>
          <w:bCs/>
          <w:sz w:val="24"/>
          <w:szCs w:val="24"/>
        </w:rPr>
      </w:pPr>
      <w:bookmarkStart w:id="169" w:name="_Toc491246066"/>
      <w:r w:rsidRPr="0047415D">
        <w:rPr>
          <w:rFonts w:cs="Times New Roman"/>
          <w:bCs/>
          <w:sz w:val="24"/>
          <w:szCs w:val="24"/>
        </w:rPr>
        <w:t xml:space="preserve">3. </w:t>
      </w:r>
      <w:r w:rsidR="00665C0F" w:rsidRPr="0047415D">
        <w:rPr>
          <w:rFonts w:cs="Times New Roman"/>
          <w:bCs/>
          <w:sz w:val="24"/>
          <w:szCs w:val="24"/>
        </w:rPr>
        <w:t>Results and Discussion of Results</w:t>
      </w:r>
      <w:bookmarkEnd w:id="169"/>
    </w:p>
    <w:p w:rsidR="00665C0F" w:rsidRPr="0047415D" w:rsidRDefault="009F5DE0" w:rsidP="0047415D">
      <w:pPr>
        <w:pStyle w:val="Heading3"/>
        <w:spacing w:line="480" w:lineRule="auto"/>
        <w:rPr>
          <w:rFonts w:cs="Times New Roman"/>
          <w:bCs/>
        </w:rPr>
      </w:pPr>
      <w:bookmarkStart w:id="170" w:name="_Toc491246067"/>
      <w:r w:rsidRPr="0047415D">
        <w:rPr>
          <w:rFonts w:cs="Times New Roman"/>
          <w:bCs/>
        </w:rPr>
        <w:t>3.1</w:t>
      </w:r>
      <w:r w:rsidR="0047415D" w:rsidRPr="0047415D">
        <w:rPr>
          <w:rFonts w:cs="Times New Roman"/>
          <w:bCs/>
        </w:rPr>
        <w:t>.</w:t>
      </w:r>
      <w:r w:rsidRPr="0047415D">
        <w:rPr>
          <w:rFonts w:cs="Times New Roman"/>
          <w:bCs/>
        </w:rPr>
        <w:t xml:space="preserve"> </w:t>
      </w:r>
      <w:r w:rsidR="00665C0F" w:rsidRPr="0047415D">
        <w:rPr>
          <w:rFonts w:cs="Times New Roman"/>
          <w:bCs/>
        </w:rPr>
        <w:t>Synthetic phases</w:t>
      </w:r>
      <w:bookmarkEnd w:id="170"/>
    </w:p>
    <w:p w:rsidR="00665C0F" w:rsidRDefault="00665C0F" w:rsidP="00665C0F">
      <w:pPr>
        <w:spacing w:after="120" w:line="480" w:lineRule="auto"/>
        <w:ind w:firstLine="720"/>
        <w:rPr>
          <w:rFonts w:cs="Times New Roman"/>
        </w:rPr>
      </w:pPr>
      <w:r>
        <w:rPr>
          <w:rFonts w:cs="Times New Roman"/>
        </w:rPr>
        <w:t>Synthetic c</w:t>
      </w:r>
      <w:r w:rsidRPr="003A6C5A">
        <w:rPr>
          <w:rFonts w:cs="Times New Roman"/>
        </w:rPr>
        <w:t xml:space="preserve">rystalline </w:t>
      </w:r>
      <w:r>
        <w:rPr>
          <w:rFonts w:cs="Times New Roman"/>
        </w:rPr>
        <w:t>products</w:t>
      </w:r>
      <w:r w:rsidRPr="003A6C5A">
        <w:rPr>
          <w:rFonts w:cs="Times New Roman"/>
        </w:rPr>
        <w:t xml:space="preserve"> include tourmaline, cordierite, </w:t>
      </w:r>
      <w:r>
        <w:rPr>
          <w:rFonts w:cs="Times New Roman"/>
        </w:rPr>
        <w:t xml:space="preserve">and </w:t>
      </w:r>
      <w:r w:rsidRPr="003A6C5A">
        <w:rPr>
          <w:rFonts w:cs="Times New Roman"/>
        </w:rPr>
        <w:t xml:space="preserve">garnet, along with quartz and alkali feldspar, corundum/mullite and spinel-group oxides. Quartz and alkali feldspar </w:t>
      </w:r>
      <w:r>
        <w:rPr>
          <w:rFonts w:cs="Times New Roman"/>
        </w:rPr>
        <w:t>crystallized</w:t>
      </w:r>
      <w:r w:rsidRPr="003A6C5A">
        <w:rPr>
          <w:rFonts w:cs="Times New Roman"/>
        </w:rPr>
        <w:t xml:space="preserve"> only in experiments conducted below 700°C (Figs.</w:t>
      </w:r>
      <w:r w:rsidR="00815F07">
        <w:rPr>
          <w:rFonts w:cs="Times New Roman"/>
        </w:rPr>
        <w:t>5-</w:t>
      </w:r>
      <w:r w:rsidRPr="003A6C5A">
        <w:rPr>
          <w:rFonts w:cs="Times New Roman"/>
        </w:rPr>
        <w:t xml:space="preserve">1D, </w:t>
      </w:r>
      <w:r w:rsidR="00815F07">
        <w:rPr>
          <w:rFonts w:cs="Times New Roman"/>
        </w:rPr>
        <w:t>5-</w:t>
      </w:r>
      <w:r w:rsidRPr="003A6C5A">
        <w:rPr>
          <w:rFonts w:cs="Times New Roman"/>
        </w:rPr>
        <w:t xml:space="preserve">1H, </w:t>
      </w:r>
      <w:r w:rsidR="00815F07">
        <w:rPr>
          <w:rFonts w:cs="Times New Roman"/>
        </w:rPr>
        <w:t>5-</w:t>
      </w:r>
      <w:r w:rsidRPr="003A6C5A">
        <w:rPr>
          <w:rFonts w:cs="Times New Roman"/>
        </w:rPr>
        <w:t xml:space="preserve">1I), whereas minor to trace amounts of corundum/mullite and mafic oxides precipitated in all experiments. </w:t>
      </w:r>
    </w:p>
    <w:p w:rsidR="00665C0F" w:rsidRDefault="00665C0F" w:rsidP="00665C0F">
      <w:pPr>
        <w:spacing w:after="120" w:line="480" w:lineRule="auto"/>
        <w:ind w:firstLine="720"/>
        <w:rPr>
          <w:rFonts w:cs="Times New Roman"/>
        </w:rPr>
      </w:pPr>
      <w:r w:rsidRPr="003A6C5A">
        <w:rPr>
          <w:rFonts w:cs="Times New Roman"/>
        </w:rPr>
        <w:t xml:space="preserve">Tourmaline formed euhedral, prismatic crystals in experiments </w:t>
      </w:r>
      <w:r>
        <w:rPr>
          <w:rFonts w:cs="Times New Roman"/>
        </w:rPr>
        <w:t>between 750</w:t>
      </w:r>
      <w:r w:rsidRPr="003A6C5A">
        <w:rPr>
          <w:rFonts w:cs="Times New Roman"/>
        </w:rPr>
        <w:t>°</w:t>
      </w:r>
      <w:r>
        <w:rPr>
          <w:rFonts w:cs="Times New Roman"/>
        </w:rPr>
        <w:t xml:space="preserve"> and 700</w:t>
      </w:r>
      <w:r w:rsidRPr="003A6C5A">
        <w:rPr>
          <w:rFonts w:cs="Times New Roman"/>
        </w:rPr>
        <w:t>°C</w:t>
      </w:r>
      <w:r>
        <w:rPr>
          <w:rFonts w:cs="Times New Roman"/>
        </w:rPr>
        <w:t>,</w:t>
      </w:r>
      <w:r w:rsidRPr="003A6C5A">
        <w:rPr>
          <w:rFonts w:cs="Times New Roman"/>
        </w:rPr>
        <w:t xml:space="preserve"> in both forward and reverse experiments (Figures </w:t>
      </w:r>
      <w:r w:rsidR="00815F07">
        <w:rPr>
          <w:rFonts w:cs="Times New Roman"/>
        </w:rPr>
        <w:t>5-</w:t>
      </w:r>
      <w:r w:rsidRPr="003A6C5A">
        <w:rPr>
          <w:rFonts w:cs="Times New Roman"/>
        </w:rPr>
        <w:t xml:space="preserve">1B &amp; </w:t>
      </w:r>
      <w:r w:rsidR="00815F07">
        <w:rPr>
          <w:rFonts w:cs="Times New Roman"/>
        </w:rPr>
        <w:t>5-</w:t>
      </w:r>
      <w:r w:rsidRPr="003A6C5A">
        <w:rPr>
          <w:rFonts w:cs="Times New Roman"/>
        </w:rPr>
        <w:t xml:space="preserve">1C). </w:t>
      </w:r>
      <w:r>
        <w:rPr>
          <w:rFonts w:cs="Times New Roman"/>
        </w:rPr>
        <w:t>Below 700</w:t>
      </w:r>
      <w:r>
        <w:rPr>
          <w:rFonts w:cs="Times New Roman"/>
        </w:rPr>
        <w:sym w:font="Symbol" w:char="F0B0"/>
      </w:r>
      <w:r>
        <w:rPr>
          <w:rFonts w:cs="Times New Roman"/>
        </w:rPr>
        <w:t>C, t</w:t>
      </w:r>
      <w:r w:rsidRPr="003A6C5A">
        <w:rPr>
          <w:rFonts w:cs="Times New Roman"/>
        </w:rPr>
        <w:t xml:space="preserve">ourmaline crystallized as radial clusters intergrown with quartz (Figure </w:t>
      </w:r>
      <w:r w:rsidR="00815F07">
        <w:rPr>
          <w:rFonts w:cs="Times New Roman"/>
        </w:rPr>
        <w:t>5-</w:t>
      </w:r>
      <w:r w:rsidRPr="003A6C5A">
        <w:rPr>
          <w:rFonts w:cs="Times New Roman"/>
        </w:rPr>
        <w:t xml:space="preserve">1) and as </w:t>
      </w:r>
      <w:r>
        <w:rPr>
          <w:rFonts w:cs="Times New Roman"/>
        </w:rPr>
        <w:t>isolated skeletal (</w:t>
      </w:r>
      <w:r w:rsidRPr="003A6C5A">
        <w:rPr>
          <w:rFonts w:cs="Times New Roman"/>
        </w:rPr>
        <w:t>soda</w:t>
      </w:r>
      <w:r>
        <w:rPr>
          <w:rFonts w:cs="Times New Roman"/>
        </w:rPr>
        <w:t>–</w:t>
      </w:r>
      <w:r w:rsidRPr="003A6C5A">
        <w:rPr>
          <w:rFonts w:cs="Times New Roman"/>
        </w:rPr>
        <w:t>straw</w:t>
      </w:r>
      <w:r>
        <w:rPr>
          <w:rFonts w:cs="Times New Roman"/>
        </w:rPr>
        <w:t>)</w:t>
      </w:r>
      <w:r w:rsidRPr="003A6C5A">
        <w:rPr>
          <w:rFonts w:cs="Times New Roman"/>
        </w:rPr>
        <w:t xml:space="preserve"> crystals irrespective of thermal direction. </w:t>
      </w:r>
    </w:p>
    <w:p w:rsidR="00665C0F" w:rsidRPr="003A6C5A" w:rsidRDefault="00665C0F" w:rsidP="00665C0F">
      <w:pPr>
        <w:spacing w:after="120" w:line="480" w:lineRule="auto"/>
        <w:ind w:firstLine="720"/>
        <w:rPr>
          <w:rFonts w:cs="Times New Roman"/>
          <w:b/>
          <w:bCs/>
        </w:rPr>
      </w:pPr>
      <w:r w:rsidRPr="003A6C5A">
        <w:rPr>
          <w:rFonts w:cs="Times New Roman"/>
        </w:rPr>
        <w:t xml:space="preserve">Garnet and/or cordierite were produced above 750°C. Garnet and cordierite crystallized prior to and simultaneously with tourmaline in some experiments below 750°C. Garnet and cordierite consistently formed euhedral crystals and display abrupt core-rim chemical zonation in all experiments (cordierite: Figure </w:t>
      </w:r>
      <w:r w:rsidR="00815F07">
        <w:rPr>
          <w:rFonts w:cs="Times New Roman"/>
        </w:rPr>
        <w:t>5-</w:t>
      </w:r>
      <w:r w:rsidRPr="003A6C5A">
        <w:rPr>
          <w:rFonts w:cs="Times New Roman"/>
        </w:rPr>
        <w:t xml:space="preserve">1H). </w:t>
      </w:r>
    </w:p>
    <w:p w:rsidR="00665C0F" w:rsidRPr="009F5DE0" w:rsidRDefault="009F5DE0" w:rsidP="0047415D">
      <w:pPr>
        <w:pStyle w:val="Heading3"/>
        <w:spacing w:line="480" w:lineRule="auto"/>
        <w:rPr>
          <w:rFonts w:cs="Times New Roman"/>
          <w:bCs/>
        </w:rPr>
      </w:pPr>
      <w:bookmarkStart w:id="171" w:name="_Toc491246068"/>
      <w:r w:rsidRPr="009F5DE0">
        <w:rPr>
          <w:rFonts w:cs="Times New Roman"/>
          <w:bCs/>
        </w:rPr>
        <w:t>3.1</w:t>
      </w:r>
      <w:r w:rsidR="0047415D">
        <w:rPr>
          <w:rFonts w:cs="Times New Roman"/>
          <w:bCs/>
        </w:rPr>
        <w:t>.</w:t>
      </w:r>
      <w:r w:rsidRPr="009F5DE0">
        <w:rPr>
          <w:rFonts w:cs="Times New Roman"/>
          <w:bCs/>
        </w:rPr>
        <w:t xml:space="preserve"> </w:t>
      </w:r>
      <w:r w:rsidR="00665C0F" w:rsidRPr="009F5DE0">
        <w:rPr>
          <w:rFonts w:cs="Times New Roman"/>
          <w:bCs/>
        </w:rPr>
        <w:t>Chemical Compositions of Garnet, Tourmaline, Cordierite, and Glass</w:t>
      </w:r>
      <w:bookmarkEnd w:id="171"/>
    </w:p>
    <w:p w:rsidR="009F5DE0" w:rsidRPr="0047415D" w:rsidRDefault="009F5DE0" w:rsidP="0047415D">
      <w:pPr>
        <w:pStyle w:val="Heading4"/>
        <w:spacing w:line="480" w:lineRule="auto"/>
        <w:rPr>
          <w:rFonts w:cs="Times New Roman"/>
          <w:i w:val="0"/>
        </w:rPr>
      </w:pPr>
      <w:bookmarkStart w:id="172" w:name="_Toc491246069"/>
      <w:r w:rsidRPr="0047415D">
        <w:rPr>
          <w:rFonts w:cs="Times New Roman"/>
          <w:bCs/>
          <w:i w:val="0"/>
        </w:rPr>
        <w:t>3.1.1</w:t>
      </w:r>
      <w:r w:rsidR="0047415D" w:rsidRPr="0047415D">
        <w:rPr>
          <w:rFonts w:cs="Times New Roman"/>
          <w:bCs/>
          <w:i w:val="0"/>
        </w:rPr>
        <w:t>.</w:t>
      </w:r>
      <w:r w:rsidRPr="0047415D">
        <w:rPr>
          <w:rFonts w:cs="Times New Roman"/>
          <w:bCs/>
          <w:i w:val="0"/>
        </w:rPr>
        <w:t xml:space="preserve"> </w:t>
      </w:r>
      <w:r w:rsidR="00665C0F" w:rsidRPr="0047415D">
        <w:rPr>
          <w:rFonts w:cs="Times New Roman"/>
          <w:bCs/>
          <w:i w:val="0"/>
        </w:rPr>
        <w:t>Garnet</w:t>
      </w:r>
      <w:bookmarkEnd w:id="172"/>
      <w:r w:rsidR="00665C0F" w:rsidRPr="0047415D">
        <w:rPr>
          <w:rFonts w:cs="Times New Roman"/>
          <w:i w:val="0"/>
        </w:rPr>
        <w:t xml:space="preserve"> </w:t>
      </w:r>
    </w:p>
    <w:p w:rsidR="00665C0F" w:rsidRPr="00045C18" w:rsidRDefault="00665C0F" w:rsidP="0047415D">
      <w:pPr>
        <w:spacing w:after="120" w:line="480" w:lineRule="auto"/>
        <w:ind w:firstLine="720"/>
        <w:rPr>
          <w:rFonts w:cs="Times New Roman"/>
        </w:rPr>
      </w:pPr>
      <w:r w:rsidRPr="003A6C5A">
        <w:rPr>
          <w:rFonts w:cs="Times New Roman"/>
        </w:rPr>
        <w:t xml:space="preserve">Garnet crystals are a solid solutions of spessartine (Sps), almandine (Alm), and pyrope (Prp) components (Table </w:t>
      </w:r>
      <w:r w:rsidR="0083401A">
        <w:rPr>
          <w:rFonts w:cs="Times New Roman"/>
        </w:rPr>
        <w:t>5-</w:t>
      </w:r>
      <w:r w:rsidRPr="003A6C5A">
        <w:rPr>
          <w:rFonts w:cs="Times New Roman"/>
        </w:rPr>
        <w:t>2). The compositions of garnet generally follow a temperature-dependent trend from Sps</w:t>
      </w:r>
      <w:r w:rsidRPr="003A6C5A">
        <w:rPr>
          <w:rFonts w:cs="Times New Roman"/>
          <w:vertAlign w:val="subscript"/>
        </w:rPr>
        <w:t>51</w:t>
      </w:r>
      <w:r w:rsidRPr="003A6C5A">
        <w:rPr>
          <w:rFonts w:cs="Times New Roman"/>
        </w:rPr>
        <w:t>Alm</w:t>
      </w:r>
      <w:r w:rsidRPr="003A6C5A">
        <w:rPr>
          <w:rFonts w:cs="Times New Roman"/>
          <w:vertAlign w:val="subscript"/>
        </w:rPr>
        <w:t>23</w:t>
      </w:r>
      <w:r w:rsidRPr="003A6C5A">
        <w:rPr>
          <w:rFonts w:cs="Times New Roman"/>
        </w:rPr>
        <w:t>Prp</w:t>
      </w:r>
      <w:r w:rsidRPr="003A6C5A">
        <w:rPr>
          <w:rFonts w:cs="Times New Roman"/>
          <w:vertAlign w:val="subscript"/>
        </w:rPr>
        <w:t>25</w:t>
      </w:r>
      <w:r w:rsidRPr="003A6C5A">
        <w:rPr>
          <w:rFonts w:cs="Times New Roman"/>
        </w:rPr>
        <w:t xml:space="preserve"> to Sps</w:t>
      </w:r>
      <w:r w:rsidRPr="003A6C5A">
        <w:rPr>
          <w:rFonts w:cs="Times New Roman"/>
          <w:vertAlign w:val="subscript"/>
        </w:rPr>
        <w:t>81</w:t>
      </w:r>
      <w:r w:rsidRPr="003A6C5A">
        <w:rPr>
          <w:rFonts w:cs="Times New Roman"/>
        </w:rPr>
        <w:t>Alm</w:t>
      </w:r>
      <w:r w:rsidRPr="003A6C5A">
        <w:rPr>
          <w:rFonts w:cs="Times New Roman"/>
          <w:vertAlign w:val="subscript"/>
        </w:rPr>
        <w:t>15</w:t>
      </w:r>
      <w:r w:rsidRPr="003A6C5A">
        <w:rPr>
          <w:rFonts w:cs="Times New Roman"/>
        </w:rPr>
        <w:t>Prp</w:t>
      </w:r>
      <w:r w:rsidRPr="003A6C5A">
        <w:rPr>
          <w:rFonts w:cs="Times New Roman"/>
          <w:vertAlign w:val="subscript"/>
        </w:rPr>
        <w:t>4</w:t>
      </w:r>
      <w:r w:rsidRPr="003A6C5A">
        <w:rPr>
          <w:rFonts w:cs="Times New Roman"/>
        </w:rPr>
        <w:t xml:space="preserve"> with decreasing temperature (Figure </w:t>
      </w:r>
      <w:r w:rsidR="00815F07">
        <w:rPr>
          <w:rFonts w:cs="Times New Roman"/>
        </w:rPr>
        <w:t>5-</w:t>
      </w:r>
      <w:r w:rsidRPr="003A6C5A">
        <w:rPr>
          <w:rFonts w:cs="Times New Roman"/>
        </w:rPr>
        <w:t xml:space="preserve">2). A full Y-site, i.e. two Al cations, is </w:t>
      </w:r>
      <w:r>
        <w:rPr>
          <w:rFonts w:cs="Times New Roman"/>
        </w:rPr>
        <w:t>supportive</w:t>
      </w:r>
      <w:r w:rsidRPr="003A6C5A">
        <w:rPr>
          <w:rFonts w:cs="Times New Roman"/>
        </w:rPr>
        <w:t xml:space="preserve"> evidence of a low fraction of Fe</w:t>
      </w:r>
      <w:r w:rsidRPr="003A6C5A">
        <w:rPr>
          <w:rFonts w:cs="Times New Roman"/>
          <w:vertAlign w:val="superscript"/>
        </w:rPr>
        <w:t>3+</w:t>
      </w:r>
      <w:r w:rsidRPr="003A6C5A">
        <w:rPr>
          <w:rFonts w:cs="Times New Roman"/>
        </w:rPr>
        <w:t xml:space="preserve"> in melt.</w:t>
      </w:r>
    </w:p>
    <w:p w:rsidR="009F5DE0" w:rsidRPr="0047415D" w:rsidRDefault="009F5DE0" w:rsidP="0047415D">
      <w:pPr>
        <w:pStyle w:val="Heading4"/>
        <w:spacing w:line="480" w:lineRule="auto"/>
        <w:rPr>
          <w:rFonts w:cs="Times New Roman"/>
          <w:bCs/>
          <w:i w:val="0"/>
        </w:rPr>
      </w:pPr>
      <w:bookmarkStart w:id="173" w:name="_Toc491246070"/>
      <w:r w:rsidRPr="0047415D">
        <w:rPr>
          <w:rFonts w:cs="Times New Roman"/>
          <w:bCs/>
          <w:i w:val="0"/>
        </w:rPr>
        <w:t>3.1.2</w:t>
      </w:r>
      <w:r w:rsidR="0047415D" w:rsidRPr="0047415D">
        <w:rPr>
          <w:rFonts w:cs="Times New Roman"/>
          <w:bCs/>
          <w:i w:val="0"/>
        </w:rPr>
        <w:t>.</w:t>
      </w:r>
      <w:r w:rsidRPr="0047415D">
        <w:rPr>
          <w:rFonts w:cs="Times New Roman"/>
          <w:bCs/>
          <w:i w:val="0"/>
        </w:rPr>
        <w:t xml:space="preserve"> Tourmaline</w:t>
      </w:r>
      <w:bookmarkEnd w:id="173"/>
    </w:p>
    <w:p w:rsidR="00665C0F" w:rsidRPr="003A6C5A" w:rsidRDefault="00665C0F" w:rsidP="0047415D">
      <w:pPr>
        <w:spacing w:after="120" w:line="480" w:lineRule="auto"/>
        <w:ind w:firstLine="720"/>
        <w:rPr>
          <w:rFonts w:cs="Times New Roman"/>
        </w:rPr>
      </w:pPr>
      <w:r w:rsidRPr="003A6C5A">
        <w:rPr>
          <w:rFonts w:cs="Times New Roman"/>
        </w:rPr>
        <w:t xml:space="preserve">Tourmaline crystals are dominantly a solid-solution of schorl, dravite, and foitite with minor amounts of uvite (Table </w:t>
      </w:r>
      <w:r w:rsidR="0083401A">
        <w:rPr>
          <w:rFonts w:cs="Times New Roman"/>
        </w:rPr>
        <w:t>5-</w:t>
      </w:r>
      <w:r w:rsidRPr="003A6C5A">
        <w:rPr>
          <w:rFonts w:cs="Times New Roman"/>
        </w:rPr>
        <w:t xml:space="preserve">3). The MnO content of tourmaline </w:t>
      </w:r>
      <w:r>
        <w:rPr>
          <w:rFonts w:cs="Times New Roman"/>
        </w:rPr>
        <w:t>increases linearly from 0.67 wt</w:t>
      </w:r>
      <w:r w:rsidRPr="003A6C5A">
        <w:rPr>
          <w:rFonts w:cs="Times New Roman"/>
        </w:rPr>
        <w:t>% at 750°</w:t>
      </w:r>
      <w:r>
        <w:rPr>
          <w:rFonts w:cs="Times New Roman"/>
        </w:rPr>
        <w:t>C to 2.17 wt</w:t>
      </w:r>
      <w:r w:rsidRPr="003A6C5A">
        <w:rPr>
          <w:rFonts w:cs="Times New Roman"/>
        </w:rPr>
        <w:t xml:space="preserve">% at 650°C. Tourmaline crystals produced at 700°C display weak hourglass sector-zonation; the </w:t>
      </w:r>
      <w:r w:rsidRPr="003A6C5A">
        <w:rPr>
          <w:rFonts w:cs="Times New Roman"/>
          <w:i/>
          <w:iCs/>
        </w:rPr>
        <w:t xml:space="preserve">a </w:t>
      </w:r>
      <w:r w:rsidRPr="003A6C5A">
        <w:rPr>
          <w:rFonts w:cs="Times New Roman"/>
        </w:rPr>
        <w:t xml:space="preserve">and </w:t>
      </w:r>
      <w:r w:rsidRPr="003A6C5A">
        <w:rPr>
          <w:rFonts w:cs="Times New Roman"/>
          <w:i/>
          <w:iCs/>
        </w:rPr>
        <w:t>c</w:t>
      </w:r>
      <w:r w:rsidRPr="003A6C5A">
        <w:rPr>
          <w:rFonts w:cs="Times New Roman"/>
          <w:i/>
          <w:iCs/>
          <w:vertAlign w:val="superscript"/>
        </w:rPr>
        <w:t>-</w:t>
      </w:r>
      <w:r w:rsidRPr="003A6C5A">
        <w:rPr>
          <w:rFonts w:cs="Times New Roman"/>
        </w:rPr>
        <w:t xml:space="preserve"> axial sectors are Al- and Ca-rich and Mg-poor relative to the </w:t>
      </w:r>
      <w:r w:rsidRPr="003A6C5A">
        <w:rPr>
          <w:rFonts w:cs="Times New Roman"/>
          <w:i/>
          <w:iCs/>
        </w:rPr>
        <w:t>c</w:t>
      </w:r>
      <w:r w:rsidRPr="003A6C5A">
        <w:rPr>
          <w:rFonts w:cs="Times New Roman"/>
          <w:i/>
          <w:iCs/>
          <w:vertAlign w:val="superscript"/>
        </w:rPr>
        <w:t>+</w:t>
      </w:r>
      <w:r w:rsidRPr="003A6C5A">
        <w:rPr>
          <w:rFonts w:cs="Times New Roman"/>
        </w:rPr>
        <w:t xml:space="preserve"> axial sector </w:t>
      </w:r>
      <w:r w:rsidRPr="003A6C5A">
        <w:rPr>
          <w:rFonts w:cs="Times New Roman"/>
        </w:rPr>
        <w:fldChar w:fldCharType="begin" w:fldLock="1"/>
      </w:r>
      <w:r w:rsidR="00266290">
        <w:rPr>
          <w:rFonts w:cs="Times New Roman"/>
        </w:rPr>
        <w:instrText>ADDIN CSL_CITATION { "citationItems" : [ { "id" : "ITEM-1", "itemData" : { "author" : [ { "dropping-particle" : "", "family" : "Maner", "given" : "James L.", "non-dropping-particle" : "", "parse-names" : false, "suffix" : "" }, { "dropping-particle" : "", "family" : "London", "given" : "David", "non-dropping-particle" : "", "parse-names" : false, "suffix" : "" }, { "dropping-particle" : "", "family" : "Morgan", "given" : "George B.", "non-dropping-particle" : "", "parse-names" : false, "suffix" : "" } ], "container-title" : "Goldscmidt Conference Abstracts", "id" : "ITEM-1", "issued" : { "date-parts" : [ [ "2014" ] ] }, "publisher-place" : "Sacramento, California", "title" : "Elemental partioning and zoning in tourmalien: An experimental investigation", "type" : "paper-conference" }, "uris" : [ "http://www.mendeley.com/documents/?uuid=3a3ce320-23a1-4e5a-8f84-f821d78b7647" ] } ], "mendeley" : { "formattedCitation" : "(Maner et al., 2014)", "plainTextFormattedCitation" : "(Maner et al., 2014)", "previouslyFormattedCitation" : "(Maner et al. 2014)" }, "properties" : { "noteIndex" : 0 }, "schema" : "https://github.com/citation-style-language/schema/raw/master/csl-citation.json" }</w:instrText>
      </w:r>
      <w:r w:rsidRPr="003A6C5A">
        <w:rPr>
          <w:rFonts w:cs="Times New Roman"/>
        </w:rPr>
        <w:fldChar w:fldCharType="separate"/>
      </w:r>
      <w:r w:rsidR="00266290" w:rsidRPr="00266290">
        <w:rPr>
          <w:rFonts w:cs="Times New Roman"/>
          <w:noProof/>
        </w:rPr>
        <w:t>(Maner et al., 2014)</w:t>
      </w:r>
      <w:r w:rsidRPr="003A6C5A">
        <w:rPr>
          <w:rFonts w:cs="Times New Roman"/>
        </w:rPr>
        <w:fldChar w:fldCharType="end"/>
      </w:r>
      <w:r w:rsidRPr="003A6C5A">
        <w:rPr>
          <w:rFonts w:cs="Times New Roman"/>
        </w:rPr>
        <w:t xml:space="preserve">. </w:t>
      </w:r>
    </w:p>
    <w:p w:rsidR="009F5DE0" w:rsidRPr="0047415D" w:rsidRDefault="009F5DE0" w:rsidP="0047415D">
      <w:pPr>
        <w:pStyle w:val="Heading4"/>
        <w:spacing w:line="480" w:lineRule="auto"/>
        <w:rPr>
          <w:rFonts w:cs="Times New Roman"/>
          <w:i w:val="0"/>
        </w:rPr>
      </w:pPr>
      <w:bookmarkStart w:id="174" w:name="_Toc491246071"/>
      <w:r w:rsidRPr="0047415D">
        <w:rPr>
          <w:rFonts w:cs="Times New Roman"/>
          <w:bCs/>
          <w:i w:val="0"/>
        </w:rPr>
        <w:t>3.1.3</w:t>
      </w:r>
      <w:r w:rsidR="0047415D" w:rsidRPr="0047415D">
        <w:rPr>
          <w:rFonts w:cs="Times New Roman"/>
          <w:bCs/>
          <w:i w:val="0"/>
        </w:rPr>
        <w:t>.</w:t>
      </w:r>
      <w:r w:rsidRPr="0047415D">
        <w:rPr>
          <w:rFonts w:cs="Times New Roman"/>
          <w:bCs/>
          <w:i w:val="0"/>
        </w:rPr>
        <w:t xml:space="preserve"> </w:t>
      </w:r>
      <w:r w:rsidR="00665C0F" w:rsidRPr="0047415D">
        <w:rPr>
          <w:rFonts w:cs="Times New Roman"/>
          <w:bCs/>
          <w:i w:val="0"/>
        </w:rPr>
        <w:t>Cordierite</w:t>
      </w:r>
      <w:bookmarkEnd w:id="174"/>
      <w:r w:rsidR="00665C0F" w:rsidRPr="0047415D">
        <w:rPr>
          <w:rFonts w:cs="Times New Roman"/>
          <w:i w:val="0"/>
        </w:rPr>
        <w:t xml:space="preserve"> </w:t>
      </w:r>
    </w:p>
    <w:p w:rsidR="00665C0F" w:rsidRPr="00045C18" w:rsidRDefault="00665C0F" w:rsidP="0047415D">
      <w:pPr>
        <w:spacing w:after="120" w:line="480" w:lineRule="auto"/>
        <w:ind w:firstLine="720"/>
        <w:rPr>
          <w:rFonts w:cs="Times New Roman"/>
        </w:rPr>
      </w:pPr>
      <w:r w:rsidRPr="003A6C5A">
        <w:rPr>
          <w:rFonts w:cs="Times New Roman"/>
        </w:rPr>
        <w:t xml:space="preserve">Cordierite (Crd) crystals are Mg-rich at high temperature and evolve toward higher Fe (sekaninaite, Sek) compositions with decreasing temperature (Figure </w:t>
      </w:r>
      <w:r w:rsidR="00815F07">
        <w:rPr>
          <w:rFonts w:cs="Times New Roman"/>
        </w:rPr>
        <w:t>5-</w:t>
      </w:r>
      <w:r w:rsidRPr="003A6C5A">
        <w:rPr>
          <w:rFonts w:cs="Times New Roman"/>
        </w:rPr>
        <w:t xml:space="preserve">3). The Mn contents of cordierite increase with decreasing temperature up to </w:t>
      </w:r>
      <w:r>
        <w:rPr>
          <w:rFonts w:cs="Times New Roman"/>
        </w:rPr>
        <w:t>7.37 wt% MnO</w:t>
      </w:r>
      <w:r w:rsidRPr="003A6C5A">
        <w:rPr>
          <w:rFonts w:cs="Times New Roman"/>
        </w:rPr>
        <w:t xml:space="preserve"> (Table </w:t>
      </w:r>
      <w:r w:rsidR="0083401A">
        <w:rPr>
          <w:rFonts w:cs="Times New Roman"/>
        </w:rPr>
        <w:t>5-</w:t>
      </w:r>
      <w:r w:rsidRPr="003A6C5A">
        <w:rPr>
          <w:rFonts w:cs="Times New Roman"/>
        </w:rPr>
        <w:t>4). Five cordierite crystals from experiment GBT-103 (650°C, 200 MPa, 456 hrs) were analyzed using the analytical method for tourmaline and were found to contain 2.59 wt.% B</w:t>
      </w:r>
      <w:r w:rsidRPr="003A6C5A">
        <w:rPr>
          <w:rFonts w:cs="Times New Roman"/>
          <w:vertAlign w:val="subscript"/>
        </w:rPr>
        <w:t>2</w:t>
      </w:r>
      <w:r w:rsidRPr="003A6C5A">
        <w:rPr>
          <w:rFonts w:cs="Times New Roman"/>
        </w:rPr>
        <w:t>O</w:t>
      </w:r>
      <w:r w:rsidRPr="003A6C5A">
        <w:rPr>
          <w:rFonts w:cs="Times New Roman"/>
          <w:vertAlign w:val="subscript"/>
        </w:rPr>
        <w:t>3</w:t>
      </w:r>
      <w:r w:rsidRPr="003A6C5A">
        <w:rPr>
          <w:rFonts w:cs="Times New Roman"/>
        </w:rPr>
        <w:t xml:space="preserve"> (1σSD: 0.22), with analytical totals near 100% (i.e. little to no water content). Sodium contents are above detection limit</w:t>
      </w:r>
      <w:r>
        <w:rPr>
          <w:rFonts w:cs="Times New Roman"/>
        </w:rPr>
        <w:t xml:space="preserve">; no </w:t>
      </w:r>
      <w:r w:rsidRPr="003A6C5A">
        <w:rPr>
          <w:rFonts w:cs="Times New Roman"/>
        </w:rPr>
        <w:t>systematic relationship</w:t>
      </w:r>
      <w:r>
        <w:rPr>
          <w:rFonts w:cs="Times New Roman"/>
        </w:rPr>
        <w:t xml:space="preserve"> </w:t>
      </w:r>
      <w:r w:rsidRPr="003A6C5A">
        <w:rPr>
          <w:rFonts w:cs="Times New Roman"/>
        </w:rPr>
        <w:t>between Na and (1) any other compositional parameter of cordierite or (2) temperature was not identified.</w:t>
      </w:r>
    </w:p>
    <w:p w:rsidR="009F5DE0" w:rsidRPr="0047415D" w:rsidRDefault="009F5DE0" w:rsidP="0047415D">
      <w:pPr>
        <w:pStyle w:val="Heading4"/>
        <w:spacing w:line="480" w:lineRule="auto"/>
        <w:rPr>
          <w:rFonts w:cs="Times New Roman"/>
          <w:bCs/>
          <w:i w:val="0"/>
        </w:rPr>
      </w:pPr>
      <w:bookmarkStart w:id="175" w:name="_Toc491246072"/>
      <w:r w:rsidRPr="0047415D">
        <w:rPr>
          <w:rFonts w:cs="Times New Roman"/>
          <w:bCs/>
          <w:i w:val="0"/>
        </w:rPr>
        <w:t>3.1.4</w:t>
      </w:r>
      <w:r w:rsidR="0047415D" w:rsidRPr="0047415D">
        <w:rPr>
          <w:rFonts w:cs="Times New Roman"/>
          <w:bCs/>
          <w:i w:val="0"/>
        </w:rPr>
        <w:t>.</w:t>
      </w:r>
      <w:r w:rsidRPr="0047415D">
        <w:rPr>
          <w:rFonts w:cs="Times New Roman"/>
          <w:bCs/>
          <w:i w:val="0"/>
        </w:rPr>
        <w:t xml:space="preserve"> </w:t>
      </w:r>
      <w:r w:rsidR="00665C0F" w:rsidRPr="0047415D">
        <w:rPr>
          <w:rFonts w:cs="Times New Roman"/>
          <w:bCs/>
          <w:i w:val="0"/>
        </w:rPr>
        <w:t>Glass</w:t>
      </w:r>
      <w:bookmarkEnd w:id="175"/>
    </w:p>
    <w:p w:rsidR="00665C0F" w:rsidRPr="003A6C5A" w:rsidRDefault="00665C0F" w:rsidP="0047415D">
      <w:pPr>
        <w:spacing w:after="120" w:line="480" w:lineRule="auto"/>
        <w:ind w:firstLine="720"/>
        <w:rPr>
          <w:rFonts w:cs="Times New Roman"/>
        </w:rPr>
      </w:pPr>
      <w:r w:rsidRPr="003A6C5A">
        <w:rPr>
          <w:rFonts w:cs="Times New Roman"/>
        </w:rPr>
        <w:t xml:space="preserve">Compositions of all glasses (melts) are reported in Table </w:t>
      </w:r>
      <w:r w:rsidR="0083401A">
        <w:rPr>
          <w:rFonts w:cs="Times New Roman"/>
        </w:rPr>
        <w:t>5-</w:t>
      </w:r>
      <w:r w:rsidRPr="003A6C5A">
        <w:rPr>
          <w:rFonts w:cs="Times New Roman"/>
        </w:rPr>
        <w:t xml:space="preserve">5. Apart from composition GT1.3, which has a higher normative quartz component, glass (melt) compositions lie near the thermal minimum of the haplogranite system. The sum of FeO, MnO, and MgO </w:t>
      </w:r>
      <w:r>
        <w:rPr>
          <w:rFonts w:cs="Times New Roman"/>
        </w:rPr>
        <w:t>decreases</w:t>
      </w:r>
      <w:r w:rsidRPr="003A6C5A">
        <w:rPr>
          <w:rFonts w:cs="Times New Roman"/>
        </w:rPr>
        <w:t xml:space="preserve"> from </w:t>
      </w:r>
      <w:r>
        <w:rPr>
          <w:rFonts w:cs="Times New Roman"/>
        </w:rPr>
        <w:t>1.56 wt% to 0.62 wt% from 7</w:t>
      </w:r>
      <w:r w:rsidRPr="003A6C5A">
        <w:rPr>
          <w:rFonts w:cs="Times New Roman"/>
        </w:rPr>
        <w:t>50°</w:t>
      </w:r>
      <w:r>
        <w:rPr>
          <w:rFonts w:cs="Times New Roman"/>
        </w:rPr>
        <w:t>C to 6</w:t>
      </w:r>
      <w:r w:rsidRPr="003A6C5A">
        <w:rPr>
          <w:rFonts w:cs="Times New Roman"/>
        </w:rPr>
        <w:t xml:space="preserve">50°C in experiments that produced both garnet and tourmaline. Concentrations of MnO, FeO, and MgO in glass increase exponentially with temperature (Figures </w:t>
      </w:r>
      <w:r w:rsidR="00815F07">
        <w:rPr>
          <w:rFonts w:cs="Times New Roman"/>
        </w:rPr>
        <w:t>5-4a through 5-</w:t>
      </w:r>
      <w:r w:rsidRPr="003A6C5A">
        <w:rPr>
          <w:rFonts w:cs="Times New Roman"/>
        </w:rPr>
        <w:t xml:space="preserve">4c). The normative corundum component of glass increases with temperature (Figures </w:t>
      </w:r>
      <w:r w:rsidR="00815F07">
        <w:rPr>
          <w:rFonts w:cs="Times New Roman"/>
        </w:rPr>
        <w:t>5-</w:t>
      </w:r>
      <w:r w:rsidRPr="003A6C5A">
        <w:rPr>
          <w:rFonts w:cs="Times New Roman"/>
        </w:rPr>
        <w:t xml:space="preserve">5a and </w:t>
      </w:r>
      <w:r w:rsidR="00815F07">
        <w:rPr>
          <w:rFonts w:cs="Times New Roman"/>
        </w:rPr>
        <w:t>5-</w:t>
      </w:r>
      <w:r w:rsidRPr="003A6C5A">
        <w:rPr>
          <w:rFonts w:cs="Times New Roman"/>
        </w:rPr>
        <w:t>5b). The B</w:t>
      </w:r>
      <w:r w:rsidRPr="003A6C5A">
        <w:rPr>
          <w:rFonts w:cs="Times New Roman"/>
          <w:vertAlign w:val="subscript"/>
        </w:rPr>
        <w:t>2</w:t>
      </w:r>
      <w:r w:rsidRPr="003A6C5A">
        <w:rPr>
          <w:rFonts w:cs="Times New Roman"/>
        </w:rPr>
        <w:t>O</w:t>
      </w:r>
      <w:r w:rsidRPr="003A6C5A">
        <w:rPr>
          <w:rFonts w:cs="Times New Roman"/>
          <w:vertAlign w:val="subscript"/>
        </w:rPr>
        <w:t>3</w:t>
      </w:r>
      <w:r w:rsidRPr="003A6C5A">
        <w:rPr>
          <w:rFonts w:cs="Times New Roman"/>
        </w:rPr>
        <w:t xml:space="preserve"> content is either ~3 wt.% or ~8 wt.%, depending on the composition of the starting material mixture. </w:t>
      </w:r>
    </w:p>
    <w:p w:rsidR="00665C0F" w:rsidRPr="009F5DE0" w:rsidRDefault="009F5DE0" w:rsidP="0047415D">
      <w:pPr>
        <w:pStyle w:val="Heading3"/>
        <w:spacing w:line="480" w:lineRule="auto"/>
        <w:rPr>
          <w:rFonts w:cs="Times New Roman"/>
          <w:bCs/>
        </w:rPr>
      </w:pPr>
      <w:bookmarkStart w:id="176" w:name="_Toc491246073"/>
      <w:r w:rsidRPr="009F5DE0">
        <w:rPr>
          <w:rFonts w:cs="Times New Roman"/>
          <w:bCs/>
        </w:rPr>
        <w:t>3.2</w:t>
      </w:r>
      <w:r w:rsidR="0047415D">
        <w:rPr>
          <w:rFonts w:cs="Times New Roman"/>
          <w:bCs/>
        </w:rPr>
        <w:t>.</w:t>
      </w:r>
      <w:r w:rsidRPr="009F5DE0">
        <w:rPr>
          <w:rFonts w:cs="Times New Roman"/>
          <w:bCs/>
        </w:rPr>
        <w:t xml:space="preserve"> </w:t>
      </w:r>
      <w:r w:rsidR="00665C0F" w:rsidRPr="009F5DE0">
        <w:rPr>
          <w:rFonts w:cs="Times New Roman"/>
          <w:bCs/>
        </w:rPr>
        <w:t>Mineral-Melt Partition Coefficients and Exchange Coefficients</w:t>
      </w:r>
      <w:bookmarkEnd w:id="176"/>
    </w:p>
    <w:p w:rsidR="00665C0F" w:rsidRPr="003A6C5A" w:rsidRDefault="00665C0F" w:rsidP="00665C0F">
      <w:pPr>
        <w:spacing w:after="120" w:line="480" w:lineRule="auto"/>
        <w:ind w:firstLine="720"/>
        <w:rPr>
          <w:rFonts w:cs="Times New Roman"/>
        </w:rPr>
      </w:pPr>
      <w:r w:rsidRPr="003A6C5A">
        <w:rPr>
          <w:rFonts w:cs="Times New Roman"/>
        </w:rPr>
        <w:t>Partition coefficients, D</w:t>
      </w:r>
      <w:r w:rsidRPr="003A6C5A">
        <w:rPr>
          <w:rFonts w:cs="Times New Roman"/>
          <w:i/>
          <w:iCs/>
          <w:vertAlign w:val="subscript"/>
        </w:rPr>
        <w:t>M</w:t>
      </w:r>
      <w:r w:rsidRPr="003A6C5A">
        <w:rPr>
          <w:rFonts w:cs="Times New Roman"/>
          <w:vertAlign w:val="superscript"/>
        </w:rPr>
        <w:t>α/L</w:t>
      </w:r>
      <w:r w:rsidRPr="003A6C5A">
        <w:rPr>
          <w:rFonts w:cs="Times New Roman"/>
          <w:vertAlign w:val="subscript"/>
        </w:rPr>
        <w:t>,</w:t>
      </w:r>
      <w:r w:rsidRPr="003A6C5A">
        <w:rPr>
          <w:rFonts w:cs="Times New Roman"/>
        </w:rPr>
        <w:t xml:space="preserve"> where α is a mineral and L is melt, were calculated as the concentration in weight percent of an oxide in mineral divided by the weight percent oxide in glass </w:t>
      </w:r>
      <w:r>
        <w:rPr>
          <w:rFonts w:cs="Times New Roman"/>
        </w:rPr>
        <w:fldChar w:fldCharType="begin" w:fldLock="1"/>
      </w:r>
      <w:r w:rsidR="00266290">
        <w:rPr>
          <w:rFonts w:cs="Times New Roman"/>
        </w:rPr>
        <w:instrText>ADDIN CSL_CITATION { "citationItems" : [ { "id" : "ITEM-1", "itemData" : { "DOI" : "10.1016/0016-7037(93)90015-O", "ISBN" : "0016-7037", "ISSN" : "00167037", "abstract" : "A self-consistent terminology for partitioning data is presented. Ratios of the concentration of a component in two phases are termed partition coefficients and given the symbol D. Ratios of partition coefficients are termed exchange coefficients and given the symbol KD. The prefix \"bulk\" implies that these coefficients are weighted according to the proportions of coexisting phases. Bulk partition and bulk exchange coefficients are denoted by D ?? and K ??D, respectively. ?? 1993.", "author" : [ { "dropping-particle" : "", "family" : "Beattie", "given" : "Paul", "non-dropping-particle" : "", "parse-names" : false, "suffix" : "" }, { "dropping-particle" : "", "family" : "Drake", "given" : "Michael", "non-dropping-particle" : "", "parse-names" : false, "suffix" : "" }, { "dropping-particle" : "", "family" : "Jones", "given" : "John", "non-dropping-particle" : "", "parse-names" : false, "suffix" : "" }, { "dropping-particle" : "", "family" : "Leeman", "given" : "William", "non-dropping-particle" : "", "parse-names" : false, "suffix" : "" }, { "dropping-particle" : "", "family" : "Longhi", "given" : "John", "non-dropping-particle" : "", "parse-names" : false, "suffix" : "" }, { "dropping-particle" : "", "family" : "McKay", "given" : "Gordon", "non-dropping-particle" : "", "parse-names" : false, "suffix" : "" }, { "dropping-particle" : "", "family" : "Nielsen", "given" : "Roger", "non-dropping-particle" : "", "parse-names" : false, "suffix" : "" }, { "dropping-particle" : "", "family" : "Palme", "given" : "Herbert", "non-dropping-particle" : "", "parse-names" : false, "suffix" : "" }, { "dropping-particle" : "", "family" : "Shaw", "given" : "Denis", "non-dropping-particle" : "", "parse-names" : false, "suffix" : "" }, { "dropping-particle" : "", "family" : "Takahashi", "given" : "Eiichi", "non-dropping-particle" : "", "parse-names" : false, "suffix" : "" }, { "dropping-particle" : "", "family" : "Watson", "given" : "Bruce", "non-dropping-particle" : "", "parse-names" : false, "suffix" : "" } ], "container-title" : "Geochimica et Cosmochimica Acta", "id" : "ITEM-1", "issued" : { "date-parts" : [ [ "1993" ] ] }, "page" : "1605-1606", "title" : "Terminology for trace-element partitioning", "type" : "article-journal", "volume" : "57" }, "uris" : [ "http://www.mendeley.com/documents/?uuid=e59c780e-c8c0-32c0-8fdf-e81debf864f1" ] } ], "mendeley" : { "formattedCitation" : "(Beattie et al., 1993)", "plainTextFormattedCitation" : "(Beattie et al., 1993)", "previouslyFormattedCitation" : "(Beattie et al. 1993)" }, "properties" : { "noteIndex" : 0 }, "schema" : "https://github.com/citation-style-language/schema/raw/master/csl-citation.json" }</w:instrText>
      </w:r>
      <w:r>
        <w:rPr>
          <w:rFonts w:cs="Times New Roman"/>
        </w:rPr>
        <w:fldChar w:fldCharType="separate"/>
      </w:r>
      <w:r w:rsidR="00266290" w:rsidRPr="00266290">
        <w:rPr>
          <w:rFonts w:cs="Times New Roman"/>
          <w:noProof/>
        </w:rPr>
        <w:t>(Beattie et al., 1993)</w:t>
      </w:r>
      <w:r>
        <w:rPr>
          <w:rFonts w:cs="Times New Roman"/>
        </w:rPr>
        <w:fldChar w:fldCharType="end"/>
      </w:r>
      <w:r w:rsidRPr="003A6C5A">
        <w:rPr>
          <w:rFonts w:cs="Times New Roman"/>
        </w:rPr>
        <w:t>. Partition coefficients for MnO, FeO, and MgO between garnet- and cordierite-melt were measured in the temperature interval 650°</w:t>
      </w:r>
      <w:r>
        <w:rPr>
          <w:rFonts w:cs="Times New Roman"/>
        </w:rPr>
        <w:t>C</w:t>
      </w:r>
      <w:r w:rsidRPr="003A6C5A">
        <w:rPr>
          <w:rFonts w:cs="Times New Roman"/>
        </w:rPr>
        <w:t xml:space="preserve"> to 850°C and 650°</w:t>
      </w:r>
      <w:r>
        <w:rPr>
          <w:rFonts w:cs="Times New Roman"/>
        </w:rPr>
        <w:t>C</w:t>
      </w:r>
      <w:r w:rsidRPr="003A6C5A">
        <w:rPr>
          <w:rFonts w:cs="Times New Roman"/>
        </w:rPr>
        <w:t xml:space="preserve"> to 750°C for tourmaline-melt, (Table </w:t>
      </w:r>
      <w:r w:rsidR="0083401A">
        <w:rPr>
          <w:rFonts w:cs="Times New Roman"/>
        </w:rPr>
        <w:t>5-</w:t>
      </w:r>
      <w:r w:rsidRPr="003A6C5A">
        <w:rPr>
          <w:rFonts w:cs="Times New Roman"/>
        </w:rPr>
        <w:t>6). Data for D</w:t>
      </w:r>
      <w:r w:rsidRPr="003A6C5A">
        <w:rPr>
          <w:rFonts w:cs="Times New Roman"/>
          <w:vertAlign w:val="superscript"/>
        </w:rPr>
        <w:t>Ms/melt</w:t>
      </w:r>
      <w:r w:rsidRPr="003A6C5A">
        <w:rPr>
          <w:rFonts w:cs="Times New Roman"/>
        </w:rPr>
        <w:t xml:space="preserve"> and</w:t>
      </w:r>
      <w:r w:rsidRPr="003A6C5A">
        <w:rPr>
          <w:rFonts w:cs="Times New Roman"/>
          <w:vertAlign w:val="superscript"/>
        </w:rPr>
        <w:t xml:space="preserve"> </w:t>
      </w:r>
      <w:r w:rsidRPr="003A6C5A">
        <w:rPr>
          <w:rFonts w:cs="Times New Roman"/>
        </w:rPr>
        <w:t>D</w:t>
      </w:r>
      <w:r w:rsidRPr="003A6C5A">
        <w:rPr>
          <w:rFonts w:cs="Times New Roman"/>
          <w:vertAlign w:val="superscript"/>
        </w:rPr>
        <w:t xml:space="preserve">Bt/melt </w:t>
      </w:r>
      <w:r>
        <w:rPr>
          <w:rFonts w:cs="Times New Roman"/>
        </w:rPr>
        <w:fldChar w:fldCharType="begin" w:fldLock="1"/>
      </w:r>
      <w:r w:rsidR="00266290">
        <w:rPr>
          <w:rFonts w:cs="Times New Roman"/>
        </w:rPr>
        <w:instrText>ADDIN CSL_CITATION { "citationItems" : [ { "id" : "ITEM-1", "itemData" : { "author" : [ { "dropping-particle" : "", "family" : "Icenhower", "given" : "Jonathan P.", "non-dropping-particle" : "", "parse-names" : false, "suffix" : "" }, { "dropping-particle" : "", "family" : "London", "given" : "David", "non-dropping-particle" : "", "parse-names" : false, "suffix" : "" } ], "container-title" : "American Mineralogist", "id" : "ITEM-1", "issued" : { "date-parts" : [ [ "1995" ] ] }, "page" : "1229-1251", "title" : "An experimental study of element partitioning among biotite, muscovite, and coexisting peraluminous silicic melt at 200 MPa (H2O)", "type" : "article-journal", "volume" : "80" }, "uris" : [ "http://www.mendeley.com/documents/?uuid=23fdb646-5602-46c4-b5be-c227993f42de" ] } ], "mendeley" : { "formattedCitation" : "(Icenhower and London, 1995)", "plainTextFormattedCitation" : "(Icenhower and London, 1995)", "previouslyFormattedCitation" : "(Icenhower and London 1995)" }, "properties" : { "noteIndex" : 0 }, "schema" : "https://github.com/citation-style-language/schema/raw/master/csl-citation.json" }</w:instrText>
      </w:r>
      <w:r>
        <w:rPr>
          <w:rFonts w:cs="Times New Roman"/>
        </w:rPr>
        <w:fldChar w:fldCharType="separate"/>
      </w:r>
      <w:r w:rsidR="00266290" w:rsidRPr="00266290">
        <w:rPr>
          <w:rFonts w:cs="Times New Roman"/>
          <w:noProof/>
        </w:rPr>
        <w:t>(Icenhower and London, 1995)</w:t>
      </w:r>
      <w:r>
        <w:rPr>
          <w:rFonts w:cs="Times New Roman"/>
        </w:rPr>
        <w:fldChar w:fldCharType="end"/>
      </w:r>
      <w:r w:rsidRPr="003A6C5A">
        <w:rPr>
          <w:rFonts w:cs="Times New Roman"/>
        </w:rPr>
        <w:t>, and D</w:t>
      </w:r>
      <w:r w:rsidRPr="003A6C5A">
        <w:rPr>
          <w:rFonts w:cs="Times New Roman"/>
          <w:vertAlign w:val="superscript"/>
        </w:rPr>
        <w:t>Crd/melt</w:t>
      </w:r>
      <w:r w:rsidRPr="003A6C5A">
        <w:rPr>
          <w:rFonts w:cs="Times New Roman"/>
          <w:vertAlign w:val="subscript"/>
        </w:rPr>
        <w:t xml:space="preserve"> </w:t>
      </w:r>
      <w:r>
        <w:rPr>
          <w:rFonts w:cs="Times New Roman"/>
        </w:rPr>
        <w:fldChar w:fldCharType="begin" w:fldLock="1"/>
      </w:r>
      <w:r w:rsidR="00266290">
        <w:rPr>
          <w:rFonts w:cs="Times New Roman"/>
        </w:rPr>
        <w:instrText>ADDIN CSL_CITATION { "citationItems" : [ { "id" : "ITEM-1", "itemData" : { "author" : [ { "dropping-particle" : "", "family" : "Icenhower", "given" : "Jonathan P.", "non-dropping-particle" : "", "parse-names" : false, "suffix" : "" } ], "id" : "ITEM-1", "issued" : { "date-parts" : [ [ "1995" ] ] }, "number-of-pages" : "1-224", "publisher" : "University of Oklahoma", "title" : "Experimental determination of element behavior in silicic systems during hydrous partial fusion", "type" : "thesis" }, "uris" : [ "http://www.mendeley.com/documents/?uuid=c6f1aab2-0b31-4c4a-a0d4-19359613f5df" ] } ], "mendeley" : { "formattedCitation" : "(Icenhower, 1995)", "plainTextFormattedCitation" : "(Icenhower, 1995)", "previouslyFormattedCitation" : "(Icenhower 1995)" }, "properties" : { "noteIndex" : 0 }, "schema" : "https://github.com/citation-style-language/schema/raw/master/csl-citation.json" }</w:instrText>
      </w:r>
      <w:r>
        <w:rPr>
          <w:rFonts w:cs="Times New Roman"/>
        </w:rPr>
        <w:fldChar w:fldCharType="separate"/>
      </w:r>
      <w:r w:rsidR="00266290" w:rsidRPr="00266290">
        <w:rPr>
          <w:rFonts w:cs="Times New Roman"/>
          <w:noProof/>
        </w:rPr>
        <w:t>(Icenhower, 1995)</w:t>
      </w:r>
      <w:r>
        <w:rPr>
          <w:rFonts w:cs="Times New Roman"/>
        </w:rPr>
        <w:fldChar w:fldCharType="end"/>
      </w:r>
      <w:r w:rsidRPr="003A6C5A">
        <w:rPr>
          <w:rFonts w:cs="Times New Roman"/>
        </w:rPr>
        <w:t xml:space="preserve"> are reported in Table </w:t>
      </w:r>
      <w:r w:rsidR="0083401A">
        <w:rPr>
          <w:rFonts w:cs="Times New Roman"/>
        </w:rPr>
        <w:t>5-</w:t>
      </w:r>
      <w:r w:rsidRPr="003A6C5A">
        <w:rPr>
          <w:rFonts w:cs="Times New Roman"/>
        </w:rPr>
        <w:t xml:space="preserve">6 </w:t>
      </w:r>
      <w:r>
        <w:rPr>
          <w:rFonts w:cs="Times New Roman"/>
        </w:rPr>
        <w:t xml:space="preserve">to complement and compare </w:t>
      </w:r>
      <w:r w:rsidRPr="003A6C5A">
        <w:rPr>
          <w:rFonts w:cs="Times New Roman"/>
        </w:rPr>
        <w:t>to the data measured in this study. All values of D</w:t>
      </w:r>
      <w:r w:rsidRPr="003A6C5A">
        <w:rPr>
          <w:rFonts w:cs="Times New Roman"/>
          <w:i/>
          <w:iCs/>
          <w:vertAlign w:val="subscript"/>
        </w:rPr>
        <w:t>M</w:t>
      </w:r>
      <w:r w:rsidRPr="003A6C5A">
        <w:rPr>
          <w:rFonts w:cs="Times New Roman"/>
          <w:vertAlign w:val="superscript"/>
        </w:rPr>
        <w:t>α/L</w:t>
      </w:r>
      <w:r w:rsidRPr="003A6C5A" w:rsidDel="00423483">
        <w:rPr>
          <w:rFonts w:cs="Times New Roman"/>
        </w:rPr>
        <w:t xml:space="preserve"> </w:t>
      </w:r>
      <w:r w:rsidRPr="003A6C5A">
        <w:rPr>
          <w:rFonts w:cs="Times New Roman"/>
        </w:rPr>
        <w:t xml:space="preserve">measured in the present study increase with decreasing temperature (Figures </w:t>
      </w:r>
      <w:r w:rsidR="00815F07">
        <w:rPr>
          <w:rFonts w:cs="Times New Roman"/>
        </w:rPr>
        <w:t>5-6a though 5-</w:t>
      </w:r>
      <w:r w:rsidRPr="003A6C5A">
        <w:rPr>
          <w:rFonts w:cs="Times New Roman"/>
        </w:rPr>
        <w:t>6c)</w:t>
      </w:r>
      <w:r>
        <w:rPr>
          <w:rFonts w:cs="Times New Roman"/>
        </w:rPr>
        <w:t xml:space="preserve"> and, </w:t>
      </w:r>
      <w:r w:rsidRPr="003A6C5A">
        <w:rPr>
          <w:rFonts w:cs="Times New Roman"/>
        </w:rPr>
        <w:t>except for D</w:t>
      </w:r>
      <w:r w:rsidRPr="003A6C5A">
        <w:rPr>
          <w:rFonts w:cs="Times New Roman"/>
          <w:vertAlign w:val="subscript"/>
        </w:rPr>
        <w:t>MnO</w:t>
      </w:r>
      <w:r w:rsidRPr="003A6C5A">
        <w:rPr>
          <w:rFonts w:cs="Times New Roman"/>
          <w:vertAlign w:val="superscript"/>
        </w:rPr>
        <w:t xml:space="preserve">Tur-melt </w:t>
      </w:r>
      <w:r w:rsidRPr="003A6C5A">
        <w:rPr>
          <w:rFonts w:cs="Times New Roman"/>
        </w:rPr>
        <w:t xml:space="preserve">above 650°C, </w:t>
      </w:r>
      <w:r>
        <w:rPr>
          <w:rFonts w:cs="Times New Roman"/>
        </w:rPr>
        <w:t xml:space="preserve">all partition coefficients </w:t>
      </w:r>
      <w:r w:rsidRPr="003A6C5A">
        <w:rPr>
          <w:rFonts w:cs="Times New Roman"/>
        </w:rPr>
        <w:t xml:space="preserve">are </w:t>
      </w:r>
      <w:r w:rsidRPr="003A6C5A">
        <w:rPr>
          <w:rFonts w:cs="Times New Roman"/>
        </w:rPr>
        <w:sym w:font="Symbol" w:char="F0B3"/>
      </w:r>
      <w:r w:rsidRPr="003A6C5A">
        <w:rPr>
          <w:rFonts w:cs="Times New Roman"/>
        </w:rPr>
        <w:t xml:space="preserve"> 1. It is for these reasons that the total mafic component of </w:t>
      </w:r>
      <w:r>
        <w:rPr>
          <w:rFonts w:cs="Times New Roman"/>
        </w:rPr>
        <w:t xml:space="preserve">anatectic </w:t>
      </w:r>
      <w:r w:rsidRPr="003A6C5A">
        <w:rPr>
          <w:rFonts w:cs="Times New Roman"/>
        </w:rPr>
        <w:t>granitic melts (saturated in one or more of these mafic minerals) is &lt; 2 wt% total oxides and &lt; ~ 4 % of normative mafic mineral components (e.g., Table 5</w:t>
      </w:r>
      <w:r w:rsidR="0083401A">
        <w:rPr>
          <w:rFonts w:cs="Times New Roman"/>
        </w:rPr>
        <w:t>-5</w:t>
      </w:r>
      <w:r w:rsidRPr="003A6C5A">
        <w:rPr>
          <w:rFonts w:cs="Times New Roman"/>
        </w:rPr>
        <w:t>), and those values decrease with crystallization toward the thermal minimum, resulting in nearly mafic-free leucogranites and pegmatites</w:t>
      </w:r>
      <w:r>
        <w:rPr>
          <w:rFonts w:cs="Times New Roman"/>
        </w:rPr>
        <w:t>.</w:t>
      </w:r>
    </w:p>
    <w:p w:rsidR="00665C0F" w:rsidRPr="003A6C5A" w:rsidRDefault="00665C0F" w:rsidP="00665C0F">
      <w:pPr>
        <w:spacing w:after="120" w:line="480" w:lineRule="auto"/>
        <w:ind w:firstLine="720"/>
        <w:rPr>
          <w:rFonts w:cs="Times New Roman"/>
        </w:rPr>
      </w:pPr>
      <w:r w:rsidRPr="003A6C5A">
        <w:rPr>
          <w:rFonts w:cs="Times New Roman"/>
        </w:rPr>
        <w:t>Exchange coefficients, given the symbol K</w:t>
      </w:r>
      <w:r w:rsidRPr="003A6C5A">
        <w:rPr>
          <w:rFonts w:cs="Times New Roman"/>
          <w:vertAlign w:val="subscript"/>
        </w:rPr>
        <w:t>D</w:t>
      </w:r>
      <w:r w:rsidRPr="003A6C5A">
        <w:rPr>
          <w:rFonts w:cs="Times New Roman"/>
          <w:i/>
          <w:iCs/>
          <w:vertAlign w:val="subscript"/>
        </w:rPr>
        <w:t>M/N</w:t>
      </w:r>
      <w:r w:rsidRPr="003A6C5A">
        <w:rPr>
          <w:rFonts w:cs="Times New Roman"/>
          <w:vertAlign w:val="subscript"/>
        </w:rPr>
        <w:t xml:space="preserve"> </w:t>
      </w:r>
      <w:r w:rsidRPr="003A6C5A">
        <w:rPr>
          <w:rFonts w:cs="Times New Roman"/>
        </w:rPr>
        <w:t xml:space="preserve">where </w:t>
      </w:r>
      <w:r w:rsidRPr="003A6C5A">
        <w:rPr>
          <w:rFonts w:cs="Times New Roman"/>
          <w:i/>
          <w:iCs/>
        </w:rPr>
        <w:t>M</w:t>
      </w:r>
      <w:r w:rsidRPr="003A6C5A">
        <w:rPr>
          <w:rFonts w:cs="Times New Roman"/>
        </w:rPr>
        <w:t xml:space="preserve"> and </w:t>
      </w:r>
      <w:r w:rsidRPr="003A6C5A">
        <w:rPr>
          <w:rFonts w:cs="Times New Roman"/>
          <w:i/>
          <w:iCs/>
        </w:rPr>
        <w:t>N</w:t>
      </w:r>
      <w:r w:rsidRPr="003A6C5A">
        <w:rPr>
          <w:rFonts w:cs="Times New Roman"/>
        </w:rPr>
        <w:t xml:space="preserve"> are different oxides </w:t>
      </w:r>
      <w:r w:rsidRPr="003A6C5A">
        <w:rPr>
          <w:rFonts w:cs="Times New Roman"/>
        </w:rPr>
        <w:fldChar w:fldCharType="begin" w:fldLock="1"/>
      </w:r>
      <w:r w:rsidR="00266290">
        <w:rPr>
          <w:rFonts w:cs="Times New Roman"/>
        </w:rPr>
        <w:instrText>ADDIN CSL_CITATION { "citationItems" : [ { "id" : "ITEM-1", "itemData" : { "DOI" : "10.1016/0016-7037(93)90015-O", "ISBN" : "0016-7037", "ISSN" : "00167037", "abstract" : "A self-consistent terminology for partitioning data is presented. Ratios of the concentration of a component in two phases are termed partition coefficients and given the symbol D. Ratios of partition coefficients are termed exchange coefficients and given the symbol KD. The prefix \"bulk\" implies that these coefficients are weighted according to the proportions of coexisting phases. Bulk partition and bulk exchange coefficients are denoted by D ?? and K ??D, respectively. ?? 1993.", "author" : [ { "dropping-particle" : "", "family" : "Beattie", "given" : "Paul", "non-dropping-particle" : "", "parse-names" : false, "suffix" : "" }, { "dropping-particle" : "", "family" : "Drake", "given" : "Michael", "non-dropping-particle" : "", "parse-names" : false, "suffix" : "" }, { "dropping-particle" : "", "family" : "Jones", "given" : "John", "non-dropping-particle" : "", "parse-names" : false, "suffix" : "" }, { "dropping-particle" : "", "family" : "Leeman", "given" : "William", "non-dropping-particle" : "", "parse-names" : false, "suffix" : "" }, { "dropping-particle" : "", "family" : "Longhi", "given" : "John", "non-dropping-particle" : "", "parse-names" : false, "suffix" : "" }, { "dropping-particle" : "", "family" : "McKay", "given" : "Gordon", "non-dropping-particle" : "", "parse-names" : false, "suffix" : "" }, { "dropping-particle" : "", "family" : "Nielsen", "given" : "Roger", "non-dropping-particle" : "", "parse-names" : false, "suffix" : "" }, { "dropping-particle" : "", "family" : "Palme", "given" : "Herbert", "non-dropping-particle" : "", "parse-names" : false, "suffix" : "" }, { "dropping-particle" : "", "family" : "Shaw", "given" : "Denis", "non-dropping-particle" : "", "parse-names" : false, "suffix" : "" }, { "dropping-particle" : "", "family" : "Takahashi", "given" : "Eiichi", "non-dropping-particle" : "", "parse-names" : false, "suffix" : "" }, { "dropping-particle" : "", "family" : "Watson", "given" : "Bruce", "non-dropping-particle" : "", "parse-names" : false, "suffix" : "" } ], "container-title" : "Geochimica et Cosmochimica Acta", "id" : "ITEM-1", "issued" : { "date-parts" : [ [ "1993" ] ] }, "page" : "1605-1606", "title" : "Terminology for trace-element partitioning", "type" : "article-journal", "volume" : "57" }, "uris" : [ "http://www.mendeley.com/documents/?uuid=e59c780e-c8c0-32c0-8fdf-e81debf864f1" ] } ], "mendeley" : { "formattedCitation" : "(Beattie et al., 1993)", "plainTextFormattedCitation" : "(Beattie et al., 1993)", "previouslyFormattedCitation" : "(Beattie et al. 1993)" }, "properties" : { "noteIndex" : 0 }, "schema" : "https://github.com/citation-style-language/schema/raw/master/csl-citation.json" }</w:instrText>
      </w:r>
      <w:r w:rsidRPr="003A6C5A">
        <w:rPr>
          <w:rFonts w:cs="Times New Roman"/>
        </w:rPr>
        <w:fldChar w:fldCharType="separate"/>
      </w:r>
      <w:r w:rsidR="00266290" w:rsidRPr="00266290">
        <w:rPr>
          <w:rFonts w:cs="Times New Roman"/>
          <w:noProof/>
        </w:rPr>
        <w:t>(Beattie et al., 1993)</w:t>
      </w:r>
      <w:r w:rsidRPr="003A6C5A">
        <w:rPr>
          <w:rFonts w:cs="Times New Roman"/>
        </w:rPr>
        <w:fldChar w:fldCharType="end"/>
      </w:r>
      <w:r w:rsidRPr="003A6C5A">
        <w:rPr>
          <w:rFonts w:cs="Times New Roman"/>
        </w:rPr>
        <w:t>, compare pairs of oxide partition coefficients for the same mineral</w:t>
      </w:r>
      <w:r>
        <w:rPr>
          <w:rFonts w:cs="Times New Roman"/>
        </w:rPr>
        <w:t xml:space="preserve"> (see footnote 1)</w:t>
      </w:r>
      <w:r w:rsidRPr="003A6C5A">
        <w:rPr>
          <w:rFonts w:cs="Times New Roman"/>
        </w:rPr>
        <w:t xml:space="preserve">. </w:t>
      </w:r>
      <w:r>
        <w:rPr>
          <w:rFonts w:cs="Times New Roman"/>
        </w:rPr>
        <w:t>All e</w:t>
      </w:r>
      <w:r w:rsidRPr="003A6C5A">
        <w:rPr>
          <w:rFonts w:cs="Times New Roman"/>
        </w:rPr>
        <w:t>xchange coefficients are constant over the range of temperatures investigated. Average values of K</w:t>
      </w:r>
      <w:r w:rsidRPr="003A6C5A">
        <w:rPr>
          <w:rFonts w:cs="Times New Roman"/>
          <w:vertAlign w:val="subscript"/>
        </w:rPr>
        <w:t>D</w:t>
      </w:r>
      <w:r w:rsidRPr="003A6C5A">
        <w:rPr>
          <w:rFonts w:cs="Times New Roman"/>
          <w:i/>
          <w:iCs/>
          <w:vertAlign w:val="subscript"/>
        </w:rPr>
        <w:t>M/N</w:t>
      </w:r>
      <w:r w:rsidRPr="003A6C5A">
        <w:rPr>
          <w:rFonts w:cs="Times New Roman"/>
        </w:rPr>
        <w:t xml:space="preserve"> are reported in Table </w:t>
      </w:r>
      <w:r w:rsidR="0083401A">
        <w:rPr>
          <w:rFonts w:cs="Times New Roman"/>
        </w:rPr>
        <w:t>5-</w:t>
      </w:r>
      <w:r w:rsidRPr="003A6C5A">
        <w:rPr>
          <w:rFonts w:cs="Times New Roman"/>
        </w:rPr>
        <w:t xml:space="preserve">6. Figures </w:t>
      </w:r>
      <w:r w:rsidR="00815F07">
        <w:rPr>
          <w:rFonts w:cs="Times New Roman"/>
        </w:rPr>
        <w:t>5-</w:t>
      </w:r>
      <w:r w:rsidRPr="003A6C5A">
        <w:rPr>
          <w:rFonts w:cs="Times New Roman"/>
        </w:rPr>
        <w:t xml:space="preserve">7a and </w:t>
      </w:r>
      <w:r w:rsidR="00815F07">
        <w:rPr>
          <w:rFonts w:cs="Times New Roman"/>
        </w:rPr>
        <w:t>5-</w:t>
      </w:r>
      <w:r w:rsidRPr="003A6C5A">
        <w:rPr>
          <w:rFonts w:cs="Times New Roman"/>
        </w:rPr>
        <w:t>7b show exchange coefficients MgO/FeO and MnO/FeO for garnet, tourmaline, muscovite, biotite, and cordierite. In these diagrams, the slope of the line regressed through the data represents the exchange coefficient, e.g. K</w:t>
      </w:r>
      <w:r w:rsidRPr="003A6C5A">
        <w:rPr>
          <w:rFonts w:cs="Times New Roman"/>
          <w:vertAlign w:val="subscript"/>
        </w:rPr>
        <w:t>D</w:t>
      </w:r>
      <w:r w:rsidRPr="003A6C5A">
        <w:rPr>
          <w:rFonts w:cs="Times New Roman"/>
          <w:i/>
          <w:iCs/>
          <w:vertAlign w:val="subscript"/>
        </w:rPr>
        <w:t>MnO/FeO</w:t>
      </w:r>
      <w:r w:rsidRPr="003A6C5A">
        <w:rPr>
          <w:rFonts w:cs="Times New Roman"/>
        </w:rPr>
        <w:t>. A slope greater than one indicates that the element in the numerator will be depleted from melt faster than the element in the denominator.</w:t>
      </w:r>
    </w:p>
    <w:p w:rsidR="00665C0F" w:rsidRPr="0047415D" w:rsidRDefault="009F5DE0" w:rsidP="0047415D">
      <w:pPr>
        <w:pStyle w:val="Heading2"/>
        <w:spacing w:line="480" w:lineRule="auto"/>
        <w:rPr>
          <w:rFonts w:cs="Times New Roman"/>
          <w:bCs/>
          <w:sz w:val="24"/>
          <w:szCs w:val="24"/>
        </w:rPr>
      </w:pPr>
      <w:bookmarkStart w:id="177" w:name="_Toc491246074"/>
      <w:r w:rsidRPr="0047415D">
        <w:rPr>
          <w:rFonts w:cs="Times New Roman"/>
          <w:bCs/>
          <w:sz w:val="24"/>
          <w:szCs w:val="24"/>
        </w:rPr>
        <w:t>4</w:t>
      </w:r>
      <w:r w:rsidR="0047415D" w:rsidRPr="0047415D">
        <w:rPr>
          <w:rFonts w:cs="Times New Roman"/>
          <w:bCs/>
          <w:sz w:val="24"/>
          <w:szCs w:val="24"/>
        </w:rPr>
        <w:t>.</w:t>
      </w:r>
      <w:r w:rsidRPr="0047415D">
        <w:rPr>
          <w:rFonts w:cs="Times New Roman"/>
          <w:bCs/>
          <w:sz w:val="24"/>
          <w:szCs w:val="24"/>
        </w:rPr>
        <w:t xml:space="preserve"> </w:t>
      </w:r>
      <w:r w:rsidR="00665C0F" w:rsidRPr="0047415D">
        <w:rPr>
          <w:rFonts w:cs="Times New Roman"/>
          <w:bCs/>
          <w:sz w:val="24"/>
          <w:szCs w:val="24"/>
        </w:rPr>
        <w:t>Discussion</w:t>
      </w:r>
      <w:bookmarkEnd w:id="177"/>
    </w:p>
    <w:p w:rsidR="00665C0F" w:rsidRPr="009F5DE0" w:rsidRDefault="009F5DE0" w:rsidP="0047415D">
      <w:pPr>
        <w:pStyle w:val="Heading3"/>
        <w:spacing w:line="480" w:lineRule="auto"/>
        <w:rPr>
          <w:rFonts w:cs="Times New Roman"/>
          <w:bCs/>
        </w:rPr>
      </w:pPr>
      <w:bookmarkStart w:id="178" w:name="_Toc491246075"/>
      <w:r w:rsidRPr="0047415D">
        <w:rPr>
          <w:rFonts w:cs="Times New Roman"/>
          <w:bCs/>
        </w:rPr>
        <w:t>4.1</w:t>
      </w:r>
      <w:r w:rsidR="0047415D" w:rsidRPr="0047415D">
        <w:rPr>
          <w:rFonts w:cs="Times New Roman"/>
          <w:bCs/>
        </w:rPr>
        <w:t>.</w:t>
      </w:r>
      <w:r w:rsidRPr="0047415D">
        <w:rPr>
          <w:rFonts w:cs="Times New Roman"/>
          <w:bCs/>
        </w:rPr>
        <w:t xml:space="preserve"> </w:t>
      </w:r>
      <w:r w:rsidR="00665C0F" w:rsidRPr="0047415D">
        <w:rPr>
          <w:rFonts w:cs="Times New Roman"/>
          <w:bCs/>
        </w:rPr>
        <w:t>The evolution of MgO/FeO and MnO/FeO of melt during fractional crystallization</w:t>
      </w:r>
      <w:bookmarkEnd w:id="178"/>
    </w:p>
    <w:p w:rsidR="00665C0F" w:rsidRDefault="00665C0F" w:rsidP="00665C0F">
      <w:pPr>
        <w:spacing w:after="120" w:line="480" w:lineRule="auto"/>
        <w:ind w:firstLine="720"/>
        <w:rPr>
          <w:rFonts w:cs="Times New Roman"/>
        </w:rPr>
      </w:pPr>
      <w:r w:rsidRPr="003A6C5A">
        <w:rPr>
          <w:rFonts w:cs="Times New Roman"/>
        </w:rPr>
        <w:t>The MgO/FeO ratios of granites decrease</w:t>
      </w:r>
      <w:r>
        <w:rPr>
          <w:rFonts w:cs="Times New Roman"/>
        </w:rPr>
        <w:t xml:space="preserve"> </w:t>
      </w:r>
      <w:r>
        <w:rPr>
          <w:rFonts w:cs="Times New Roman"/>
        </w:rPr>
        <w:fldChar w:fldCharType="begin" w:fldLock="1"/>
      </w:r>
      <w:r w:rsidR="00266290">
        <w:rPr>
          <w:rFonts w:cs="Times New Roman"/>
        </w:rPr>
        <w:instrText>ADDIN CSL_CITATION { "citationItems" : [ { "id" : "ITEM-1", "itemData" : { "author" : [ { "dropping-particle" : "", "family" : "Frost", "given" : "B. Ronald", "non-dropping-particle" : "", "parse-names" : false, "suffix" : "" }, { "dropping-particle" : "", "family" : "Barnes", "given" : "Calvin G", "non-dropping-particle" : "", "parse-names" : false, "suffix" : "" }, { "dropping-particle" : "", "family" : "Collins", "given" : "William J.", "non-dropping-particle" : "", "parse-names" : false, "suffix" : "" }, { "dropping-particle" : "", "family" : "Arculus", "given" : "Richard J.", "non-dropping-particle" : "", "parse-names" : false, "suffix" : "" }, { "dropping-particle" : "", "family" : "Ellis", "given" : "David J.", "non-dropping-particle" : "", "parse-names" : false, "suffix" : "" }, { "dropping-particle" : "", "family" : "Frost", "given" : "Carol D.", "non-dropping-particle" : "", "parse-names" : false, "suffix" : "" } ], "container-title" : "Journal of Petrology", "id" : "ITEM-1", "issue" : "11", "issued" : { "date-parts" : [ [ "2001" ] ] }, "page" : "2033-2048", "title" : "A geochemical classification for granitic rocks", "type" : "article-journal", "volume" : "42" }, "uris" : [ "http://www.mendeley.com/documents/?uuid=a1b6bcfd-7052-451e-9e25-f7d763013552" ] } ], "mendeley" : { "formattedCitation" : "(Frost et al., 2001)", "manualFormatting" : "(Frost et al. 2001, and references therein)", "plainTextFormattedCitation" : "(Frost et al., 2001)", "previouslyFormattedCitation" : "(Frost et al. 2001)" }, "properties" : { "noteIndex" : 0 }, "schema" : "https://github.com/citation-style-language/schema/raw/master/csl-citation.json" }</w:instrText>
      </w:r>
      <w:r>
        <w:rPr>
          <w:rFonts w:cs="Times New Roman"/>
        </w:rPr>
        <w:fldChar w:fldCharType="separate"/>
      </w:r>
      <w:r w:rsidRPr="00FA0888">
        <w:rPr>
          <w:rFonts w:cs="Times New Roman"/>
          <w:noProof/>
        </w:rPr>
        <w:t>(Frost et al. 2001</w:t>
      </w:r>
      <w:r>
        <w:rPr>
          <w:rFonts w:cs="Times New Roman"/>
          <w:noProof/>
        </w:rPr>
        <w:t>, and references therein</w:t>
      </w:r>
      <w:r w:rsidRPr="00FA0888">
        <w:rPr>
          <w:rFonts w:cs="Times New Roman"/>
          <w:noProof/>
        </w:rPr>
        <w:t>)</w:t>
      </w:r>
      <w:r>
        <w:rPr>
          <w:rFonts w:cs="Times New Roman"/>
        </w:rPr>
        <w:fldChar w:fldCharType="end"/>
      </w:r>
      <w:r>
        <w:rPr>
          <w:rFonts w:cs="Times New Roman"/>
        </w:rPr>
        <w:t xml:space="preserve"> and</w:t>
      </w:r>
      <w:r w:rsidRPr="003A6C5A">
        <w:rPr>
          <w:rFonts w:cs="Times New Roman"/>
        </w:rPr>
        <w:t xml:space="preserve"> MnO/FeO increase</w:t>
      </w:r>
      <w:r>
        <w:rPr>
          <w:rFonts w:cs="Times New Roman"/>
        </w:rPr>
        <w:t xml:space="preserve"> </w:t>
      </w:r>
      <w:r>
        <w:rPr>
          <w:rFonts w:cs="Times New Roman"/>
        </w:rPr>
        <w:fldChar w:fldCharType="begin" w:fldLock="1"/>
      </w:r>
      <w:r w:rsidR="00266290">
        <w:rPr>
          <w:rFonts w:cs="Times New Roman"/>
        </w:rPr>
        <w:instrText>ADDIN CSL_CITATION { "citationItems" : [ { "id" : "ITEM-1", "itemData" : { "abstract" : "-Granitic pegmatites of the rare_element (and miarolitic) class display extreme fractionation and accumulation.of rare lithophile elements, beyond the limits observed in other igneous and postmagmatic assemblages. Enrichment in Li and -Cs leads to precipitation of rock-forming spodumene, petalite, Li-phosphates or lepidolite, and pollucite. These gqeoes-can be interpreted as crystallochemically conditioned Li-and-Csbased feldspathoids, crystallizing along with (and after) the last generations of primary K-and Nalfeldspars. Extreme fractionation is encountered in K-feldspar gi,znb !,9.rK/Qs 22.4, K/Tt 236, Rb,zCs 6.5, Rb,/Tt 130 io 35, K,/Ba 18,0@, BalRb &lt;0.002); muscovite and lepidolite q/R! !.4, K,/Cs 4.0, K/Tl3ZO, Rb,/Cs 4.4, nb,ril SO ro 3.6, N/Ga239): pollucite (KAl 10, Rb/Tl 60io l3); micro-ute, srmpsonite and other late oxide minerals of Ta (Nb/Ta &lt; 0.001); manganoranialire (Fe,/Mn 0.@3): spes_ sartine @e,/Mn &lt; 0.@3); lithiophilite (FeZVn &lt; O.oii: iraf_ yoy (ZrlHf 0.014), and hawteyite and dernjite (in/Cd, 0.067)-Classic crystallochemical concepts of Goldichmictr and Ringwood alone are not adequate tb explain the above values. Selective extraction and transport in a volatile phase (by diffusion or in an exsolved hydrous fluid), complex_ ing stable to relatively low late-to postmagmaiic temiera-tures, and crystallochemical preferences for specific mineral structures operate in conjunction with crystal,/melt frac-tionation; the environment evolves from that of a volatile_ saturated residual granitic melt, through that ofa melt coex_ isting with exsolved supercritical fluid, to that of an aque_ ous solution and possibly a gas phase, in a closed oire-stricted system.", "author" : [ { "dropping-particle" : "", "family" : "\u010cern\u00fd", "given" : "Petr", "non-dropping-particle" : "", "parse-names" : false, "suffix" : "" }, { "dropping-particle" : "", "family" : "Meintzer", "given" : "R. E.", "non-dropping-particle" : "", "parse-names" : false, "suffix" : "" }, { "dropping-particle" : "", "family" : "Anderson", "given" : "A. J.", "non-dropping-particle" : "", "parse-names" : false, "suffix" : "" } ], "container-title" : "Canadian Mineralogist", "id" : "ITEM-1", "issued" : { "date-parts" : [ [ "1985" ] ] }, "page" : "381-421", "title" : "Extreme fractionation in rare-element granitic pegmatites: Selected examples of data and mechanisms", "type" : "article-journal", "volume" : "23" }, "uris" : [ "http://www.mendeley.com/documents/?uuid=1dffeb90-1928-3499-ab28-7b4ed23b2c08" ] } ], "mendeley" : { "formattedCitation" : "(\u010cern\u00fd et al., 1985)", "plainTextFormattedCitation" : "(\u010cern\u00fd et al., 1985)", "previouslyFormattedCitation" : "(\u010cern\u00fd et al. 1985)" }, "properties" : { "noteIndex" : 0 }, "schema" : "https://github.com/citation-style-language/schema/raw/master/csl-citation.json" }</w:instrText>
      </w:r>
      <w:r>
        <w:rPr>
          <w:rFonts w:cs="Times New Roman"/>
        </w:rPr>
        <w:fldChar w:fldCharType="separate"/>
      </w:r>
      <w:r w:rsidR="00266290" w:rsidRPr="00266290">
        <w:rPr>
          <w:rFonts w:cs="Times New Roman"/>
          <w:noProof/>
        </w:rPr>
        <w:t>(Černý et al., 1985)</w:t>
      </w:r>
      <w:r>
        <w:rPr>
          <w:rFonts w:cs="Times New Roman"/>
        </w:rPr>
        <w:fldChar w:fldCharType="end"/>
      </w:r>
      <w:r w:rsidRPr="003A6C5A">
        <w:rPr>
          <w:rFonts w:cs="Times New Roman"/>
        </w:rPr>
        <w:t xml:space="preserve"> during the fractional crystallization of primary S-ty</w:t>
      </w:r>
      <w:r>
        <w:rPr>
          <w:rFonts w:cs="Times New Roman"/>
        </w:rPr>
        <w:t>pe granitic melts. An increase in</w:t>
      </w:r>
      <w:r w:rsidRPr="003A6C5A">
        <w:rPr>
          <w:rFonts w:cs="Times New Roman"/>
        </w:rPr>
        <w:t xml:space="preserve"> the MnO/FeO ratio </w:t>
      </w:r>
      <w:r>
        <w:rPr>
          <w:rFonts w:cs="Times New Roman"/>
        </w:rPr>
        <w:t>during fractional crysta</w:t>
      </w:r>
      <w:r w:rsidR="00C868D7">
        <w:rPr>
          <w:rFonts w:cs="Times New Roman"/>
        </w:rPr>
        <w:t>llization of granitic magma</w:t>
      </w:r>
      <w:r>
        <w:rPr>
          <w:rFonts w:cs="Times New Roman"/>
        </w:rPr>
        <w:t xml:space="preserve"> </w:t>
      </w:r>
      <w:r w:rsidRPr="003A6C5A">
        <w:rPr>
          <w:rFonts w:cs="Times New Roman"/>
        </w:rPr>
        <w:t xml:space="preserve">must be controlled by the crystallization of minerals in which Mn is less compatible than Fe and Mg. Similarly, the MgO/FeO ratio decreases due to the greater compatibility of Mg compared to Fe in mafic phases at high temperature. The data plotted in Figures </w:t>
      </w:r>
      <w:r w:rsidR="00815F07">
        <w:rPr>
          <w:rFonts w:cs="Times New Roman"/>
        </w:rPr>
        <w:t>5-</w:t>
      </w:r>
      <w:r w:rsidRPr="003A6C5A">
        <w:rPr>
          <w:rFonts w:cs="Times New Roman"/>
        </w:rPr>
        <w:t xml:space="preserve">7a and </w:t>
      </w:r>
      <w:r w:rsidR="00815F07">
        <w:rPr>
          <w:rFonts w:cs="Times New Roman"/>
        </w:rPr>
        <w:t>5-</w:t>
      </w:r>
      <w:r w:rsidRPr="003A6C5A">
        <w:rPr>
          <w:rFonts w:cs="Times New Roman"/>
        </w:rPr>
        <w:t>7b show that crystallization of biotite, muscovite, and cordierite deplete</w:t>
      </w:r>
      <w:r>
        <w:rPr>
          <w:rFonts w:cs="Times New Roman"/>
        </w:rPr>
        <w:t>s</w:t>
      </w:r>
      <w:r w:rsidRPr="003A6C5A">
        <w:rPr>
          <w:rFonts w:cs="Times New Roman"/>
        </w:rPr>
        <w:t xml:space="preserve"> the melt in MgO relative to FeO most effectively, whereas the crystallization of tourmaline, muscovite, and biotite promotes an increase in the MnO content of melt relative to FeO. These trends are seen more clearly in solutions to the Rayleigh </w:t>
      </w:r>
      <w:r>
        <w:rPr>
          <w:rFonts w:cs="Times New Roman"/>
        </w:rPr>
        <w:t xml:space="preserve">fractionation </w:t>
      </w:r>
      <w:r w:rsidRPr="003A6C5A">
        <w:rPr>
          <w:rFonts w:cs="Times New Roman"/>
        </w:rPr>
        <w:t xml:space="preserve">equation, </w:t>
      </w:r>
    </w:p>
    <w:p w:rsidR="00665C0F" w:rsidRPr="00665C0F" w:rsidRDefault="00B920BD" w:rsidP="00665C0F">
      <w:pPr>
        <w:spacing w:after="120" w:line="480" w:lineRule="auto"/>
        <w:rPr>
          <w:rFonts w:cs="Times New Roman"/>
        </w:rPr>
      </w:pPr>
      <m:oMathPara>
        <m:oMath>
          <m:f>
            <m:fPr>
              <m:ctrlPr>
                <w:rPr>
                  <w:rFonts w:ascii="Cambria Math" w:hAnsi="Cambria Math" w:cs="Times New Roman"/>
                  <w:i/>
                </w:rPr>
              </m:ctrlPr>
            </m:fPr>
            <m:num>
              <m:r>
                <w:rPr>
                  <w:rFonts w:ascii="Cambria Math" w:hAnsi="Cambria Math" w:cs="Times New Roman"/>
                </w:rPr>
                <m:t>C</m:t>
              </m:r>
            </m:num>
            <m:den>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o</m:t>
                  </m:r>
                </m:sub>
              </m:sSub>
            </m:den>
          </m:f>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F</m:t>
              </m:r>
            </m:e>
            <m:sup>
              <m:r>
                <w:rPr>
                  <w:rFonts w:ascii="Cambria Math" w:hAnsi="Cambria Math" w:cs="Times New Roman"/>
                </w:rPr>
                <m:t>α-1</m:t>
              </m:r>
            </m:sup>
          </m:sSup>
        </m:oMath>
      </m:oMathPara>
    </w:p>
    <w:p w:rsidR="00665C0F" w:rsidRDefault="00665C0F" w:rsidP="00665C0F">
      <w:pPr>
        <w:spacing w:after="120" w:line="480" w:lineRule="auto"/>
        <w:rPr>
          <w:rFonts w:cs="Times New Roman"/>
        </w:rPr>
      </w:pPr>
      <w:r w:rsidRPr="003A6C5A">
        <w:rPr>
          <w:rFonts w:cs="Times New Roman"/>
        </w:rPr>
        <w:t xml:space="preserve">by which the individual effects of biotite, garnet, cordierite, and tourmaline crystallization on the exchange coefficients MgO/FeO (Figure </w:t>
      </w:r>
      <w:r w:rsidR="00815F07">
        <w:rPr>
          <w:rFonts w:cs="Times New Roman"/>
        </w:rPr>
        <w:t>5-</w:t>
      </w:r>
      <w:r w:rsidRPr="003A6C5A">
        <w:rPr>
          <w:rFonts w:cs="Times New Roman"/>
        </w:rPr>
        <w:t xml:space="preserve">8a) and MnO/FeO (Figure </w:t>
      </w:r>
      <w:r w:rsidR="00815F07">
        <w:rPr>
          <w:rFonts w:cs="Times New Roman"/>
        </w:rPr>
        <w:t>5-</w:t>
      </w:r>
      <w:r w:rsidRPr="003A6C5A">
        <w:rPr>
          <w:rFonts w:cs="Times New Roman"/>
        </w:rPr>
        <w:t xml:space="preserve">8b) of residual melt are modeled. The vertical axis in Figures </w:t>
      </w:r>
      <w:r w:rsidR="00815F07">
        <w:rPr>
          <w:rFonts w:cs="Times New Roman"/>
        </w:rPr>
        <w:t>5-</w:t>
      </w:r>
      <w:r w:rsidRPr="003A6C5A">
        <w:rPr>
          <w:rFonts w:cs="Times New Roman"/>
        </w:rPr>
        <w:t xml:space="preserve">8a and </w:t>
      </w:r>
      <w:r w:rsidR="00815F07">
        <w:rPr>
          <w:rFonts w:cs="Times New Roman"/>
        </w:rPr>
        <w:t>5-</w:t>
      </w:r>
      <w:r w:rsidRPr="003A6C5A">
        <w:rPr>
          <w:rFonts w:cs="Times New Roman"/>
        </w:rPr>
        <w:t>8b represent</w:t>
      </w:r>
      <w:r>
        <w:rPr>
          <w:rFonts w:cs="Times New Roman"/>
        </w:rPr>
        <w:t>s</w:t>
      </w:r>
      <w:r w:rsidRPr="003A6C5A">
        <w:rPr>
          <w:rFonts w:cs="Times New Roman"/>
        </w:rPr>
        <w:t xml:space="preserve"> values of C/C</w:t>
      </w:r>
      <w:r w:rsidRPr="003A6C5A">
        <w:rPr>
          <w:rFonts w:cs="Times New Roman"/>
          <w:vertAlign w:val="subscript"/>
        </w:rPr>
        <w:t>o</w:t>
      </w:r>
      <w:r w:rsidR="00847458">
        <w:rPr>
          <w:rFonts w:cs="Times New Roman"/>
        </w:rPr>
        <w:t>, where C is the final concentration and C</w:t>
      </w:r>
      <w:r w:rsidR="00847458">
        <w:rPr>
          <w:rFonts w:cs="Times New Roman"/>
          <w:vertAlign w:val="subscript"/>
        </w:rPr>
        <w:t>o</w:t>
      </w:r>
      <w:r w:rsidR="00847458">
        <w:rPr>
          <w:rFonts w:cs="Times New Roman"/>
        </w:rPr>
        <w:t xml:space="preserve"> is the initial concentration, </w:t>
      </w:r>
      <w:r w:rsidRPr="003A6C5A">
        <w:rPr>
          <w:rFonts w:cs="Times New Roman"/>
        </w:rPr>
        <w:t xml:space="preserve">and the horizontal axis is F, the fraction of liquid (melt) remaining. </w:t>
      </w:r>
      <w:r w:rsidR="00847458">
        <w:rPr>
          <w:rFonts w:cs="Times New Roman"/>
        </w:rPr>
        <w:t xml:space="preserve">Alpha, </w:t>
      </w:r>
      <w:r w:rsidR="00847458">
        <w:rPr>
          <w:rFonts w:ascii="Calibri" w:hAnsi="Calibri" w:cs="Times New Roman"/>
        </w:rPr>
        <w:t>α</w:t>
      </w:r>
      <w:r w:rsidR="00847458">
        <w:rPr>
          <w:rFonts w:cs="Times New Roman"/>
        </w:rPr>
        <w:t xml:space="preserve">, is the bulk partition coefficient. </w:t>
      </w:r>
      <w:r w:rsidRPr="003A6C5A">
        <w:rPr>
          <w:rFonts w:cs="Times New Roman"/>
        </w:rPr>
        <w:t>An increase in C/C</w:t>
      </w:r>
      <w:r w:rsidRPr="003A6C5A">
        <w:rPr>
          <w:rFonts w:cs="Times New Roman"/>
          <w:vertAlign w:val="subscript"/>
        </w:rPr>
        <w:t>o</w:t>
      </w:r>
      <w:r w:rsidRPr="003A6C5A">
        <w:rPr>
          <w:rFonts w:cs="Times New Roman"/>
        </w:rPr>
        <w:t xml:space="preserve"> </w:t>
      </w:r>
      <w:r>
        <w:rPr>
          <w:rFonts w:cs="Times New Roman"/>
        </w:rPr>
        <w:t>reflects</w:t>
      </w:r>
      <w:r w:rsidRPr="003A6C5A">
        <w:rPr>
          <w:rFonts w:cs="Times New Roman"/>
        </w:rPr>
        <w:t xml:space="preserve"> an increase in the MgO/FeO or MnO/FeO ratio of the residual melt. The curves representing MgO/FeO and MnO/FeO in Figures </w:t>
      </w:r>
      <w:r w:rsidR="00815F07">
        <w:rPr>
          <w:rFonts w:cs="Times New Roman"/>
        </w:rPr>
        <w:t>5-</w:t>
      </w:r>
      <w:r w:rsidRPr="003A6C5A">
        <w:rPr>
          <w:rFonts w:cs="Times New Roman"/>
        </w:rPr>
        <w:t xml:space="preserve">8a and </w:t>
      </w:r>
      <w:r w:rsidR="00815F07">
        <w:rPr>
          <w:rFonts w:cs="Times New Roman"/>
        </w:rPr>
        <w:t>5-</w:t>
      </w:r>
      <w:r w:rsidRPr="003A6C5A">
        <w:rPr>
          <w:rFonts w:cs="Times New Roman"/>
        </w:rPr>
        <w:t>8b, respectively, show that crystallization of garnet will increase the MgO/FeO ratio and decrease the MnO/FeO of melt</w:t>
      </w:r>
      <w:r>
        <w:rPr>
          <w:rFonts w:cs="Times New Roman"/>
        </w:rPr>
        <w:t>,</w:t>
      </w:r>
      <w:r w:rsidRPr="003A6C5A">
        <w:rPr>
          <w:rFonts w:cs="Times New Roman"/>
        </w:rPr>
        <w:t xml:space="preserve"> whereas crystallization of muscovite, biotite, tourmaline, and cordierite has the opposite effect on melt composition. Values of K</w:t>
      </w:r>
      <w:r w:rsidRPr="003A6C5A">
        <w:rPr>
          <w:rFonts w:cs="Times New Roman"/>
          <w:vertAlign w:val="subscript"/>
        </w:rPr>
        <w:t>D</w:t>
      </w:r>
      <w:r w:rsidRPr="003A6C5A">
        <w:rPr>
          <w:rFonts w:cs="Times New Roman"/>
          <w:vertAlign w:val="superscript"/>
        </w:rPr>
        <w:t>MnO/FeO</w:t>
      </w:r>
      <w:r w:rsidRPr="003A6C5A">
        <w:rPr>
          <w:rFonts w:cs="Times New Roman"/>
        </w:rPr>
        <w:t xml:space="preserve"> decrease in the sequence from garnet to cordierite to biotite/muscovite to tourmaline (Figure </w:t>
      </w:r>
      <w:r w:rsidR="00815F07">
        <w:rPr>
          <w:rFonts w:cs="Times New Roman"/>
        </w:rPr>
        <w:t>5-</w:t>
      </w:r>
      <w:r w:rsidRPr="003A6C5A">
        <w:rPr>
          <w:rFonts w:cs="Times New Roman"/>
        </w:rPr>
        <w:t xml:space="preserve">7b). Thus, the crystallization of garnet only will produce a steady decrease in the MnO/FeO ratio of melt and of garnet (e.g., </w:t>
      </w:r>
      <w:r w:rsidRPr="003A6C5A">
        <w:rPr>
          <w:rFonts w:cs="Times New Roman"/>
        </w:rPr>
        <w:fldChar w:fldCharType="begin" w:fldLock="1"/>
      </w:r>
      <w:r w:rsidR="00266290">
        <w:rPr>
          <w:rFonts w:cs="Times New Roman"/>
        </w:rPr>
        <w:instrText>ADDIN CSL_CITATION { "citationItems" : [ { "id" : "ITEM-1", "itemData" : { "DOI" : "10.3749/canmin.50.4.1095", "ISBN" : "0008-4476", "ISSN" : "00084476", "author" : [ { "dropping-particle" : "", "family" : "M\u00fcller", "given" : "Axel", "non-dropping-particle" : "", "parse-names" : false, "suffix" : "" }, { "dropping-particle" : "", "family" : "Kearsley", "given" : "Anton", "non-dropping-particle" : "", "parse-names" : false, "suffix" : "" }, { "dropping-particle" : "", "family" : "Spratt", "given" : "John", "non-dropping-particle" : "", "parse-names" : false, "suffix" : "" }, { "dropping-particle" : "", "family" : "Seltmann", "given" : "Reimar", "non-dropping-particle" : "", "parse-names" : false, "suffix" : "" } ], "container-title" : "Canadian Mineralogist", "id" : "ITEM-1", "issued" : { "date-parts" : [ [ "2012" ] ] }, "page" : "1095-1115", "title" : "Petrogenetic implications of magmatic garnet in granitic pegmatites from Southern Norway", "type" : "article-journal", "volume" : "50" }, "uris" : [ "http://www.mendeley.com/documents/?uuid=a9716d99-d1d7-392e-9af9-a9a1b5cfc3d6" ] } ], "mendeley" : { "formattedCitation" : "(M\u00fcller et al., 2012)", "manualFormatting" : "M\u00fcller et al. 2012)", "plainTextFormattedCitation" : "(M\u00fcller et al., 2012)", "previouslyFormattedCitation" : "(M\u00fcller et al. 2012)" }, "properties" : { "noteIndex" : 0 }, "schema" : "https://github.com/citation-style-language/schema/raw/master/csl-citation.json" }</w:instrText>
      </w:r>
      <w:r w:rsidRPr="003A6C5A">
        <w:rPr>
          <w:rFonts w:cs="Times New Roman"/>
        </w:rPr>
        <w:fldChar w:fldCharType="separate"/>
      </w:r>
      <w:r w:rsidRPr="003A6C5A">
        <w:rPr>
          <w:rFonts w:cs="Times New Roman"/>
          <w:noProof/>
        </w:rPr>
        <w:t>Müller et al. 2012)</w:t>
      </w:r>
      <w:r w:rsidRPr="003A6C5A">
        <w:rPr>
          <w:rFonts w:cs="Times New Roman"/>
        </w:rPr>
        <w:fldChar w:fldCharType="end"/>
      </w:r>
      <w:r w:rsidRPr="003A6C5A">
        <w:rPr>
          <w:rFonts w:cs="Times New Roman"/>
        </w:rPr>
        <w:t xml:space="preserve">. Among </w:t>
      </w:r>
      <w:r>
        <w:rPr>
          <w:rFonts w:cs="Times New Roman"/>
        </w:rPr>
        <w:t>all mafic</w:t>
      </w:r>
      <w:r w:rsidRPr="003A6C5A">
        <w:rPr>
          <w:rFonts w:cs="Times New Roman"/>
        </w:rPr>
        <w:t xml:space="preserve"> phases, the MnO/FeO ratio of the melt increases most rapidly with the crystallization of tourmaline. </w:t>
      </w:r>
    </w:p>
    <w:p w:rsidR="00665C0F" w:rsidRPr="003A6C5A" w:rsidRDefault="00665C0F" w:rsidP="00665C0F">
      <w:pPr>
        <w:spacing w:after="120" w:line="480" w:lineRule="auto"/>
        <w:ind w:firstLine="720"/>
        <w:rPr>
          <w:rFonts w:cs="Times New Roman"/>
        </w:rPr>
      </w:pPr>
      <w:r w:rsidRPr="003A6C5A">
        <w:rPr>
          <w:rFonts w:cs="Times New Roman"/>
        </w:rPr>
        <w:t>The K</w:t>
      </w:r>
      <w:r w:rsidRPr="003A6C5A">
        <w:rPr>
          <w:rFonts w:cs="Times New Roman"/>
          <w:vertAlign w:val="subscript"/>
        </w:rPr>
        <w:t>D</w:t>
      </w:r>
      <w:r w:rsidRPr="003A6C5A">
        <w:rPr>
          <w:rFonts w:cs="Times New Roman"/>
          <w:i/>
          <w:iCs/>
          <w:vertAlign w:val="subscript"/>
        </w:rPr>
        <w:t>MnO/FeO</w:t>
      </w:r>
      <w:r>
        <w:rPr>
          <w:rFonts w:cs="Times New Roman"/>
          <w:i/>
          <w:iCs/>
          <w:vertAlign w:val="subscript"/>
        </w:rPr>
        <w:t xml:space="preserve"> </w:t>
      </w:r>
      <w:r>
        <w:rPr>
          <w:rFonts w:cs="Times New Roman"/>
        </w:rPr>
        <w:t>for</w:t>
      </w:r>
      <w:r w:rsidRPr="003A6C5A">
        <w:rPr>
          <w:rFonts w:cs="Times New Roman"/>
        </w:rPr>
        <w:t xml:space="preserve"> cordierite-melt is noteworthy because it is greater </w:t>
      </w:r>
      <w:r>
        <w:rPr>
          <w:rFonts w:cs="Times New Roman"/>
        </w:rPr>
        <w:t xml:space="preserve">than the </w:t>
      </w:r>
      <w:r w:rsidRPr="003A6C5A">
        <w:rPr>
          <w:rFonts w:cs="Times New Roman"/>
        </w:rPr>
        <w:t>K</w:t>
      </w:r>
      <w:r w:rsidRPr="003A6C5A">
        <w:rPr>
          <w:rFonts w:cs="Times New Roman"/>
          <w:vertAlign w:val="subscript"/>
        </w:rPr>
        <w:t>D</w:t>
      </w:r>
      <w:r w:rsidRPr="003A6C5A">
        <w:rPr>
          <w:rFonts w:cs="Times New Roman"/>
          <w:i/>
          <w:iCs/>
          <w:vertAlign w:val="subscript"/>
        </w:rPr>
        <w:t>MnO/FeO</w:t>
      </w:r>
      <w:r w:rsidRPr="003A6C5A">
        <w:rPr>
          <w:rFonts w:cs="Times New Roman"/>
          <w:vertAlign w:val="subscript"/>
        </w:rPr>
        <w:t xml:space="preserve"> </w:t>
      </w:r>
      <w:r w:rsidRPr="003A6C5A">
        <w:rPr>
          <w:rFonts w:cs="Times New Roman"/>
        </w:rPr>
        <w:t>for biotite-</w:t>
      </w:r>
      <w:r>
        <w:rPr>
          <w:rFonts w:cs="Times New Roman"/>
        </w:rPr>
        <w:t xml:space="preserve"> or muscovite-melt, which </w:t>
      </w:r>
      <w:r w:rsidRPr="003A6C5A">
        <w:rPr>
          <w:rFonts w:cs="Times New Roman"/>
        </w:rPr>
        <w:t xml:space="preserve">means that cordierite-bearing S-type granites will require a greater extent of crystallization to reach saturation in Mn-rich garnet (Figure </w:t>
      </w:r>
      <w:r w:rsidR="00815F07">
        <w:rPr>
          <w:rFonts w:cs="Times New Roman"/>
        </w:rPr>
        <w:t>5-</w:t>
      </w:r>
      <w:r w:rsidRPr="003A6C5A">
        <w:rPr>
          <w:rFonts w:cs="Times New Roman"/>
        </w:rPr>
        <w:t xml:space="preserve">8b), or may not achieve that saturation at all </w:t>
      </w:r>
      <w:r>
        <w:rPr>
          <w:rFonts w:cs="Times New Roman"/>
        </w:rPr>
        <w:fldChar w:fldCharType="begin" w:fldLock="1"/>
      </w:r>
      <w:r w:rsidR="00266290">
        <w:rPr>
          <w:rFonts w:cs="Times New Roman"/>
        </w:rPr>
        <w:instrText>ADDIN CSL_CITATION { "citationItems" : [ { "id" : "ITEM-1", "itemData" : { "ISBN" : "0008-4476, 0008-4476", "abstract" : "The Strathbogie batholith is a high-level. discordant, composite granitoid intrusion in southeastern Australia.  Granitic rocks containing magmatic garnet, cordierite and biotite predominate in the batholith.  Intrusion involved marginal faulting. roof lifting and \"shouldering aside\" of the country rocks. which include the Violet Town volcanic complex of similar Late Devonian age. Textural evidence indicates early crystallization of biotite together with garnet, plagioclase (- An45) and some quartz.  The bulk of the quartz, cordierite and Kfeldspar crystallized later during emplacement. Early magmatic cfystallization occurred with P = 4 kbar, T &gt; 800oC and water contents in the magma of about 4 wt%.   Thus the Strathbogie magma was relatively hot and water-undersaturated. Emplacement occurred at P ~0.5 kbar with initial temperatures well in excess of the wet granite solidus. Oxygen fugacity was &lt; QFM throughout the magma's history. The Strathbogie rocks have SiO2 contents in the range 7A-76 wt. % with high K/(K+Na+Ca), normative corundum around 2 wt % and Mg/(Mg+Fe) = 0.4-0.5.  CaO, MgO, TiO, and P2O5 decrease linearly as SiO2 increases. These chemical trends cannot he fully explained by rernoval or variable incorporation of restite materials, as inclusions of any kind are scarce in all variants.  Differentiation mechanisms involving separation and accumulation of early magmatic biotite, plagioclase and accessory phases are favored over batch partial-melting processes to model the chemical variation.   Magma chemistry, together with inferred early magmatic conditions, and the mineralogy of inclusions in the granites suggest initial formation of the Strathbogie magma by partial fusion of biotite-bearing quartzo-feldspathic and pelitic rocks under granulite-facies conditions.   These source rocks are apparently below the presentlv exposed lower Paleozoic sequences of southeastern Australia.  The transitional orogenic-anorogenic setting of the batholith is compatible with the partial-fusion event having resulted from intrusion of mafic magma into the deep crust.", "author" : [ { "dropping-particle" : "", "family" : "Phillips", "given" : "G N", "non-dropping-particle" : "", "parse-names" : false, "suffix" : "" }, { "dropping-particle" : "", "family" : "Wall", "given" : "V J", "non-dropping-particle" : "", "parse-names" : false, "suffix" : "" }, { "dropping-particle" : "", "family" : "Clemens", "given" : "J D", "non-dropping-particle" : "", "parse-names" : false, "suffix" : "" } ], "container-title" : "Canadian Mineralogist", "id" : "ITEM-1", "issued" : { "date-parts" : [ [ "1981" ] ] }, "page" : "47-63", "title" : "Petrology of the Strathbogie batholith: a cordierite-bearing granite.", "type" : "article-journal", "volume" : "19" }, "uris" : [ "http://www.mendeley.com/documents/?uuid=dd968844-8a89-4b95-aaba-b0e08e256398" ] }, { "id" : "ITEM-2", "itemData" : { "author" : [ { "dropping-particle" : "", "family" : "Pereira", "given" : "Maria D.", "non-dropping-particle" : "", "parse-names" : false, "suffix" : "" }, { "dropping-particle" : "", "family" : "Bea", "given" : "Fernando", "non-dropping-particle" : "", "parse-names" : false, "suffix" : "" } ], "container-title" : "Canadian Mineralogist", "id" : "ITEM-2", "issued" : { "date-parts" : [ [ "1994" ] ] }, "page" : "763-780", "title" : "Cordierite-producing reactions in the Pena Negra complex, Avila batholith, central Spain: The key role of cordierite in low-pressure anatexis", "type" : "article-journal", "volume" : "31" }, "uris" : [ "http://www.mendeley.com/documents/?uuid=62f3c5a7-2061-4656-ab98-bd68282cf1d3" ] }, { "id" : "ITEM-3", "itemData" : { "DOI" : "10.1046/j.1440-0952.2001.00874.x", "ISBN" : "0812-0099", "ISSN" : "08120099", "abstract" : "Separate granite plutons in southeastern Australia can commonly be grouped into suites on the basis of shared similarities in field, petrographic and compositional data. Granites in different plutons of the same suite share common properties or exhibit a sequence of such features. Rocks of the same suite are cogenetic, but the details of their genesis need not be known or agreed on, to group granite units in such a way. These rocks are cogenetic in the sense that they shared a similar petrogenesis and were derived from source materials of essentially the same composition, whereas differences between suites reflect analogous differences in their source rocks. The term suite is lithologic or lithodemic in a stratigraphic sense and is closely analogous to the lithostratigraphic term group. As such, the plutons within a suite need not be of the same age, and age is not a factor in recognising a suite. However, the fact that the petrogenesis of the components of a suite resulted in such similar products means that their ages are likely to be similar. Granite plutons that share many similar features, but which also show distinct differences and which may be assigned to more than one suite, may be grouped into supersuites. The allocation of granites to suites is fundamental to understanding their petrogenesis. Suites vary in the complexity of their compositional variation. Simple suites show variations in element abundances that are highly correlated and the dispersion of composition within such suites is considered to result from varying degrees of fractionation of entrained restite from a melt. Intricate suites vary in composition in more complex ways and their variation is considered to be a consequence of processes such as fractional crystallisation. Any mineralisation is generally associated with intricate suites, and the occurrence of mineralisation and its precise character is generally specific to particular suites.", "author" : [ { "dropping-particle" : "", "family" : "White", "given" : "A. J R", "non-dropping-particle" : "", "parse-names" : false, "suffix" : "" }, { "dropping-particle" : "", "family" : "Allen", "given" : "C. M.", "non-dropping-particle" : "", "parse-names" : false, "suffix" : "" }, { "dropping-particle" : "", "family" : "Beams", "given" : "S. D.", "non-dropping-particle" : "", "parse-names" : false, "suffix" : "" }, { "dropping-particle" : "", "family" : "Carr", "given" : "P. F.", "non-dropping-particle" : "", "parse-names" : false, "suffix" : "" }, { "dropping-particle" : "", "family" : "Champion", "given" : "D. C.", "non-dropping-particle" : "", "parse-names" : false, "suffix" : "" }, { "dropping-particle" : "", "family" : "Chappell", "given" : "B. W.", "non-dropping-particle" : "", "parse-names" : false, "suffix" : "" }, { "dropping-particle" : "", "family" : "Wyborn", "given" : "D.", "non-dropping-particle" : "", "parse-names" : false, "suffix" : "" }, { "dropping-particle" : "", "family" : "Wyborn", "given" : "L. A I", "non-dropping-particle" : "", "parse-names" : false, "suffix" : "" } ], "container-title" : "Australian Journal of Earth Sciences", "id" : "ITEM-3", "issued" : { "date-parts" : [ [ "2001" ] ] }, "page" : "515-530", "title" : "Granite suites and supersuites of Eastern Australia", "type" : "article-journal", "volume" : "48" }, "uris" : [ "http://www.mendeley.com/documents/?uuid=b70d74ee-666e-3224-9546-0c5b2eca30de" ] } ], "mendeley" : { "formattedCitation" : "(Pereira and Bea, 1994; Phillips et al., 1981; White et al., 2001)", "manualFormatting" : "(e.g. Phillips et al. 1981; Pereira and Bea 1994; White et al. 2001)", "plainTextFormattedCitation" : "(Pereira and Bea, 1994; Phillips et al., 1981; White et al., 2001)", "previouslyFormattedCitation" : "(Phillips et al. 1981; Pereira and Bea 1994; White et al. 2001)" }, "properties" : { "noteIndex" : 0 }, "schema" : "https://github.com/citation-style-language/schema/raw/master/csl-citation.json" }</w:instrText>
      </w:r>
      <w:r>
        <w:rPr>
          <w:rFonts w:cs="Times New Roman"/>
        </w:rPr>
        <w:fldChar w:fldCharType="separate"/>
      </w:r>
      <w:r w:rsidRPr="003A6C5A">
        <w:rPr>
          <w:rFonts w:cs="Times New Roman"/>
          <w:noProof/>
        </w:rPr>
        <w:t>(e.g. Phillips et al. 1981; Pereira and Bea 1994; White et al. 2001)</w:t>
      </w:r>
      <w:r>
        <w:rPr>
          <w:rFonts w:cs="Times New Roman"/>
        </w:rPr>
        <w:fldChar w:fldCharType="end"/>
      </w:r>
      <w:r w:rsidRPr="003A6C5A">
        <w:rPr>
          <w:rFonts w:cs="Times New Roman"/>
        </w:rPr>
        <w:t>. The paucity of garnet in the cordierite-bearing S-type granites of western Europe likely results from low-pressure fractional crystallization involving cordierite as the dominant ferromagnesian phase (e.g., Peña Negra complex, Avila batholith, Spain:</w:t>
      </w:r>
      <w:r>
        <w:rPr>
          <w:rFonts w:cs="Times New Roman"/>
        </w:rPr>
        <w:fldChar w:fldCharType="begin" w:fldLock="1"/>
      </w:r>
      <w:r w:rsidR="00266290">
        <w:rPr>
          <w:rFonts w:cs="Times New Roman"/>
        </w:rPr>
        <w:instrText>ADDIN CSL_CITATION { "citationItems" : [ { "id" : "ITEM-1", "itemData" : { "author" : [ { "dropping-particle" : "", "family" : "Pereira", "given" : "Maria D.", "non-dropping-particle" : "", "parse-names" : false, "suffix" : "" }, { "dropping-particle" : "", "family" : "Bea", "given" : "Fernando", "non-dropping-particle" : "", "parse-names" : false, "suffix" : "" } ], "container-title" : "Canadian Mineralogist", "id" : "ITEM-1", "issued" : { "date-parts" : [ [ "1994" ] ] }, "page" : "763-780", "title" : "Cordierite-producing reactions in the Pena Negra complex, Avila batholith, central Spain: The key role of cordierite in low-pressure anatexis", "type" : "article-journal", "volume" : "31" }, "uris" : [ "http://www.mendeley.com/documents/?uuid=62f3c5a7-2061-4656-ab98-bd68282cf1d3" ] } ], "mendeley" : { "formattedCitation" : "(Pereira and Bea, 1994)", "manualFormatting" : " Pereira and Bea 1994", "plainTextFormattedCitation" : "(Pereira and Bea, 1994)", "previouslyFormattedCitation" : "(Pereira and Bea 1994)" }, "properties" : { "noteIndex" : 0 }, "schema" : "https://github.com/citation-style-language/schema/raw/master/csl-citation.json" }</w:instrText>
      </w:r>
      <w:r>
        <w:rPr>
          <w:rFonts w:cs="Times New Roman"/>
        </w:rPr>
        <w:fldChar w:fldCharType="separate"/>
      </w:r>
      <w:r w:rsidRPr="003A6C5A">
        <w:rPr>
          <w:rFonts w:cs="Times New Roman"/>
          <w:noProof/>
        </w:rPr>
        <w:t xml:space="preserve"> Pereira and Bea 1994</w:t>
      </w:r>
      <w:r>
        <w:rPr>
          <w:rFonts w:cs="Times New Roman"/>
        </w:rPr>
        <w:fldChar w:fldCharType="end"/>
      </w:r>
      <w:r>
        <w:rPr>
          <w:rFonts w:cs="Times New Roman"/>
        </w:rPr>
        <w:t xml:space="preserve">; </w:t>
      </w:r>
      <w:r w:rsidRPr="003A6C5A">
        <w:rPr>
          <w:rFonts w:cs="Times New Roman"/>
        </w:rPr>
        <w:t xml:space="preserve">Albuquerque pluton, Spain: </w:t>
      </w:r>
      <w:r>
        <w:rPr>
          <w:rFonts w:cs="Times New Roman"/>
        </w:rPr>
        <w:fldChar w:fldCharType="begin" w:fldLock="1"/>
      </w:r>
      <w:r w:rsidR="00266290">
        <w:rPr>
          <w:rFonts w:cs="Times New Roman"/>
        </w:rPr>
        <w:instrText>ADDIN CSL_CITATION { "citationItems" : [ { "id" : "ITEM-1", "itemData" : { "author" : [ { "dropping-particle" : "", "family" : "London", "given" : "David", "non-dropping-particle" : "", "parse-names" : false, "suffix" : "" }, { "dropping-particle" : "", "family" : "Wolf", "given" : "Michael B", "non-dropping-particle" : "", "parse-names" : false, "suffix" : "" }, { "dropping-particle" : "", "family" : "Morgan Vi", "given" : "George B", "non-dropping-particle" : "", "parse-names" : false, "suffix" : "" }, { "dropping-particle" : "", "family" : "Garrido", "given" : "Marcos Gallego", "non-dropping-particle" : "", "parse-names" : false, "suffix" : "" } ], "container-title" : "Journal of Petrology", "id" : "ITEM-1", "issue" : "1", "issued" : { "date-parts" : [ [ "1999" ] ] }, "page" : "215-240", "title" : "Experimental Silicate\u2013Phosphate Equilibria in Peraluminous Granitic Magmas, with a Case Study of the Alburquerque Batholith at Tres Arroyos, Badajoz, Spain", "type" : "article-journal", "volume" : "40" }, "uris" : [ "http://www.mendeley.com/documents/?uuid=b5a39e0d-8a46-39ae-b21b-8eefc1ad19ff" ] } ], "mendeley" : { "formattedCitation" : "(London et al., 1999)", "manualFormatting" : "London et al. 1999", "plainTextFormattedCitation" : "(London et al., 1999)", "previouslyFormattedCitation" : "(London et al. 1999)" }, "properties" : { "noteIndex" : 0 }, "schema" : "https://github.com/citation-style-language/schema/raw/master/csl-citation.json" }</w:instrText>
      </w:r>
      <w:r>
        <w:rPr>
          <w:rFonts w:cs="Times New Roman"/>
        </w:rPr>
        <w:fldChar w:fldCharType="separate"/>
      </w:r>
      <w:r w:rsidRPr="00F7111E">
        <w:rPr>
          <w:rFonts w:cs="Times New Roman"/>
          <w:noProof/>
        </w:rPr>
        <w:t>London et al. 1999</w:t>
      </w:r>
      <w:r>
        <w:rPr>
          <w:rFonts w:cs="Times New Roman"/>
        </w:rPr>
        <w:fldChar w:fldCharType="end"/>
      </w:r>
      <w:r w:rsidRPr="003A6C5A">
        <w:rPr>
          <w:rFonts w:cs="Times New Roman"/>
        </w:rPr>
        <w:t xml:space="preserve">; Land's End pluton, U.K.: </w:t>
      </w:r>
      <w:r w:rsidRPr="003A6C5A">
        <w:rPr>
          <w:rFonts w:cs="Times New Roman"/>
        </w:rPr>
        <w:fldChar w:fldCharType="begin" w:fldLock="1"/>
      </w:r>
      <w:r w:rsidR="00266290">
        <w:rPr>
          <w:rFonts w:cs="Times New Roman"/>
        </w:rPr>
        <w:instrText>ADDIN CSL_CITATION { "citationItems" : [ { "id" : "ITEM-1", "itemData" : { "author" : [ { "dropping-particle" : "", "family" : "M\u00fcller", "given" : "Axel", "non-dropping-particle" : "", "parse-names" : false, "suffix" : "" }, { "dropping-particle" : "", "family" : "Seltmann", "given" : "Reimar", "non-dropping-particle" : "", "parse-names" : false, "suffix" : "" }, { "dropping-particle" : "", "family" : "Halls", "given" : "Christopher", "non-dropping-particle" : "", "parse-names" : false, "suffix" : "" }, { "dropping-particle" : "", "family" : "Siebel", "given" : "Wolfgang", "non-dropping-particle" : "", "parse-names" : false, "suffix" : "" }, { "dropping-particle" : "", "family" : "Dulksi", "given" : "Peter", "non-dropping-particle" : "", "parse-names" : false, "suffix" : "" }, { "dropping-particle" : "", "family" : "Jeffries", "given" : "Teresa", "non-dropping-particle" : "", "parse-names" : false, "suffix" : "" }, { "dropping-particle" : "", "family" : "Spratt", "given" : "John", "non-dropping-particle" : "", "parse-names" : false, "suffix" : "" }, { "dropping-particle" : "", "family" : "Kronz", "given" : "Andreas", "non-dropping-particle" : "", "parse-names" : false, "suffix" : "" } ], "container-title" : "Ore Geology Reviews", "id" : "ITEM-1", "issue" : "3", "issued" : { "date-parts" : [ [ "2006" ] ] }, "page" : "329-367", "title" : "The magmatic evolution of the Land's End Pluton, Cornwall, and associated pre-enrichment of metals", "type" : "article-journal", "volume" : "28" }, "uris" : [ "http://www.mendeley.com/documents/?uuid=122beb48-081e-42f3-9ca0-f39b85315562" ] } ], "mendeley" : { "formattedCitation" : "(M\u00fcller et al., 2006)", "manualFormatting" : "M\u00fcller et al. 2006", "plainTextFormattedCitation" : "(M\u00fcller et al., 2006)", "previouslyFormattedCitation" : "(M\u00fcller et al. 2006)" }, "properties" : { "noteIndex" : 0 }, "schema" : "https://github.com/citation-style-language/schema/raw/master/csl-citation.json" }</w:instrText>
      </w:r>
      <w:r w:rsidRPr="003A6C5A">
        <w:rPr>
          <w:rFonts w:cs="Times New Roman"/>
        </w:rPr>
        <w:fldChar w:fldCharType="separate"/>
      </w:r>
      <w:r w:rsidRPr="003A6C5A">
        <w:rPr>
          <w:rFonts w:cs="Times New Roman"/>
          <w:noProof/>
        </w:rPr>
        <w:t>Müller et al. 2006</w:t>
      </w:r>
      <w:r w:rsidRPr="003A6C5A">
        <w:rPr>
          <w:rFonts w:cs="Times New Roman"/>
        </w:rPr>
        <w:fldChar w:fldCharType="end"/>
      </w:r>
      <w:r w:rsidRPr="003A6C5A">
        <w:rPr>
          <w:rFonts w:cs="Times New Roman"/>
        </w:rPr>
        <w:t>).</w:t>
      </w:r>
    </w:p>
    <w:p w:rsidR="00665C0F" w:rsidRPr="009F5DE0" w:rsidRDefault="009F5DE0" w:rsidP="0047415D">
      <w:pPr>
        <w:pStyle w:val="Heading3"/>
        <w:spacing w:line="480" w:lineRule="auto"/>
        <w:rPr>
          <w:rFonts w:cs="Times New Roman"/>
          <w:bCs/>
        </w:rPr>
      </w:pPr>
      <w:bookmarkStart w:id="179" w:name="_Toc491246076"/>
      <w:r w:rsidRPr="009F5DE0">
        <w:rPr>
          <w:rFonts w:cs="Times New Roman"/>
          <w:bCs/>
        </w:rPr>
        <w:t>4.2</w:t>
      </w:r>
      <w:r w:rsidR="0047415D">
        <w:rPr>
          <w:rFonts w:cs="Times New Roman"/>
          <w:bCs/>
        </w:rPr>
        <w:t>.</w:t>
      </w:r>
      <w:r w:rsidRPr="009F5DE0">
        <w:rPr>
          <w:rFonts w:cs="Times New Roman"/>
          <w:bCs/>
        </w:rPr>
        <w:t xml:space="preserve"> </w:t>
      </w:r>
      <w:r w:rsidR="00665C0F" w:rsidRPr="009F5DE0">
        <w:rPr>
          <w:rFonts w:cs="Times New Roman"/>
          <w:bCs/>
        </w:rPr>
        <w:t>Modeling the concentrations of MnO, FeO, and MgO during fractional crystallization</w:t>
      </w:r>
      <w:bookmarkEnd w:id="179"/>
    </w:p>
    <w:p w:rsidR="00665C0F" w:rsidRDefault="00665C0F" w:rsidP="00665C0F">
      <w:pPr>
        <w:spacing w:after="120" w:line="480" w:lineRule="auto"/>
        <w:ind w:firstLine="720"/>
        <w:rPr>
          <w:rFonts w:cs="Times New Roman"/>
        </w:rPr>
      </w:pPr>
      <w:r>
        <w:rPr>
          <w:rFonts w:cs="Times New Roman"/>
        </w:rPr>
        <w:t xml:space="preserve">As a test of the </w:t>
      </w:r>
      <w:r w:rsidRPr="003A6C5A">
        <w:rPr>
          <w:rFonts w:cs="Times New Roman"/>
        </w:rPr>
        <w:t>D</w:t>
      </w:r>
      <w:r w:rsidRPr="003A6C5A">
        <w:rPr>
          <w:rFonts w:cs="Times New Roman"/>
          <w:i/>
          <w:iCs/>
          <w:vertAlign w:val="subscript"/>
        </w:rPr>
        <w:t>M</w:t>
      </w:r>
      <w:r w:rsidRPr="003A6C5A">
        <w:rPr>
          <w:rFonts w:cs="Times New Roman"/>
          <w:vertAlign w:val="superscript"/>
        </w:rPr>
        <w:t>α/L</w:t>
      </w:r>
      <w:r w:rsidRPr="003A6C5A">
        <w:rPr>
          <w:rFonts w:cs="Times New Roman"/>
        </w:rPr>
        <w:t xml:space="preserve"> </w:t>
      </w:r>
      <w:r>
        <w:rPr>
          <w:rFonts w:cs="Times New Roman"/>
        </w:rPr>
        <w:t>data reported in this manuscript, we use</w:t>
      </w:r>
      <w:r w:rsidRPr="003A6C5A">
        <w:rPr>
          <w:rFonts w:cs="Times New Roman"/>
        </w:rPr>
        <w:t xml:space="preserve"> </w:t>
      </w:r>
      <w:r>
        <w:rPr>
          <w:rFonts w:cs="Times New Roman"/>
        </w:rPr>
        <w:t xml:space="preserve">the </w:t>
      </w:r>
      <w:r w:rsidRPr="003A6C5A">
        <w:rPr>
          <w:rFonts w:cs="Times New Roman"/>
        </w:rPr>
        <w:t xml:space="preserve">garnet solubility data </w:t>
      </w:r>
      <w:r>
        <w:rPr>
          <w:rFonts w:cs="Times New Roman"/>
        </w:rPr>
        <w:t xml:space="preserve">and </w:t>
      </w:r>
      <w:r w:rsidRPr="003A6C5A">
        <w:rPr>
          <w:rFonts w:cs="Times New Roman"/>
        </w:rPr>
        <w:t>D</w:t>
      </w:r>
      <w:r w:rsidRPr="003A6C5A">
        <w:rPr>
          <w:rFonts w:cs="Times New Roman"/>
          <w:i/>
          <w:iCs/>
          <w:vertAlign w:val="subscript"/>
        </w:rPr>
        <w:t>M</w:t>
      </w:r>
      <w:r w:rsidRPr="003A6C5A">
        <w:rPr>
          <w:rFonts w:cs="Times New Roman"/>
          <w:vertAlign w:val="superscript"/>
        </w:rPr>
        <w:t>α/L</w:t>
      </w:r>
      <w:r w:rsidRPr="003A6C5A">
        <w:rPr>
          <w:rFonts w:cs="Times New Roman"/>
        </w:rPr>
        <w:t xml:space="preserve"> </w:t>
      </w:r>
      <w:r>
        <w:rPr>
          <w:rFonts w:cs="Times New Roman"/>
        </w:rPr>
        <w:t>values</w:t>
      </w:r>
      <w:r w:rsidRPr="003A6C5A">
        <w:rPr>
          <w:rFonts w:cs="Times New Roman"/>
        </w:rPr>
        <w:t xml:space="preserve"> (Tables </w:t>
      </w:r>
      <w:r w:rsidR="0083401A">
        <w:rPr>
          <w:rFonts w:cs="Times New Roman"/>
        </w:rPr>
        <w:t>5-</w:t>
      </w:r>
      <w:r w:rsidRPr="003A6C5A">
        <w:rPr>
          <w:rFonts w:cs="Times New Roman"/>
        </w:rPr>
        <w:t xml:space="preserve">5 and </w:t>
      </w:r>
      <w:r w:rsidR="0083401A">
        <w:rPr>
          <w:rFonts w:cs="Times New Roman"/>
        </w:rPr>
        <w:t>5-</w:t>
      </w:r>
      <w:r w:rsidRPr="003A6C5A">
        <w:rPr>
          <w:rFonts w:cs="Times New Roman"/>
        </w:rPr>
        <w:t xml:space="preserve">6) </w:t>
      </w:r>
      <w:r>
        <w:rPr>
          <w:rFonts w:cs="Times New Roman"/>
        </w:rPr>
        <w:t>in a</w:t>
      </w:r>
      <w:r w:rsidRPr="003A6C5A">
        <w:rPr>
          <w:rFonts w:cs="Times New Roman"/>
        </w:rPr>
        <w:t xml:space="preserve"> Rayleigh model to </w:t>
      </w:r>
      <w:r>
        <w:rPr>
          <w:rFonts w:cs="Times New Roman"/>
        </w:rPr>
        <w:t>evaluate the concentrations of FeO, MnO, and MgO during</w:t>
      </w:r>
      <w:r w:rsidRPr="003A6C5A">
        <w:rPr>
          <w:rFonts w:cs="Times New Roman"/>
        </w:rPr>
        <w:t xml:space="preserve"> fractional crystallization.</w:t>
      </w:r>
      <w:r>
        <w:rPr>
          <w:rFonts w:cs="Times New Roman"/>
        </w:rPr>
        <w:t xml:space="preserve"> By design, the model</w:t>
      </w:r>
      <w:r w:rsidRPr="003A6C5A">
        <w:rPr>
          <w:rFonts w:cs="Times New Roman"/>
        </w:rPr>
        <w:t xml:space="preserve"> pertains to the crystallization of cordierite-bearing S-type granitic melt of anatectic origin that has migrated to pressures below ~ 400 MPa</w:t>
      </w:r>
      <w:r>
        <w:rPr>
          <w:rFonts w:cs="Times New Roman"/>
        </w:rPr>
        <w:t xml:space="preserve"> (i.e., in the stability field of andalusite)</w:t>
      </w:r>
      <w:r w:rsidRPr="003A6C5A">
        <w:rPr>
          <w:rFonts w:cs="Times New Roman"/>
        </w:rPr>
        <w:t xml:space="preserve">, such that almandine-pyrope solid solutions would likely not crystallize </w:t>
      </w:r>
      <w:r>
        <w:rPr>
          <w:rFonts w:cs="Times New Roman"/>
        </w:rPr>
        <w:fldChar w:fldCharType="begin" w:fldLock="1"/>
      </w:r>
      <w:r w:rsidR="00266290">
        <w:rPr>
          <w:rFonts w:cs="Times New Roman"/>
        </w:rPr>
        <w:instrText>ADDIN CSL_CITATION { "citationItems" : [ { "id" : "ITEM-1", "itemData" : { "ISBN" : "00084476 (ISSN)", "ISSN" : "00084476", "abstract" : "Experiments were carried out on four compositions from central Victoria, Australia, S-type volcanic plutonic suites in the ranges 700o-900oC, 1-7 kbar, a H2 = 0-1.0, fO2 = or &amp;lt; QFM, but the results of only one composition, Strathbogie (granite 889), are reported in detail (chemical and modal analyses). Early crystallization of low-F biotite with plagioclase (up to 3 kbar) and quartz (at higher P) requires &amp;gt; 2.5 wt.% H2O in the melt. A wide field of crystallization for orthopyroxene was found, but its rarity in S-type granitic rocks is probably due to peritectic reaction to biotite with decreasing T. Cordierite crystallizes near the liquidus at 1-2 kbar, but does not develop above the solidus at P = or &amp;gt; 4-5 kbar. Thus, cordierite is not likely to be a restite phase. Almandine-rich garnet becomes a near-liquidus phase at P = or &amp;gt; 4-5 kbar. Integration of geothermometric and geobarometric calculations and crystallization sequences indicates that early-crystallizing garnet, biotite, orthopyroxene and plagioclase are present at T = or &amp;lt; 850oC, P = or &amp;gt; 4 kbar, in melts with 3-5 wt.% H2O. Experiments also showed that Al2SiO5-saturation is unnecessary to produce mildly peraluminous melts; thus mildly peraluminous sedimentary rocks may produce peraluminous melts. It is believed that peraluminous melts are undersaturated with respect to H2O, which is derived from hydrous minerals, principally precursor biotite. In less aluminous precursor rocks biotite may persist to higher T. Biotite-orthopyroxene partial melting in granulite-facies rocks in the range 5-8 kbar yields granitic liquids with 3-5 wt.% H2O. Experiments with rhyodacite starting materials produced peraluminous glasses (3 analyses) in quenched runs from 750o-850oC.-S.A.K.", "author" : [ { "dropping-particle" : "", "family" : "Clemens", "given" : "J. D.", "non-dropping-particle" : "", "parse-names" : false, "suffix" : "" }, { "dropping-particle" : "", "family" : "Wall", "given" : "V. J.", "non-dropping-particle" : "", "parse-names" : false, "suffix" : "" } ], "container-title" : "Canadian Mineralogist", "id" : "ITEM-1", "issue" : "1", "issued" : { "date-parts" : [ [ "1981" ] ] }, "page" : "111-131", "title" : "Origin and crystallization of some peraluminous (S-type) granitic magmas.", "type" : "article-journal", "volume" : "19" }, "uris" : [ "http://www.mendeley.com/documents/?uuid=b972e4a8-f621-4d26-b1e9-dfe8cb21ff3b" ] }, { "id" : "ITEM-2", "itemData" : { "DOI" : "10.1130/G22959A.1", "ISBN" : "0091-7613", "ISSN" : "00917613", "abstract" : "Experimental melt (glass) compositions indicate that most of the S-type granites of the Cape Granite Suite in South Africa have ferromagnesian contents too high to represent melts. Consequently, the composition of the more mafic granites demands the addition of an Fe- and Mg-rich component to the magma. The compositions of the granites evolve along well-defined trends away from the likely melt composition for many components plotted against Mg + Fe. An increase in A/CNK, Mg#, Ca, and HREEs, as well as a decrease in K and Si, as a function of increasing Mg + Fe appears to limit the contaminant to garnet (up to 20 wt%). The rate of Ti increase, as a function of Mg + Fe increase in the granites, matches that defined by the stoichiometry of high-temperature biotite, but cannot be the product of accumulation of biotite (other phases) in the magma because the chemical trends are inconsistent with this, particularly those portrayed by K and Ti as a function of Mg + Fe. This, in conjunction with the fact that no large, counterbalancing population of very leucocratic material exists in the Cape Granite Suite, suggests that the relatively mafic granites are not the products of garnet fractional crystallization. Rather, these appear to be the result of selective entrainment of peritectic garnet and ilmenite. Thus, this work indicates that much of the compositional variation in the granites is primary, reflecting the magma composition that ascended from the source, and is controlled by the proportion of peritectic products entrained into the melt. There is no indication of entrainment of a mineralogically diverse residuum (restite).", "author" : [ { "dropping-particle" : "", "family" : "Stevens", "given" : "Gary", "non-dropping-particle" : "", "parse-names" : false, "suffix" : "" }, { "dropping-particle" : "", "family" : "Villaros", "given" : "Amaud", "non-dropping-particle" : "", "parse-names" : false, "suffix" : "" }, { "dropping-particle" : "", "family" : "Moyen", "given" : "Jean Fran??ois", "non-dropping-particle" : "", "parse-names" : false, "suffix" : "" } ], "container-title" : "Geology", "id" : "ITEM-2", "issue" : "1", "issued" : { "date-parts" : [ [ "2007" ] ] }, "page" : "9-12", "title" : "Selective peritectic garnet entertainment as the origin of geochemical diversity in S-type granites", "type" : "article-journal", "volume" : "35" }, "uris" : [ "http://www.mendeley.com/documents/?uuid=e34dbf7f-47b0-3f88-90ab-9849c71c9182" ] }, { "id" : "ITEM-3", "itemData" : { "author" : [ { "dropping-particle" : "", "family" : "Pereira", "given" : "Maria D.", "non-dropping-particle" : "", "parse-names" : false, "suffix" : "" }, { "dropping-particle" : "", "family" : "Bea", "given" : "Fernando", "non-dropping-particle" : "", "parse-names" : false, "suffix" : "" } ], "container-title" : "Canadian Mineralogist", "id" : "ITEM-3", "issued" : { "date-parts" : [ [ "1994" ] ] }, "page" : "763-780", "title" : "Cordierite-producing reactions in the Pena Negra complex, Avila batholith, central Spain: The key role of cordierite in low-pressure anatexis", "type" : "article-journal", "volume" : "31" }, "uris" : [ "http://www.mendeley.com/documents/?uuid=62f3c5a7-2061-4656-ab98-bd68282cf1d3" ] } ], "mendeley" : { "formattedCitation" : "(Clemens and Wall, 1981; Pereira and Bea, 1994; Stevens et al., 2007)", "plainTextFormattedCitation" : "(Clemens and Wall, 1981; Pereira and Bea, 1994; Stevens et al., 2007)", "previouslyFormattedCitation" : "(Clemens and Wall 1981; Pereira and Bea 1994; Stevens et al. 2007)" }, "properties" : { "noteIndex" : 0 }, "schema" : "https://github.com/citation-style-language/schema/raw/master/csl-citation.json" }</w:instrText>
      </w:r>
      <w:r>
        <w:rPr>
          <w:rFonts w:cs="Times New Roman"/>
        </w:rPr>
        <w:fldChar w:fldCharType="separate"/>
      </w:r>
      <w:r w:rsidR="00266290" w:rsidRPr="00266290">
        <w:rPr>
          <w:rFonts w:cs="Times New Roman"/>
          <w:noProof/>
        </w:rPr>
        <w:t>(Clemens and Wall, 1981; Pereira and Bea, 1994; Stevens et al., 2007)</w:t>
      </w:r>
      <w:r>
        <w:rPr>
          <w:rFonts w:cs="Times New Roman"/>
        </w:rPr>
        <w:fldChar w:fldCharType="end"/>
      </w:r>
      <w:r w:rsidRPr="003A6C5A">
        <w:rPr>
          <w:rFonts w:cs="Times New Roman"/>
        </w:rPr>
        <w:t xml:space="preserve">. These </w:t>
      </w:r>
      <w:r>
        <w:rPr>
          <w:rFonts w:cs="Times New Roman"/>
        </w:rPr>
        <w:t>results would apply to</w:t>
      </w:r>
      <w:r w:rsidRPr="003A6C5A">
        <w:rPr>
          <w:rFonts w:cs="Times New Roman"/>
        </w:rPr>
        <w:t xml:space="preserve"> the cordierite-bearing granites of the Lachlan fold belt, Australia </w:t>
      </w:r>
      <w:r w:rsidRPr="003A6C5A">
        <w:rPr>
          <w:rFonts w:cs="Times New Roman"/>
        </w:rPr>
        <w:fldChar w:fldCharType="begin" w:fldLock="1"/>
      </w:r>
      <w:r w:rsidR="00266290">
        <w:rPr>
          <w:rFonts w:cs="Times New Roman"/>
        </w:rPr>
        <w:instrText>ADDIN CSL_CITATION { "citationItems" : [ { "id" : "ITEM-1", "itemData" : { "DOI" : "10.1046/j.1440-0952.2001.00874.x", "ISBN" : "0812-0099", "ISSN" : "08120099", "abstract" : "Separate granite plutons in southeastern Australia can commonly be grouped into suites on the basis of shared similarities in field, petrographic and compositional data. Granites in different plutons of the same suite share common properties or exhibit a sequence of such features. Rocks of the same suite are cogenetic, but the details of their genesis need not be known or agreed on, to group granite units in such a way. These rocks are cogenetic in the sense that they shared a similar petrogenesis and were derived from source materials of essentially the same composition, whereas differences between suites reflect analogous differences in their source rocks. The term suite is lithologic or lithodemic in a stratigraphic sense and is closely analogous to the lithostratigraphic term group. As such, the plutons within a suite need not be of the same age, and age is not a factor in recognising a suite. However, the fact that the petrogenesis of the components of a suite resulted in such similar products means that their ages are likely to be similar. Granite plutons that share many similar features, but which also show distinct differences and which may be assigned to more than one suite, may be grouped into supersuites. The allocation of granites to suites is fundamental to understanding their petrogenesis. Suites vary in the complexity of their compositional variation. Simple suites show variations in element abundances that are highly correlated and the dispersion of composition within such suites is considered to result from varying degrees of fractionation of entrained restite from a melt. Intricate suites vary in composition in more complex ways and their variation is considered to be a consequence of processes such as fractional crystallisation. Any mineralisation is generally associated with intricate suites, and the occurrence of mineralisation and its precise character is generally specific to particular suites.", "author" : [ { "dropping-particle" : "", "family" : "White", "given" : "A. J R", "non-dropping-particle" : "", "parse-names" : false, "suffix" : "" }, { "dropping-particle" : "", "family" : "Allen", "given" : "C. M.", "non-dropping-particle" : "", "parse-names" : false, "suffix" : "" }, { "dropping-particle" : "", "family" : "Beams", "given" : "S. D.", "non-dropping-particle" : "", "parse-names" : false, "suffix" : "" }, { "dropping-particle" : "", "family" : "Carr", "given" : "P. F.", "non-dropping-particle" : "", "parse-names" : false, "suffix" : "" }, { "dropping-particle" : "", "family" : "Champion", "given" : "D. C.", "non-dropping-particle" : "", "parse-names" : false, "suffix" : "" }, { "dropping-particle" : "", "family" : "Chappell", "given" : "B. W.", "non-dropping-particle" : "", "parse-names" : false, "suffix" : "" }, { "dropping-particle" : "", "family" : "Wyborn", "given" : "D.", "non-dropping-particle" : "", "parse-names" : false, "suffix" : "" }, { "dropping-particle" : "", "family" : "Wyborn", "given" : "L. A I", "non-dropping-particle" : "", "parse-names" : false, "suffix" : "" } ], "container-title" : "Australian Journal of Earth Sciences", "id" : "ITEM-1", "issued" : { "date-parts" : [ [ "2001" ] ] }, "page" : "515-530", "title" : "Granite suites and supersuites of Eastern Australia", "type" : "article-journal", "volume" : "48" }, "uris" : [ "http://www.mendeley.com/documents/?uuid=b70d74ee-666e-3224-9546-0c5b2eca30de" ] } ], "mendeley" : { "formattedCitation" : "(White et al., 2001)", "plainTextFormattedCitation" : "(White et al., 2001)", "previouslyFormattedCitation" : "(White et al. 2001)" }, "properties" : { "noteIndex" : 0 }, "schema" : "https://github.com/citation-style-language/schema/raw/master/csl-citation.json" }</w:instrText>
      </w:r>
      <w:r w:rsidRPr="003A6C5A">
        <w:rPr>
          <w:rFonts w:cs="Times New Roman"/>
        </w:rPr>
        <w:fldChar w:fldCharType="separate"/>
      </w:r>
      <w:r w:rsidR="00266290" w:rsidRPr="00266290">
        <w:rPr>
          <w:rFonts w:cs="Times New Roman"/>
          <w:noProof/>
        </w:rPr>
        <w:t>(White et al., 2001)</w:t>
      </w:r>
      <w:r w:rsidRPr="003A6C5A">
        <w:rPr>
          <w:rFonts w:cs="Times New Roman"/>
        </w:rPr>
        <w:fldChar w:fldCharType="end"/>
      </w:r>
      <w:r w:rsidRPr="003A6C5A">
        <w:rPr>
          <w:rFonts w:cs="Times New Roman"/>
        </w:rPr>
        <w:t xml:space="preserve"> and similar granites in Western Europe (e.g.,</w:t>
      </w:r>
      <w:r>
        <w:rPr>
          <w:rFonts w:cs="Times New Roman"/>
        </w:rPr>
        <w:fldChar w:fldCharType="begin" w:fldLock="1"/>
      </w:r>
      <w:r w:rsidR="00266290">
        <w:rPr>
          <w:rFonts w:cs="Times New Roman"/>
        </w:rPr>
        <w:instrText>ADDIN CSL_CITATION { "citationItems" : [ { "id" : "ITEM-1", "itemData" : { "ISBN" : "0008-4476", "ISSN" : "00084476", "abstract" : "Muscovite-biotite leucogranites that occur along the South Armorican Shear Zone of Brittany were repeatedly intruded along dextral shear belts, mainly during Hercynian (340-300 Ma) orogenesis. The zone is marked by an amphibolite-facies culmination in regional metamorphic grade, and by in situ formation of the leucogranites by anatexis of meta-sediments. The leucogranites are homogeneous in major element composition. with no pronounced difference between plutons. Trace elements and Sr-67/Sr-86 initial ratios do show some differences, which may result from both minor variations in source materials and degrees of partial melting. The formation of these leucogranites can be explained by means of models involving fractional melting along fault zones eilher by temperature increase due to frictional heat production, or by lowering of melting temperatures owing to periodic flux of water through the fault zone.", "author" : [ { "dropping-particle" : "", "family" : "Strong", "given" : "D. F.", "non-dropping-particle" : "", "parse-names" : false, "suffix" : "" }, { "dropping-particle" : "", "family" : "Hammer", "given" : "S. K.", "non-dropping-particle" : "", "parse-names" : false, "suffix" : "" } ], "container-title" : "Canadian Mineralogist", "id" : "ITEM-1", "issue" : "1", "issued" : { "date-parts" : [ [ "1981" ] ] }, "page" : "163-176", "title" : "The leucogranites of southern Brittany: origin by faulting, frictional heating, fluid flux and fractional melting.", "type" : "article-journal", "volume" : "19" }, "uris" : [ "http://www.mendeley.com/documents/?uuid=208e6ae9-f5d9-4d6e-a4f8-d65e2c34f199" ] }, { "id" : "ITEM-2", "itemData" : { "author" : [ { "dropping-particle" : "", "family" : "Pereira", "given" : "Maria D.", "non-dropping-particle" : "", "parse-names" : false, "suffix" : "" }, { "dropping-particle" : "", "family" : "Bea", "given" : "Fernando", "non-dropping-particle" : "", "parse-names" : false, "suffix" : "" } ], "container-title" : "Canadian Mineralogist", "id" : "ITEM-2", "issued" : { "date-parts" : [ [ "1994" ] ] }, "page" : "763-780", "title" : "Cordierite-producing reactions in the Pena Negra complex, Avila batholith, central Spain: The key role of cordierite in low-pressure anatexis", "type" : "article-journal", "volume" : "31" }, "uris" : [ "http://www.mendeley.com/documents/?uuid=62f3c5a7-2061-4656-ab98-bd68282cf1d3" ] }, { "id" : "ITEM-3", "itemData" : { "author" : [ { "dropping-particle" : "", "family" : "Villaseca", "given" : "C.", "non-dropping-particle" : "", "parse-names" : false, "suffix" : "" }, { "dropping-particle" : "", "family" : "Barbero", "given" : "L.", "non-dropping-particle" : "", "parse-names" : false, "suffix" : "" }, { "dropping-particle" : "", "family" : "Rogers", "given" : "G.", "non-dropping-particle" : "", "parse-names" : false, "suffix" : "" } ], "container-title" : "Lithos", "id" : "ITEM-3", "issued" : { "date-parts" : [ [ "1998" ] ] }, "page" : "55-79", "title" : "Crustal origin of Hercynian peraluminous granitic batholiths of Central Spain: petrological, geochemical amd isotopes (Sr, Nd) contsraints", "type" : "article-journal", "volume" : "43" }, "uris" : [ "http://www.mendeley.com/documents/?uuid=075df9ca-573b-4a9e-a3b3-f9a8379f479f" ] } ], "mendeley" : { "formattedCitation" : "(Pereira and Bea, 1994; Strong and Hammer, 1981; Villaseca et al., 1998)", "manualFormatting" : " Strong and Hammer 1981; Pereira and Bea 1994; Villaseca et al. 1998)", "plainTextFormattedCitation" : "(Pereira and Bea, 1994; Strong and Hammer, 1981; Villaseca et al., 1998)", "previouslyFormattedCitation" : "(Strong and Hammer 1981; Pereira and Bea 1994; Villaseca et al. 1998)" }, "properties" : { "noteIndex" : 0 }, "schema" : "https://github.com/citation-style-language/schema/raw/master/csl-citation.json" }</w:instrText>
      </w:r>
      <w:r>
        <w:rPr>
          <w:rFonts w:cs="Times New Roman"/>
        </w:rPr>
        <w:fldChar w:fldCharType="separate"/>
      </w:r>
      <w:r w:rsidRPr="003A6C5A">
        <w:rPr>
          <w:rFonts w:cs="Times New Roman"/>
          <w:noProof/>
        </w:rPr>
        <w:t xml:space="preserve"> Strong and Hammer 1981; Pereira and Bea 1994; Villaseca et al. 1998)</w:t>
      </w:r>
      <w:r>
        <w:rPr>
          <w:rFonts w:cs="Times New Roman"/>
        </w:rPr>
        <w:fldChar w:fldCharType="end"/>
      </w:r>
      <w:r w:rsidRPr="003A6C5A">
        <w:rPr>
          <w:rFonts w:cs="Times New Roman"/>
        </w:rPr>
        <w:t>.</w:t>
      </w:r>
      <w:r>
        <w:rPr>
          <w:rFonts w:cs="Times New Roman"/>
        </w:rPr>
        <w:t xml:space="preserve"> </w:t>
      </w:r>
    </w:p>
    <w:p w:rsidR="00665C0F" w:rsidRDefault="00665C0F" w:rsidP="00665C0F">
      <w:pPr>
        <w:spacing w:after="120" w:line="480" w:lineRule="auto"/>
        <w:ind w:firstLine="720"/>
        <w:rPr>
          <w:rFonts w:cs="Times New Roman"/>
        </w:rPr>
      </w:pPr>
      <w:r>
        <w:rPr>
          <w:rFonts w:cs="Times New Roman"/>
        </w:rPr>
        <w:t>The</w:t>
      </w:r>
      <w:r w:rsidRPr="003A6C5A">
        <w:rPr>
          <w:rFonts w:cs="Times New Roman"/>
        </w:rPr>
        <w:t xml:space="preserve"> model begins with the average composition of 63 analyses of vitreous melt inclusions (MI) hosted by garnet in a quartz-absent, Grt-Bt-Sil metapelitic enclave within the El Hoyazo dacites, SE Spain, </w:t>
      </w:r>
      <w:r w:rsidRPr="003A6C5A">
        <w:rPr>
          <w:rFonts w:cs="Times New Roman"/>
        </w:rPr>
        <w:fldChar w:fldCharType="begin" w:fldLock="1"/>
      </w:r>
      <w:r w:rsidR="00266290">
        <w:rPr>
          <w:rFonts w:cs="Times New Roman"/>
        </w:rPr>
        <w:instrText>ADDIN CSL_CITATION { "citationItems" : [ { "id" : "ITEM-1", "itemData" : { "author" : [ { "dropping-particle" : "", "family" : "Acosta-Vigil", "given" : "Antonio", "non-dropping-particle" : "", "parse-names" : false, "suffix" : "" }, { "dropping-particle" : "", "family" : "Cesare", "given" : "Bernardo", "non-dropping-particle" : "", "parse-names" : false, "suffix" : "" }, { "dropping-particle" : "", "family" : "London", "given" : "David", "non-dropping-particle" : "", "parse-names" : false, "suffix" : "" }, { "dropping-particle" : "", "family" : "Morgan", "given" : "George B.", "non-dropping-particle" : "", "parse-names" : false, "suffix" : "" } ], "container-title" : "Chemical Geology", "id" : "ITEM-1", "issued" : { "date-parts" : [ [ "2007" ] ] }, "page" : "450-465", "title" : "Microstructures and composition of melt inclusions in a crustal anatectic environment, represented by metapelitic enclaves within El Hoyazo dacits, SE Spain", "type" : "article-journal", "volume" : "237" }, "uris" : [ "http://www.mendeley.com/documents/?uuid=2442ca6c-45e2-4873-aec0-5cbad6779eb2" ] } ], "mendeley" : { "formattedCitation" : "(Acosta-Vigil et al., 2007)", "plainTextFormattedCitation" : "(Acosta-Vigil et al., 2007)", "previouslyFormattedCitation" : "(Acosta-Vigil et al. 2007)" }, "properties" : { "noteIndex" : 0 }, "schema" : "https://github.com/citation-style-language/schema/raw/master/csl-citation.json" }</w:instrText>
      </w:r>
      <w:r w:rsidRPr="003A6C5A">
        <w:rPr>
          <w:rFonts w:cs="Times New Roman"/>
        </w:rPr>
        <w:fldChar w:fldCharType="separate"/>
      </w:r>
      <w:r w:rsidR="00266290" w:rsidRPr="00266290">
        <w:rPr>
          <w:rFonts w:cs="Times New Roman"/>
          <w:noProof/>
        </w:rPr>
        <w:t>(Acosta-Vigil et al., 2007)</w:t>
      </w:r>
      <w:r w:rsidRPr="003A6C5A">
        <w:rPr>
          <w:rFonts w:cs="Times New Roman"/>
        </w:rPr>
        <w:fldChar w:fldCharType="end"/>
      </w:r>
      <w:r w:rsidRPr="003A6C5A">
        <w:rPr>
          <w:rFonts w:cs="Times New Roman"/>
        </w:rPr>
        <w:t xml:space="preserve">. </w:t>
      </w:r>
      <w:r w:rsidRPr="003A6C5A">
        <w:rPr>
          <w:rFonts w:cs="Times New Roman"/>
        </w:rPr>
        <w:fldChar w:fldCharType="begin" w:fldLock="1"/>
      </w:r>
      <w:r w:rsidR="00266290">
        <w:rPr>
          <w:rFonts w:cs="Times New Roman"/>
        </w:rPr>
        <w:instrText>ADDIN CSL_CITATION { "citationItems" : [ { "id" : "ITEM-1", "itemData" : { "author" : [ { "dropping-particle" : "", "family" : "Acosta-Vigil", "given" : "Antonio", "non-dropping-particle" : "", "parse-names" : false, "suffix" : "" }, { "dropping-particle" : "", "family" : "Buick", "given" : "Ian S.", "non-dropping-particle" : "", "parse-names" : false, "suffix" : "" }, { "dropping-particle" : "", "family" : "Hermann", "given" : "J\u00f6rg", "non-dropping-particle" : "", "parse-names" : false, "suffix" : "" }, { "dropping-particle" : "", "family" : "Cesare", "given" : "Bernardo", "non-dropping-particle" : "", "parse-names" : false, "suffix" : "" }, { "dropping-particle" : "", "family" : "Rubatto", "given" : "Daniela", "non-dropping-particle" : "", "parse-names" : false, "suffix" : "" }, { "dropping-particle" : "", "family" : "London", "given" : "David", "non-dropping-particle" : "", "parse-names" : false, "suffix" : "" }, { "dropping-particle" : "", "family" : "Morgan", "given" : "George B.", "non-dropping-particle" : "", "parse-names" : false, "suffix" : "" } ], "container-title" : "Journal of Petrology", "id" : "ITEM-1", "issue" : "4", "issued" : { "date-parts" : [ [ "2010" ] ] }, "page" : "785-821", "title" : "Mechanisms of crustal anatexis: a geochemical study of partially melted metapelitic enclaves and host dacite, SE Spain", "type" : "article-journal", "volume" : "51" }, "uris" : [ "http://www.mendeley.com/documents/?uuid=2c01c157-965d-4b58-a094-bc23261d9278" ] } ], "mendeley" : { "formattedCitation" : "(Acosta-Vigil et al., 2010)", "manualFormatting" : "Acosta-Vigil et al. (2010)", "plainTextFormattedCitation" : "(Acosta-Vigil et al., 2010)", "previouslyFormattedCitation" : "(Acosta-Vigil et al. 2010)" }, "properties" : { "noteIndex" : 0 }, "schema" : "https://github.com/citation-style-language/schema/raw/master/csl-citation.json" }</w:instrText>
      </w:r>
      <w:r w:rsidRPr="003A6C5A">
        <w:rPr>
          <w:rFonts w:cs="Times New Roman"/>
        </w:rPr>
        <w:fldChar w:fldCharType="separate"/>
      </w:r>
      <w:r w:rsidRPr="003A6C5A">
        <w:rPr>
          <w:rFonts w:cs="Times New Roman"/>
          <w:noProof/>
        </w:rPr>
        <w:t>Acosta-Vigil et al. (2010)</w:t>
      </w:r>
      <w:r w:rsidRPr="003A6C5A">
        <w:rPr>
          <w:rFonts w:cs="Times New Roman"/>
        </w:rPr>
        <w:fldChar w:fldCharType="end"/>
      </w:r>
      <w:r w:rsidRPr="003A6C5A">
        <w:rPr>
          <w:rFonts w:cs="Times New Roman"/>
        </w:rPr>
        <w:t xml:space="preserve"> conclude</w:t>
      </w:r>
      <w:r>
        <w:rPr>
          <w:rFonts w:cs="Times New Roman"/>
        </w:rPr>
        <w:t>d</w:t>
      </w:r>
      <w:r w:rsidRPr="003A6C5A">
        <w:rPr>
          <w:rFonts w:cs="Times New Roman"/>
        </w:rPr>
        <w:t xml:space="preserve"> that the MIs in garnet were formed during the dehydration-melting of muscovite at a temperature of ~685°-750°C and pressure of 5-7 kb. Though garnet is stable in the metapelitic enclave, at lower pressure (&lt;4 kb), cordierite (sekaninaite) will form at the expense of garnet (almandine) </w:t>
      </w:r>
      <w:r>
        <w:rPr>
          <w:rFonts w:cs="Times New Roman"/>
        </w:rPr>
        <w:fldChar w:fldCharType="begin" w:fldLock="1"/>
      </w:r>
      <w:r w:rsidR="00266290">
        <w:rPr>
          <w:rFonts w:cs="Times New Roman"/>
        </w:rPr>
        <w:instrText>ADDIN CSL_CITATION { "citationItems" : [ { "id" : "ITEM-1", "itemData" : { "author" : [ { "dropping-particle" : "", "family" : "Mukhopadhyay", "given" : "Biswajit", "non-dropping-particle" : "", "parse-names" : false, "suffix" : "" }, { "dropping-particle" : "", "family" : "Holdaway", "given" : "Michael J.", "non-dropping-particle" : "", "parse-names" : false, "suffix" : "" } ], "container-title" : "Contributions to Mineralogy and Petrology", "id" : "ITEM-1", "issued" : { "date-parts" : [ [ "1994" ] ] }, "page" : "462-472", "title" : "Cordierite-garnet-sillimanite-quartz equilibrium: I. New experimental calibration in the system FeO-Al2O3-SiO2-H2O and certain P-T-XH2O relations", "type" : "article-journal", "volume" : "116" }, "uris" : [ "http://www.mendeley.com/documents/?uuid=86b67800-e30d-411c-a4fb-3f19daf94d54" ] } ], "mendeley" : { "formattedCitation" : "(Mukhopadhyay and Holdaway, 1994)", "plainTextFormattedCitation" : "(Mukhopadhyay and Holdaway, 1994)", "previouslyFormattedCitation" : "(Mukhopadhyay and Holdaway 1994)" }, "properties" : { "noteIndex" : 0 }, "schema" : "https://github.com/citation-style-language/schema/raw/master/csl-citation.json" }</w:instrText>
      </w:r>
      <w:r>
        <w:rPr>
          <w:rFonts w:cs="Times New Roman"/>
        </w:rPr>
        <w:fldChar w:fldCharType="separate"/>
      </w:r>
      <w:r w:rsidR="00266290" w:rsidRPr="00266290">
        <w:rPr>
          <w:rFonts w:cs="Times New Roman"/>
          <w:noProof/>
        </w:rPr>
        <w:t>(Mukhopadhyay and Holdaway, 1994)</w:t>
      </w:r>
      <w:r>
        <w:rPr>
          <w:rFonts w:cs="Times New Roman"/>
        </w:rPr>
        <w:fldChar w:fldCharType="end"/>
      </w:r>
      <w:r w:rsidRPr="003A6C5A">
        <w:rPr>
          <w:rFonts w:cs="Times New Roman"/>
        </w:rPr>
        <w:t xml:space="preserve"> in a peraluminous liquid. Therefore, at 2 kb and 800°C, cordierite and biotite are stable phases that could crystallize from the liquid represented by the MI in garnet.</w:t>
      </w:r>
      <w:r>
        <w:rPr>
          <w:rFonts w:cs="Times New Roman"/>
        </w:rPr>
        <w:t xml:space="preserve"> Details regarding the calculation of mineral modes, bulk distributions coefficients, and how mineral modes and bulk distribution coefficients were varied as a function of temperature (T) and liquid </w:t>
      </w:r>
      <w:r w:rsidR="00AD021A">
        <w:rPr>
          <w:rFonts w:cs="Times New Roman"/>
        </w:rPr>
        <w:t>fraction (F) are presented in</w:t>
      </w:r>
      <w:r>
        <w:rPr>
          <w:rFonts w:cs="Times New Roman"/>
        </w:rPr>
        <w:t xml:space="preserve"> </w:t>
      </w:r>
      <w:r w:rsidR="00475C8F">
        <w:rPr>
          <w:rFonts w:cs="Times New Roman"/>
        </w:rPr>
        <w:t>Appendix 2</w:t>
      </w:r>
      <w:r>
        <w:rPr>
          <w:rFonts w:cs="Times New Roman"/>
        </w:rPr>
        <w:t xml:space="preserve">. </w:t>
      </w:r>
    </w:p>
    <w:p w:rsidR="00665C0F" w:rsidRPr="003A6C5A" w:rsidRDefault="00665C0F" w:rsidP="00665C0F">
      <w:pPr>
        <w:spacing w:after="120" w:line="480" w:lineRule="auto"/>
        <w:ind w:firstLine="720"/>
        <w:rPr>
          <w:rFonts w:cs="Times New Roman"/>
        </w:rPr>
      </w:pPr>
      <w:r>
        <w:rPr>
          <w:rFonts w:cs="Times New Roman"/>
        </w:rPr>
        <w:t xml:space="preserve">The result of the Rayleigh model is depicted in </w:t>
      </w:r>
      <w:r w:rsidRPr="003A6C5A">
        <w:rPr>
          <w:rFonts w:cs="Times New Roman"/>
        </w:rPr>
        <w:t xml:space="preserve">Figure </w:t>
      </w:r>
      <w:r w:rsidR="00815F07">
        <w:rPr>
          <w:rFonts w:cs="Times New Roman"/>
        </w:rPr>
        <w:t>5-</w:t>
      </w:r>
      <w:r w:rsidRPr="003A6C5A">
        <w:rPr>
          <w:rFonts w:cs="Times New Roman"/>
        </w:rPr>
        <w:t xml:space="preserve">9. In addition to the Rayleigh curve shown in Figure </w:t>
      </w:r>
      <w:r w:rsidR="00815F07">
        <w:rPr>
          <w:rFonts w:cs="Times New Roman"/>
        </w:rPr>
        <w:t>5-</w:t>
      </w:r>
      <w:r w:rsidRPr="003A6C5A">
        <w:rPr>
          <w:rFonts w:cs="Times New Roman"/>
        </w:rPr>
        <w:t xml:space="preserve">9, we also plot the saturation surface for garnet in B-bearing, hydrous granitic melt </w:t>
      </w:r>
      <w:r>
        <w:rPr>
          <w:rFonts w:cs="Times New Roman"/>
        </w:rPr>
        <w:t>based on</w:t>
      </w:r>
      <w:r w:rsidRPr="003A6C5A">
        <w:rPr>
          <w:rFonts w:cs="Times New Roman"/>
        </w:rPr>
        <w:t xml:space="preserve"> the experimental data in Table </w:t>
      </w:r>
      <w:r w:rsidR="0083401A">
        <w:rPr>
          <w:rFonts w:cs="Times New Roman"/>
        </w:rPr>
        <w:t>5-</w:t>
      </w:r>
      <w:r w:rsidRPr="003A6C5A">
        <w:rPr>
          <w:rFonts w:cs="Times New Roman"/>
        </w:rPr>
        <w:t>5. The model shows that the MnO content of melt intersects the saturation surface for garnet after ~90% fractional crystallization (</w:t>
      </w:r>
      <w:r>
        <w:rPr>
          <w:rFonts w:cs="Times New Roman"/>
        </w:rPr>
        <w:t xml:space="preserve">F≈0.10; ~665°C, ~0.4 wt.% MnO). Variations in melt composition and the choices of mafic minerals and their proportions will of course change the results (see a discussion in </w:t>
      </w:r>
      <w:r w:rsidR="00AD021A">
        <w:rPr>
          <w:rFonts w:cs="Times New Roman"/>
        </w:rPr>
        <w:t>Appendix 2</w:t>
      </w:r>
      <w:r>
        <w:rPr>
          <w:rFonts w:cs="Times New Roman"/>
        </w:rPr>
        <w:t>). Nonetheless, the Rayleigh model presented here using the partition coefficients of this study produce a result with a hypothetical, but realistic, S-type granitic liquid that is consistent with natural occurrences of spessartine</w:t>
      </w:r>
      <w:r w:rsidRPr="003A6C5A">
        <w:rPr>
          <w:rFonts w:cs="Times New Roman"/>
        </w:rPr>
        <w:t>. To that extent, the agreement between the Rayleigh model and the natural occurrences leads to the conclusion that the partition coefficients derived from this study are applicable to natural settings, and that Rayleigh fractional crystallization</w:t>
      </w:r>
      <w:r>
        <w:rPr>
          <w:rFonts w:cs="Times New Roman"/>
        </w:rPr>
        <w:t>, wherein the entire bulk melt remains in chemical equilibrium with the rims of growing crystals,</w:t>
      </w:r>
      <w:r w:rsidRPr="003A6C5A">
        <w:rPr>
          <w:rFonts w:cs="Times New Roman"/>
        </w:rPr>
        <w:t xml:space="preserve"> is applicable to the relatively large masses of normal granite plutons. That is not the case for granitic pegmatites</w:t>
      </w:r>
      <w:r>
        <w:rPr>
          <w:rFonts w:cs="Times New Roman"/>
        </w:rPr>
        <w:t>, which</w:t>
      </w:r>
      <w:r w:rsidRPr="003A6C5A">
        <w:rPr>
          <w:rFonts w:cs="Times New Roman"/>
        </w:rPr>
        <w:t xml:space="preserve"> are derived from the extended fractional crystallization of such plutons.</w:t>
      </w:r>
    </w:p>
    <w:p w:rsidR="00665C0F" w:rsidRPr="009F5DE0" w:rsidRDefault="009F5DE0" w:rsidP="0047415D">
      <w:pPr>
        <w:pStyle w:val="Heading3"/>
        <w:spacing w:line="480" w:lineRule="auto"/>
        <w:rPr>
          <w:rFonts w:cs="Times New Roman"/>
          <w:bCs/>
        </w:rPr>
      </w:pPr>
      <w:bookmarkStart w:id="180" w:name="_Toc491246077"/>
      <w:r w:rsidRPr="009F5DE0">
        <w:rPr>
          <w:rFonts w:cs="Times New Roman"/>
          <w:bCs/>
        </w:rPr>
        <w:t>4.3</w:t>
      </w:r>
      <w:r w:rsidR="0047415D">
        <w:rPr>
          <w:rFonts w:cs="Times New Roman"/>
          <w:bCs/>
        </w:rPr>
        <w:t>.</w:t>
      </w:r>
      <w:r w:rsidRPr="009F5DE0">
        <w:rPr>
          <w:rFonts w:cs="Times New Roman"/>
          <w:bCs/>
        </w:rPr>
        <w:t xml:space="preserve"> </w:t>
      </w:r>
      <w:r w:rsidR="00665C0F" w:rsidRPr="009F5DE0">
        <w:rPr>
          <w:rFonts w:cs="Times New Roman"/>
          <w:bCs/>
        </w:rPr>
        <w:t>Spessartine in granitic pegmatites</w:t>
      </w:r>
      <w:bookmarkEnd w:id="180"/>
    </w:p>
    <w:p w:rsidR="00665C0F" w:rsidRPr="003A6C5A" w:rsidRDefault="00665C0F" w:rsidP="00665C0F">
      <w:pPr>
        <w:spacing w:after="120" w:line="480" w:lineRule="auto"/>
        <w:ind w:firstLine="720"/>
        <w:rPr>
          <w:rFonts w:cs="Times New Roman"/>
        </w:rPr>
      </w:pPr>
      <w:r w:rsidRPr="003A6C5A">
        <w:rPr>
          <w:rFonts w:cs="Times New Roman"/>
        </w:rPr>
        <w:t xml:space="preserve">The condition of </w:t>
      </w:r>
      <w:r>
        <w:rPr>
          <w:rFonts w:cs="Times New Roman"/>
        </w:rPr>
        <w:t xml:space="preserve">equilibrium between crystals and a bulk melt whose composition changes continuously with crystallization </w:t>
      </w:r>
      <w:r w:rsidRPr="003A6C5A">
        <w:rPr>
          <w:rFonts w:cs="Times New Roman"/>
        </w:rPr>
        <w:t>does not apply to the internal evolution of granitic pegmatites. These have been shown to crystallize at ~ 450</w:t>
      </w:r>
      <w:r w:rsidRPr="003A6C5A">
        <w:rPr>
          <w:rFonts w:cs="Times New Roman"/>
        </w:rPr>
        <w:sym w:font="Symbol" w:char="F0B0"/>
      </w:r>
      <w:r w:rsidRPr="003A6C5A">
        <w:rPr>
          <w:rFonts w:cs="Times New Roman"/>
        </w:rPr>
        <w:t>C, which is ~ 200</w:t>
      </w:r>
      <w:r w:rsidRPr="003A6C5A">
        <w:rPr>
          <w:rFonts w:cs="Times New Roman"/>
        </w:rPr>
        <w:sym w:font="Symbol" w:char="F0B0"/>
      </w:r>
      <w:r w:rsidRPr="003A6C5A">
        <w:rPr>
          <w:rFonts w:cs="Times New Roman"/>
        </w:rPr>
        <w:t xml:space="preserve">C below the likely liquidus temperature (e.g., </w:t>
      </w:r>
      <w:r w:rsidRPr="003A6C5A">
        <w:rPr>
          <w:rFonts w:cs="Times New Roman"/>
        </w:rPr>
        <w:fldChar w:fldCharType="begin" w:fldLock="1"/>
      </w:r>
      <w:r w:rsidR="00266290">
        <w:rPr>
          <w:rFonts w:cs="Times New Roman"/>
        </w:rPr>
        <w:instrText>ADDIN CSL_CITATION { "citationItems" : [ { "id" : "ITEM-1", "itemData" : { "DOI" : "10.1007/s004100050541", "ISSN" : "00107999", "author" : [ { "dropping-particle" : "", "family" : "Morgan", "given" : "George B.", "non-dropping-particle" : "", "parse-names" : false, "suffix" : "" }, { "dropping-particle" : "", "family" : "London", "given" : "David", "non-dropping-particle" : "", "parse-names" : false, "suffix" : "" } ], "container-title" : "Contributions to Mineralogy and Petrology", "id" : "ITEM-1", "issue" : "4", "issued" : { "date-parts" : [ [ "1999" ] ] }, "page" : "310-330", "title" : "Crystallization of the Little Three layered pegmatite-aplite dike, Ramona District, California", "type" : "article-journal", "volume" : "136" }, "uris" : [ "http://www.mendeley.com/documents/?uuid=5d1566b0-c89b-4e61-94c5-4a9310a32eb3" ] }, { "id" : "ITEM-2", "itemData" : { "DOI" : "10.3749/canmin.50.4.1025", "ISSN" : "00084476", "abstract" : "Miarolitic granitic pegmatites at the Little Three mine property near Ramona, San Diego County, California, USA, possess a bulk composition that closely matches that of a hydrous peraluminous granitic liquid that is saturated with respect to tourmaline at a temperature of \u223c450\u00b0C. As such, the pegmatites appear to represent the compositions of the silicate liquid from which they crystallized, which contained &lt;1 wt% B2O3 and minor amounts of Li and F. They do not appear to have contained phenocrysts upon emplacement, and they are neither partially cumulate nor hydrothermal in nature. The Little Three pegmatites are, however, sharply zoned. Chemical zonation across one small dike matches the patterns expected from crystallization of undercooled granitic liquids, in which the far-field diffusion of alkalis and local constitutional zone refining of fluxing and incompatible elements contribute to the chemical and textural changes from the margins inward. Feldspar thermometry records nearly isothermal crystallization at \u223c420\u00b0\u2013430\u00b0C for dikes from 1 to 2.5 m in thickness. Temperatures recorded by feldspars fall toward the miarolitic center of the thicker (Main) dike, but increase to \u223c500\u00b0C in the thinner (Swamp) dike. Fluid inclusions within quartz and topaz from miarolitic cavities of the Main dike contain cryolite, arsenides, arsenates, pollucite, and borates, including Cs borate, the latter of which indicates a higher degree of chemical fractionation than is present in the minerals that line the cavities. Extrapolation along isochores based on the homogenization (200\u00b0\u2013225\u00b0C) of the low-salinity aqueous fluid (&lt;1 equivalent wt% NaCl) to the temperature of feldspar equilibration (240\u00b0\u2013270\u00b0C) with the miarolitic cavity points to hydrostatic entrapment pressures of \u223c50 to 100 MPa, which are unrealistically low. If the isochores are extrapolated to 370\u00b0 \u00b1 20\u00b0C, the temperatures recorded by feldspars in the pegmatite that surrounds the miarolitic pockets, then the entrapment pressure would be \u223c200\u2013250 MPa. Formation of the miarolitic cavities at \u223c370\u00b0C and 200\u2013250 MPa is plausible, as the cavities contain zeolites; therefore, the feldspars within the pockets have recrystallized (re-equilibrated) to an extent that they no longer preserve their original compositions. ", "author" : [ { "dropping-particle" : "", "family" : "London", "given" : "David", "non-dropping-particle" : "", "parse-names" : false, "suffix" : "" }, { "dropping-particle" : "", "family" : "Morganvi", "given" : "George B.", "non-dropping-particle" : "", "parse-names" : false, "suffix" : "" }, { "dropping-particle" : "", "family" : "Paul", "given" : "Kerry A.", "non-dropping-particle" : "", "parse-names" : false, "suffix" : "" }, { "dropping-particle" : "", "family" : "Guttery", "given" : "Brandon M.", "non-dropping-particle" : "", "parse-names" : false, "suffix" : "" } ], "container-title" : "Canadian Mineralogist", "id" : "ITEM-2", "issue" : "4", "issued" : { "date-parts" : [ [ "2012" ] ] }, "page" : "1025-1054", "title" : "Internal evolution of miarolitic granitic pegmatites at the little three Mine, Ramona, California, USA", "type" : "article-journal", "volume" : "50" }, "uris" : [ "http://www.mendeley.com/documents/?uuid=a213218b-05b1-4ed6-8346-161a0a5501f1" ] } ], "mendeley" : { "formattedCitation" : "(London et al., 2012; Morgan and London, 1999)", "manualFormatting" : "Morgan and London 1999; London et al. 2012", "plainTextFormattedCitation" : "(London et al., 2012; Morgan and London, 1999)", "previouslyFormattedCitation" : "(Morgan and London 1999; London et al. 2012)" }, "properties" : { "noteIndex" : 0 }, "schema" : "https://github.com/citation-style-language/schema/raw/master/csl-citation.json" }</w:instrText>
      </w:r>
      <w:r w:rsidRPr="003A6C5A">
        <w:rPr>
          <w:rFonts w:cs="Times New Roman"/>
        </w:rPr>
        <w:fldChar w:fldCharType="separate"/>
      </w:r>
      <w:r w:rsidRPr="003A6C5A">
        <w:rPr>
          <w:rFonts w:cs="Times New Roman"/>
          <w:noProof/>
        </w:rPr>
        <w:t>Morgan and London 1999; London et al. 2012</w:t>
      </w:r>
      <w:r w:rsidRPr="003A6C5A">
        <w:rPr>
          <w:rFonts w:cs="Times New Roman"/>
        </w:rPr>
        <w:fldChar w:fldCharType="end"/>
      </w:r>
      <w:r w:rsidRPr="003A6C5A">
        <w:rPr>
          <w:rFonts w:cs="Times New Roman"/>
        </w:rPr>
        <w:t>).  At such low temperatures, hydrous granitic liquids possess high viscosity (~ 10</w:t>
      </w:r>
      <w:r w:rsidRPr="003A6C5A">
        <w:rPr>
          <w:rFonts w:cs="Times New Roman"/>
          <w:vertAlign w:val="superscript"/>
        </w:rPr>
        <w:t>8</w:t>
      </w:r>
      <w:r w:rsidRPr="003A6C5A">
        <w:rPr>
          <w:rFonts w:cs="Times New Roman"/>
        </w:rPr>
        <w:t xml:space="preserve"> Pa∙s based on </w:t>
      </w:r>
      <w:r w:rsidRPr="003A6C5A">
        <w:rPr>
          <w:rFonts w:cs="Times New Roman"/>
        </w:rPr>
        <w:fldChar w:fldCharType="begin" w:fldLock="1"/>
      </w:r>
      <w:r w:rsidR="00266290">
        <w:rPr>
          <w:rFonts w:cs="Times New Roman"/>
        </w:rPr>
        <w:instrText>ADDIN CSL_CITATION { "citationItems" : [ { "id" : "ITEM-1", "itemData" : { "DOI" : "10.1016/j.gca.2004.08.012", "ISBN" : "0016-7037", "ISSN" : "00167037", "abstract" : "The Newtonian viscosity of water-plus-fluorine-bearing silicate melt of haplogranitic composition (HPG8) has been determined. Viscosities of HPG8 melt with addition of 3.11 and 4.25 wt.% of F and up to 3 wt.% H2O have been obtained using a micropenetration technique in the interval 109.74 to 1011.84 Pa ?? s and temperatures varying from 370 to 700??C, at ambient pressure. Determination of the temperature dependence of viscosity from this and previous studies permits the parameterization of the viscosity of melts containing water and fluorine, having similar composition, within a 0.3 log units standard error. The viscosity of water-bearing, F-rich haplogranitic samples is represented by a modified Vogel-Fulcher-Tammann (VFT) equation which provides a non-Arrhenian description of the temperature dependence of the viscosity. The results of this study indicate that, taken individually or together, both H2O and F- have a strong and similar effect on the viscosity of SiO2-rich compositions. This similarity between F2O-1 and H2O greatly simplifies the task of predicting viscosity for volatile-rich, highly silicic magmas. The low viscosities of hydrous fluorine-bearing granitic melts favour efficient crystallization-fractionaction paths for these liquids, controlling degassing paths and consequently the eruptive behaviour. Numerical simulations of eruptive events normally do not take into account the contribution of fluorine; this may introduce a significant error in the description of the fluid-dynamic properties of magma and, therefore, in the accurate prediction of eruptive scenarios, as well as in hazard assessment studies. Fluorine, unlike water, remains dissolved in the melt at high concentrations and low confining pressures. The incorporation of fluorine data and the modelling of fluorine-bearing viscosity data are therefore of fundamental importance for simulations of magma dynamics and prediction of eruptive scenarios. Copyright ?? 2004 Elsevier Ltd.", "author" : [ { "dropping-particle" : "", "family" : "Giordano", "given" : "D.", "non-dropping-particle" : "", "parse-names" : false, "suffix" : "" }, { "dropping-particle" : "", "family" : "Romano", "given" : "C.", "non-dropping-particle" : "", "parse-names" : false, "suffix" : "" }, { "dropping-particle" : "", "family" : "Dingwell", "given" : "D. B.", "non-dropping-particle" : "", "parse-names" : false, "suffix" : "" }, { "dropping-particle" : "", "family" : "Poe", "given" : "B.", "non-dropping-particle" : "", "parse-names" : false, "suffix" : "" }, { "dropping-particle" : "", "family" : "Behrens", "given" : "H.", "non-dropping-particle" : "", "parse-names" : false, "suffix" : "" } ], "container-title" : "Geochimica et Cosmochimica Acta", "id" : "ITEM-1", "issue" : "24", "issued" : { "date-parts" : [ [ "2004" ] ] }, "page" : "5159-5168", "title" : "The combined effects of water and fluorine on the viscosity of silicic magmas", "type" : "article-journal", "volume" : "68" }, "uris" : [ "http://www.mendeley.com/documents/?uuid=0dd3da99-9858-4131-8ea9-7e4a9ac9256e" ] } ], "mendeley" : { "formattedCitation" : "(Giordano et al., 2004)", "manualFormatting" : "Giordano et al. 2004)", "plainTextFormattedCitation" : "(Giordano et al., 2004)", "previouslyFormattedCitation" : "(Giordano et al. 2004)" }, "properties" : { "noteIndex" : 0 }, "schema" : "https://github.com/citation-style-language/schema/raw/master/csl-citation.json" }</w:instrText>
      </w:r>
      <w:r w:rsidRPr="003A6C5A">
        <w:rPr>
          <w:rFonts w:cs="Times New Roman"/>
        </w:rPr>
        <w:fldChar w:fldCharType="separate"/>
      </w:r>
      <w:r w:rsidRPr="003A6C5A">
        <w:rPr>
          <w:rFonts w:cs="Times New Roman"/>
          <w:noProof/>
        </w:rPr>
        <w:t>Giordano et al. 2004)</w:t>
      </w:r>
      <w:r w:rsidRPr="003A6C5A">
        <w:rPr>
          <w:rFonts w:cs="Times New Roman"/>
        </w:rPr>
        <w:fldChar w:fldCharType="end"/>
      </w:r>
      <w:r w:rsidRPr="003A6C5A">
        <w:rPr>
          <w:rFonts w:cs="Times New Roman"/>
        </w:rPr>
        <w:t xml:space="preserve">. That high viscosity will result in commensurately low diffusivity, especially of high field-strength (HFSE) cations (e.g., </w:t>
      </w:r>
      <w:r w:rsidRPr="003A6C5A">
        <w:rPr>
          <w:rFonts w:cs="Times New Roman"/>
        </w:rPr>
        <w:fldChar w:fldCharType="begin" w:fldLock="1"/>
      </w:r>
      <w:r w:rsidR="00266290">
        <w:rPr>
          <w:rFonts w:cs="Times New Roman"/>
        </w:rPr>
        <w:instrText>ADDIN CSL_CITATION { "citationItems" : [ { "id" : "ITEM-1", "itemData" : { "author" : [ { "dropping-particle" : "", "family" : "Mungall", "given" : "James E.", "non-dropping-particle" : "", "parse-names" : false, "suffix" : "" } ], "container-title" : "Geochimica et Cosmochimica Acta", "id" : "ITEM-1", "issue" : "1", "issued" : { "date-parts" : [ [ "2002" ] ] }, "page" : "125-143", "title" : "Empircal models relating viscosity and tracer diffusion in magmatic silicate melts", "type" : "article-journal", "volume" : "66" }, "uris" : [ "http://www.mendeley.com/documents/?uuid=c42bf94c-5d93-4731-a533-9d2a680e602b" ] } ], "mendeley" : { "formattedCitation" : "(Mungall, 2002)", "manualFormatting" : "Mungall 2002)", "plainTextFormattedCitation" : "(Mungall, 2002)", "previouslyFormattedCitation" : "(Mungall 2002)" }, "properties" : { "noteIndex" : 0 }, "schema" : "https://github.com/citation-style-language/schema/raw/master/csl-citation.json" }</w:instrText>
      </w:r>
      <w:r w:rsidRPr="003A6C5A">
        <w:rPr>
          <w:rFonts w:cs="Times New Roman"/>
        </w:rPr>
        <w:fldChar w:fldCharType="separate"/>
      </w:r>
      <w:r w:rsidRPr="003A6C5A">
        <w:rPr>
          <w:rFonts w:cs="Times New Roman"/>
          <w:noProof/>
        </w:rPr>
        <w:t>Mungall 2002)</w:t>
      </w:r>
      <w:r w:rsidRPr="003A6C5A">
        <w:rPr>
          <w:rFonts w:cs="Times New Roman"/>
        </w:rPr>
        <w:fldChar w:fldCharType="end"/>
      </w:r>
      <w:r w:rsidRPr="003A6C5A">
        <w:rPr>
          <w:rFonts w:cs="Times New Roman"/>
        </w:rPr>
        <w:t xml:space="preserve">. Whereas alkalis such as Cs exhibit exponential changes in abundance from margin to core that are similar to Rayleigh fractionation trends </w:t>
      </w:r>
      <w:r>
        <w:rPr>
          <w:rFonts w:cs="Times New Roman"/>
        </w:rPr>
        <w:fldChar w:fldCharType="begin" w:fldLock="1"/>
      </w:r>
      <w:r w:rsidR="00266290">
        <w:rPr>
          <w:rFonts w:cs="Times New Roman"/>
        </w:rPr>
        <w:instrText>ADDIN CSL_CITATION { "citationItems" : [ { "id" : "ITEM-1", "itemData" : { "DOI" : "10.3749/canmin.50.4.1025", "ISSN" : "00084476", "abstract" : "Miarolitic granitic pegmatites at the Little Three mine property near Ramona, San Diego County, California, USA, possess a bulk composition that closely matches that of a hydrous peraluminous granitic liquid that is saturated with respect to tourmaline at a temperature of \u223c450\u00b0C. As such, the pegmatites appear to represent the compositions of the silicate liquid from which they crystallized, which contained &lt;1 wt% B2O3 and minor amounts of Li and F. They do not appear to have contained phenocrysts upon emplacement, and they are neither partially cumulate nor hydrothermal in nature. The Little Three pegmatites are, however, sharply zoned. Chemical zonation across one small dike matches the patterns expected from crystallization of undercooled granitic liquids, in which the far-field diffusion of alkalis and local constitutional zone refining of fluxing and incompatible elements contribute to the chemical and textural changes from the margins inward. Feldspar thermometry records nearly isothermal crystallization at \u223c420\u00b0\u2013430\u00b0C for dikes from 1 to 2.5 m in thickness. Temperatures recorded by feldspars fall toward the miarolitic center of the thicker (Main) dike, but increase to \u223c500\u00b0C in the thinner (Swamp) dike. Fluid inclusions within quartz and topaz from miarolitic cavities of the Main dike contain cryolite, arsenides, arsenates, pollucite, and borates, including Cs borate, the latter of which indicates a higher degree of chemical fractionation than is present in the minerals that line the cavities. Extrapolation along isochores based on the homogenization (200\u00b0\u2013225\u00b0C) of the low-salinity aqueous fluid (&lt;1 equivalent wt% NaCl) to the temperature of feldspar equilibration (240\u00b0\u2013270\u00b0C) with the miarolitic cavity points to hydrostatic entrapment pressures of \u223c50 to 100 MPa, which are unrealistically low. If the isochores are extrapolated to 370\u00b0 \u00b1 20\u00b0C, the temperatures recorded by feldspars in the pegmatite that surrounds the miarolitic pockets, then the entrapment pressure would be \u223c200\u2013250 MPa. Formation of the miarolitic cavities at \u223c370\u00b0C and 200\u2013250 MPa is plausible, as the cavities contain zeolites; therefore, the feldspars within the pockets have recrystallized (re-equilibrated) to an extent that they no longer preserve their original compositions. ", "author" : [ { "dropping-particle" : "", "family" : "London", "given" : "David", "non-dropping-particle" : "", "parse-names" : false, "suffix" : "" }, { "dropping-particle" : "", "family" : "Morganvi", "given" : "George B.", "non-dropping-particle" : "", "parse-names" : false, "suffix" : "" }, { "dropping-particle" : "", "family" : "Paul", "given" : "Kerry A.", "non-dropping-particle" : "", "parse-names" : false, "suffix" : "" }, { "dropping-particle" : "", "family" : "Guttery", "given" : "Brandon M.", "non-dropping-particle" : "", "parse-names" : false, "suffix" : "" } ], "container-title" : "Canadian Mineralogist", "id" : "ITEM-1", "issue" : "4", "issued" : { "date-parts" : [ [ "2012" ] ] }, "page" : "1025-1054", "title" : "Internal evolution of miarolitic granitic pegmatites at the little three Mine, Ramona, California, USA", "type" : "article-journal", "volume" : "50" }, "uris" : [ "http://www.mendeley.com/documents/?uuid=a213218b-05b1-4ed6-8346-161a0a5501f1" ] } ], "mendeley" : { "formattedCitation" : "(London et al., 2012)", "plainTextFormattedCitation" : "(London et al., 2012)", "previouslyFormattedCitation" : "(London et al. 2012)" }, "properties" : { "noteIndex" : 0 }, "schema" : "https://github.com/citation-style-language/schema/raw/master/csl-citation.json" }</w:instrText>
      </w:r>
      <w:r>
        <w:rPr>
          <w:rFonts w:cs="Times New Roman"/>
        </w:rPr>
        <w:fldChar w:fldCharType="separate"/>
      </w:r>
      <w:r w:rsidR="00266290" w:rsidRPr="00266290">
        <w:rPr>
          <w:rFonts w:cs="Times New Roman"/>
          <w:noProof/>
        </w:rPr>
        <w:t>(London et al., 2012)</w:t>
      </w:r>
      <w:r>
        <w:rPr>
          <w:rFonts w:cs="Times New Roman"/>
        </w:rPr>
        <w:fldChar w:fldCharType="end"/>
      </w:r>
      <w:r w:rsidRPr="003A6C5A">
        <w:rPr>
          <w:rFonts w:cs="Times New Roman"/>
        </w:rPr>
        <w:t xml:space="preserve">, Mn and Fe in garnet and tourmaline define "L" shaped patterns that are not those of Rayleigh fractionation </w:t>
      </w:r>
      <w:r>
        <w:rPr>
          <w:rFonts w:cs="Times New Roman"/>
        </w:rPr>
        <w:fldChar w:fldCharType="begin" w:fldLock="1"/>
      </w:r>
      <w:r w:rsidR="00266290">
        <w:rPr>
          <w:rFonts w:cs="Times New Roman"/>
        </w:rPr>
        <w:instrText>ADDIN CSL_CITATION { "citationItems" : [ { "id" : "ITEM-1", "itemData" : { "DOI" : "10.1007/s004100050541", "ISSN" : "00107999", "author" : [ { "dropping-particle" : "", "family" : "Morgan", "given" : "George B.", "non-dropping-particle" : "", "parse-names" : false, "suffix" : "" }, { "dropping-particle" : "", "family" : "London", "given" : "David", "non-dropping-particle" : "", "parse-names" : false, "suffix" : "" } ], "container-title" : "Contributions to Mineralogy and Petrology", "id" : "ITEM-1", "issue" : "4", "issued" : { "date-parts" : [ [ "1999" ] ] }, "page" : "310-330", "title" : "Crystallization of the Little Three layered pegmatite-aplite dike, Ramona District, California", "type" : "article-journal", "volume" : "136" }, "uris" : [ "http://www.mendeley.com/documents/?uuid=5d1566b0-c89b-4e61-94c5-4a9310a32eb3" ] } ], "mendeley" : { "formattedCitation" : "(Morgan and London, 1999)", "plainTextFormattedCitation" : "(Morgan and London, 1999)", "previouslyFormattedCitation" : "(Morgan and London 1999)" }, "properties" : { "noteIndex" : 0 }, "schema" : "https://github.com/citation-style-language/schema/raw/master/csl-citation.json" }</w:instrText>
      </w:r>
      <w:r>
        <w:rPr>
          <w:rFonts w:cs="Times New Roman"/>
        </w:rPr>
        <w:fldChar w:fldCharType="separate"/>
      </w:r>
      <w:r w:rsidR="00266290" w:rsidRPr="00266290">
        <w:rPr>
          <w:rFonts w:cs="Times New Roman"/>
          <w:noProof/>
        </w:rPr>
        <w:t>(Morgan and London, 1999)</w:t>
      </w:r>
      <w:r>
        <w:rPr>
          <w:rFonts w:cs="Times New Roman"/>
        </w:rPr>
        <w:fldChar w:fldCharType="end"/>
      </w:r>
      <w:r w:rsidRPr="003A6C5A">
        <w:rPr>
          <w:rFonts w:cs="Times New Roman"/>
        </w:rPr>
        <w:t xml:space="preserve">. The "L" shaped patterns of HFSE could result from constitutional zone refining </w:t>
      </w:r>
      <w:r>
        <w:rPr>
          <w:rFonts w:cs="Times New Roman"/>
        </w:rPr>
        <w:fldChar w:fldCharType="begin" w:fldLock="1"/>
      </w:r>
      <w:r w:rsidR="00266290">
        <w:rPr>
          <w:rFonts w:cs="Times New Roman"/>
        </w:rPr>
        <w:instrText>ADDIN CSL_CITATION { "citationItems" : [ { "id" : "ITEM-1", "itemData" : { "DOI" : "10.1007/s004100050541", "ISSN" : "00107999", "author" : [ { "dropping-particle" : "", "family" : "Morgan", "given" : "George B.", "non-dropping-particle" : "", "parse-names" : false, "suffix" : "" }, { "dropping-particle" : "", "family" : "London", "given" : "David", "non-dropping-particle" : "", "parse-names" : false, "suffix" : "" } ], "container-title" : "Contributions to Mineralogy and Petrology", "id" : "ITEM-1", "issue" : "4", "issued" : { "date-parts" : [ [ "1999" ] ] }, "page" : "310-330", "title" : "Crystallization of the Little Three layered pegmatite-aplite dike, Ramona District, California", "type" : "article-journal", "volume" : "136" }, "uris" : [ "http://www.mendeley.com/documents/?uuid=5d1566b0-c89b-4e61-94c5-4a9310a32eb3" ] } ], "mendeley" : { "formattedCitation" : "(Morgan and London, 1999)", "plainTextFormattedCitation" : "(Morgan and London, 1999)", "previouslyFormattedCitation" : "(Morgan and London 1999)" }, "properties" : { "noteIndex" : 0 }, "schema" : "https://github.com/citation-style-language/schema/raw/master/csl-citation.json" }</w:instrText>
      </w:r>
      <w:r>
        <w:rPr>
          <w:rFonts w:cs="Times New Roman"/>
        </w:rPr>
        <w:fldChar w:fldCharType="separate"/>
      </w:r>
      <w:r w:rsidR="00266290" w:rsidRPr="00266290">
        <w:rPr>
          <w:rFonts w:cs="Times New Roman"/>
          <w:noProof/>
        </w:rPr>
        <w:t>(Morgan and London, 1999)</w:t>
      </w:r>
      <w:r>
        <w:rPr>
          <w:rFonts w:cs="Times New Roman"/>
        </w:rPr>
        <w:fldChar w:fldCharType="end"/>
      </w:r>
      <w:r w:rsidRPr="003A6C5A">
        <w:rPr>
          <w:rFonts w:cs="Times New Roman"/>
        </w:rPr>
        <w:t xml:space="preserve">, or they may reflect no fractionation of melt because of the low diffusivity of cations through melt in relation to the rate of advance of the crystallization front </w:t>
      </w:r>
      <w:r>
        <w:rPr>
          <w:rFonts w:cs="Times New Roman"/>
        </w:rPr>
        <w:fldChar w:fldCharType="begin" w:fldLock="1"/>
      </w:r>
      <w:r w:rsidR="00266290">
        <w:rPr>
          <w:rFonts w:cs="Times New Roman"/>
        </w:rPr>
        <w:instrText>ADDIN CSL_CITATION { "citationItems" : [ { "id" : "ITEM-1", "itemData" : { "ISBN" : "978-0-921294-47-4", "author" : [ { "dropping-particle" : "", "family" : "London", "given" : "D.", "non-dropping-particle" : "", "parse-names" : false, "suffix" : "" } ], "container-title" : "Canadian Mineralogist", "id" : "ITEM-1", "issued" : { "date-parts" : [ [ "2008" ] ] }, "number-of-pages" : "347", "title" : "Pegmatites", "type" : "book", "volume" : "10" }, "uris" : [ "http://www.mendeley.com/documents/?uuid=2df88fb7-6317-4eed-a606-ad41cf6dbe95" ] }, { "id" : "ITEM-2", "itemData" : { "DOI" : "10.1515/am.2014.4693", "ISBN" : "0003-004X", "ISSN" : "0003004X", "abstract" : "In theory, multicomponent silicate liquids of minimum or eutectic composition should crystallize their solidus phases simultaneously and in their invariant proportions. In reality, the crystallization of those liquids of granitic composition produces sequential assemblages and normal fractional crystallization of solid solutions when crystallization commences at or along an isotherm well below the solidus of the system. The sequence of mineral assemblages derives principally from their relative stabilities, as measured by the Gibbs free energy change for the reaction of melt to crystals in the metastable region below the liquidus surface, rather than chemical concentration alone. Whereas crystallization close to the solidus (Delta T approximate to 50 degrees C) promotes the simultaneous (eutectic) crystallization of quartz and feldspars that leads to the formation of granite, large liquidus undercooling (Delta T approximate to 200 degrees C) produces sequential assemblages from the margins to centers of melt bodies. The liquidus undercooling that drives subsolidus isothermal fractional crystallization is the single-most important process for the generation of zoned granitic pegmatites.", "author" : [ { "dropping-particle" : "", "family" : "London", "given" : "David", "non-dropping-particle" : "", "parse-names" : false, "suffix" : "" } ], "container-title" : "American Mineralogist", "id" : "ITEM-2", "issue" : "2-3", "issued" : { "date-parts" : [ [ "2014" ] ] }, "page" : "543-546", "title" : "Subsolidus isothermal fractional crystallization", "type" : "article-journal", "volume" : "99" }, "uris" : [ "http://www.mendeley.com/documents/?uuid=e2704769-9f71-4ed5-a189-3ddc78b5d6a6" ] } ], "mendeley" : { "formattedCitation" : "(London, 2014, 2008)", "plainTextFormattedCitation" : "(London, 2014, 2008)", "previouslyFormattedCitation" : "(London 2008, 2014)" }, "properties" : { "noteIndex" : 0 }, "schema" : "https://github.com/citation-style-language/schema/raw/master/csl-citation.json" }</w:instrText>
      </w:r>
      <w:r>
        <w:rPr>
          <w:rFonts w:cs="Times New Roman"/>
        </w:rPr>
        <w:fldChar w:fldCharType="separate"/>
      </w:r>
      <w:r w:rsidR="00266290" w:rsidRPr="00266290">
        <w:rPr>
          <w:rFonts w:cs="Times New Roman"/>
          <w:noProof/>
        </w:rPr>
        <w:t>(London, 2014, 2008)</w:t>
      </w:r>
      <w:r>
        <w:rPr>
          <w:rFonts w:cs="Times New Roman"/>
        </w:rPr>
        <w:fldChar w:fldCharType="end"/>
      </w:r>
      <w:r w:rsidRPr="003A6C5A">
        <w:rPr>
          <w:rFonts w:cs="Times New Roman"/>
        </w:rPr>
        <w:t>. It is for these reasons that Rayleigh modeling of the MnO content and K</w:t>
      </w:r>
      <w:r w:rsidRPr="003A6C5A">
        <w:rPr>
          <w:rFonts w:cs="Times New Roman"/>
          <w:vertAlign w:val="subscript"/>
        </w:rPr>
        <w:t>D</w:t>
      </w:r>
      <w:r w:rsidRPr="003A6C5A">
        <w:rPr>
          <w:rFonts w:cs="Times New Roman"/>
          <w:i/>
          <w:iCs/>
          <w:vertAlign w:val="subscript"/>
        </w:rPr>
        <w:t>MnO/FeO</w:t>
      </w:r>
      <w:r w:rsidRPr="003A6C5A">
        <w:rPr>
          <w:rFonts w:cs="Times New Roman"/>
        </w:rPr>
        <w:t xml:space="preserve"> is invalid for granitic pegmatites.</w:t>
      </w:r>
    </w:p>
    <w:p w:rsidR="00665C0F" w:rsidRPr="003A6C5A" w:rsidRDefault="00665C0F" w:rsidP="00665C0F">
      <w:pPr>
        <w:spacing w:after="120" w:line="480" w:lineRule="auto"/>
        <w:ind w:firstLine="720"/>
        <w:rPr>
          <w:rFonts w:cs="Times New Roman"/>
        </w:rPr>
      </w:pPr>
      <w:r w:rsidRPr="003A6C5A">
        <w:rPr>
          <w:rFonts w:cs="Times New Roman"/>
        </w:rPr>
        <w:t xml:space="preserve">Our partitioning data do show, however, that among the mafic minerals and muscovite, the crystallization of tourmaline alone is the most effective driver of the melt composition to the high MnO/FeO ratios and MnO content that would foster the crystallization of spessartine. Tourmaline is a characteristic mineral of the border and wall zones of pegmatites </w:t>
      </w:r>
      <w:r w:rsidRPr="003A6C5A">
        <w:rPr>
          <w:rFonts w:cs="Times New Roman"/>
        </w:rPr>
        <w:fldChar w:fldCharType="begin" w:fldLock="1"/>
      </w:r>
      <w:r w:rsidR="00266290">
        <w:rPr>
          <w:rFonts w:cs="Times New Roman"/>
        </w:rPr>
        <w:instrText>ADDIN CSL_CITATION { "citationItems" : [ { "id" : "ITEM-1", "itemData" : { "author" : [ { "dropping-particle" : "", "family" : "Cameron", "given" : "E.N.", "non-dropping-particle" : "", "parse-names" : false, "suffix" : "" }, { "dropping-particle" : "", "family" : "Jahns", "given" : "R.H.", "non-dropping-particle" : "", "parse-names" : false, "suffix" : "" }, { "dropping-particle" : "", "family" : "McNair", "given" : "A.H.", "non-dropping-particle" : "", "parse-names" : false, "suffix" : "" }, { "dropping-particle" : "", "family" : "Page", "given" : "L.R.", "non-dropping-particle" : "", "parse-names" : false, "suffix" : "" } ], "container-title" : "Economic Geology Monograph 2", "id" : "ITEM-1", "issued" : { "date-parts" : [ [ "1949" ] ] }, "title" : "Internal structure of granitic pegmatites", "type" : "article-journal" }, "uris" : [ "http://www.mendeley.com/documents/?uuid=23fd4435-94c8-4a46-8ad4-22a1e2b08170" ] } ], "mendeley" : { "formattedCitation" : "(Cameron et al., 1949)", "plainTextFormattedCitation" : "(Cameron et al., 1949)", "previouslyFormattedCitation" : "(Cameron et al. 1949)" }, "properties" : { "noteIndex" : 0 }, "schema" : "https://github.com/citation-style-language/schema/raw/master/csl-citation.json" }</w:instrText>
      </w:r>
      <w:r w:rsidRPr="003A6C5A">
        <w:rPr>
          <w:rFonts w:cs="Times New Roman"/>
        </w:rPr>
        <w:fldChar w:fldCharType="separate"/>
      </w:r>
      <w:r w:rsidR="00266290" w:rsidRPr="00266290">
        <w:rPr>
          <w:rFonts w:cs="Times New Roman"/>
          <w:noProof/>
        </w:rPr>
        <w:t>(Cameron et al., 1949)</w:t>
      </w:r>
      <w:r w:rsidRPr="003A6C5A">
        <w:rPr>
          <w:rFonts w:cs="Times New Roman"/>
        </w:rPr>
        <w:fldChar w:fldCharType="end"/>
      </w:r>
      <w:r w:rsidRPr="003A6C5A">
        <w:rPr>
          <w:rFonts w:cs="Times New Roman"/>
        </w:rPr>
        <w:t xml:space="preserve">, where it tends to crystallize in abundance (e.g., Fig. 2 of </w:t>
      </w:r>
      <w:r w:rsidRPr="003A6C5A">
        <w:rPr>
          <w:rFonts w:cs="Times New Roman"/>
          <w:noProof/>
        </w:rPr>
        <w:fldChar w:fldCharType="begin" w:fldLock="1"/>
      </w:r>
      <w:r w:rsidR="00266290">
        <w:rPr>
          <w:rFonts w:cs="Times New Roman"/>
          <w:noProof/>
        </w:rPr>
        <w:instrText>ADDIN CSL_CITATION { "citationItems" : [ { "id" : "ITEM-1", "itemData" : { "author" : [ { "dropping-particle" : "", "family" : "\u010cern\u00fd", "given" : "Petr", "non-dropping-particle" : "", "parse-names" : false, "suffix" : "" }, { "dropping-particle" : "", "family" : "London", "given" : "David", "non-dropping-particle" : "", "parse-names" : false, "suffix" : "" }, { "dropping-particle" : "", "family" : "Novak", "given" : "Milan", "non-dropping-particle" : "", "parse-names" : false, "suffix" : "" } ], "container-title" : "Elements", "id" : "ITEM-1", "issued" : { "date-parts" : [ [ "2012" ] ] }, "page" : "289-294", "title" : "Granitic pegmatites as reflections of their sources", "type" : "article-journal", "volume" : "8" }, "uris" : [ "http://www.mendeley.com/documents/?uuid=75b6236b-e31b-4657-8cbd-147c5fbb11eb" ] } ], "mendeley" : { "formattedCitation" : "(\u010cern\u00fd et al., 2012)", "manualFormatting" : " \u010cern\u00fd et al. 2012)", "plainTextFormattedCitation" : "(\u010cern\u00fd et al., 2012)", "previouslyFormattedCitation" : "(\u010cern\u00fd et al. 2012)" }, "properties" : { "noteIndex" : 0 }, "schema" : "https://github.com/citation-style-language/schema/raw/master/csl-citation.json" }</w:instrText>
      </w:r>
      <w:r w:rsidRPr="003A6C5A">
        <w:rPr>
          <w:rFonts w:cs="Times New Roman"/>
          <w:noProof/>
        </w:rPr>
        <w:fldChar w:fldCharType="separate"/>
      </w:r>
      <w:r w:rsidRPr="003A6C5A">
        <w:rPr>
          <w:rFonts w:cs="Times New Roman"/>
          <w:noProof/>
        </w:rPr>
        <w:t xml:space="preserve"> Černý et al. 2012)</w:t>
      </w:r>
      <w:r w:rsidRPr="003A6C5A">
        <w:rPr>
          <w:rFonts w:cs="Times New Roman"/>
          <w:noProof/>
        </w:rPr>
        <w:fldChar w:fldCharType="end"/>
      </w:r>
      <w:r w:rsidRPr="003A6C5A">
        <w:rPr>
          <w:rFonts w:cs="Times New Roman"/>
        </w:rPr>
        <w:t xml:space="preserve">. As a result, spessartine, or Mn-phosphate equivalents </w:t>
      </w:r>
      <w:r>
        <w:rPr>
          <w:rFonts w:cs="Times New Roman"/>
        </w:rPr>
        <w:fldChar w:fldCharType="begin" w:fldLock="1"/>
      </w:r>
      <w:r w:rsidR="00266290">
        <w:rPr>
          <w:rFonts w:cs="Times New Roman"/>
        </w:rPr>
        <w:instrText>ADDIN CSL_CITATION { "citationItems" : [ { "id" : "ITEM-1", "itemData" : { "ISSN" : "0003004X", "author" : [ { "dropping-particle" : "", "family" : "London", "given" : "D.", "non-dropping-particle" : "", "parse-names" : false, "suffix" : "" }, { "dropping-particle" : "", "family" : "Burt", "given" : "D. M.", "non-dropping-particle" : "", "parse-names" : false, "suffix" : "" } ], "container-title" : "American Mineralogist", "id" : "ITEM-1", "issue" : "1-2", "issued" : { "date-parts" : [ [ "1982" ] ] }, "page" : "97-113", "title" : "Alteration of spodumene, montebrasite and lithiophilite in pegmatites of the White Picacho district, Arizona.", "type" : "article-journal", "volume" : "67" }, "uris" : [ "http://www.mendeley.com/documents/?uuid=68093847-82e7-4ba7-8567-9e098fa41b7d" ] }, { "id" : "ITEM-2", "itemData" : { "author" : [ { "dropping-particle" : "", "family" : "London", "given" : "David", "non-dropping-particle" : "", "parse-names" : false, "suffix" : "" }, { "dropping-particle" : "", "family" : "Wolf", "given" : "Michael B", "non-dropping-particle" : "", "parse-names" : false, "suffix" : "" }, { "dropping-particle" : "", "family" : "Morgan Vi", "given" : "George B", "non-dropping-particle" : "", "parse-names" : false, "suffix" : "" }, { "dropping-particle" : "", "family" : "Garrido", "given" : "Marcos Gallego", "non-dropping-particle" : "", "parse-names" : false, "suffix" : "" } ], "container-title" : "Journal of Petrology", "id" : "ITEM-2", "issue" : "1", "issued" : { "date-parts" : [ [ "1999" ] ] }, "page" : "215-240", "title" : "Experimental Silicate\u2013Phosphate Equilibria in Peraluminous Granitic Magmas, with a Case Study of the Alburquerque Batholith at Tres Arroyos, Badajoz, Spain", "type" : "article-journal", "volume" : "40" }, "uris" : [ "http://www.mendeley.com/documents/?uuid=b5a39e0d-8a46-39ae-b21b-8eefc1ad19ff" ] } ], "mendeley" : { "formattedCitation" : "(London et al., 1999; London and Burt, 1982)", "plainTextFormattedCitation" : "(London et al., 1999; London and Burt, 1982)", "previouslyFormattedCitation" : "(London and Burt 1982; London et al. 1999)" }, "properties" : { "noteIndex" : 0 }, "schema" : "https://github.com/citation-style-language/schema/raw/master/csl-citation.json" }</w:instrText>
      </w:r>
      <w:r>
        <w:rPr>
          <w:rFonts w:cs="Times New Roman"/>
        </w:rPr>
        <w:fldChar w:fldCharType="separate"/>
      </w:r>
      <w:r w:rsidR="00266290" w:rsidRPr="00266290">
        <w:rPr>
          <w:rFonts w:cs="Times New Roman"/>
          <w:noProof/>
        </w:rPr>
        <w:t>(London et al., 1999; London and Burt, 1982)</w:t>
      </w:r>
      <w:r>
        <w:rPr>
          <w:rFonts w:cs="Times New Roman"/>
        </w:rPr>
        <w:fldChar w:fldCharType="end"/>
      </w:r>
      <w:r w:rsidRPr="003A6C5A">
        <w:rPr>
          <w:rFonts w:cs="Times New Roman"/>
        </w:rPr>
        <w:t>, are common phases in the interior zones of tourmaline-rich pegmatites.</w:t>
      </w:r>
    </w:p>
    <w:p w:rsidR="00665C0F" w:rsidRPr="0047415D" w:rsidRDefault="009F5DE0" w:rsidP="0047415D">
      <w:pPr>
        <w:pStyle w:val="Heading2"/>
        <w:spacing w:line="480" w:lineRule="auto"/>
        <w:rPr>
          <w:rFonts w:cs="Times New Roman"/>
          <w:bCs/>
          <w:sz w:val="24"/>
          <w:szCs w:val="24"/>
        </w:rPr>
      </w:pPr>
      <w:bookmarkStart w:id="181" w:name="_Toc491246078"/>
      <w:r w:rsidRPr="0047415D">
        <w:rPr>
          <w:rFonts w:cs="Times New Roman"/>
          <w:bCs/>
          <w:sz w:val="24"/>
          <w:szCs w:val="24"/>
        </w:rPr>
        <w:t>5</w:t>
      </w:r>
      <w:r w:rsidR="0047415D" w:rsidRPr="0047415D">
        <w:rPr>
          <w:rFonts w:cs="Times New Roman"/>
          <w:bCs/>
          <w:sz w:val="24"/>
          <w:szCs w:val="24"/>
        </w:rPr>
        <w:t>.</w:t>
      </w:r>
      <w:r w:rsidRPr="0047415D">
        <w:rPr>
          <w:rFonts w:cs="Times New Roman"/>
          <w:bCs/>
          <w:sz w:val="24"/>
          <w:szCs w:val="24"/>
        </w:rPr>
        <w:t xml:space="preserve"> </w:t>
      </w:r>
      <w:r w:rsidR="00665C0F" w:rsidRPr="0047415D">
        <w:rPr>
          <w:rFonts w:cs="Times New Roman"/>
          <w:bCs/>
          <w:sz w:val="24"/>
          <w:szCs w:val="24"/>
        </w:rPr>
        <w:t>Implications</w:t>
      </w:r>
      <w:bookmarkEnd w:id="181"/>
    </w:p>
    <w:p w:rsidR="00665C0F" w:rsidRDefault="00665C0F" w:rsidP="00665C0F">
      <w:pPr>
        <w:spacing w:after="120" w:line="480" w:lineRule="auto"/>
        <w:ind w:firstLine="720"/>
        <w:rPr>
          <w:rFonts w:cs="Times New Roman"/>
        </w:rPr>
      </w:pPr>
      <w:r>
        <w:rPr>
          <w:rFonts w:cs="Times New Roman"/>
        </w:rPr>
        <w:t>The experimentally derived mineral-melt partition coefficients, D</w:t>
      </w:r>
      <w:r w:rsidRPr="007F18AC">
        <w:rPr>
          <w:rFonts w:cs="Times New Roman"/>
          <w:i/>
          <w:iCs/>
          <w:vertAlign w:val="subscript"/>
        </w:rPr>
        <w:t>M</w:t>
      </w:r>
      <w:r>
        <w:rPr>
          <w:rFonts w:cs="Times New Roman"/>
          <w:vertAlign w:val="superscript"/>
        </w:rPr>
        <w:t>α/L</w:t>
      </w:r>
      <w:r>
        <w:rPr>
          <w:rFonts w:cs="Times New Roman"/>
        </w:rPr>
        <w:t xml:space="preserve">, and exchange coefficients, </w:t>
      </w:r>
      <w:r w:rsidRPr="003A6C5A">
        <w:rPr>
          <w:rFonts w:cs="Times New Roman"/>
        </w:rPr>
        <w:t>K</w:t>
      </w:r>
      <w:r w:rsidRPr="003A6C5A">
        <w:rPr>
          <w:rFonts w:cs="Times New Roman"/>
          <w:vertAlign w:val="subscript"/>
        </w:rPr>
        <w:t>D</w:t>
      </w:r>
      <w:r w:rsidRPr="003A6C5A">
        <w:rPr>
          <w:rFonts w:cs="Times New Roman"/>
          <w:i/>
          <w:iCs/>
          <w:vertAlign w:val="subscript"/>
        </w:rPr>
        <w:t>M/N</w:t>
      </w:r>
      <w:r>
        <w:rPr>
          <w:rFonts w:cs="Times New Roman"/>
        </w:rPr>
        <w:t xml:space="preserve">, presented in this study confirm that the general fractionation trend of garnet, in which the MnO/FeO ratio </w:t>
      </w:r>
      <w:r w:rsidRPr="003A6C5A">
        <w:rPr>
          <w:rFonts w:cs="Times New Roman"/>
        </w:rPr>
        <w:t xml:space="preserve">increases with increasing fractional crystallization </w:t>
      </w:r>
      <w:r>
        <w:rPr>
          <w:rFonts w:cs="Times New Roman"/>
        </w:rPr>
        <w:fldChar w:fldCharType="begin" w:fldLock="1"/>
      </w:r>
      <w:r w:rsidR="00266290">
        <w:rPr>
          <w:rFonts w:cs="Times New Roman"/>
        </w:rPr>
        <w:instrText>ADDIN CSL_CITATION { "citationItems" : [ { "id" : "ITEM-1", "itemData" : { "abstract" : "-Granitic pegmatites of the rare_element (and miarolitic) class display extreme fractionation and accumulation.of rare lithophile elements, beyond the limits observed in other igneous and postmagmatic assemblages. Enrichment in Li and -Cs leads to precipitation of rock-forming spodumene, petalite, Li-phosphates or lepidolite, and pollucite. These gqeoes-can be interpreted as crystallochemically conditioned Li-and-Csbased feldspathoids, crystallizing along with (and after) the last generations of primary K-and Nalfeldspars. Extreme fractionation is encountered in K-feldspar gi,znb !,9.rK/Qs 22.4, K/Tt 236, Rb,zCs 6.5, Rb,/Tt 130 io 35, K,/Ba 18,0@, BalRb &lt;0.002); muscovite and lepidolite q/R! !.4, K,/Cs 4.0, K/Tl3ZO, Rb,/Cs 4.4, nb,ril SO ro 3.6, N/Ga239): pollucite (KAl 10, Rb/Tl 60io l3); micro-ute, srmpsonite and other late oxide minerals of Ta (Nb/Ta &lt; 0.001); manganoranialire (Fe,/Mn 0.@3): spes_ sartine @e,/Mn &lt; 0.@3); lithiophilite (FeZVn &lt; O.oii: iraf_ yoy (ZrlHf 0.014), and hawteyite and dernjite (in/Cd, 0.067)-Classic crystallochemical concepts of Goldichmictr and Ringwood alone are not adequate tb explain the above values. Selective extraction and transport in a volatile phase (by diffusion or in an exsolved hydrous fluid), complex_ ing stable to relatively low late-to postmagmaiic temiera-tures, and crystallochemical preferences for specific mineral structures operate in conjunction with crystal,/melt frac-tionation; the environment evolves from that of a volatile_ saturated residual granitic melt, through that ofa melt coex_ isting with exsolved supercritical fluid, to that of an aque_ ous solution and possibly a gas phase, in a closed oire-stricted system.", "author" : [ { "dropping-particle" : "", "family" : "\u010cern\u00fd", "given" : "Petr", "non-dropping-particle" : "", "parse-names" : false, "suffix" : "" }, { "dropping-particle" : "", "family" : "Meintzer", "given" : "R. E.", "non-dropping-particle" : "", "parse-names" : false, "suffix" : "" }, { "dropping-particle" : "", "family" : "Anderson", "given" : "A. J.", "non-dropping-particle" : "", "parse-names" : false, "suffix" : "" } ], "container-title" : "Canadian Mineralogist", "id" : "ITEM-1", "issued" : { "date-parts" : [ [ "1985" ] ] }, "page" : "381-421", "title" : "Extreme fractionation in rare-element granitic pegmatites: Selected examples of data and mechanisms", "type" : "article-journal", "volume" : "23" }, "uris" : [ "http://www.mendeley.com/documents/?uuid=1dffeb90-1928-3499-ab28-7b4ed23b2c08" ] } ], "mendeley" : { "formattedCitation" : "(\u010cern\u00fd et al., 1985)", "plainTextFormattedCitation" : "(\u010cern\u00fd et al., 1985)", "previouslyFormattedCitation" : "(\u010cern\u00fd et al. 1985)" }, "properties" : { "noteIndex" : 0 }, "schema" : "https://github.com/citation-style-language/schema/raw/master/csl-citation.json" }</w:instrText>
      </w:r>
      <w:r>
        <w:rPr>
          <w:rFonts w:cs="Times New Roman"/>
        </w:rPr>
        <w:fldChar w:fldCharType="separate"/>
      </w:r>
      <w:r w:rsidR="00266290" w:rsidRPr="00266290">
        <w:rPr>
          <w:rFonts w:cs="Times New Roman"/>
          <w:noProof/>
        </w:rPr>
        <w:t>(Černý et al., 1985)</w:t>
      </w:r>
      <w:r>
        <w:rPr>
          <w:rFonts w:cs="Times New Roman"/>
        </w:rPr>
        <w:fldChar w:fldCharType="end"/>
      </w:r>
      <w:r>
        <w:rPr>
          <w:rFonts w:cs="Times New Roman"/>
        </w:rPr>
        <w:t>, is controlled not by garnet but by other minerals that accommodate Fe and Mg over Mn. The data show that</w:t>
      </w:r>
      <w:r w:rsidRPr="003A6C5A">
        <w:rPr>
          <w:rFonts w:cs="Times New Roman"/>
        </w:rPr>
        <w:t xml:space="preserve"> crystallization of garnet alone </w:t>
      </w:r>
      <w:r>
        <w:rPr>
          <w:rFonts w:cs="Times New Roman"/>
        </w:rPr>
        <w:t xml:space="preserve">at the moderate pressures cited here </w:t>
      </w:r>
      <w:r w:rsidRPr="003A6C5A">
        <w:rPr>
          <w:rFonts w:cs="Times New Roman"/>
        </w:rPr>
        <w:t>will res</w:t>
      </w:r>
      <w:r>
        <w:rPr>
          <w:rFonts w:cs="Times New Roman"/>
        </w:rPr>
        <w:t>ult in a decrease in the concentration of MnO</w:t>
      </w:r>
      <w:r w:rsidRPr="003A6C5A">
        <w:rPr>
          <w:rFonts w:cs="Times New Roman"/>
        </w:rPr>
        <w:t xml:space="preserve"> in melt</w:t>
      </w:r>
      <w:r>
        <w:rPr>
          <w:rFonts w:cs="Times New Roman"/>
        </w:rPr>
        <w:t xml:space="preserve"> that would likely preclude garnet saturation at pressures below ~ 400 MPa</w:t>
      </w:r>
      <w:r w:rsidRPr="003A6C5A">
        <w:rPr>
          <w:rFonts w:cs="Times New Roman"/>
        </w:rPr>
        <w:t xml:space="preserve">. </w:t>
      </w:r>
    </w:p>
    <w:p w:rsidR="00665C0F" w:rsidRDefault="00665C0F" w:rsidP="00665C0F">
      <w:pPr>
        <w:spacing w:after="120" w:line="480" w:lineRule="auto"/>
        <w:ind w:firstLine="720"/>
        <w:rPr>
          <w:rFonts w:cs="Times New Roman"/>
        </w:rPr>
      </w:pPr>
      <w:r>
        <w:rPr>
          <w:rFonts w:cs="Times New Roman"/>
        </w:rPr>
        <w:t>Among the minerals examined in this study, tourmaline is shown to be the most efficient at driving t</w:t>
      </w:r>
      <w:r w:rsidRPr="003A6C5A">
        <w:rPr>
          <w:rFonts w:cs="Times New Roman"/>
        </w:rPr>
        <w:t>h</w:t>
      </w:r>
      <w:r>
        <w:rPr>
          <w:rFonts w:cs="Times New Roman"/>
        </w:rPr>
        <w:t>e concentration of MnO in melt to garnet saturation</w:t>
      </w:r>
      <w:r w:rsidRPr="003A6C5A">
        <w:rPr>
          <w:rFonts w:cs="Times New Roman"/>
        </w:rPr>
        <w:t xml:space="preserve">. Though Mn behaves compatibly in cordierite, muscovite, and biotite, Fe and Mg are so much </w:t>
      </w:r>
      <w:r>
        <w:rPr>
          <w:rFonts w:cs="Times New Roman"/>
        </w:rPr>
        <w:t>more compatible that the MnO content</w:t>
      </w:r>
      <w:r w:rsidRPr="003A6C5A">
        <w:rPr>
          <w:rFonts w:cs="Times New Roman"/>
        </w:rPr>
        <w:t xml:space="preserve"> of melt increases when biotite or even cordierite dominates the mafic miner</w:t>
      </w:r>
      <w:r>
        <w:rPr>
          <w:rFonts w:cs="Times New Roman"/>
        </w:rPr>
        <w:t>al assemblage. Granites that contain cordierite may never reach garnet saturation.</w:t>
      </w:r>
    </w:p>
    <w:p w:rsidR="00665C0F" w:rsidRPr="00431F29" w:rsidRDefault="00665C0F" w:rsidP="00665C0F">
      <w:pPr>
        <w:spacing w:after="120" w:line="480" w:lineRule="auto"/>
        <w:ind w:firstLine="720"/>
        <w:rPr>
          <w:rFonts w:cs="Times New Roman"/>
        </w:rPr>
      </w:pPr>
      <w:r w:rsidRPr="00A75005">
        <w:rPr>
          <w:rFonts w:cs="Times New Roman"/>
        </w:rPr>
        <w:t xml:space="preserve">This study </w:t>
      </w:r>
      <w:r>
        <w:rPr>
          <w:rFonts w:cs="Times New Roman"/>
        </w:rPr>
        <w:t>elucidates</w:t>
      </w:r>
      <w:r w:rsidRPr="00A75005">
        <w:rPr>
          <w:rFonts w:cs="Times New Roman"/>
        </w:rPr>
        <w:t xml:space="preserve"> part of the geochemical cycle of Mn in the continental crust</w:t>
      </w:r>
      <w:r>
        <w:rPr>
          <w:rFonts w:cs="Times New Roman"/>
        </w:rPr>
        <w:t>: the a</w:t>
      </w:r>
      <w:r w:rsidRPr="00A75005">
        <w:rPr>
          <w:rFonts w:cs="Times New Roman"/>
        </w:rPr>
        <w:t xml:space="preserve">ccommodation and enrichment </w:t>
      </w:r>
      <w:r>
        <w:rPr>
          <w:rFonts w:cs="Times New Roman"/>
        </w:rPr>
        <w:t xml:space="preserve">of Mn </w:t>
      </w:r>
      <w:r w:rsidRPr="00A75005">
        <w:rPr>
          <w:rFonts w:cs="Times New Roman"/>
        </w:rPr>
        <w:t>in granitic liquids from deep sources of anatexis to shallow levels of solidification</w:t>
      </w:r>
      <w:r>
        <w:rPr>
          <w:rFonts w:cs="Times New Roman"/>
        </w:rPr>
        <w:t xml:space="preserve"> and crystallization of spessartine-bearing granites and pegmatites</w:t>
      </w:r>
      <w:r w:rsidRPr="00A75005">
        <w:rPr>
          <w:rFonts w:cs="Times New Roman"/>
        </w:rPr>
        <w:t>.</w:t>
      </w:r>
      <w:r>
        <w:rPr>
          <w:rFonts w:cs="Times New Roman"/>
        </w:rPr>
        <w:t xml:space="preserve"> These results bear</w:t>
      </w:r>
      <w:r w:rsidRPr="00A75005">
        <w:rPr>
          <w:rFonts w:cs="Times New Roman"/>
        </w:rPr>
        <w:t xml:space="preserve"> directly on the formation of </w:t>
      </w:r>
      <w:r>
        <w:rPr>
          <w:rFonts w:cs="Times New Roman"/>
        </w:rPr>
        <w:t>highly-prized, g</w:t>
      </w:r>
      <w:r w:rsidRPr="00A75005">
        <w:rPr>
          <w:rFonts w:cs="Times New Roman"/>
        </w:rPr>
        <w:t>em-quality spessartine</w:t>
      </w:r>
      <w:r>
        <w:rPr>
          <w:rFonts w:cs="Times New Roman"/>
        </w:rPr>
        <w:t xml:space="preserve">, which </w:t>
      </w:r>
      <w:r w:rsidRPr="00A75005">
        <w:rPr>
          <w:rFonts w:cs="Times New Roman"/>
        </w:rPr>
        <w:t>is mine</w:t>
      </w:r>
      <w:r>
        <w:rPr>
          <w:rFonts w:cs="Times New Roman"/>
        </w:rPr>
        <w:t xml:space="preserve">d from granitic pegmatites </w:t>
      </w:r>
      <w:r>
        <w:rPr>
          <w:rFonts w:cs="Times New Roman"/>
        </w:rPr>
        <w:fldChar w:fldCharType="begin" w:fldLock="1"/>
      </w:r>
      <w:r w:rsidR="00266290">
        <w:rPr>
          <w:rFonts w:cs="Times New Roman"/>
        </w:rPr>
        <w:instrText>ADDIN CSL_CITATION { "citationItems" : [ { "id" : "ITEM-1", "itemData" : { "author" : [ { "dropping-particle" : "", "family" : "Laurs", "given" : "B.M.", "non-dropping-particle" : "", "parse-names" : false, "suffix" : "" }, { "dropping-particle" : "", "family" : "Knox", "given" : "K.", "non-dropping-particle" : "", "parse-names" : false, "suffix" : "" } ], "container-title" : "Gems &amp; Gemology", "id" : "ITEM-1", "issued" : { "date-parts" : [ [ "2001" ] ] }, "page" : "278-295", "title" : "Spessartine garnet from Ramona, San Diego County, California", "type" : "article-journal", "volume" : "37" }, "uris" : [ "http://www.mendeley.com/documents/?uuid=c10eb90e-4210-4260-ab5e-0afb58065833" ] } ], "mendeley" : { "formattedCitation" : "(Laurs and Knox, 2001)", "plainTextFormattedCitation" : "(Laurs and Knox, 2001)", "previouslyFormattedCitation" : "(Laurs and Knox 2001)" }, "properties" : { "noteIndex" : 0 }, "schema" : "https://github.com/citation-style-language/schema/raw/master/csl-citation.json" }</w:instrText>
      </w:r>
      <w:r>
        <w:rPr>
          <w:rFonts w:cs="Times New Roman"/>
        </w:rPr>
        <w:fldChar w:fldCharType="separate"/>
      </w:r>
      <w:r w:rsidR="00266290" w:rsidRPr="00266290">
        <w:rPr>
          <w:rFonts w:cs="Times New Roman"/>
          <w:noProof/>
        </w:rPr>
        <w:t>(Laurs and Knox, 2001)</w:t>
      </w:r>
      <w:r>
        <w:rPr>
          <w:rFonts w:cs="Times New Roman"/>
        </w:rPr>
        <w:fldChar w:fldCharType="end"/>
      </w:r>
      <w:r w:rsidRPr="00A75005">
        <w:rPr>
          <w:rFonts w:cs="Times New Roman"/>
        </w:rPr>
        <w:t>.</w:t>
      </w:r>
      <w:r>
        <w:rPr>
          <w:rFonts w:cs="Times New Roman"/>
        </w:rPr>
        <w:t xml:space="preserve"> The measured partition coefficients may also be pertinent to other types of </w:t>
      </w:r>
      <w:r w:rsidRPr="00431F29">
        <w:rPr>
          <w:rFonts w:cs="Times New Roman"/>
        </w:rPr>
        <w:t xml:space="preserve">Mn ores (e.g., </w:t>
      </w:r>
      <w:r w:rsidRPr="00431F29">
        <w:rPr>
          <w:rFonts w:cs="Times New Roman"/>
        </w:rPr>
        <w:fldChar w:fldCharType="begin" w:fldLock="1"/>
      </w:r>
      <w:r w:rsidR="00266290">
        <w:rPr>
          <w:rFonts w:cs="Times New Roman"/>
        </w:rPr>
        <w:instrText>ADDIN CSL_CITATION { "citationItems" : [ { "id" : "ITEM-1", "itemData" : { "author" : [ { "dropping-particle" : "", "family" : "Roy", "given" : "S.", "non-dropping-particle" : "", "parse-names" : false, "suffix" : "" } ], "edition" : "Special Pu", "editor" : [ { "dropping-particle" : "", "family" : "Nicholson", "given" : "Keith", "non-dropping-particle" : "", "parse-names" : false, "suffix" : "" }, { "dropping-particle" : "", "family" : "Hein", "given" : "James R.", "non-dropping-particle" : "", "parse-names" : false, "suffix" : "" }, { "dropping-particle" : "", "family" : "Buhn", "given" : "Bernhard", "non-dropping-particle" : "", "parse-names" : false, "suffix" : "" }, { "dropping-particle" : "", "family" : "Dasgupta", "given" : "Somnath", "non-dropping-particle" : "", "parse-names" : false, "suffix" : "" } ], "id" : "ITEM-1", "issued" : { "date-parts" : [ [ "1997" ] ] }, "number-of-pages" : "5-27", "publisher" : "Geological Society, London", "title" : "Genetic diversity of manganese deposition in the terrestrial geological record", "type" : "book" }, "uris" : [ "http://www.mendeley.com/documents/?uuid=7202f5fc-eb3b-43d5-9cfb-0dd72122c6ff" ] } ], "mendeley" : { "formattedCitation" : "(Roy, 1997)", "manualFormatting" : "Roy 1997)", "plainTextFormattedCitation" : "(Roy, 1997)", "previouslyFormattedCitation" : "(Roy 1997)" }, "properties" : { "noteIndex" : 0 }, "schema" : "https://github.com/citation-style-language/schema/raw/master/csl-citation.json" }</w:instrText>
      </w:r>
      <w:r w:rsidRPr="00431F29">
        <w:rPr>
          <w:rFonts w:cs="Times New Roman"/>
        </w:rPr>
        <w:fldChar w:fldCharType="separate"/>
      </w:r>
      <w:r w:rsidRPr="00431F29">
        <w:rPr>
          <w:rFonts w:cs="Times New Roman"/>
          <w:noProof/>
        </w:rPr>
        <w:t>Roy 1997)</w:t>
      </w:r>
      <w:r w:rsidRPr="00431F29">
        <w:rPr>
          <w:rFonts w:cs="Times New Roman"/>
        </w:rPr>
        <w:fldChar w:fldCharType="end"/>
      </w:r>
      <w:r w:rsidRPr="00431F29">
        <w:rPr>
          <w:rFonts w:cs="Times New Roman"/>
        </w:rPr>
        <w:t>.</w:t>
      </w:r>
    </w:p>
    <w:p w:rsidR="007E12D3" w:rsidRDefault="00665C0F" w:rsidP="00665C0F">
      <w:pPr>
        <w:spacing w:line="480" w:lineRule="auto"/>
        <w:rPr>
          <w:rFonts w:cs="Times New Roman"/>
        </w:rPr>
      </w:pPr>
      <w:r w:rsidRPr="00431F29">
        <w:rPr>
          <w:rFonts w:cs="Times New Roman"/>
        </w:rPr>
        <w:t>The model presented here indicates that</w:t>
      </w:r>
      <w:r>
        <w:rPr>
          <w:rFonts w:cs="Times New Roman"/>
        </w:rPr>
        <w:t xml:space="preserve"> extensive fractional crystallization (≥ 90%) of a starting anatectic melt is necessary to bring granitic liquids to saturation in spessartine at near-solidus conditions. Likewise, beryl (Be), tourmaline (B), spodumene (Li), and pollucite (Cs) achieve saturation in pegmatite-forming melts only after very extended fractional crystallization, and mostly at subsolidus temperatures of crystallization (i.e., in highly undercooled melt: </w:t>
      </w:r>
      <w:r>
        <w:rPr>
          <w:rFonts w:cs="Times New Roman"/>
        </w:rPr>
        <w:fldChar w:fldCharType="begin" w:fldLock="1"/>
      </w:r>
      <w:r w:rsidR="00266290">
        <w:rPr>
          <w:rFonts w:cs="Times New Roman"/>
        </w:rPr>
        <w:instrText>ADDIN CSL_CITATION { "citationItems" : [ { "id" : "ITEM-1", "itemData" : { "ISBN" : "978-0-921294-47-4", "author" : [ { "dropping-particle" : "", "family" : "London", "given" : "D.", "non-dropping-particle" : "", "parse-names" : false, "suffix" : "" } ], "container-title" : "Canadian Mineralogist", "id" : "ITEM-1", "issued" : { "date-parts" : [ [ "2008" ] ] }, "number-of-pages" : "347", "title" : "Pegmatites", "type" : "book", "volume" : "10" }, "uris" : [ "http://www.mendeley.com/documents/?uuid=2df88fb7-6317-4eed-a606-ad41cf6dbe95" ] } ], "mendeley" : { "formattedCitation" : "(London, 2008)", "manualFormatting" : "London 2008)", "plainTextFormattedCitation" : "(London, 2008)", "previouslyFormattedCitation" : "(London 2008)" }, "properties" : { "noteIndex" : 0 }, "schema" : "https://github.com/citation-style-language/schema/raw/master/csl-citation.json" }</w:instrText>
      </w:r>
      <w:r>
        <w:rPr>
          <w:rFonts w:cs="Times New Roman"/>
        </w:rPr>
        <w:fldChar w:fldCharType="separate"/>
      </w:r>
      <w:r w:rsidRPr="00F7111E">
        <w:rPr>
          <w:rFonts w:cs="Times New Roman"/>
          <w:noProof/>
        </w:rPr>
        <w:t>London 2008)</w:t>
      </w:r>
      <w:r>
        <w:rPr>
          <w:rFonts w:cs="Times New Roman"/>
        </w:rPr>
        <w:fldChar w:fldCharType="end"/>
      </w:r>
      <w:r>
        <w:rPr>
          <w:rFonts w:cs="Times New Roman"/>
        </w:rPr>
        <w:t xml:space="preserve">. This study adds one more piece of evidence to the paradigm for rare-element pegmatites: such bodies arise only from extended fractionated of large granitic bodies, and cannot arise directly from small batches of anatectic melts (cf. </w:t>
      </w:r>
      <w:r>
        <w:rPr>
          <w:rFonts w:cs="Times New Roman"/>
        </w:rPr>
        <w:fldChar w:fldCharType="begin" w:fldLock="1"/>
      </w:r>
      <w:r w:rsidR="00266290">
        <w:rPr>
          <w:rFonts w:cs="Times New Roman"/>
        </w:rPr>
        <w:instrText>ADDIN CSL_CITATION { "citationItems" : [ { "id" : "ITEM-1", "itemData" : { "author" : [ { "dropping-particle" : "", "family" : "Stewart", "given" : "D.B.", "non-dropping-particle" : "", "parse-names" : false, "suffix" : "" } ], "container-title" : "American Mineralogist", "id" : "ITEM-1", "issued" : { "date-parts" : [ [ "1978" ] ] }, "page" : "970-980", "title" : "Petrogenesis of lithium-rich pegmatites", "type" : "article-journal", "volume" : "63" }, "uris" : [ "http://www.mendeley.com/documents/?uuid=18793432-cb43-4360-ad7c-4419cd427109" ] }, { "id" : "ITEM-2", "itemData" : { "author" : [ { "dropping-particle" : "", "family" : "Simmons", "given" : "William B.", "non-dropping-particle" : "", "parse-names" : false, "suffix" : "" }, { "dropping-particle" : "", "family" : "Foord", "given" : "Eugene E.", "non-dropping-particle" : "", "parse-names" : false, "suffix" : "" }, { "dropping-particle" : "", "family" : "Falster", "given" : "Alexander U.", "non-dropping-particle" : "", "parse-names" : false, "suffix" : "" }, { "dropping-particle" : "", "family" : "King", "given" : "V.T.", "non-dropping-particle" : "", "parse-names" : false, "suffix" : "" } ], "container-title" : "Geological Society of America Abstracts with Programs", "id" : "ITEM-2", "issued" : { "date-parts" : [ [ "1996" ] ] }, "page" : "27:411", "title" : "Evidence for an anatectic origin of granitic pegmatites, western Maine, USA", "type" : "paper-conference" }, "uris" : [ "http://www.mendeley.com/documents/?uuid=db1b26f1-bf0c-4cf1-849f-ddb25333afb2" ] }, { "id" : "ITEM-3", "itemData" : { "author" : [ { "dropping-particle" : "", "family" : "Shearer", "given" : "Charles K", "non-dropping-particle" : "", "parse-names" : false, "suffix" : "" }, { "dropping-particle" : "", "family" : "Papike", "given" : "James J.", "non-dropping-particle" : "", "parse-names" : false, "suffix" : "" }, { "dropping-particle" : "", "family" : "Jolliff", "given" : "B.L.", "non-dropping-particle" : "", "parse-names" : false, "suffix" : "" } ], "container-title" : "Canadian Mineralogist", "id" : "ITEM-3", "issued" : { "date-parts" : [ [ "1992" ] ] }, "page" : "785-809", "title" : "Petrogenetic links among granites and pegmatites in the Harney Peak rare-element granite-pegmatite system, Black Hills, South Dakota", "type" : "article-journal", "volume" : "30" }, "uris" : [ "http://www.mendeley.com/documents/?uuid=659249aa-abf2-49ca-8a14-1b29e4eec5fe" ] } ], "mendeley" : { "formattedCitation" : "(Shearer et al., 1992; Simmons et al., 1996; Stewart, 1978)", "manualFormatting" : "Stewart 1978; Shearer et al. 1992; Simmons et al. 1996)", "plainTextFormattedCitation" : "(Shearer et al., 1992; Simmons et al., 1996; Stewart, 1978)", "previouslyFormattedCitation" : "(Stewart 1978; Shearer et al. 1992; Simmons et al. 1996)" }, "properties" : { "noteIndex" : 0 }, "schema" : "https://github.com/citation-style-language/schema/raw/master/csl-citation.json" }</w:instrText>
      </w:r>
      <w:r>
        <w:rPr>
          <w:rFonts w:cs="Times New Roman"/>
        </w:rPr>
        <w:fldChar w:fldCharType="separate"/>
      </w:r>
      <w:r w:rsidRPr="00E975C1">
        <w:rPr>
          <w:rFonts w:cs="Times New Roman"/>
          <w:noProof/>
        </w:rPr>
        <w:t>Stewart 1978; Shearer et al. 1992; Simmons et al. 1996)</w:t>
      </w:r>
      <w:r>
        <w:rPr>
          <w:rFonts w:cs="Times New Roman"/>
        </w:rPr>
        <w:fldChar w:fldCharType="end"/>
      </w:r>
      <w:r>
        <w:rPr>
          <w:rFonts w:cs="Times New Roman"/>
        </w:rPr>
        <w:t>.</w:t>
      </w:r>
    </w:p>
    <w:p w:rsidR="004E1D03" w:rsidRDefault="004E1D03" w:rsidP="00665C0F">
      <w:pPr>
        <w:spacing w:line="480" w:lineRule="auto"/>
        <w:rPr>
          <w:rFonts w:cs="Times New Roman"/>
        </w:rPr>
      </w:pPr>
    </w:p>
    <w:p w:rsidR="004E1D03" w:rsidRDefault="004E1D03" w:rsidP="004E1D03">
      <w:r>
        <w:br w:type="page"/>
      </w:r>
    </w:p>
    <w:p w:rsidR="000A76D7" w:rsidRDefault="000A76D7" w:rsidP="000A76D7">
      <w:pPr>
        <w:keepNext/>
        <w:spacing w:line="480" w:lineRule="auto"/>
      </w:pPr>
      <w:r>
        <w:rPr>
          <w:rFonts w:cs="Times New Roman"/>
          <w:noProof/>
        </w:rPr>
        <w:drawing>
          <wp:inline distT="0" distB="0" distL="0" distR="0">
            <wp:extent cx="5394557" cy="54165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ig 1.tif"/>
                    <pic:cNvPicPr/>
                  </pic:nvPicPr>
                  <pic:blipFill rotWithShape="1">
                    <a:blip r:embed="rId73">
                      <a:extLst>
                        <a:ext uri="{28A0092B-C50C-407E-A947-70E740481C1C}">
                          <a14:useLocalDpi xmlns:a14="http://schemas.microsoft.com/office/drawing/2010/main" val="0"/>
                        </a:ext>
                      </a:extLst>
                    </a:blip>
                    <a:srcRect b="22412"/>
                    <a:stretch/>
                  </pic:blipFill>
                  <pic:spPr bwMode="auto">
                    <a:xfrm>
                      <a:off x="0" y="0"/>
                      <a:ext cx="5394960" cy="5416955"/>
                    </a:xfrm>
                    <a:prstGeom prst="rect">
                      <a:avLst/>
                    </a:prstGeom>
                    <a:ln>
                      <a:noFill/>
                    </a:ln>
                    <a:extLst>
                      <a:ext uri="{53640926-AAD7-44D8-BBD7-CCE9431645EC}">
                        <a14:shadowObscured xmlns:a14="http://schemas.microsoft.com/office/drawing/2010/main"/>
                      </a:ext>
                    </a:extLst>
                  </pic:spPr>
                </pic:pic>
              </a:graphicData>
            </a:graphic>
          </wp:inline>
        </w:drawing>
      </w:r>
    </w:p>
    <w:p w:rsidR="004E1D03" w:rsidRPr="000A76D7" w:rsidRDefault="000A76D7" w:rsidP="000A76D7">
      <w:pPr>
        <w:pStyle w:val="Caption"/>
        <w:rPr>
          <w:rFonts w:cs="Times New Roman"/>
          <w:i w:val="0"/>
          <w:sz w:val="24"/>
          <w:szCs w:val="24"/>
        </w:rPr>
      </w:pPr>
      <w:bookmarkStart w:id="182" w:name="_Toc490130656"/>
      <w:r w:rsidRPr="000A76D7">
        <w:rPr>
          <w:b/>
          <w:sz w:val="24"/>
          <w:szCs w:val="24"/>
        </w:rPr>
        <w:t xml:space="preserve">Figure </w:t>
      </w:r>
      <w:r w:rsidR="005D1BDD">
        <w:rPr>
          <w:b/>
          <w:sz w:val="24"/>
          <w:szCs w:val="24"/>
        </w:rPr>
        <w:fldChar w:fldCharType="begin"/>
      </w:r>
      <w:r w:rsidR="005D1BDD">
        <w:rPr>
          <w:b/>
          <w:sz w:val="24"/>
          <w:szCs w:val="24"/>
        </w:rPr>
        <w:instrText xml:space="preserve"> STYLEREF 1 \s </w:instrText>
      </w:r>
      <w:r w:rsidR="005D1BDD">
        <w:rPr>
          <w:b/>
          <w:sz w:val="24"/>
          <w:szCs w:val="24"/>
        </w:rPr>
        <w:fldChar w:fldCharType="separate"/>
      </w:r>
      <w:r w:rsidR="000C5FC3">
        <w:rPr>
          <w:b/>
          <w:noProof/>
          <w:sz w:val="24"/>
          <w:szCs w:val="24"/>
        </w:rPr>
        <w:t>5</w:t>
      </w:r>
      <w:r w:rsidR="005D1BDD">
        <w:rPr>
          <w:b/>
          <w:sz w:val="24"/>
          <w:szCs w:val="24"/>
        </w:rPr>
        <w:fldChar w:fldCharType="end"/>
      </w:r>
      <w:r w:rsidR="005D1BDD">
        <w:rPr>
          <w:b/>
          <w:sz w:val="24"/>
          <w:szCs w:val="24"/>
        </w:rPr>
        <w:noBreakHyphen/>
      </w:r>
      <w:r w:rsidR="005D1BDD">
        <w:rPr>
          <w:b/>
          <w:sz w:val="24"/>
          <w:szCs w:val="24"/>
        </w:rPr>
        <w:fldChar w:fldCharType="begin"/>
      </w:r>
      <w:r w:rsidR="005D1BDD">
        <w:rPr>
          <w:b/>
          <w:sz w:val="24"/>
          <w:szCs w:val="24"/>
        </w:rPr>
        <w:instrText xml:space="preserve"> SEQ Figure \* ARABIC \s 1 </w:instrText>
      </w:r>
      <w:r w:rsidR="005D1BDD">
        <w:rPr>
          <w:b/>
          <w:sz w:val="24"/>
          <w:szCs w:val="24"/>
        </w:rPr>
        <w:fldChar w:fldCharType="separate"/>
      </w:r>
      <w:r w:rsidR="000C5FC3">
        <w:rPr>
          <w:b/>
          <w:noProof/>
          <w:sz w:val="24"/>
          <w:szCs w:val="24"/>
        </w:rPr>
        <w:t>1</w:t>
      </w:r>
      <w:r w:rsidR="005D1BDD">
        <w:rPr>
          <w:b/>
          <w:sz w:val="24"/>
          <w:szCs w:val="24"/>
        </w:rPr>
        <w:fldChar w:fldCharType="end"/>
      </w:r>
      <w:r w:rsidRPr="000A76D7">
        <w:rPr>
          <w:rFonts w:cs="Times New Roman"/>
          <w:i w:val="0"/>
          <w:sz w:val="24"/>
          <w:szCs w:val="24"/>
        </w:rPr>
        <w:t xml:space="preserve"> Back-scattered electron images (BSEI) of experimental run products. Grt garnet, Tur tourmaline, Crd cordierite, Qtz quartz, Gl glass. (A) Glass run product (Exp#: MnGT-80, 850°C). Experiments represented in (B) through (F), (H), and (I) were heated to 800°C or 850°C (pre-conditioning step) prior to quenching and ‘forward’ direction to crystallization temperature or ‘reverse’ direction from the pre-conditioning step. (B) Grt and Tur growth (Exp#: MnGT-49, ‘forward’ to 700°C). (C) Grt and Tur growth (Exp#: MnGT-56, ‘reverse’ to 700°C). (D) Grt, Tur, and Qtz growth (Exp#: MnGT-57, ‘forward’ to 600°C). (E) Grt and Tur growth (Exp#: MnGT-58, ‘reverse’ to 600°C). (F) Euhedral Grt and Tur crystals dissolved out of glass using hydrofluoric acid (Exp#: MnGT-56). (G) Crd growth (Exp#: GBT-90, 850°C). (H) Crd and qtz growth (Exp#: GBT-102, ‘forward’ to 700°C). (I) Crd, Tur, and Qtz growth (Exp#: GBT-103, ‘forward’ to 650°C).</w:t>
      </w:r>
      <w:bookmarkEnd w:id="182"/>
    </w:p>
    <w:p w:rsidR="004E1D03" w:rsidRDefault="004E1D03" w:rsidP="004E1D03">
      <w:r>
        <w:br w:type="page"/>
      </w:r>
    </w:p>
    <w:p w:rsidR="004E1D03" w:rsidRDefault="000A76D7" w:rsidP="00665C0F">
      <w:pPr>
        <w:spacing w:line="480" w:lineRule="auto"/>
        <w:rPr>
          <w:rFonts w:cs="Times New Roman"/>
        </w:rPr>
      </w:pPr>
      <w:r>
        <w:rPr>
          <w:noProof/>
        </w:rPr>
        <mc:AlternateContent>
          <mc:Choice Requires="wps">
            <w:drawing>
              <wp:anchor distT="0" distB="0" distL="114300" distR="114300" simplePos="0" relativeHeight="251735040" behindDoc="0" locked="0" layoutInCell="1" allowOverlap="1" wp14:anchorId="1A86DB0C" wp14:editId="428E0CD0">
                <wp:simplePos x="0" y="0"/>
                <wp:positionH relativeFrom="column">
                  <wp:posOffset>0</wp:posOffset>
                </wp:positionH>
                <wp:positionV relativeFrom="paragraph">
                  <wp:posOffset>4629150</wp:posOffset>
                </wp:positionV>
                <wp:extent cx="5394960" cy="635"/>
                <wp:effectExtent l="0" t="0" r="0" b="0"/>
                <wp:wrapSquare wrapText="bothSides"/>
                <wp:docPr id="32" name="Text Box 32"/>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rsidR="006D3B9B" w:rsidRPr="000A76D7" w:rsidRDefault="006D3B9B" w:rsidP="000A76D7">
                            <w:pPr>
                              <w:pStyle w:val="Caption"/>
                              <w:rPr>
                                <w:rFonts w:cs="Times New Roman"/>
                                <w:i w:val="0"/>
                                <w:noProof/>
                                <w:sz w:val="24"/>
                                <w:szCs w:val="24"/>
                              </w:rPr>
                            </w:pPr>
                            <w:bookmarkStart w:id="183" w:name="_Toc490130657"/>
                            <w:r w:rsidRPr="000A76D7">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5</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2</w:t>
                            </w:r>
                            <w:r>
                              <w:rPr>
                                <w:b/>
                                <w:sz w:val="24"/>
                                <w:szCs w:val="24"/>
                              </w:rPr>
                              <w:fldChar w:fldCharType="end"/>
                            </w:r>
                            <w:r w:rsidRPr="000A76D7">
                              <w:rPr>
                                <w:rFonts w:cs="Times New Roman"/>
                                <w:i w:val="0"/>
                                <w:sz w:val="24"/>
                                <w:szCs w:val="24"/>
                              </w:rPr>
                              <w:t xml:space="preserve"> Ternary diagram of end-member garnet components produced in experiments. Sps spessartine, Alm almandine, Prp pyrope. Solid circles represent data from experiments that produced cordierite with garnet. Open circles represent data from experiments that produced tourmaline with garnet. Note a general linear trend perpendicular to the almandine-pyrope binary at Alm</w:t>
                            </w:r>
                            <w:r w:rsidRPr="000A76D7">
                              <w:rPr>
                                <w:rFonts w:cs="Times New Roman"/>
                                <w:i w:val="0"/>
                                <w:sz w:val="24"/>
                                <w:szCs w:val="24"/>
                                <w:vertAlign w:val="subscript"/>
                              </w:rPr>
                              <w:t>50</w:t>
                            </w:r>
                            <w:r w:rsidRPr="000A76D7">
                              <w:rPr>
                                <w:rFonts w:cs="Times New Roman"/>
                                <w:i w:val="0"/>
                                <w:sz w:val="24"/>
                                <w:szCs w:val="24"/>
                              </w:rPr>
                              <w:t>Prp</w:t>
                            </w:r>
                            <w:r w:rsidRPr="000A76D7">
                              <w:rPr>
                                <w:rFonts w:cs="Times New Roman"/>
                                <w:i w:val="0"/>
                                <w:sz w:val="24"/>
                                <w:szCs w:val="24"/>
                                <w:vertAlign w:val="subscript"/>
                              </w:rPr>
                              <w:t>50</w:t>
                            </w:r>
                            <w:r w:rsidRPr="000A76D7">
                              <w:rPr>
                                <w:rFonts w:cs="Times New Roman"/>
                                <w:i w:val="0"/>
                                <w:sz w:val="24"/>
                                <w:szCs w:val="24"/>
                              </w:rPr>
                              <w:t>. Garnet compositions become more Mn-rich (move toward the Sps apex) with decreasing temperature.</w:t>
                            </w:r>
                            <w:bookmarkEnd w:id="18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A86DB0C" id="Text Box 32" o:spid="_x0000_s1059" type="#_x0000_t202" style="position:absolute;margin-left:0;margin-top:364.5pt;width:424.8pt;height:.05pt;z-index:25173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" stroked="f">
                <v:textbox style="mso-fit-shape-to-text:t" inset="0,0,0,0">
                  <w:txbxContent>
                    <w:p w:rsidR="006D3B9B" w:rsidRPr="000A76D7" w:rsidRDefault="006D3B9B" w:rsidP="000A76D7">
                      <w:pPr>
                        <w:pStyle w:val="Caption"/>
                        <w:rPr>
                          <w:rFonts w:cs="Times New Roman"/>
                          <w:i w:val="0"/>
                          <w:noProof/>
                          <w:sz w:val="24"/>
                          <w:szCs w:val="24"/>
                        </w:rPr>
                      </w:pPr>
                      <w:bookmarkStart w:id="184" w:name="_Toc490130657"/>
                      <w:r w:rsidRPr="000A76D7">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5</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2</w:t>
                      </w:r>
                      <w:r>
                        <w:rPr>
                          <w:b/>
                          <w:sz w:val="24"/>
                          <w:szCs w:val="24"/>
                        </w:rPr>
                        <w:fldChar w:fldCharType="end"/>
                      </w:r>
                      <w:r w:rsidRPr="000A76D7">
                        <w:rPr>
                          <w:rFonts w:cs="Times New Roman"/>
                          <w:i w:val="0"/>
                          <w:sz w:val="24"/>
                          <w:szCs w:val="24"/>
                        </w:rPr>
                        <w:t xml:space="preserve"> Ternary diagram of end-member garnet components produced in experiments. Sps spessartine, Alm almandine, Prp pyrope. Solid circles represent data from experiments that produced cordierite with garnet. Open circles represent data from experiments that produced tourmaline with garnet. Note a general linear trend perpendicular to the almandine-pyrope binary at Alm</w:t>
                      </w:r>
                      <w:r w:rsidRPr="000A76D7">
                        <w:rPr>
                          <w:rFonts w:cs="Times New Roman"/>
                          <w:i w:val="0"/>
                          <w:sz w:val="24"/>
                          <w:szCs w:val="24"/>
                          <w:vertAlign w:val="subscript"/>
                        </w:rPr>
                        <w:t>50</w:t>
                      </w:r>
                      <w:r w:rsidRPr="000A76D7">
                        <w:rPr>
                          <w:rFonts w:cs="Times New Roman"/>
                          <w:i w:val="0"/>
                          <w:sz w:val="24"/>
                          <w:szCs w:val="24"/>
                        </w:rPr>
                        <w:t>Prp</w:t>
                      </w:r>
                      <w:r w:rsidRPr="000A76D7">
                        <w:rPr>
                          <w:rFonts w:cs="Times New Roman"/>
                          <w:i w:val="0"/>
                          <w:sz w:val="24"/>
                          <w:szCs w:val="24"/>
                          <w:vertAlign w:val="subscript"/>
                        </w:rPr>
                        <w:t>50</w:t>
                      </w:r>
                      <w:r w:rsidRPr="000A76D7">
                        <w:rPr>
                          <w:rFonts w:cs="Times New Roman"/>
                          <w:i w:val="0"/>
                          <w:sz w:val="24"/>
                          <w:szCs w:val="24"/>
                        </w:rPr>
                        <w:t>. Garnet compositions become more Mn-rich (move toward the Sps apex) with decreasing temperature.</w:t>
                      </w:r>
                      <w:bookmarkEnd w:id="184"/>
                    </w:p>
                  </w:txbxContent>
                </v:textbox>
                <w10:wrap type="square"/>
              </v:shape>
            </w:pict>
          </mc:Fallback>
        </mc:AlternateContent>
      </w:r>
      <w:r>
        <w:rPr>
          <w:rFonts w:cs="Times New Roman"/>
          <w:noProof/>
        </w:rPr>
        <w:drawing>
          <wp:anchor distT="0" distB="0" distL="114300" distR="114300" simplePos="0" relativeHeight="251732992" behindDoc="0" locked="0" layoutInCell="1" allowOverlap="1">
            <wp:simplePos x="1460500" y="914400"/>
            <wp:positionH relativeFrom="margin">
              <wp:align>center</wp:align>
            </wp:positionH>
            <wp:positionV relativeFrom="margin">
              <wp:align>top</wp:align>
            </wp:positionV>
            <wp:extent cx="5394960" cy="4572000"/>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ig 2.tif"/>
                    <pic:cNvPicPr/>
                  </pic:nvPicPr>
                  <pic:blipFill rotWithShape="1">
                    <a:blip r:embed="rId74" cstate="print">
                      <a:extLst>
                        <a:ext uri="{28A0092B-C50C-407E-A947-70E740481C1C}">
                          <a14:useLocalDpi xmlns:a14="http://schemas.microsoft.com/office/drawing/2010/main" val="0"/>
                        </a:ext>
                      </a:extLst>
                    </a:blip>
                    <a:srcRect t="21247" b="13375"/>
                    <a:stretch/>
                  </pic:blipFill>
                  <pic:spPr bwMode="auto">
                    <a:xfrm>
                      <a:off x="0" y="0"/>
                      <a:ext cx="5394960" cy="4572000"/>
                    </a:xfrm>
                    <a:prstGeom prst="rect">
                      <a:avLst/>
                    </a:prstGeom>
                    <a:ln>
                      <a:noFill/>
                    </a:ln>
                    <a:extLst>
                      <a:ext uri="{53640926-AAD7-44D8-BBD7-CCE9431645EC}">
                        <a14:shadowObscured xmlns:a14="http://schemas.microsoft.com/office/drawing/2010/main"/>
                      </a:ext>
                    </a:extLst>
                  </pic:spPr>
                </pic:pic>
              </a:graphicData>
            </a:graphic>
          </wp:anchor>
        </w:drawing>
      </w:r>
    </w:p>
    <w:p w:rsidR="004E1D03" w:rsidRDefault="004E1D03" w:rsidP="004E1D03">
      <w:r>
        <w:br w:type="page"/>
      </w:r>
    </w:p>
    <w:p w:rsidR="004E1D03" w:rsidRDefault="00316912" w:rsidP="00665C0F">
      <w:pPr>
        <w:spacing w:line="480" w:lineRule="auto"/>
        <w:rPr>
          <w:rFonts w:cs="Times New Roman"/>
        </w:rPr>
      </w:pPr>
      <w:r>
        <w:rPr>
          <w:noProof/>
        </w:rPr>
        <mc:AlternateContent>
          <mc:Choice Requires="wps">
            <w:drawing>
              <wp:anchor distT="0" distB="0" distL="114300" distR="114300" simplePos="0" relativeHeight="251738112" behindDoc="0" locked="0" layoutInCell="1" allowOverlap="1" wp14:anchorId="201F1D58" wp14:editId="64B56CE4">
                <wp:simplePos x="0" y="0"/>
                <wp:positionH relativeFrom="column">
                  <wp:posOffset>0</wp:posOffset>
                </wp:positionH>
                <wp:positionV relativeFrom="paragraph">
                  <wp:posOffset>4225925</wp:posOffset>
                </wp:positionV>
                <wp:extent cx="5394960" cy="635"/>
                <wp:effectExtent l="0" t="0" r="0" b="0"/>
                <wp:wrapSquare wrapText="bothSides"/>
                <wp:docPr id="52" name="Text Box 52"/>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rsidR="006D3B9B" w:rsidRPr="00316912" w:rsidRDefault="006D3B9B" w:rsidP="00316912">
                            <w:pPr>
                              <w:pStyle w:val="Caption"/>
                              <w:rPr>
                                <w:rFonts w:cs="Times New Roman"/>
                                <w:i w:val="0"/>
                                <w:noProof/>
                                <w:sz w:val="24"/>
                                <w:szCs w:val="24"/>
                              </w:rPr>
                            </w:pPr>
                            <w:bookmarkStart w:id="185" w:name="_Toc490130658"/>
                            <w:r w:rsidRPr="00316912">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5</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3</w:t>
                            </w:r>
                            <w:r>
                              <w:rPr>
                                <w:b/>
                                <w:sz w:val="24"/>
                                <w:szCs w:val="24"/>
                              </w:rPr>
                              <w:fldChar w:fldCharType="end"/>
                            </w:r>
                            <w:r w:rsidRPr="00316912">
                              <w:rPr>
                                <w:rFonts w:cs="Times New Roman"/>
                                <w:i w:val="0"/>
                                <w:sz w:val="24"/>
                                <w:szCs w:val="24"/>
                              </w:rPr>
                              <w:t xml:space="preserve"> Compositions of cordierites produced in experiments. Mn content increases with decreasing temperature. Note at Mg</w:t>
                            </w:r>
                            <w:r w:rsidRPr="00316912">
                              <w:rPr>
                                <w:rFonts w:cs="Times New Roman"/>
                                <w:i w:val="0"/>
                                <w:sz w:val="24"/>
                                <w:szCs w:val="24"/>
                                <w:vertAlign w:val="superscript"/>
                              </w:rPr>
                              <w:t>#</w:t>
                            </w:r>
                            <w:r w:rsidRPr="00316912">
                              <w:rPr>
                                <w:rFonts w:cs="Times New Roman"/>
                                <w:i w:val="0"/>
                                <w:sz w:val="24"/>
                                <w:szCs w:val="24"/>
                              </w:rPr>
                              <w:t>=0, Mn≈Fe and Mn+Fe≈2 (a full M-site).</w:t>
                            </w:r>
                            <w:bookmarkEnd w:id="18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01F1D58" id="Text Box 52" o:spid="_x0000_s1060" type="#_x0000_t202" style="position:absolute;margin-left:0;margin-top:332.75pt;width:424.8pt;height:.05pt;z-index:25173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" stroked="f">
                <v:textbox style="mso-fit-shape-to-text:t" inset="0,0,0,0">
                  <w:txbxContent>
                    <w:p w:rsidR="006D3B9B" w:rsidRPr="00316912" w:rsidRDefault="006D3B9B" w:rsidP="00316912">
                      <w:pPr>
                        <w:pStyle w:val="Caption"/>
                        <w:rPr>
                          <w:rFonts w:cs="Times New Roman"/>
                          <w:i w:val="0"/>
                          <w:noProof/>
                          <w:sz w:val="24"/>
                          <w:szCs w:val="24"/>
                        </w:rPr>
                      </w:pPr>
                      <w:bookmarkStart w:id="186" w:name="_Toc490130658"/>
                      <w:r w:rsidRPr="00316912">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5</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3</w:t>
                      </w:r>
                      <w:r>
                        <w:rPr>
                          <w:b/>
                          <w:sz w:val="24"/>
                          <w:szCs w:val="24"/>
                        </w:rPr>
                        <w:fldChar w:fldCharType="end"/>
                      </w:r>
                      <w:r w:rsidRPr="00316912">
                        <w:rPr>
                          <w:rFonts w:cs="Times New Roman"/>
                          <w:i w:val="0"/>
                          <w:sz w:val="24"/>
                          <w:szCs w:val="24"/>
                        </w:rPr>
                        <w:t xml:space="preserve"> Compositions of cordierites produced in experiments. Mn content increases with decreasing temperature. Note at Mg</w:t>
                      </w:r>
                      <w:r w:rsidRPr="00316912">
                        <w:rPr>
                          <w:rFonts w:cs="Times New Roman"/>
                          <w:i w:val="0"/>
                          <w:sz w:val="24"/>
                          <w:szCs w:val="24"/>
                          <w:vertAlign w:val="superscript"/>
                        </w:rPr>
                        <w:t>#</w:t>
                      </w:r>
                      <w:r w:rsidRPr="00316912">
                        <w:rPr>
                          <w:rFonts w:cs="Times New Roman"/>
                          <w:i w:val="0"/>
                          <w:sz w:val="24"/>
                          <w:szCs w:val="24"/>
                        </w:rPr>
                        <w:t>=0, Mn≈Fe and Mn+Fe≈2 (a full M-site).</w:t>
                      </w:r>
                      <w:bookmarkEnd w:id="186"/>
                    </w:p>
                  </w:txbxContent>
                </v:textbox>
                <w10:wrap type="square"/>
              </v:shape>
            </w:pict>
          </mc:Fallback>
        </mc:AlternateContent>
      </w:r>
      <w:r>
        <w:rPr>
          <w:rFonts w:cs="Times New Roman"/>
          <w:noProof/>
        </w:rPr>
        <w:drawing>
          <wp:anchor distT="0" distB="0" distL="114300" distR="114300" simplePos="0" relativeHeight="251736064" behindDoc="0" locked="0" layoutInCell="1" allowOverlap="1">
            <wp:simplePos x="1466850" y="914400"/>
            <wp:positionH relativeFrom="margin">
              <wp:align>center</wp:align>
            </wp:positionH>
            <wp:positionV relativeFrom="margin">
              <wp:align>top</wp:align>
            </wp:positionV>
            <wp:extent cx="5394960" cy="4168775"/>
            <wp:effectExtent l="0" t="0" r="0" b="3175"/>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Fig 3.tif"/>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394960" cy="4168775"/>
                    </a:xfrm>
                    <a:prstGeom prst="rect">
                      <a:avLst/>
                    </a:prstGeom>
                  </pic:spPr>
                </pic:pic>
              </a:graphicData>
            </a:graphic>
          </wp:anchor>
        </w:drawing>
      </w:r>
    </w:p>
    <w:p w:rsidR="004E1D03" w:rsidRDefault="004E1D03" w:rsidP="004E1D03">
      <w:r>
        <w:br w:type="page"/>
      </w:r>
    </w:p>
    <w:p w:rsidR="00316912" w:rsidRDefault="00316912" w:rsidP="00316912">
      <w:pPr>
        <w:keepNext/>
        <w:spacing w:line="480" w:lineRule="auto"/>
      </w:pPr>
      <w:r>
        <w:rPr>
          <w:rFonts w:cs="Times New Roman"/>
          <w:noProof/>
        </w:rPr>
        <w:drawing>
          <wp:inline distT="0" distB="0" distL="0" distR="0">
            <wp:extent cx="2697480" cy="2084388"/>
            <wp:effectExtent l="0" t="0" r="762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Fig 4c.tif"/>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697480" cy="2084388"/>
                    </a:xfrm>
                    <a:prstGeom prst="rect">
                      <a:avLst/>
                    </a:prstGeom>
                  </pic:spPr>
                </pic:pic>
              </a:graphicData>
            </a:graphic>
          </wp:inline>
        </w:drawing>
      </w:r>
    </w:p>
    <w:p w:rsidR="00316912" w:rsidRPr="00316912" w:rsidRDefault="00316912" w:rsidP="00316912">
      <w:pPr>
        <w:pStyle w:val="Caption"/>
        <w:rPr>
          <w:i w:val="0"/>
          <w:sz w:val="20"/>
          <w:szCs w:val="20"/>
        </w:rPr>
      </w:pPr>
      <w:bookmarkStart w:id="187" w:name="_Toc490130659"/>
      <w:r w:rsidRPr="00316912">
        <w:rPr>
          <w:b/>
          <w:sz w:val="20"/>
          <w:szCs w:val="20"/>
        </w:rPr>
        <w:t xml:space="preserve">Figure </w:t>
      </w:r>
      <w:r w:rsidR="005D1BDD">
        <w:rPr>
          <w:b/>
          <w:sz w:val="20"/>
          <w:szCs w:val="20"/>
        </w:rPr>
        <w:fldChar w:fldCharType="begin"/>
      </w:r>
      <w:r w:rsidR="005D1BDD">
        <w:rPr>
          <w:b/>
          <w:sz w:val="20"/>
          <w:szCs w:val="20"/>
        </w:rPr>
        <w:instrText xml:space="preserve"> STYLEREF 1 \s </w:instrText>
      </w:r>
      <w:r w:rsidR="005D1BDD">
        <w:rPr>
          <w:b/>
          <w:sz w:val="20"/>
          <w:szCs w:val="20"/>
        </w:rPr>
        <w:fldChar w:fldCharType="separate"/>
      </w:r>
      <w:r w:rsidR="000C5FC3">
        <w:rPr>
          <w:b/>
          <w:noProof/>
          <w:sz w:val="20"/>
          <w:szCs w:val="20"/>
        </w:rPr>
        <w:t>5</w:t>
      </w:r>
      <w:r w:rsidR="005D1BDD">
        <w:rPr>
          <w:b/>
          <w:sz w:val="20"/>
          <w:szCs w:val="20"/>
        </w:rPr>
        <w:fldChar w:fldCharType="end"/>
      </w:r>
      <w:r w:rsidR="005D1BDD">
        <w:rPr>
          <w:b/>
          <w:sz w:val="20"/>
          <w:szCs w:val="20"/>
        </w:rPr>
        <w:noBreakHyphen/>
      </w:r>
      <w:r w:rsidR="005D1BDD">
        <w:rPr>
          <w:b/>
          <w:sz w:val="20"/>
          <w:szCs w:val="20"/>
        </w:rPr>
        <w:fldChar w:fldCharType="begin"/>
      </w:r>
      <w:r w:rsidR="005D1BDD">
        <w:rPr>
          <w:b/>
          <w:sz w:val="20"/>
          <w:szCs w:val="20"/>
        </w:rPr>
        <w:instrText xml:space="preserve"> SEQ Figure \* ARABIC \s 1 </w:instrText>
      </w:r>
      <w:r w:rsidR="005D1BDD">
        <w:rPr>
          <w:b/>
          <w:sz w:val="20"/>
          <w:szCs w:val="20"/>
        </w:rPr>
        <w:fldChar w:fldCharType="separate"/>
      </w:r>
      <w:r w:rsidR="000C5FC3">
        <w:rPr>
          <w:b/>
          <w:noProof/>
          <w:sz w:val="20"/>
          <w:szCs w:val="20"/>
        </w:rPr>
        <w:t>4</w:t>
      </w:r>
      <w:r w:rsidR="005D1BDD">
        <w:rPr>
          <w:b/>
          <w:sz w:val="20"/>
          <w:szCs w:val="20"/>
        </w:rPr>
        <w:fldChar w:fldCharType="end"/>
      </w:r>
      <w:r w:rsidRPr="00316912">
        <w:rPr>
          <w:rFonts w:cs="Times New Roman"/>
          <w:i w:val="0"/>
          <w:sz w:val="20"/>
          <w:szCs w:val="20"/>
        </w:rPr>
        <w:t xml:space="preserve"> (a) Solubility of FeO in melt at garnet and tourmaline (MnGT-BC-4.1: solid squares). Open circles and open diamonds are data from Wolf and London (1997) for tourmaline growth and dissolution, respectively, from/into granitic melt. Open squares are from </w:t>
      </w:r>
      <w:r w:rsidRPr="00316912">
        <w:rPr>
          <w:rFonts w:cs="Times New Roman"/>
          <w:i w:val="0"/>
          <w:sz w:val="20"/>
          <w:szCs w:val="20"/>
        </w:rPr>
        <w:fldChar w:fldCharType="begin" w:fldLock="1"/>
      </w:r>
      <w:r w:rsidR="00266290">
        <w:rPr>
          <w:rFonts w:cs="Times New Roman"/>
          <w:i w:val="0"/>
          <w:sz w:val="20"/>
          <w:szCs w:val="20"/>
        </w:rPr>
        <w:instrText>ADDIN CSL_CITATION { "citationItems" : [ { "id" : "ITEM-1", "itemData" : { "DOI" : "10.1007/s00410-003-0486-6", "ISBN" : "0041000304866", "ISSN" : "00107999", "abstract" : "We have studied the controls on the Aluminum Saturation Index (ASI = molec. Al2O3/[(CaO)+(Na2O)+(K2O)]) and the concentration of normative corundum of granitic liquids saturated in alumina by equilibrating peraluminous minerals with initially metaluminous haplogranitic minimum composition liquids at 700-800 degreesC and 200 MPa, at, and below H2O saturation. The ASI and normative corundum increase with increasing H2O concentration in the melt (approximate to0.04 to 0.10 moles excess Al2O3 per mole of H2O), temperature, and with addition of the non-haplogranitic components Fe, Mg, and B. The ASI parameter and concentration of normative corundum cannot be used to monitor aAl(2)O(3) between different mineral assemblages and melt because other components that affect the solubility of alumina, including H2O, Fe, Mg, and B, do not appear in their formulations. ASI and normative corundum, however, provide petrogenetic information about magmas generated by partial melting of strongly peraluminous protoliths by virtue of their regular and predictable variation with melt composition (e.g., H2O concentration) and temperature. For the application of these data to natural rocks it is necessary to choose as an analogue system the ASI-solubility or normative corundum-solubility relations of the most chemically complex peraluminous mineral present in the rock. Comparison of ASI values of anatectic leucosomes and allochthonous leucogranites with experimentally predicted values suggests low H2O concentrations in melt during crustal partial melting. Rapid melt segregation before equilibration with restitic peraluminous phases is also suggested in some cases.", "author" : [ { "dropping-particle" : "", "family" : "Acosta-Vigil", "given" : "Antonio", "non-dropping-particle" : "", "parse-names" : false, "suffix" : "" }, { "dropping-particle" : "", "family" : "London", "given" : "David", "non-dropping-particle" : "", "parse-names" : false, "suffix" : "" }, { "dropping-particle" : "", "family" : "Morgan IV", "given" : "George B.", "non-dropping-particle" : "", "parse-names" : false, "suffix" : "" }, { "dropping-particle" : "", "family" : "Dewers", "given" : "Thomas A.", "non-dropping-particle" : "", "parse-names" : false, "suffix" : "" } ], "container-title" : "Contributions to Mineralogy and Petrology", "id" : "ITEM-1", "issue" : "1", "issued" : { "date-parts" : [ [ "2003" ] ] }, "page" : "100-119", "title" : "Solubility of excess alumina in hydrous granitic melts in equilibrium with peraluminous minerals at 700-800 \u00b0C and 200 MPa, and applications of the aluminum saturation index", "type" : "article-journal", "volume" : "146" }, "uris" : [ "http://www.mendeley.com/documents/?uuid=cd3b82ff-95a9-4487-8b3e-94e3ae28491e" ] } ], "mendeley" : { "formattedCitation" : "(Acosta-Vigil et al., 2003)", "manualFormatting" : "Acosta-Vigil et al. (2003)", "plainTextFormattedCitation" : "(Acosta-Vigil et al., 2003)", "previouslyFormattedCitation" : "(Acosta-Vigil et al. 2003)" }, "properties" : { "noteIndex" : 0 }, "schema" : "https://github.com/citation-style-language/schema/raw/master/csl-citation.json" }</w:instrText>
      </w:r>
      <w:r w:rsidRPr="00316912">
        <w:rPr>
          <w:rFonts w:cs="Times New Roman"/>
          <w:i w:val="0"/>
          <w:sz w:val="20"/>
          <w:szCs w:val="20"/>
        </w:rPr>
        <w:fldChar w:fldCharType="separate"/>
      </w:r>
      <w:r w:rsidRPr="00316912">
        <w:rPr>
          <w:rFonts w:cs="Times New Roman"/>
          <w:i w:val="0"/>
          <w:noProof/>
          <w:sz w:val="20"/>
          <w:szCs w:val="20"/>
        </w:rPr>
        <w:t>Acosta-Vigil et al. (2003)</w:t>
      </w:r>
      <w:r w:rsidRPr="00316912">
        <w:rPr>
          <w:rFonts w:cs="Times New Roman"/>
          <w:i w:val="0"/>
          <w:sz w:val="20"/>
          <w:szCs w:val="20"/>
        </w:rPr>
        <w:fldChar w:fldCharType="end"/>
      </w:r>
      <w:r w:rsidRPr="00316912">
        <w:rPr>
          <w:rFonts w:cs="Times New Roman"/>
          <w:i w:val="0"/>
          <w:sz w:val="20"/>
          <w:szCs w:val="20"/>
        </w:rPr>
        <w:t xml:space="preserve"> for tourmaline dissolution in granitic melt. Note the higher solubility of FeO in melt reported by Wolf and London (1997) for some of their experiments. The experiments reported by Wolf and London (1997) were conducted for a similar duration as those reported in this manuscript. We offer no explanation for the departure of their data from that reported in this manuscript. Error bars represent 2σ standard deviations. (b) Solubility of MnO in melt at garnet and tourmaline (from 650°C to 750°C). Data shown are from long-duration (720 hrs) experiments in which steady-state conditions have been validated via a time-series of experiments. Error bars represent 2σ standard deviations. Data from F-rich (~ 1wt.% F) experiments of Icenhower (1995) and from B- and F-free, hydrous (~ 5-7% H</w:t>
      </w:r>
      <w:r w:rsidRPr="00316912">
        <w:rPr>
          <w:rFonts w:cs="Times New Roman"/>
          <w:i w:val="0"/>
          <w:sz w:val="20"/>
          <w:szCs w:val="20"/>
          <w:vertAlign w:val="subscript"/>
        </w:rPr>
        <w:t>2</w:t>
      </w:r>
      <w:r w:rsidRPr="00316912">
        <w:rPr>
          <w:rFonts w:cs="Times New Roman"/>
          <w:i w:val="0"/>
          <w:sz w:val="20"/>
          <w:szCs w:val="20"/>
        </w:rPr>
        <w:t>O) experiments of London et al. (2012) are shown for comparison. The garnet saturation surface for B- and F-free, hydrous granitic melt (e.g. London et al. 2012) is lower than the B- and/or F-rich saturation surface. (c) Solubility of MgO in melt at garnet and tourmaline (MnGT-BC-4.1: solid squares) saturation. Open circles and open diamonds are data from Wolf and London (1997) for tourmaline growth and dissolution, respectively, from/into granitic melt. Open squares are from Acosta-Vigil et al. (2003) for tourmaline dissolution in granitic melt. Note the higher solubility of FeO in melt reported by Wolf and London (1997) for some of their experiments. The experiments reported by Wolf and London (1997) were conducted for a similar duration as those reported in this manuscript. We offer no explanation for the departure of their data from that reported in this manuscript. Error bars represent 2σ standard deviations.</w:t>
      </w:r>
      <w:bookmarkEnd w:id="187"/>
    </w:p>
    <w:p w:rsidR="004E1D03" w:rsidRDefault="00316912" w:rsidP="00665C0F">
      <w:pPr>
        <w:spacing w:line="480" w:lineRule="auto"/>
        <w:rPr>
          <w:rFonts w:cs="Times New Roman"/>
        </w:rPr>
      </w:pPr>
      <w:r>
        <w:rPr>
          <w:rFonts w:cs="Times New Roman"/>
          <w:noProof/>
        </w:rPr>
        <w:drawing>
          <wp:anchor distT="0" distB="0" distL="114300" distR="114300" simplePos="0" relativeHeight="251743232" behindDoc="0" locked="0" layoutInCell="1" allowOverlap="1">
            <wp:simplePos x="1466850" y="3000375"/>
            <wp:positionH relativeFrom="margin">
              <wp:align>right</wp:align>
            </wp:positionH>
            <wp:positionV relativeFrom="margin">
              <wp:align>top</wp:align>
            </wp:positionV>
            <wp:extent cx="2697480" cy="2084388"/>
            <wp:effectExtent l="0" t="0" r="7620" b="0"/>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Fig 4b.tif"/>
                    <pic:cNvPicPr/>
                  </pic:nvPicPr>
                  <pic:blipFill>
                    <a:blip r:embed="rId77" cstate="print">
                      <a:extLst>
                        <a:ext uri="{28A0092B-C50C-407E-A947-70E740481C1C}">
                          <a14:useLocalDpi xmlns:a14="http://schemas.microsoft.com/office/drawing/2010/main" val="0"/>
                        </a:ext>
                      </a:extLst>
                    </a:blip>
                    <a:stretch>
                      <a:fillRect/>
                    </a:stretch>
                  </pic:blipFill>
                  <pic:spPr>
                    <a:xfrm>
                      <a:off x="0" y="0"/>
                      <a:ext cx="2697480" cy="2084388"/>
                    </a:xfrm>
                    <a:prstGeom prst="rect">
                      <a:avLst/>
                    </a:prstGeom>
                  </pic:spPr>
                </pic:pic>
              </a:graphicData>
            </a:graphic>
          </wp:anchor>
        </w:drawing>
      </w:r>
      <w:r>
        <w:rPr>
          <w:rFonts w:cs="Times New Roman"/>
          <w:noProof/>
        </w:rPr>
        <w:drawing>
          <wp:anchor distT="0" distB="0" distL="114300" distR="114300" simplePos="0" relativeHeight="251739136" behindDoc="0" locked="0" layoutInCell="1" allowOverlap="1">
            <wp:simplePos x="1466850" y="914400"/>
            <wp:positionH relativeFrom="margin">
              <wp:align>left</wp:align>
            </wp:positionH>
            <wp:positionV relativeFrom="margin">
              <wp:align>top</wp:align>
            </wp:positionV>
            <wp:extent cx="2697480" cy="2084388"/>
            <wp:effectExtent l="0" t="0" r="7620" b="0"/>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Fig 4a.tif"/>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697480" cy="2084388"/>
                    </a:xfrm>
                    <a:prstGeom prst="rect">
                      <a:avLst/>
                    </a:prstGeom>
                  </pic:spPr>
                </pic:pic>
              </a:graphicData>
            </a:graphic>
            <wp14:sizeRelH relativeFrom="margin">
              <wp14:pctWidth>0</wp14:pctWidth>
            </wp14:sizeRelH>
            <wp14:sizeRelV relativeFrom="margin">
              <wp14:pctHeight>0</wp14:pctHeight>
            </wp14:sizeRelV>
          </wp:anchor>
        </w:drawing>
      </w:r>
    </w:p>
    <w:p w:rsidR="004E1D03" w:rsidRDefault="004E1D03" w:rsidP="004E1D03">
      <w:r>
        <w:br w:type="page"/>
      </w:r>
    </w:p>
    <w:p w:rsidR="004E1D03" w:rsidRDefault="00316912" w:rsidP="00665C0F">
      <w:pPr>
        <w:spacing w:line="480" w:lineRule="auto"/>
        <w:rPr>
          <w:rFonts w:cs="Times New Roman"/>
        </w:rPr>
      </w:pPr>
      <w:r>
        <w:rPr>
          <w:noProof/>
        </w:rPr>
        <mc:AlternateContent>
          <mc:Choice Requires="wps">
            <w:drawing>
              <wp:anchor distT="0" distB="0" distL="114300" distR="114300" simplePos="0" relativeHeight="251747328" behindDoc="0" locked="0" layoutInCell="1" allowOverlap="1" wp14:anchorId="6D37F3B8" wp14:editId="168DD1F5">
                <wp:simplePos x="0" y="0"/>
                <wp:positionH relativeFrom="margin">
                  <wp:align>right</wp:align>
                </wp:positionH>
                <wp:positionV relativeFrom="paragraph">
                  <wp:posOffset>2143125</wp:posOffset>
                </wp:positionV>
                <wp:extent cx="5383530" cy="635"/>
                <wp:effectExtent l="0" t="0" r="7620" b="0"/>
                <wp:wrapSquare wrapText="bothSides"/>
                <wp:docPr id="63" name="Text Box 63"/>
                <wp:cNvGraphicFramePr/>
                <a:graphic xmlns:a="http://schemas.openxmlformats.org/drawingml/2006/main">
                  <a:graphicData uri="http://schemas.microsoft.com/office/word/2010/wordprocessingShape">
                    <wps:wsp>
                      <wps:cNvSpPr txBox="1"/>
                      <wps:spPr>
                        <a:xfrm>
                          <a:off x="0" y="0"/>
                          <a:ext cx="5383530" cy="635"/>
                        </a:xfrm>
                        <a:prstGeom prst="rect">
                          <a:avLst/>
                        </a:prstGeom>
                        <a:solidFill>
                          <a:prstClr val="white"/>
                        </a:solidFill>
                        <a:ln>
                          <a:noFill/>
                        </a:ln>
                      </wps:spPr>
                      <wps:txbx>
                        <w:txbxContent>
                          <w:p w:rsidR="006D3B9B" w:rsidRPr="00316912" w:rsidRDefault="006D3B9B" w:rsidP="00316912">
                            <w:pPr>
                              <w:pStyle w:val="Caption"/>
                              <w:rPr>
                                <w:rFonts w:cs="Times New Roman"/>
                                <w:i w:val="0"/>
                                <w:noProof/>
                                <w:sz w:val="20"/>
                                <w:szCs w:val="20"/>
                              </w:rPr>
                            </w:pPr>
                            <w:bookmarkStart w:id="188" w:name="_Toc490130660"/>
                            <w:r w:rsidRPr="00316912">
                              <w:rPr>
                                <w:b/>
                                <w:sz w:val="20"/>
                                <w:szCs w:val="20"/>
                              </w:rPr>
                              <w:t xml:space="preserve">Figure </w:t>
                            </w:r>
                            <w:r>
                              <w:rPr>
                                <w:b/>
                                <w:sz w:val="20"/>
                                <w:szCs w:val="20"/>
                              </w:rPr>
                              <w:fldChar w:fldCharType="begin"/>
                            </w:r>
                            <w:r>
                              <w:rPr>
                                <w:b/>
                                <w:sz w:val="20"/>
                                <w:szCs w:val="20"/>
                              </w:rPr>
                              <w:instrText xml:space="preserve"> STYLEREF 1 \s </w:instrText>
                            </w:r>
                            <w:r>
                              <w:rPr>
                                <w:b/>
                                <w:sz w:val="20"/>
                                <w:szCs w:val="20"/>
                              </w:rPr>
                              <w:fldChar w:fldCharType="separate"/>
                            </w:r>
                            <w:r w:rsidR="000C5FC3">
                              <w:rPr>
                                <w:b/>
                                <w:noProof/>
                                <w:sz w:val="20"/>
                                <w:szCs w:val="20"/>
                              </w:rPr>
                              <w:t>5</w:t>
                            </w:r>
                            <w:r>
                              <w:rPr>
                                <w:b/>
                                <w:sz w:val="20"/>
                                <w:szCs w:val="20"/>
                              </w:rPr>
                              <w:fldChar w:fldCharType="end"/>
                            </w:r>
                            <w:r>
                              <w:rPr>
                                <w:b/>
                                <w:sz w:val="20"/>
                                <w:szCs w:val="20"/>
                              </w:rPr>
                              <w:noBreakHyphen/>
                            </w:r>
                            <w:r>
                              <w:rPr>
                                <w:b/>
                                <w:sz w:val="20"/>
                                <w:szCs w:val="20"/>
                              </w:rPr>
                              <w:fldChar w:fldCharType="begin"/>
                            </w:r>
                            <w:r>
                              <w:rPr>
                                <w:b/>
                                <w:sz w:val="20"/>
                                <w:szCs w:val="20"/>
                              </w:rPr>
                              <w:instrText xml:space="preserve"> SEQ Figure \* ARABIC \s 1 </w:instrText>
                            </w:r>
                            <w:r>
                              <w:rPr>
                                <w:b/>
                                <w:sz w:val="20"/>
                                <w:szCs w:val="20"/>
                              </w:rPr>
                              <w:fldChar w:fldCharType="separate"/>
                            </w:r>
                            <w:r w:rsidR="000C5FC3">
                              <w:rPr>
                                <w:b/>
                                <w:noProof/>
                                <w:sz w:val="20"/>
                                <w:szCs w:val="20"/>
                              </w:rPr>
                              <w:t>5</w:t>
                            </w:r>
                            <w:r>
                              <w:rPr>
                                <w:b/>
                                <w:sz w:val="20"/>
                                <w:szCs w:val="20"/>
                              </w:rPr>
                              <w:fldChar w:fldCharType="end"/>
                            </w:r>
                            <w:r w:rsidRPr="00316912">
                              <w:rPr>
                                <w:rFonts w:cs="Times New Roman"/>
                                <w:i w:val="0"/>
                                <w:sz w:val="20"/>
                                <w:szCs w:val="20"/>
                              </w:rPr>
                              <w:t xml:space="preserve"> (a) Normative corundum component of boron-bearing, peraluminous, hydrous granitic glasses (melts) that produced garnet and cordierite crystals (solid squares). Data from Acosta-Vigil et al. (2003) for dissolution of cordierite into boron-free, hydrous granitic glass (open squares). Errors for solid squares are 2σ standard deviations. Errors for open squares are similar to the size of the symbol. Note the lower normative corundum for cordierite dissolution into B-free granitic melt compared with the data for B-bearing granitic melt. (b) Normative corundum component of boron-bearing, peraluminous, hydrous granitic glasses (melts) that produced tourmaline crystals (solid triangles). Data from Acosta-Vigil et al. (2003) for dissolution of cordierite into boron-free, hydrous granitic glass (open triangles). Errors for solid squares are 2σ standard deviations. Errors for open squares are similar to the size of the symbol.</w:t>
                            </w:r>
                            <w:bookmarkEnd w:id="18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D37F3B8" id="Text Box 63" o:spid="_x0000_s1061" type="#_x0000_t202" style="position:absolute;margin-left:372.7pt;margin-top:168.75pt;width:423.9pt;height:.05pt;z-index:25174732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" stroked="f">
                <v:textbox style="mso-fit-shape-to-text:t" inset="0,0,0,0">
                  <w:txbxContent>
                    <w:p w:rsidR="006D3B9B" w:rsidRPr="00316912" w:rsidRDefault="006D3B9B" w:rsidP="00316912">
                      <w:pPr>
                        <w:pStyle w:val="Caption"/>
                        <w:rPr>
                          <w:rFonts w:cs="Times New Roman"/>
                          <w:i w:val="0"/>
                          <w:noProof/>
                          <w:sz w:val="20"/>
                          <w:szCs w:val="20"/>
                        </w:rPr>
                      </w:pPr>
                      <w:bookmarkStart w:id="189" w:name="_Toc490130660"/>
                      <w:r w:rsidRPr="00316912">
                        <w:rPr>
                          <w:b/>
                          <w:sz w:val="20"/>
                          <w:szCs w:val="20"/>
                        </w:rPr>
                        <w:t xml:space="preserve">Figure </w:t>
                      </w:r>
                      <w:r>
                        <w:rPr>
                          <w:b/>
                          <w:sz w:val="20"/>
                          <w:szCs w:val="20"/>
                        </w:rPr>
                        <w:fldChar w:fldCharType="begin"/>
                      </w:r>
                      <w:r>
                        <w:rPr>
                          <w:b/>
                          <w:sz w:val="20"/>
                          <w:szCs w:val="20"/>
                        </w:rPr>
                        <w:instrText xml:space="preserve"> STYLEREF 1 \s </w:instrText>
                      </w:r>
                      <w:r>
                        <w:rPr>
                          <w:b/>
                          <w:sz w:val="20"/>
                          <w:szCs w:val="20"/>
                        </w:rPr>
                        <w:fldChar w:fldCharType="separate"/>
                      </w:r>
                      <w:r w:rsidR="000C5FC3">
                        <w:rPr>
                          <w:b/>
                          <w:noProof/>
                          <w:sz w:val="20"/>
                          <w:szCs w:val="20"/>
                        </w:rPr>
                        <w:t>5</w:t>
                      </w:r>
                      <w:r>
                        <w:rPr>
                          <w:b/>
                          <w:sz w:val="20"/>
                          <w:szCs w:val="20"/>
                        </w:rPr>
                        <w:fldChar w:fldCharType="end"/>
                      </w:r>
                      <w:r>
                        <w:rPr>
                          <w:b/>
                          <w:sz w:val="20"/>
                          <w:szCs w:val="20"/>
                        </w:rPr>
                        <w:noBreakHyphen/>
                      </w:r>
                      <w:r>
                        <w:rPr>
                          <w:b/>
                          <w:sz w:val="20"/>
                          <w:szCs w:val="20"/>
                        </w:rPr>
                        <w:fldChar w:fldCharType="begin"/>
                      </w:r>
                      <w:r>
                        <w:rPr>
                          <w:b/>
                          <w:sz w:val="20"/>
                          <w:szCs w:val="20"/>
                        </w:rPr>
                        <w:instrText xml:space="preserve"> SEQ Figure \* ARABIC \s 1 </w:instrText>
                      </w:r>
                      <w:r>
                        <w:rPr>
                          <w:b/>
                          <w:sz w:val="20"/>
                          <w:szCs w:val="20"/>
                        </w:rPr>
                        <w:fldChar w:fldCharType="separate"/>
                      </w:r>
                      <w:r w:rsidR="000C5FC3">
                        <w:rPr>
                          <w:b/>
                          <w:noProof/>
                          <w:sz w:val="20"/>
                          <w:szCs w:val="20"/>
                        </w:rPr>
                        <w:t>5</w:t>
                      </w:r>
                      <w:r>
                        <w:rPr>
                          <w:b/>
                          <w:sz w:val="20"/>
                          <w:szCs w:val="20"/>
                        </w:rPr>
                        <w:fldChar w:fldCharType="end"/>
                      </w:r>
                      <w:r w:rsidRPr="00316912">
                        <w:rPr>
                          <w:rFonts w:cs="Times New Roman"/>
                          <w:i w:val="0"/>
                          <w:sz w:val="20"/>
                          <w:szCs w:val="20"/>
                        </w:rPr>
                        <w:t xml:space="preserve"> (a) Normative corundum component of boron-bearing, peraluminous, hydrous granitic glasses (melts) that produced garnet and cordierite crystals (solid squares). Data from Acosta-Vigil et al. (2003) for dissolution of cordierite into boron-free, hydrous granitic glass (open squares). Errors for solid squares are 2σ standard deviations. Errors for open squares are similar to the size of the symbol. Note the lower normative corundum for cordierite dissolution into B-free granitic melt compared with the data for B-bearing granitic melt. (b) Normative corundum component of boron-bearing, peraluminous, hydrous granitic glasses (melts) that produced tourmaline crystals (solid triangles). Data from Acosta-Vigil et al. (2003) for dissolution of cordierite into boron-free, hydrous granitic glass (open triangles). Errors for solid squares are 2σ standard deviations. Errors for open squares are similar to the size of the symbol.</w:t>
                      </w:r>
                      <w:bookmarkEnd w:id="189"/>
                    </w:p>
                  </w:txbxContent>
                </v:textbox>
                <w10:wrap type="square" anchorx="margin"/>
              </v:shape>
            </w:pict>
          </mc:Fallback>
        </mc:AlternateContent>
      </w:r>
      <w:r>
        <w:rPr>
          <w:rFonts w:cs="Times New Roman"/>
          <w:noProof/>
        </w:rPr>
        <w:drawing>
          <wp:anchor distT="0" distB="0" distL="114300" distR="114300" simplePos="0" relativeHeight="251745280" behindDoc="0" locked="0" layoutInCell="1" allowOverlap="1">
            <wp:simplePos x="1466850" y="3000375"/>
            <wp:positionH relativeFrom="margin">
              <wp:align>left</wp:align>
            </wp:positionH>
            <wp:positionV relativeFrom="margin">
              <wp:align>top</wp:align>
            </wp:positionV>
            <wp:extent cx="2697480" cy="2084388"/>
            <wp:effectExtent l="0" t="0" r="7620" b="0"/>
            <wp:wrapSquare wrapText="bothSides"/>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Fig 5a.tif"/>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697480" cy="2084388"/>
                    </a:xfrm>
                    <a:prstGeom prst="rect">
                      <a:avLst/>
                    </a:prstGeom>
                  </pic:spPr>
                </pic:pic>
              </a:graphicData>
            </a:graphic>
          </wp:anchor>
        </w:drawing>
      </w:r>
      <w:r>
        <w:rPr>
          <w:rFonts w:cs="Times New Roman"/>
          <w:noProof/>
        </w:rPr>
        <w:drawing>
          <wp:anchor distT="0" distB="0" distL="114300" distR="114300" simplePos="0" relativeHeight="251744256" behindDoc="0" locked="0" layoutInCell="1" allowOverlap="1">
            <wp:simplePos x="1466850" y="3171825"/>
            <wp:positionH relativeFrom="margin">
              <wp:align>right</wp:align>
            </wp:positionH>
            <wp:positionV relativeFrom="margin">
              <wp:align>top</wp:align>
            </wp:positionV>
            <wp:extent cx="2697480" cy="2084070"/>
            <wp:effectExtent l="0" t="0" r="7620" b="0"/>
            <wp:wrapSquare wrapText="bothSides"/>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Fig 5b.tif"/>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697480" cy="2084070"/>
                    </a:xfrm>
                    <a:prstGeom prst="rect">
                      <a:avLst/>
                    </a:prstGeom>
                  </pic:spPr>
                </pic:pic>
              </a:graphicData>
            </a:graphic>
          </wp:anchor>
        </w:drawing>
      </w:r>
    </w:p>
    <w:p w:rsidR="004E1D03" w:rsidRDefault="004E1D03" w:rsidP="004E1D03">
      <w:r>
        <w:br w:type="page"/>
      </w:r>
    </w:p>
    <w:p w:rsidR="00316912" w:rsidRDefault="00316912" w:rsidP="00316912">
      <w:pPr>
        <w:keepNext/>
        <w:spacing w:line="480" w:lineRule="auto"/>
      </w:pPr>
      <w:r>
        <w:rPr>
          <w:rFonts w:cs="Times New Roman"/>
          <w:noProof/>
        </w:rPr>
        <w:drawing>
          <wp:inline distT="0" distB="0" distL="0" distR="0">
            <wp:extent cx="2697480" cy="2084388"/>
            <wp:effectExtent l="0" t="0" r="762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Fig 6c.tif"/>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697480" cy="2084388"/>
                    </a:xfrm>
                    <a:prstGeom prst="rect">
                      <a:avLst/>
                    </a:prstGeom>
                  </pic:spPr>
                </pic:pic>
              </a:graphicData>
            </a:graphic>
          </wp:inline>
        </w:drawing>
      </w:r>
    </w:p>
    <w:p w:rsidR="00316912" w:rsidRPr="00316912" w:rsidRDefault="00316912" w:rsidP="00316912">
      <w:pPr>
        <w:rPr>
          <w:rFonts w:cs="Times New Roman"/>
          <w:sz w:val="20"/>
          <w:szCs w:val="20"/>
        </w:rPr>
      </w:pPr>
      <w:bookmarkStart w:id="190" w:name="_Toc490130661"/>
      <w:r w:rsidRPr="00316912">
        <w:rPr>
          <w:b/>
          <w:i/>
          <w:sz w:val="20"/>
          <w:szCs w:val="20"/>
        </w:rPr>
        <w:t xml:space="preserve">Figure </w:t>
      </w:r>
      <w:r w:rsidR="005D1BDD">
        <w:rPr>
          <w:b/>
          <w:i/>
          <w:sz w:val="20"/>
          <w:szCs w:val="20"/>
        </w:rPr>
        <w:fldChar w:fldCharType="begin"/>
      </w:r>
      <w:r w:rsidR="005D1BDD">
        <w:rPr>
          <w:b/>
          <w:i/>
          <w:sz w:val="20"/>
          <w:szCs w:val="20"/>
        </w:rPr>
        <w:instrText xml:space="preserve"> STYLEREF 1 \s </w:instrText>
      </w:r>
      <w:r w:rsidR="005D1BDD">
        <w:rPr>
          <w:b/>
          <w:i/>
          <w:sz w:val="20"/>
          <w:szCs w:val="20"/>
        </w:rPr>
        <w:fldChar w:fldCharType="separate"/>
      </w:r>
      <w:r w:rsidR="000C5FC3">
        <w:rPr>
          <w:b/>
          <w:i/>
          <w:noProof/>
          <w:sz w:val="20"/>
          <w:szCs w:val="20"/>
        </w:rPr>
        <w:t>5</w:t>
      </w:r>
      <w:r w:rsidR="005D1BDD">
        <w:rPr>
          <w:b/>
          <w:i/>
          <w:sz w:val="20"/>
          <w:szCs w:val="20"/>
        </w:rPr>
        <w:fldChar w:fldCharType="end"/>
      </w:r>
      <w:r w:rsidR="005D1BDD">
        <w:rPr>
          <w:b/>
          <w:i/>
          <w:sz w:val="20"/>
          <w:szCs w:val="20"/>
        </w:rPr>
        <w:noBreakHyphen/>
      </w:r>
      <w:r w:rsidR="005D1BDD">
        <w:rPr>
          <w:b/>
          <w:i/>
          <w:sz w:val="20"/>
          <w:szCs w:val="20"/>
        </w:rPr>
        <w:fldChar w:fldCharType="begin"/>
      </w:r>
      <w:r w:rsidR="005D1BDD">
        <w:rPr>
          <w:b/>
          <w:i/>
          <w:sz w:val="20"/>
          <w:szCs w:val="20"/>
        </w:rPr>
        <w:instrText xml:space="preserve"> SEQ Figure \* ARABIC \s 1 </w:instrText>
      </w:r>
      <w:r w:rsidR="005D1BDD">
        <w:rPr>
          <w:b/>
          <w:i/>
          <w:sz w:val="20"/>
          <w:szCs w:val="20"/>
        </w:rPr>
        <w:fldChar w:fldCharType="separate"/>
      </w:r>
      <w:r w:rsidR="000C5FC3">
        <w:rPr>
          <w:b/>
          <w:i/>
          <w:noProof/>
          <w:sz w:val="20"/>
          <w:szCs w:val="20"/>
        </w:rPr>
        <w:t>6</w:t>
      </w:r>
      <w:r w:rsidR="005D1BDD">
        <w:rPr>
          <w:b/>
          <w:i/>
          <w:sz w:val="20"/>
          <w:szCs w:val="20"/>
        </w:rPr>
        <w:fldChar w:fldCharType="end"/>
      </w:r>
      <w:r w:rsidRPr="00316912">
        <w:rPr>
          <w:rFonts w:cs="Times New Roman"/>
          <w:sz w:val="20"/>
          <w:szCs w:val="20"/>
        </w:rPr>
        <w:t xml:space="preserve"> (a) Crd-melt partition coefficients, D</w:t>
      </w:r>
      <w:r w:rsidRPr="00316912">
        <w:rPr>
          <w:rFonts w:cs="Times New Roman"/>
          <w:sz w:val="20"/>
          <w:szCs w:val="20"/>
          <w:vertAlign w:val="subscript"/>
        </w:rPr>
        <w:t>M</w:t>
      </w:r>
      <w:r w:rsidRPr="00316912">
        <w:rPr>
          <w:rFonts w:cs="Times New Roman"/>
          <w:sz w:val="20"/>
          <w:szCs w:val="20"/>
        </w:rPr>
        <w:t>, plotted against temperature. Individual points represent average values from individual experiments. (b) Tur-melt partition coefficients, D</w:t>
      </w:r>
      <w:r w:rsidRPr="00316912">
        <w:rPr>
          <w:rFonts w:cs="Times New Roman"/>
          <w:sz w:val="20"/>
          <w:szCs w:val="20"/>
          <w:vertAlign w:val="subscript"/>
        </w:rPr>
        <w:t>M</w:t>
      </w:r>
      <w:r w:rsidRPr="00316912">
        <w:rPr>
          <w:rFonts w:cs="Times New Roman"/>
          <w:sz w:val="20"/>
          <w:szCs w:val="20"/>
        </w:rPr>
        <w:t>, plotted against temperature. Individual points represent average values of multiple experiments conducted at a given temperature. D values increase with decreasing temperature. (c) Grt-melt partition coefficients, D</w:t>
      </w:r>
      <w:r w:rsidRPr="00316912">
        <w:rPr>
          <w:rFonts w:cs="Times New Roman"/>
          <w:sz w:val="20"/>
          <w:szCs w:val="20"/>
          <w:vertAlign w:val="subscript"/>
        </w:rPr>
        <w:t>M</w:t>
      </w:r>
      <w:r w:rsidRPr="00316912">
        <w:rPr>
          <w:rFonts w:cs="Times New Roman"/>
          <w:sz w:val="20"/>
          <w:szCs w:val="20"/>
        </w:rPr>
        <w:t>, plotted against temperature. Individual points represent average values of multiple experiments conducted at a given temperature. D values increase with decreasing temperature, except for MgO (not shown in figure).</w:t>
      </w:r>
      <w:bookmarkEnd w:id="190"/>
    </w:p>
    <w:p w:rsidR="004E1D03" w:rsidRDefault="00316912" w:rsidP="00665C0F">
      <w:pPr>
        <w:spacing w:line="480" w:lineRule="auto"/>
        <w:rPr>
          <w:rFonts w:cs="Times New Roman"/>
        </w:rPr>
      </w:pPr>
      <w:r>
        <w:rPr>
          <w:rFonts w:cs="Times New Roman"/>
          <w:noProof/>
        </w:rPr>
        <w:drawing>
          <wp:anchor distT="0" distB="0" distL="114300" distR="114300" simplePos="0" relativeHeight="251749376" behindDoc="0" locked="0" layoutInCell="1" allowOverlap="1">
            <wp:simplePos x="1466850" y="3000375"/>
            <wp:positionH relativeFrom="margin">
              <wp:align>left</wp:align>
            </wp:positionH>
            <wp:positionV relativeFrom="margin">
              <wp:align>top</wp:align>
            </wp:positionV>
            <wp:extent cx="2697480" cy="2084388"/>
            <wp:effectExtent l="0" t="0" r="7620" b="0"/>
            <wp:wrapSquare wrapText="bothSides"/>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Fig 6a.tif"/>
                    <pic:cNvPicPr/>
                  </pic:nvPicPr>
                  <pic:blipFill>
                    <a:blip r:embed="rId82" cstate="print">
                      <a:extLst>
                        <a:ext uri="{28A0092B-C50C-407E-A947-70E740481C1C}">
                          <a14:useLocalDpi xmlns:a14="http://schemas.microsoft.com/office/drawing/2010/main" val="0"/>
                        </a:ext>
                      </a:extLst>
                    </a:blip>
                    <a:stretch>
                      <a:fillRect/>
                    </a:stretch>
                  </pic:blipFill>
                  <pic:spPr>
                    <a:xfrm>
                      <a:off x="0" y="0"/>
                      <a:ext cx="2697480" cy="2084388"/>
                    </a:xfrm>
                    <a:prstGeom prst="rect">
                      <a:avLst/>
                    </a:prstGeom>
                  </pic:spPr>
                </pic:pic>
              </a:graphicData>
            </a:graphic>
          </wp:anchor>
        </w:drawing>
      </w:r>
      <w:r>
        <w:rPr>
          <w:rFonts w:cs="Times New Roman"/>
          <w:noProof/>
        </w:rPr>
        <w:drawing>
          <wp:anchor distT="0" distB="0" distL="114300" distR="114300" simplePos="0" relativeHeight="251748352" behindDoc="0" locked="0" layoutInCell="1" allowOverlap="1">
            <wp:simplePos x="1466850" y="3171825"/>
            <wp:positionH relativeFrom="margin">
              <wp:align>right</wp:align>
            </wp:positionH>
            <wp:positionV relativeFrom="margin">
              <wp:align>top</wp:align>
            </wp:positionV>
            <wp:extent cx="2697480" cy="2084070"/>
            <wp:effectExtent l="0" t="0" r="7620" b="0"/>
            <wp:wrapSquare wrapText="bothSides"/>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Fig 6b.tif"/>
                    <pic:cNvPicPr/>
                  </pic:nvPicPr>
                  <pic:blipFill>
                    <a:blip r:embed="rId83" cstate="print">
                      <a:extLst>
                        <a:ext uri="{28A0092B-C50C-407E-A947-70E740481C1C}">
                          <a14:useLocalDpi xmlns:a14="http://schemas.microsoft.com/office/drawing/2010/main" val="0"/>
                        </a:ext>
                      </a:extLst>
                    </a:blip>
                    <a:stretch>
                      <a:fillRect/>
                    </a:stretch>
                  </pic:blipFill>
                  <pic:spPr>
                    <a:xfrm>
                      <a:off x="0" y="0"/>
                      <a:ext cx="2697480" cy="2084070"/>
                    </a:xfrm>
                    <a:prstGeom prst="rect">
                      <a:avLst/>
                    </a:prstGeom>
                  </pic:spPr>
                </pic:pic>
              </a:graphicData>
            </a:graphic>
          </wp:anchor>
        </w:drawing>
      </w:r>
    </w:p>
    <w:p w:rsidR="004E1D03" w:rsidRDefault="004E1D03" w:rsidP="004E1D03">
      <w:r>
        <w:br w:type="page"/>
      </w:r>
    </w:p>
    <w:p w:rsidR="004E1D03" w:rsidRDefault="00316912" w:rsidP="00665C0F">
      <w:pPr>
        <w:spacing w:line="480" w:lineRule="auto"/>
        <w:rPr>
          <w:rFonts w:cs="Times New Roman"/>
        </w:rPr>
      </w:pPr>
      <w:r>
        <w:rPr>
          <w:noProof/>
        </w:rPr>
        <mc:AlternateContent>
          <mc:Choice Requires="wps">
            <w:drawing>
              <wp:anchor distT="0" distB="0" distL="114300" distR="114300" simplePos="0" relativeHeight="251753472" behindDoc="0" locked="0" layoutInCell="1" allowOverlap="1" wp14:anchorId="1D6B3880" wp14:editId="35634F1B">
                <wp:simplePos x="0" y="0"/>
                <wp:positionH relativeFrom="margin">
                  <wp:align>right</wp:align>
                </wp:positionH>
                <wp:positionV relativeFrom="paragraph">
                  <wp:posOffset>2143125</wp:posOffset>
                </wp:positionV>
                <wp:extent cx="5383530" cy="635"/>
                <wp:effectExtent l="0" t="0" r="7620" b="8255"/>
                <wp:wrapSquare wrapText="bothSides"/>
                <wp:docPr id="70" name="Text Box 70"/>
                <wp:cNvGraphicFramePr/>
                <a:graphic xmlns:a="http://schemas.openxmlformats.org/drawingml/2006/main">
                  <a:graphicData uri="http://schemas.microsoft.com/office/word/2010/wordprocessingShape">
                    <wps:wsp>
                      <wps:cNvSpPr txBox="1"/>
                      <wps:spPr>
                        <a:xfrm>
                          <a:off x="0" y="0"/>
                          <a:ext cx="5383530" cy="635"/>
                        </a:xfrm>
                        <a:prstGeom prst="rect">
                          <a:avLst/>
                        </a:prstGeom>
                        <a:solidFill>
                          <a:prstClr val="white"/>
                        </a:solidFill>
                        <a:ln>
                          <a:noFill/>
                        </a:ln>
                      </wps:spPr>
                      <wps:txbx>
                        <w:txbxContent>
                          <w:p w:rsidR="006D3B9B" w:rsidRPr="00316912" w:rsidRDefault="006D3B9B" w:rsidP="00316912">
                            <w:pPr>
                              <w:pStyle w:val="Caption"/>
                              <w:rPr>
                                <w:rFonts w:cs="Times New Roman"/>
                                <w:i w:val="0"/>
                                <w:noProof/>
                                <w:sz w:val="20"/>
                                <w:szCs w:val="20"/>
                              </w:rPr>
                            </w:pPr>
                            <w:bookmarkStart w:id="191" w:name="_Toc490130662"/>
                            <w:r w:rsidRPr="00316912">
                              <w:rPr>
                                <w:b/>
                                <w:sz w:val="20"/>
                                <w:szCs w:val="20"/>
                              </w:rPr>
                              <w:t xml:space="preserve">Figure </w:t>
                            </w:r>
                            <w:r>
                              <w:rPr>
                                <w:b/>
                                <w:sz w:val="20"/>
                                <w:szCs w:val="20"/>
                              </w:rPr>
                              <w:fldChar w:fldCharType="begin"/>
                            </w:r>
                            <w:r>
                              <w:rPr>
                                <w:b/>
                                <w:sz w:val="20"/>
                                <w:szCs w:val="20"/>
                              </w:rPr>
                              <w:instrText xml:space="preserve"> STYLEREF 1 \s </w:instrText>
                            </w:r>
                            <w:r>
                              <w:rPr>
                                <w:b/>
                                <w:sz w:val="20"/>
                                <w:szCs w:val="20"/>
                              </w:rPr>
                              <w:fldChar w:fldCharType="separate"/>
                            </w:r>
                            <w:r w:rsidR="000C5FC3">
                              <w:rPr>
                                <w:b/>
                                <w:noProof/>
                                <w:sz w:val="20"/>
                                <w:szCs w:val="20"/>
                              </w:rPr>
                              <w:t>5</w:t>
                            </w:r>
                            <w:r>
                              <w:rPr>
                                <w:b/>
                                <w:sz w:val="20"/>
                                <w:szCs w:val="20"/>
                              </w:rPr>
                              <w:fldChar w:fldCharType="end"/>
                            </w:r>
                            <w:r>
                              <w:rPr>
                                <w:b/>
                                <w:sz w:val="20"/>
                                <w:szCs w:val="20"/>
                              </w:rPr>
                              <w:noBreakHyphen/>
                            </w:r>
                            <w:r>
                              <w:rPr>
                                <w:b/>
                                <w:sz w:val="20"/>
                                <w:szCs w:val="20"/>
                              </w:rPr>
                              <w:fldChar w:fldCharType="begin"/>
                            </w:r>
                            <w:r>
                              <w:rPr>
                                <w:b/>
                                <w:sz w:val="20"/>
                                <w:szCs w:val="20"/>
                              </w:rPr>
                              <w:instrText xml:space="preserve"> SEQ Figure \* ARABIC \s 1 </w:instrText>
                            </w:r>
                            <w:r>
                              <w:rPr>
                                <w:b/>
                                <w:sz w:val="20"/>
                                <w:szCs w:val="20"/>
                              </w:rPr>
                              <w:fldChar w:fldCharType="separate"/>
                            </w:r>
                            <w:r w:rsidR="000C5FC3">
                              <w:rPr>
                                <w:b/>
                                <w:noProof/>
                                <w:sz w:val="20"/>
                                <w:szCs w:val="20"/>
                              </w:rPr>
                              <w:t>7</w:t>
                            </w:r>
                            <w:r>
                              <w:rPr>
                                <w:b/>
                                <w:sz w:val="20"/>
                                <w:szCs w:val="20"/>
                              </w:rPr>
                              <w:fldChar w:fldCharType="end"/>
                            </w:r>
                            <w:r w:rsidRPr="00316912">
                              <w:rPr>
                                <w:rFonts w:cs="Times New Roman"/>
                                <w:i w:val="0"/>
                                <w:sz w:val="20"/>
                                <w:szCs w:val="20"/>
                              </w:rPr>
                              <w:t xml:space="preserve"> (a) Mineral-melt exchange coefficients, K</w:t>
                            </w:r>
                            <w:r w:rsidRPr="00316912">
                              <w:rPr>
                                <w:rFonts w:cs="Times New Roman"/>
                                <w:i w:val="0"/>
                                <w:sz w:val="20"/>
                                <w:szCs w:val="20"/>
                                <w:vertAlign w:val="subscript"/>
                              </w:rPr>
                              <w:t>DMgO/FeO</w:t>
                            </w:r>
                            <w:r w:rsidRPr="00316912">
                              <w:rPr>
                                <w:rFonts w:cs="Times New Roman"/>
                                <w:i w:val="0"/>
                                <w:sz w:val="20"/>
                                <w:szCs w:val="20"/>
                              </w:rPr>
                              <w:t>, calculated as the slope of a linear regression through the D</w:t>
                            </w:r>
                            <w:r w:rsidRPr="00316912">
                              <w:rPr>
                                <w:rFonts w:cs="Times New Roman"/>
                                <w:i w:val="0"/>
                                <w:sz w:val="20"/>
                                <w:szCs w:val="20"/>
                                <w:vertAlign w:val="subscript"/>
                              </w:rPr>
                              <w:t xml:space="preserve">FeO </w:t>
                            </w:r>
                            <w:r w:rsidRPr="00316912">
                              <w:rPr>
                                <w:rFonts w:cs="Times New Roman"/>
                                <w:i w:val="0"/>
                                <w:sz w:val="20"/>
                                <w:szCs w:val="20"/>
                              </w:rPr>
                              <w:t>and D</w:t>
                            </w:r>
                            <w:r w:rsidRPr="00316912">
                              <w:rPr>
                                <w:rFonts w:cs="Times New Roman"/>
                                <w:i w:val="0"/>
                                <w:sz w:val="20"/>
                                <w:szCs w:val="20"/>
                                <w:vertAlign w:val="subscript"/>
                              </w:rPr>
                              <w:t xml:space="preserve">MgO </w:t>
                            </w:r>
                            <w:r w:rsidRPr="00316912">
                              <w:rPr>
                                <w:rFonts w:cs="Times New Roman"/>
                                <w:i w:val="0"/>
                                <w:sz w:val="20"/>
                                <w:szCs w:val="20"/>
                              </w:rPr>
                              <w:t>data for garnet-, tourmaline-, cordierite-, muscovite-, and biotite-melt. Solid symbols represent data described in from this manuscript. Open symbols represent data from Icenhower and London (1995) and Icenhower (1995). The solid black line without an arrow represents a one-to-one correlation of D</w:t>
                            </w:r>
                            <w:r w:rsidRPr="00316912">
                              <w:rPr>
                                <w:rFonts w:cs="Times New Roman"/>
                                <w:i w:val="0"/>
                                <w:sz w:val="20"/>
                                <w:szCs w:val="20"/>
                                <w:vertAlign w:val="subscript"/>
                              </w:rPr>
                              <w:t>FeO</w:t>
                            </w:r>
                            <w:r w:rsidRPr="00316912">
                              <w:rPr>
                                <w:rFonts w:cs="Times New Roman"/>
                                <w:i w:val="0"/>
                                <w:sz w:val="20"/>
                                <w:szCs w:val="20"/>
                              </w:rPr>
                              <w:t xml:space="preserve"> and D</w:t>
                            </w:r>
                            <w:r w:rsidRPr="00316912">
                              <w:rPr>
                                <w:rFonts w:cs="Times New Roman"/>
                                <w:i w:val="0"/>
                                <w:sz w:val="20"/>
                                <w:szCs w:val="20"/>
                                <w:vertAlign w:val="subscript"/>
                              </w:rPr>
                              <w:t>MgO</w:t>
                            </w:r>
                            <w:r w:rsidRPr="00316912">
                              <w:rPr>
                                <w:rFonts w:cs="Times New Roman"/>
                                <w:i w:val="0"/>
                                <w:sz w:val="20"/>
                                <w:szCs w:val="20"/>
                              </w:rPr>
                              <w:t>. The slope of each linear regression (red lines with arrows) represents an exchange coefficient for each mineral, K</w:t>
                            </w:r>
                            <w:r w:rsidRPr="00316912">
                              <w:rPr>
                                <w:rFonts w:cs="Times New Roman"/>
                                <w:i w:val="0"/>
                                <w:sz w:val="20"/>
                                <w:szCs w:val="20"/>
                                <w:vertAlign w:val="subscript"/>
                              </w:rPr>
                              <w:t>DMgO/FeO</w:t>
                            </w:r>
                            <w:r w:rsidRPr="00316912">
                              <w:rPr>
                                <w:rFonts w:cs="Times New Roman"/>
                                <w:i w:val="0"/>
                                <w:sz w:val="20"/>
                                <w:szCs w:val="20"/>
                              </w:rPr>
                              <w:t>. Arrows point in the direction of decreasing temperature. Exchange coefficients for tourmaline-melt (diamonds), cordierite-melt (solid and open circles), and biotite-melt (open triangles) indicate that crystallization of these three minerals will consume MgO from melt at a faster rate than FeO thereby decreasing the MgO/FeO ratio of the residual melt. On the contrary, crystallization of garnet will result in an increase of the MgO/FeO ratio of melt. Note that the exchange coefficient for biotite is identical, within statistical certainty, to that of cordierite. Individual points represent average values calculated per individual experiment. Error bars show 2σ standard errors of the mean, which were propagated through the calculation of partition coefficients. (b) Mineral-melt exchange coefficients, K</w:t>
                            </w:r>
                            <w:r w:rsidRPr="00316912">
                              <w:rPr>
                                <w:rFonts w:cs="Times New Roman"/>
                                <w:i w:val="0"/>
                                <w:sz w:val="20"/>
                                <w:szCs w:val="20"/>
                                <w:vertAlign w:val="subscript"/>
                              </w:rPr>
                              <w:t>DMnO/FeO</w:t>
                            </w:r>
                            <w:r w:rsidRPr="00316912">
                              <w:rPr>
                                <w:rFonts w:cs="Times New Roman"/>
                                <w:i w:val="0"/>
                                <w:sz w:val="20"/>
                                <w:szCs w:val="20"/>
                              </w:rPr>
                              <w:t>, calculated as the slope of a linear regression through the D</w:t>
                            </w:r>
                            <w:r w:rsidRPr="00316912">
                              <w:rPr>
                                <w:rFonts w:cs="Times New Roman"/>
                                <w:i w:val="0"/>
                                <w:sz w:val="20"/>
                                <w:szCs w:val="20"/>
                                <w:vertAlign w:val="subscript"/>
                              </w:rPr>
                              <w:t xml:space="preserve">FeO </w:t>
                            </w:r>
                            <w:r w:rsidRPr="00316912">
                              <w:rPr>
                                <w:rFonts w:cs="Times New Roman"/>
                                <w:i w:val="0"/>
                                <w:sz w:val="20"/>
                                <w:szCs w:val="20"/>
                              </w:rPr>
                              <w:t>and D</w:t>
                            </w:r>
                            <w:r w:rsidRPr="00316912">
                              <w:rPr>
                                <w:rFonts w:cs="Times New Roman"/>
                                <w:i w:val="0"/>
                                <w:sz w:val="20"/>
                                <w:szCs w:val="20"/>
                                <w:vertAlign w:val="subscript"/>
                              </w:rPr>
                              <w:t xml:space="preserve">MnO </w:t>
                            </w:r>
                            <w:r w:rsidRPr="00316912">
                              <w:rPr>
                                <w:rFonts w:cs="Times New Roman"/>
                                <w:i w:val="0"/>
                                <w:sz w:val="20"/>
                                <w:szCs w:val="20"/>
                              </w:rPr>
                              <w:t>data for garnet-, tourmaline-, cordierite-, muscovite-, and biotite-melt. Solid symbols represent data presented in this manuscript. Open symbols represent data from Icenhower and London (1995) and Icenhower (1995). The solid black line without an arrow represents a one-to-one correlation of D</w:t>
                            </w:r>
                            <w:r w:rsidRPr="00316912">
                              <w:rPr>
                                <w:rFonts w:cs="Times New Roman"/>
                                <w:i w:val="0"/>
                                <w:sz w:val="20"/>
                                <w:szCs w:val="20"/>
                                <w:vertAlign w:val="subscript"/>
                              </w:rPr>
                              <w:t>FeO</w:t>
                            </w:r>
                            <w:r w:rsidRPr="00316912">
                              <w:rPr>
                                <w:rFonts w:cs="Times New Roman"/>
                                <w:i w:val="0"/>
                                <w:sz w:val="20"/>
                                <w:szCs w:val="20"/>
                              </w:rPr>
                              <w:t xml:space="preserve"> and D</w:t>
                            </w:r>
                            <w:r w:rsidRPr="00316912">
                              <w:rPr>
                                <w:rFonts w:cs="Times New Roman"/>
                                <w:i w:val="0"/>
                                <w:sz w:val="20"/>
                                <w:szCs w:val="20"/>
                                <w:vertAlign w:val="subscript"/>
                              </w:rPr>
                              <w:t>MnO</w:t>
                            </w:r>
                            <w:r w:rsidRPr="00316912">
                              <w:rPr>
                                <w:rFonts w:cs="Times New Roman"/>
                                <w:i w:val="0"/>
                                <w:sz w:val="20"/>
                                <w:szCs w:val="20"/>
                              </w:rPr>
                              <w:t>. The slope of each linear regression (red lines with arrows) represents an exchange coefficient for each mineral, K</w:t>
                            </w:r>
                            <w:r w:rsidRPr="00316912">
                              <w:rPr>
                                <w:rFonts w:cs="Times New Roman"/>
                                <w:i w:val="0"/>
                                <w:sz w:val="20"/>
                                <w:szCs w:val="20"/>
                                <w:vertAlign w:val="subscript"/>
                              </w:rPr>
                              <w:t>DMnO/FeO</w:t>
                            </w:r>
                            <w:r w:rsidRPr="00316912">
                              <w:rPr>
                                <w:rFonts w:cs="Times New Roman"/>
                                <w:i w:val="0"/>
                                <w:sz w:val="20"/>
                                <w:szCs w:val="20"/>
                              </w:rPr>
                              <w:t>. Arrows point in the direction of decreasing temperature. Exchange coefficients for tourmaline-melt (diamonds), cordierite-melt (solid and open circles), and biotite-melt (open triangles) indicate that crystallization of these three minerals will consume FeO from melt at a faster rate than MnO resulting in an increase of the MnO/FeO ratio of melt. Crystallization of garnet alone will result in a decrease of the MnO/FeO ratio of melt. Individual points represent average values calculated per individual experiment. Error bars show 2σ standard errors of the mean, which were propagated through the calculation of partition coefficients.</w:t>
                            </w:r>
                            <w:bookmarkEnd w:id="19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D6B3880" id="Text Box 70" o:spid="_x0000_s1062" type="#_x0000_t202" style="position:absolute;margin-left:372.7pt;margin-top:168.75pt;width:423.9pt;height:.05pt;z-index:25175347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" stroked="f">
                <v:textbox style="mso-fit-shape-to-text:t" inset="0,0,0,0">
                  <w:txbxContent>
                    <w:p w:rsidR="006D3B9B" w:rsidRPr="00316912" w:rsidRDefault="006D3B9B" w:rsidP="00316912">
                      <w:pPr>
                        <w:pStyle w:val="Caption"/>
                        <w:rPr>
                          <w:rFonts w:cs="Times New Roman"/>
                          <w:i w:val="0"/>
                          <w:noProof/>
                          <w:sz w:val="20"/>
                          <w:szCs w:val="20"/>
                        </w:rPr>
                      </w:pPr>
                      <w:bookmarkStart w:id="192" w:name="_Toc490130662"/>
                      <w:r w:rsidRPr="00316912">
                        <w:rPr>
                          <w:b/>
                          <w:sz w:val="20"/>
                          <w:szCs w:val="20"/>
                        </w:rPr>
                        <w:t xml:space="preserve">Figure </w:t>
                      </w:r>
                      <w:r>
                        <w:rPr>
                          <w:b/>
                          <w:sz w:val="20"/>
                          <w:szCs w:val="20"/>
                        </w:rPr>
                        <w:fldChar w:fldCharType="begin"/>
                      </w:r>
                      <w:r>
                        <w:rPr>
                          <w:b/>
                          <w:sz w:val="20"/>
                          <w:szCs w:val="20"/>
                        </w:rPr>
                        <w:instrText xml:space="preserve"> STYLEREF 1 \s </w:instrText>
                      </w:r>
                      <w:r>
                        <w:rPr>
                          <w:b/>
                          <w:sz w:val="20"/>
                          <w:szCs w:val="20"/>
                        </w:rPr>
                        <w:fldChar w:fldCharType="separate"/>
                      </w:r>
                      <w:r w:rsidR="000C5FC3">
                        <w:rPr>
                          <w:b/>
                          <w:noProof/>
                          <w:sz w:val="20"/>
                          <w:szCs w:val="20"/>
                        </w:rPr>
                        <w:t>5</w:t>
                      </w:r>
                      <w:r>
                        <w:rPr>
                          <w:b/>
                          <w:sz w:val="20"/>
                          <w:szCs w:val="20"/>
                        </w:rPr>
                        <w:fldChar w:fldCharType="end"/>
                      </w:r>
                      <w:r>
                        <w:rPr>
                          <w:b/>
                          <w:sz w:val="20"/>
                          <w:szCs w:val="20"/>
                        </w:rPr>
                        <w:noBreakHyphen/>
                      </w:r>
                      <w:r>
                        <w:rPr>
                          <w:b/>
                          <w:sz w:val="20"/>
                          <w:szCs w:val="20"/>
                        </w:rPr>
                        <w:fldChar w:fldCharType="begin"/>
                      </w:r>
                      <w:r>
                        <w:rPr>
                          <w:b/>
                          <w:sz w:val="20"/>
                          <w:szCs w:val="20"/>
                        </w:rPr>
                        <w:instrText xml:space="preserve"> SEQ Figure \* ARABIC \s 1 </w:instrText>
                      </w:r>
                      <w:r>
                        <w:rPr>
                          <w:b/>
                          <w:sz w:val="20"/>
                          <w:szCs w:val="20"/>
                        </w:rPr>
                        <w:fldChar w:fldCharType="separate"/>
                      </w:r>
                      <w:r w:rsidR="000C5FC3">
                        <w:rPr>
                          <w:b/>
                          <w:noProof/>
                          <w:sz w:val="20"/>
                          <w:szCs w:val="20"/>
                        </w:rPr>
                        <w:t>7</w:t>
                      </w:r>
                      <w:r>
                        <w:rPr>
                          <w:b/>
                          <w:sz w:val="20"/>
                          <w:szCs w:val="20"/>
                        </w:rPr>
                        <w:fldChar w:fldCharType="end"/>
                      </w:r>
                      <w:r w:rsidRPr="00316912">
                        <w:rPr>
                          <w:rFonts w:cs="Times New Roman"/>
                          <w:i w:val="0"/>
                          <w:sz w:val="20"/>
                          <w:szCs w:val="20"/>
                        </w:rPr>
                        <w:t xml:space="preserve"> (a) Mineral-melt exchange coefficients, K</w:t>
                      </w:r>
                      <w:r w:rsidRPr="00316912">
                        <w:rPr>
                          <w:rFonts w:cs="Times New Roman"/>
                          <w:i w:val="0"/>
                          <w:sz w:val="20"/>
                          <w:szCs w:val="20"/>
                          <w:vertAlign w:val="subscript"/>
                        </w:rPr>
                        <w:t>DMgO/FeO</w:t>
                      </w:r>
                      <w:r w:rsidRPr="00316912">
                        <w:rPr>
                          <w:rFonts w:cs="Times New Roman"/>
                          <w:i w:val="0"/>
                          <w:sz w:val="20"/>
                          <w:szCs w:val="20"/>
                        </w:rPr>
                        <w:t>, calculated as the slope of a linear regression through the D</w:t>
                      </w:r>
                      <w:r w:rsidRPr="00316912">
                        <w:rPr>
                          <w:rFonts w:cs="Times New Roman"/>
                          <w:i w:val="0"/>
                          <w:sz w:val="20"/>
                          <w:szCs w:val="20"/>
                          <w:vertAlign w:val="subscript"/>
                        </w:rPr>
                        <w:t xml:space="preserve">FeO </w:t>
                      </w:r>
                      <w:r w:rsidRPr="00316912">
                        <w:rPr>
                          <w:rFonts w:cs="Times New Roman"/>
                          <w:i w:val="0"/>
                          <w:sz w:val="20"/>
                          <w:szCs w:val="20"/>
                        </w:rPr>
                        <w:t>and D</w:t>
                      </w:r>
                      <w:r w:rsidRPr="00316912">
                        <w:rPr>
                          <w:rFonts w:cs="Times New Roman"/>
                          <w:i w:val="0"/>
                          <w:sz w:val="20"/>
                          <w:szCs w:val="20"/>
                          <w:vertAlign w:val="subscript"/>
                        </w:rPr>
                        <w:t xml:space="preserve">MgO </w:t>
                      </w:r>
                      <w:r w:rsidRPr="00316912">
                        <w:rPr>
                          <w:rFonts w:cs="Times New Roman"/>
                          <w:i w:val="0"/>
                          <w:sz w:val="20"/>
                          <w:szCs w:val="20"/>
                        </w:rPr>
                        <w:t>data for garnet-, tourmaline-, cordierite-, muscovite-, and biotite-melt. Solid symbols represent data described in from this manuscript. Open symbols represent data from Icenhower and London (1995) and Icenhower (1995). The solid black line without an arrow represents a one-to-one correlation of D</w:t>
                      </w:r>
                      <w:r w:rsidRPr="00316912">
                        <w:rPr>
                          <w:rFonts w:cs="Times New Roman"/>
                          <w:i w:val="0"/>
                          <w:sz w:val="20"/>
                          <w:szCs w:val="20"/>
                          <w:vertAlign w:val="subscript"/>
                        </w:rPr>
                        <w:t>FeO</w:t>
                      </w:r>
                      <w:r w:rsidRPr="00316912">
                        <w:rPr>
                          <w:rFonts w:cs="Times New Roman"/>
                          <w:i w:val="0"/>
                          <w:sz w:val="20"/>
                          <w:szCs w:val="20"/>
                        </w:rPr>
                        <w:t xml:space="preserve"> and D</w:t>
                      </w:r>
                      <w:r w:rsidRPr="00316912">
                        <w:rPr>
                          <w:rFonts w:cs="Times New Roman"/>
                          <w:i w:val="0"/>
                          <w:sz w:val="20"/>
                          <w:szCs w:val="20"/>
                          <w:vertAlign w:val="subscript"/>
                        </w:rPr>
                        <w:t>MgO</w:t>
                      </w:r>
                      <w:r w:rsidRPr="00316912">
                        <w:rPr>
                          <w:rFonts w:cs="Times New Roman"/>
                          <w:i w:val="0"/>
                          <w:sz w:val="20"/>
                          <w:szCs w:val="20"/>
                        </w:rPr>
                        <w:t>. The slope of each linear regression (red lines with arrows) represents an exchange coefficient for each mineral, K</w:t>
                      </w:r>
                      <w:r w:rsidRPr="00316912">
                        <w:rPr>
                          <w:rFonts w:cs="Times New Roman"/>
                          <w:i w:val="0"/>
                          <w:sz w:val="20"/>
                          <w:szCs w:val="20"/>
                          <w:vertAlign w:val="subscript"/>
                        </w:rPr>
                        <w:t>DMgO/FeO</w:t>
                      </w:r>
                      <w:r w:rsidRPr="00316912">
                        <w:rPr>
                          <w:rFonts w:cs="Times New Roman"/>
                          <w:i w:val="0"/>
                          <w:sz w:val="20"/>
                          <w:szCs w:val="20"/>
                        </w:rPr>
                        <w:t>. Arrows point in the direction of decreasing temperature. Exchange coefficients for tourmaline-melt (diamonds), cordierite-melt (solid and open circles), and biotite-melt (open triangles) indicate that crystallization of these three minerals will consume MgO from melt at a faster rate than FeO thereby decreasing the MgO/FeO ratio of the residual melt. On the contrary, crystallization of garnet will result in an increase of the MgO/FeO ratio of melt. Note that the exchange coefficient for biotite is identical, within statistical certainty, to that of cordierite. Individual points represent average values calculated per individual experiment. Error bars show 2σ standard errors of the mean, which were propagated through the calculation of partition coefficients. (b) Mineral-melt exchange coefficients, K</w:t>
                      </w:r>
                      <w:r w:rsidRPr="00316912">
                        <w:rPr>
                          <w:rFonts w:cs="Times New Roman"/>
                          <w:i w:val="0"/>
                          <w:sz w:val="20"/>
                          <w:szCs w:val="20"/>
                          <w:vertAlign w:val="subscript"/>
                        </w:rPr>
                        <w:t>DMnO/FeO</w:t>
                      </w:r>
                      <w:r w:rsidRPr="00316912">
                        <w:rPr>
                          <w:rFonts w:cs="Times New Roman"/>
                          <w:i w:val="0"/>
                          <w:sz w:val="20"/>
                          <w:szCs w:val="20"/>
                        </w:rPr>
                        <w:t>, calculated as the slope of a linear regression through the D</w:t>
                      </w:r>
                      <w:r w:rsidRPr="00316912">
                        <w:rPr>
                          <w:rFonts w:cs="Times New Roman"/>
                          <w:i w:val="0"/>
                          <w:sz w:val="20"/>
                          <w:szCs w:val="20"/>
                          <w:vertAlign w:val="subscript"/>
                        </w:rPr>
                        <w:t xml:space="preserve">FeO </w:t>
                      </w:r>
                      <w:r w:rsidRPr="00316912">
                        <w:rPr>
                          <w:rFonts w:cs="Times New Roman"/>
                          <w:i w:val="0"/>
                          <w:sz w:val="20"/>
                          <w:szCs w:val="20"/>
                        </w:rPr>
                        <w:t>and D</w:t>
                      </w:r>
                      <w:r w:rsidRPr="00316912">
                        <w:rPr>
                          <w:rFonts w:cs="Times New Roman"/>
                          <w:i w:val="0"/>
                          <w:sz w:val="20"/>
                          <w:szCs w:val="20"/>
                          <w:vertAlign w:val="subscript"/>
                        </w:rPr>
                        <w:t xml:space="preserve">MnO </w:t>
                      </w:r>
                      <w:r w:rsidRPr="00316912">
                        <w:rPr>
                          <w:rFonts w:cs="Times New Roman"/>
                          <w:i w:val="0"/>
                          <w:sz w:val="20"/>
                          <w:szCs w:val="20"/>
                        </w:rPr>
                        <w:t>data for garnet-, tourmaline-, cordierite-, muscovite-, and biotite-melt. Solid symbols represent data presented in this manuscript. Open symbols represent data from Icenhower and London (1995) and Icenhower (1995). The solid black line without an arrow represents a one-to-one correlation of D</w:t>
                      </w:r>
                      <w:r w:rsidRPr="00316912">
                        <w:rPr>
                          <w:rFonts w:cs="Times New Roman"/>
                          <w:i w:val="0"/>
                          <w:sz w:val="20"/>
                          <w:szCs w:val="20"/>
                          <w:vertAlign w:val="subscript"/>
                        </w:rPr>
                        <w:t>FeO</w:t>
                      </w:r>
                      <w:r w:rsidRPr="00316912">
                        <w:rPr>
                          <w:rFonts w:cs="Times New Roman"/>
                          <w:i w:val="0"/>
                          <w:sz w:val="20"/>
                          <w:szCs w:val="20"/>
                        </w:rPr>
                        <w:t xml:space="preserve"> and D</w:t>
                      </w:r>
                      <w:r w:rsidRPr="00316912">
                        <w:rPr>
                          <w:rFonts w:cs="Times New Roman"/>
                          <w:i w:val="0"/>
                          <w:sz w:val="20"/>
                          <w:szCs w:val="20"/>
                          <w:vertAlign w:val="subscript"/>
                        </w:rPr>
                        <w:t>MnO</w:t>
                      </w:r>
                      <w:r w:rsidRPr="00316912">
                        <w:rPr>
                          <w:rFonts w:cs="Times New Roman"/>
                          <w:i w:val="0"/>
                          <w:sz w:val="20"/>
                          <w:szCs w:val="20"/>
                        </w:rPr>
                        <w:t>. The slope of each linear regression (red lines with arrows) represents an exchange coefficient for each mineral, K</w:t>
                      </w:r>
                      <w:r w:rsidRPr="00316912">
                        <w:rPr>
                          <w:rFonts w:cs="Times New Roman"/>
                          <w:i w:val="0"/>
                          <w:sz w:val="20"/>
                          <w:szCs w:val="20"/>
                          <w:vertAlign w:val="subscript"/>
                        </w:rPr>
                        <w:t>DMnO/FeO</w:t>
                      </w:r>
                      <w:r w:rsidRPr="00316912">
                        <w:rPr>
                          <w:rFonts w:cs="Times New Roman"/>
                          <w:i w:val="0"/>
                          <w:sz w:val="20"/>
                          <w:szCs w:val="20"/>
                        </w:rPr>
                        <w:t>. Arrows point in the direction of decreasing temperature. Exchange coefficients for tourmaline-melt (diamonds), cordierite-melt (solid and open circles), and biotite-melt (open triangles) indicate that crystallization of these three minerals will consume FeO from melt at a faster rate than MnO resulting in an increase of the MnO/FeO ratio of melt. Crystallization of garnet alone will result in a decrease of the MnO/FeO ratio of melt. Individual points represent average values calculated per individual experiment. Error bars show 2σ standard errors of the mean, which were propagated through the calculation of partition coefficients.</w:t>
                      </w:r>
                      <w:bookmarkEnd w:id="192"/>
                    </w:p>
                  </w:txbxContent>
                </v:textbox>
                <w10:wrap type="square" anchorx="margin"/>
              </v:shape>
            </w:pict>
          </mc:Fallback>
        </mc:AlternateContent>
      </w:r>
      <w:r>
        <w:rPr>
          <w:rFonts w:cs="Times New Roman"/>
          <w:noProof/>
        </w:rPr>
        <w:drawing>
          <wp:anchor distT="0" distB="0" distL="114300" distR="114300" simplePos="0" relativeHeight="251751424" behindDoc="0" locked="0" layoutInCell="1" allowOverlap="1">
            <wp:simplePos x="1466850" y="3000375"/>
            <wp:positionH relativeFrom="margin">
              <wp:align>right</wp:align>
            </wp:positionH>
            <wp:positionV relativeFrom="margin">
              <wp:align>top</wp:align>
            </wp:positionV>
            <wp:extent cx="2697480" cy="2084388"/>
            <wp:effectExtent l="0" t="0" r="7620" b="0"/>
            <wp:wrapSquare wrapText="bothSides"/>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Fig 7b.tif"/>
                    <pic:cNvPicPr/>
                  </pic:nvPicPr>
                  <pic:blipFill>
                    <a:blip r:embed="rId84" cstate="print">
                      <a:extLst>
                        <a:ext uri="{28A0092B-C50C-407E-A947-70E740481C1C}">
                          <a14:useLocalDpi xmlns:a14="http://schemas.microsoft.com/office/drawing/2010/main" val="0"/>
                        </a:ext>
                      </a:extLst>
                    </a:blip>
                    <a:stretch>
                      <a:fillRect/>
                    </a:stretch>
                  </pic:blipFill>
                  <pic:spPr>
                    <a:xfrm>
                      <a:off x="0" y="0"/>
                      <a:ext cx="2697480" cy="2084388"/>
                    </a:xfrm>
                    <a:prstGeom prst="rect">
                      <a:avLst/>
                    </a:prstGeom>
                  </pic:spPr>
                </pic:pic>
              </a:graphicData>
            </a:graphic>
          </wp:anchor>
        </w:drawing>
      </w:r>
      <w:r>
        <w:rPr>
          <w:rFonts w:cs="Times New Roman"/>
          <w:noProof/>
        </w:rPr>
        <w:drawing>
          <wp:anchor distT="0" distB="0" distL="114300" distR="114300" simplePos="0" relativeHeight="251750400" behindDoc="0" locked="0" layoutInCell="1" allowOverlap="1">
            <wp:simplePos x="1466850" y="914400"/>
            <wp:positionH relativeFrom="margin">
              <wp:align>left</wp:align>
            </wp:positionH>
            <wp:positionV relativeFrom="margin">
              <wp:align>top</wp:align>
            </wp:positionV>
            <wp:extent cx="2697480" cy="2084388"/>
            <wp:effectExtent l="0" t="0" r="7620" b="0"/>
            <wp:wrapSquare wrapText="bothSides"/>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Fig 7a.tif"/>
                    <pic:cNvPicPr/>
                  </pic:nvPicPr>
                  <pic:blipFill>
                    <a:blip r:embed="rId85" cstate="print">
                      <a:extLst>
                        <a:ext uri="{28A0092B-C50C-407E-A947-70E740481C1C}">
                          <a14:useLocalDpi xmlns:a14="http://schemas.microsoft.com/office/drawing/2010/main" val="0"/>
                        </a:ext>
                      </a:extLst>
                    </a:blip>
                    <a:stretch>
                      <a:fillRect/>
                    </a:stretch>
                  </pic:blipFill>
                  <pic:spPr>
                    <a:xfrm>
                      <a:off x="0" y="0"/>
                      <a:ext cx="2697480" cy="2084388"/>
                    </a:xfrm>
                    <a:prstGeom prst="rect">
                      <a:avLst/>
                    </a:prstGeom>
                  </pic:spPr>
                </pic:pic>
              </a:graphicData>
            </a:graphic>
          </wp:anchor>
        </w:drawing>
      </w:r>
    </w:p>
    <w:p w:rsidR="004E1D03" w:rsidRDefault="004E1D03" w:rsidP="004E1D03">
      <w:r>
        <w:br w:type="page"/>
      </w:r>
    </w:p>
    <w:p w:rsidR="004E1D03" w:rsidRDefault="00316912" w:rsidP="00665C0F">
      <w:pPr>
        <w:spacing w:line="480" w:lineRule="auto"/>
        <w:rPr>
          <w:rFonts w:cs="Times New Roman"/>
        </w:rPr>
      </w:pPr>
      <w:r>
        <w:rPr>
          <w:noProof/>
        </w:rPr>
        <mc:AlternateContent>
          <mc:Choice Requires="wps">
            <w:drawing>
              <wp:anchor distT="0" distB="0" distL="114300" distR="114300" simplePos="0" relativeHeight="251757568" behindDoc="0" locked="0" layoutInCell="1" allowOverlap="1" wp14:anchorId="13C95F00" wp14:editId="2F4E4430">
                <wp:simplePos x="0" y="0"/>
                <wp:positionH relativeFrom="margin">
                  <wp:align>right</wp:align>
                </wp:positionH>
                <wp:positionV relativeFrom="paragraph">
                  <wp:posOffset>2143125</wp:posOffset>
                </wp:positionV>
                <wp:extent cx="5383530" cy="635"/>
                <wp:effectExtent l="0" t="0" r="7620" b="8255"/>
                <wp:wrapSquare wrapText="bothSides"/>
                <wp:docPr id="73" name="Text Box 73"/>
                <wp:cNvGraphicFramePr/>
                <a:graphic xmlns:a="http://schemas.openxmlformats.org/drawingml/2006/main">
                  <a:graphicData uri="http://schemas.microsoft.com/office/word/2010/wordprocessingShape">
                    <wps:wsp>
                      <wps:cNvSpPr txBox="1"/>
                      <wps:spPr>
                        <a:xfrm>
                          <a:off x="0" y="0"/>
                          <a:ext cx="5383530" cy="635"/>
                        </a:xfrm>
                        <a:prstGeom prst="rect">
                          <a:avLst/>
                        </a:prstGeom>
                        <a:solidFill>
                          <a:prstClr val="white"/>
                        </a:solidFill>
                        <a:ln>
                          <a:noFill/>
                        </a:ln>
                      </wps:spPr>
                      <wps:txbx>
                        <w:txbxContent>
                          <w:p w:rsidR="006D3B9B" w:rsidRPr="00316912" w:rsidRDefault="006D3B9B" w:rsidP="00316912">
                            <w:pPr>
                              <w:pStyle w:val="Caption"/>
                              <w:rPr>
                                <w:rFonts w:cs="Times New Roman"/>
                                <w:i w:val="0"/>
                                <w:noProof/>
                                <w:sz w:val="20"/>
                                <w:szCs w:val="20"/>
                              </w:rPr>
                            </w:pPr>
                            <w:bookmarkStart w:id="193" w:name="_Toc490130663"/>
                            <w:r w:rsidRPr="00316912">
                              <w:rPr>
                                <w:b/>
                                <w:sz w:val="20"/>
                                <w:szCs w:val="20"/>
                              </w:rPr>
                              <w:t xml:space="preserve">Figure </w:t>
                            </w:r>
                            <w:r>
                              <w:rPr>
                                <w:b/>
                                <w:sz w:val="20"/>
                                <w:szCs w:val="20"/>
                              </w:rPr>
                              <w:fldChar w:fldCharType="begin"/>
                            </w:r>
                            <w:r>
                              <w:rPr>
                                <w:b/>
                                <w:sz w:val="20"/>
                                <w:szCs w:val="20"/>
                              </w:rPr>
                              <w:instrText xml:space="preserve"> STYLEREF 1 \s </w:instrText>
                            </w:r>
                            <w:r>
                              <w:rPr>
                                <w:b/>
                                <w:sz w:val="20"/>
                                <w:szCs w:val="20"/>
                              </w:rPr>
                              <w:fldChar w:fldCharType="separate"/>
                            </w:r>
                            <w:r w:rsidR="000C5FC3">
                              <w:rPr>
                                <w:b/>
                                <w:noProof/>
                                <w:sz w:val="20"/>
                                <w:szCs w:val="20"/>
                              </w:rPr>
                              <w:t>5</w:t>
                            </w:r>
                            <w:r>
                              <w:rPr>
                                <w:b/>
                                <w:sz w:val="20"/>
                                <w:szCs w:val="20"/>
                              </w:rPr>
                              <w:fldChar w:fldCharType="end"/>
                            </w:r>
                            <w:r>
                              <w:rPr>
                                <w:b/>
                                <w:sz w:val="20"/>
                                <w:szCs w:val="20"/>
                              </w:rPr>
                              <w:noBreakHyphen/>
                            </w:r>
                            <w:r>
                              <w:rPr>
                                <w:b/>
                                <w:sz w:val="20"/>
                                <w:szCs w:val="20"/>
                              </w:rPr>
                              <w:fldChar w:fldCharType="begin"/>
                            </w:r>
                            <w:r>
                              <w:rPr>
                                <w:b/>
                                <w:sz w:val="20"/>
                                <w:szCs w:val="20"/>
                              </w:rPr>
                              <w:instrText xml:space="preserve"> SEQ Figure \* ARABIC \s 1 </w:instrText>
                            </w:r>
                            <w:r>
                              <w:rPr>
                                <w:b/>
                                <w:sz w:val="20"/>
                                <w:szCs w:val="20"/>
                              </w:rPr>
                              <w:fldChar w:fldCharType="separate"/>
                            </w:r>
                            <w:r w:rsidR="000C5FC3">
                              <w:rPr>
                                <w:b/>
                                <w:noProof/>
                                <w:sz w:val="20"/>
                                <w:szCs w:val="20"/>
                              </w:rPr>
                              <w:t>8</w:t>
                            </w:r>
                            <w:r>
                              <w:rPr>
                                <w:b/>
                                <w:sz w:val="20"/>
                                <w:szCs w:val="20"/>
                              </w:rPr>
                              <w:fldChar w:fldCharType="end"/>
                            </w:r>
                            <w:r w:rsidRPr="00316912">
                              <w:rPr>
                                <w:i w:val="0"/>
                                <w:sz w:val="20"/>
                                <w:szCs w:val="20"/>
                              </w:rPr>
                              <w:t xml:space="preserve"> (a)</w:t>
                            </w:r>
                            <w:r w:rsidRPr="00316912">
                              <w:rPr>
                                <w:rFonts w:cs="Times New Roman"/>
                                <w:i w:val="0"/>
                                <w:sz w:val="20"/>
                                <w:szCs w:val="20"/>
                              </w:rPr>
                              <w:t xml:space="preserve"> Evolution of the MgO/FeO ratio of granitic melt resulting from fractional crystallization involving garnet, biotite, tourmaline, and cordierite individually. F=1 represent 100% melt (liquid) and F=0 represents complete crystallization. The vertical axis represents values of C/C</w:t>
                            </w:r>
                            <w:r w:rsidRPr="00316912">
                              <w:rPr>
                                <w:rFonts w:cs="Times New Roman"/>
                                <w:i w:val="0"/>
                                <w:sz w:val="20"/>
                                <w:szCs w:val="20"/>
                                <w:vertAlign w:val="subscript"/>
                              </w:rPr>
                              <w:t>o</w:t>
                            </w:r>
                            <w:r w:rsidRPr="00316912">
                              <w:rPr>
                                <w:rFonts w:cs="Times New Roman"/>
                                <w:i w:val="0"/>
                                <w:sz w:val="20"/>
                                <w:szCs w:val="20"/>
                                <w:vertAlign w:val="subscript"/>
                              </w:rPr>
                              <w:softHyphen/>
                            </w:r>
                            <w:r w:rsidRPr="00316912">
                              <w:rPr>
                                <w:rFonts w:cs="Times New Roman"/>
                                <w:i w:val="0"/>
                                <w:sz w:val="20"/>
                                <w:szCs w:val="20"/>
                              </w:rPr>
                              <w:t>. Values of C/C</w:t>
                            </w:r>
                            <w:r w:rsidRPr="00316912">
                              <w:rPr>
                                <w:rFonts w:cs="Times New Roman"/>
                                <w:i w:val="0"/>
                                <w:sz w:val="20"/>
                                <w:szCs w:val="20"/>
                                <w:vertAlign w:val="subscript"/>
                              </w:rPr>
                              <w:t>o</w:t>
                            </w:r>
                            <w:r w:rsidRPr="00316912">
                              <w:rPr>
                                <w:rFonts w:cs="Times New Roman"/>
                                <w:i w:val="0"/>
                                <w:sz w:val="20"/>
                                <w:szCs w:val="20"/>
                              </w:rPr>
                              <w:t xml:space="preserve"> that are greater than one or less than one indicate MgO enrichment or depletion relative to FeO, respectively. Crystallization of garnet alone produces an increase in the MgO/FeO ratio (at 200 MPa). Higher pressures (&gt; 4 kb) may result in a different partitioning behavior. (b) Evolution of the MnO/FeO ratio of granitic melt resulting from fractional crystallization involving garnet, biotite, tourmaline, and cordierite individually. F=1 represent 100% melt and F=0 represents complete crystallization. The vertical axis represents values of C/C</w:t>
                            </w:r>
                            <w:r w:rsidRPr="00316912">
                              <w:rPr>
                                <w:rFonts w:cs="Times New Roman"/>
                                <w:i w:val="0"/>
                                <w:sz w:val="20"/>
                                <w:szCs w:val="20"/>
                                <w:vertAlign w:val="subscript"/>
                              </w:rPr>
                              <w:t>o</w:t>
                            </w:r>
                            <w:r w:rsidRPr="00316912">
                              <w:rPr>
                                <w:rFonts w:cs="Times New Roman"/>
                                <w:i w:val="0"/>
                                <w:sz w:val="20"/>
                                <w:szCs w:val="20"/>
                                <w:vertAlign w:val="subscript"/>
                              </w:rPr>
                              <w:softHyphen/>
                            </w:r>
                            <w:r w:rsidRPr="00316912">
                              <w:rPr>
                                <w:rFonts w:cs="Times New Roman"/>
                                <w:i w:val="0"/>
                                <w:sz w:val="20"/>
                                <w:szCs w:val="20"/>
                              </w:rPr>
                              <w:t>. Values of C/C</w:t>
                            </w:r>
                            <w:r w:rsidRPr="00316912">
                              <w:rPr>
                                <w:rFonts w:cs="Times New Roman"/>
                                <w:i w:val="0"/>
                                <w:sz w:val="20"/>
                                <w:szCs w:val="20"/>
                                <w:vertAlign w:val="subscript"/>
                              </w:rPr>
                              <w:t>o</w:t>
                            </w:r>
                            <w:r w:rsidRPr="00316912">
                              <w:rPr>
                                <w:rFonts w:cs="Times New Roman"/>
                                <w:i w:val="0"/>
                                <w:sz w:val="20"/>
                                <w:szCs w:val="20"/>
                              </w:rPr>
                              <w:t xml:space="preserve"> that are greater than one or less than one indicate MnO enrichment or depletion relative to FeO, respectively. Crystallization of garnet alone results in a decrease of MnO/FeO in melt, whereas, for all other minerals presented, the MnO/FeO ratio of melt increases.</w:t>
                            </w:r>
                            <w:bookmarkEnd w:id="19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3C95F00" id="Text Box 73" o:spid="_x0000_s1063" type="#_x0000_t202" style="position:absolute;margin-left:372.7pt;margin-top:168.75pt;width:423.9pt;height:.05pt;z-index:25175756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" stroked="f">
                <v:textbox style="mso-fit-shape-to-text:t" inset="0,0,0,0">
                  <w:txbxContent>
                    <w:p w:rsidR="006D3B9B" w:rsidRPr="00316912" w:rsidRDefault="006D3B9B" w:rsidP="00316912">
                      <w:pPr>
                        <w:pStyle w:val="Caption"/>
                        <w:rPr>
                          <w:rFonts w:cs="Times New Roman"/>
                          <w:i w:val="0"/>
                          <w:noProof/>
                          <w:sz w:val="20"/>
                          <w:szCs w:val="20"/>
                        </w:rPr>
                      </w:pPr>
                      <w:bookmarkStart w:id="194" w:name="_Toc490130663"/>
                      <w:r w:rsidRPr="00316912">
                        <w:rPr>
                          <w:b/>
                          <w:sz w:val="20"/>
                          <w:szCs w:val="20"/>
                        </w:rPr>
                        <w:t xml:space="preserve">Figure </w:t>
                      </w:r>
                      <w:r>
                        <w:rPr>
                          <w:b/>
                          <w:sz w:val="20"/>
                          <w:szCs w:val="20"/>
                        </w:rPr>
                        <w:fldChar w:fldCharType="begin"/>
                      </w:r>
                      <w:r>
                        <w:rPr>
                          <w:b/>
                          <w:sz w:val="20"/>
                          <w:szCs w:val="20"/>
                        </w:rPr>
                        <w:instrText xml:space="preserve"> STYLEREF 1 \s </w:instrText>
                      </w:r>
                      <w:r>
                        <w:rPr>
                          <w:b/>
                          <w:sz w:val="20"/>
                          <w:szCs w:val="20"/>
                        </w:rPr>
                        <w:fldChar w:fldCharType="separate"/>
                      </w:r>
                      <w:r w:rsidR="000C5FC3">
                        <w:rPr>
                          <w:b/>
                          <w:noProof/>
                          <w:sz w:val="20"/>
                          <w:szCs w:val="20"/>
                        </w:rPr>
                        <w:t>5</w:t>
                      </w:r>
                      <w:r>
                        <w:rPr>
                          <w:b/>
                          <w:sz w:val="20"/>
                          <w:szCs w:val="20"/>
                        </w:rPr>
                        <w:fldChar w:fldCharType="end"/>
                      </w:r>
                      <w:r>
                        <w:rPr>
                          <w:b/>
                          <w:sz w:val="20"/>
                          <w:szCs w:val="20"/>
                        </w:rPr>
                        <w:noBreakHyphen/>
                      </w:r>
                      <w:r>
                        <w:rPr>
                          <w:b/>
                          <w:sz w:val="20"/>
                          <w:szCs w:val="20"/>
                        </w:rPr>
                        <w:fldChar w:fldCharType="begin"/>
                      </w:r>
                      <w:r>
                        <w:rPr>
                          <w:b/>
                          <w:sz w:val="20"/>
                          <w:szCs w:val="20"/>
                        </w:rPr>
                        <w:instrText xml:space="preserve"> SEQ Figure \* ARABIC \s 1 </w:instrText>
                      </w:r>
                      <w:r>
                        <w:rPr>
                          <w:b/>
                          <w:sz w:val="20"/>
                          <w:szCs w:val="20"/>
                        </w:rPr>
                        <w:fldChar w:fldCharType="separate"/>
                      </w:r>
                      <w:r w:rsidR="000C5FC3">
                        <w:rPr>
                          <w:b/>
                          <w:noProof/>
                          <w:sz w:val="20"/>
                          <w:szCs w:val="20"/>
                        </w:rPr>
                        <w:t>8</w:t>
                      </w:r>
                      <w:r>
                        <w:rPr>
                          <w:b/>
                          <w:sz w:val="20"/>
                          <w:szCs w:val="20"/>
                        </w:rPr>
                        <w:fldChar w:fldCharType="end"/>
                      </w:r>
                      <w:r w:rsidRPr="00316912">
                        <w:rPr>
                          <w:i w:val="0"/>
                          <w:sz w:val="20"/>
                          <w:szCs w:val="20"/>
                        </w:rPr>
                        <w:t xml:space="preserve"> (a)</w:t>
                      </w:r>
                      <w:r w:rsidRPr="00316912">
                        <w:rPr>
                          <w:rFonts w:cs="Times New Roman"/>
                          <w:i w:val="0"/>
                          <w:sz w:val="20"/>
                          <w:szCs w:val="20"/>
                        </w:rPr>
                        <w:t xml:space="preserve"> Evolution of the MgO/FeO ratio of granitic melt resulting from fractional crystallization involving garnet, biotite, tourmaline, and cordierite individually. F=1 represent 100% melt (liquid) and F=0 represents complete crystallization. The vertical axis represents values of C/C</w:t>
                      </w:r>
                      <w:r w:rsidRPr="00316912">
                        <w:rPr>
                          <w:rFonts w:cs="Times New Roman"/>
                          <w:i w:val="0"/>
                          <w:sz w:val="20"/>
                          <w:szCs w:val="20"/>
                          <w:vertAlign w:val="subscript"/>
                        </w:rPr>
                        <w:t>o</w:t>
                      </w:r>
                      <w:r w:rsidRPr="00316912">
                        <w:rPr>
                          <w:rFonts w:cs="Times New Roman"/>
                          <w:i w:val="0"/>
                          <w:sz w:val="20"/>
                          <w:szCs w:val="20"/>
                          <w:vertAlign w:val="subscript"/>
                        </w:rPr>
                        <w:softHyphen/>
                      </w:r>
                      <w:r w:rsidRPr="00316912">
                        <w:rPr>
                          <w:rFonts w:cs="Times New Roman"/>
                          <w:i w:val="0"/>
                          <w:sz w:val="20"/>
                          <w:szCs w:val="20"/>
                        </w:rPr>
                        <w:t>. Values of C/C</w:t>
                      </w:r>
                      <w:r w:rsidRPr="00316912">
                        <w:rPr>
                          <w:rFonts w:cs="Times New Roman"/>
                          <w:i w:val="0"/>
                          <w:sz w:val="20"/>
                          <w:szCs w:val="20"/>
                          <w:vertAlign w:val="subscript"/>
                        </w:rPr>
                        <w:t>o</w:t>
                      </w:r>
                      <w:r w:rsidRPr="00316912">
                        <w:rPr>
                          <w:rFonts w:cs="Times New Roman"/>
                          <w:i w:val="0"/>
                          <w:sz w:val="20"/>
                          <w:szCs w:val="20"/>
                        </w:rPr>
                        <w:t xml:space="preserve"> that are greater than one or less than one indicate MgO enrichment or depletion relative to FeO, respectively. Crystallization of garnet alone produces an increase in the MgO/FeO ratio (at 200 MPa). Higher pressures (&gt; 4 kb) may result in a different partitioning behavior. (b) Evolution of the MnO/FeO ratio of granitic melt resulting from fractional crystallization involving garnet, biotite, tourmaline, and cordierite individually. F=1 represent 100% melt and F=0 represents complete crystallization. The vertical axis represents values of C/C</w:t>
                      </w:r>
                      <w:r w:rsidRPr="00316912">
                        <w:rPr>
                          <w:rFonts w:cs="Times New Roman"/>
                          <w:i w:val="0"/>
                          <w:sz w:val="20"/>
                          <w:szCs w:val="20"/>
                          <w:vertAlign w:val="subscript"/>
                        </w:rPr>
                        <w:t>o</w:t>
                      </w:r>
                      <w:r w:rsidRPr="00316912">
                        <w:rPr>
                          <w:rFonts w:cs="Times New Roman"/>
                          <w:i w:val="0"/>
                          <w:sz w:val="20"/>
                          <w:szCs w:val="20"/>
                          <w:vertAlign w:val="subscript"/>
                        </w:rPr>
                        <w:softHyphen/>
                      </w:r>
                      <w:r w:rsidRPr="00316912">
                        <w:rPr>
                          <w:rFonts w:cs="Times New Roman"/>
                          <w:i w:val="0"/>
                          <w:sz w:val="20"/>
                          <w:szCs w:val="20"/>
                        </w:rPr>
                        <w:t>. Values of C/C</w:t>
                      </w:r>
                      <w:r w:rsidRPr="00316912">
                        <w:rPr>
                          <w:rFonts w:cs="Times New Roman"/>
                          <w:i w:val="0"/>
                          <w:sz w:val="20"/>
                          <w:szCs w:val="20"/>
                          <w:vertAlign w:val="subscript"/>
                        </w:rPr>
                        <w:t>o</w:t>
                      </w:r>
                      <w:r w:rsidRPr="00316912">
                        <w:rPr>
                          <w:rFonts w:cs="Times New Roman"/>
                          <w:i w:val="0"/>
                          <w:sz w:val="20"/>
                          <w:szCs w:val="20"/>
                        </w:rPr>
                        <w:t xml:space="preserve"> that are greater than one or less than one indicate MnO enrichment or depletion relative to FeO, respectively. Crystallization of garnet alone results in a decrease of MnO/FeO in melt, whereas, for all other minerals presented, the MnO/FeO ratio of melt increases.</w:t>
                      </w:r>
                      <w:bookmarkEnd w:id="194"/>
                    </w:p>
                  </w:txbxContent>
                </v:textbox>
                <w10:wrap type="square" anchorx="margin"/>
              </v:shape>
            </w:pict>
          </mc:Fallback>
        </mc:AlternateContent>
      </w:r>
      <w:r>
        <w:rPr>
          <w:rFonts w:cs="Times New Roman"/>
          <w:noProof/>
        </w:rPr>
        <w:drawing>
          <wp:anchor distT="0" distB="0" distL="114300" distR="114300" simplePos="0" relativeHeight="251755520" behindDoc="0" locked="0" layoutInCell="1" allowOverlap="1">
            <wp:simplePos x="1466850" y="3000375"/>
            <wp:positionH relativeFrom="margin">
              <wp:align>right</wp:align>
            </wp:positionH>
            <wp:positionV relativeFrom="margin">
              <wp:align>top</wp:align>
            </wp:positionV>
            <wp:extent cx="2697480" cy="2084388"/>
            <wp:effectExtent l="0" t="0" r="7620" b="0"/>
            <wp:wrapSquare wrapText="bothSides"/>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Fig 8b.tif"/>
                    <pic:cNvPicPr/>
                  </pic:nvPicPr>
                  <pic:blipFill>
                    <a:blip r:embed="rId86" cstate="print">
                      <a:extLst>
                        <a:ext uri="{28A0092B-C50C-407E-A947-70E740481C1C}">
                          <a14:useLocalDpi xmlns:a14="http://schemas.microsoft.com/office/drawing/2010/main" val="0"/>
                        </a:ext>
                      </a:extLst>
                    </a:blip>
                    <a:stretch>
                      <a:fillRect/>
                    </a:stretch>
                  </pic:blipFill>
                  <pic:spPr>
                    <a:xfrm>
                      <a:off x="0" y="0"/>
                      <a:ext cx="2697480" cy="2084388"/>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w:noProof/>
        </w:rPr>
        <w:drawing>
          <wp:anchor distT="0" distB="0" distL="114300" distR="114300" simplePos="0" relativeHeight="251754496" behindDoc="0" locked="0" layoutInCell="1" allowOverlap="1">
            <wp:simplePos x="1466850" y="914400"/>
            <wp:positionH relativeFrom="margin">
              <wp:align>left</wp:align>
            </wp:positionH>
            <wp:positionV relativeFrom="margin">
              <wp:align>top</wp:align>
            </wp:positionV>
            <wp:extent cx="2697480" cy="2084388"/>
            <wp:effectExtent l="0" t="0" r="7620" b="0"/>
            <wp:wrapSquare wrapText="bothSides"/>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Fig 8a.tif"/>
                    <pic:cNvPicPr/>
                  </pic:nvPicPr>
                  <pic:blipFill>
                    <a:blip r:embed="rId87" cstate="print">
                      <a:extLst>
                        <a:ext uri="{28A0092B-C50C-407E-A947-70E740481C1C}">
                          <a14:useLocalDpi xmlns:a14="http://schemas.microsoft.com/office/drawing/2010/main" val="0"/>
                        </a:ext>
                      </a:extLst>
                    </a:blip>
                    <a:stretch>
                      <a:fillRect/>
                    </a:stretch>
                  </pic:blipFill>
                  <pic:spPr>
                    <a:xfrm>
                      <a:off x="0" y="0"/>
                      <a:ext cx="2697480" cy="2084388"/>
                    </a:xfrm>
                    <a:prstGeom prst="rect">
                      <a:avLst/>
                    </a:prstGeom>
                  </pic:spPr>
                </pic:pic>
              </a:graphicData>
            </a:graphic>
          </wp:anchor>
        </w:drawing>
      </w:r>
    </w:p>
    <w:p w:rsidR="004E1D03" w:rsidRDefault="004E1D03" w:rsidP="004E1D03">
      <w:r>
        <w:br w:type="page"/>
      </w:r>
    </w:p>
    <w:p w:rsidR="004E1D03" w:rsidRDefault="00316912" w:rsidP="00665C0F">
      <w:pPr>
        <w:spacing w:line="480" w:lineRule="auto"/>
        <w:rPr>
          <w:rFonts w:cs="Times New Roman"/>
        </w:rPr>
      </w:pPr>
      <w:r>
        <w:rPr>
          <w:noProof/>
        </w:rPr>
        <mc:AlternateContent>
          <mc:Choice Requires="wps">
            <w:drawing>
              <wp:anchor distT="0" distB="0" distL="114300" distR="114300" simplePos="0" relativeHeight="251760640" behindDoc="0" locked="0" layoutInCell="1" allowOverlap="1" wp14:anchorId="2BDB61A6" wp14:editId="1A3DEE01">
                <wp:simplePos x="0" y="0"/>
                <wp:positionH relativeFrom="column">
                  <wp:posOffset>0</wp:posOffset>
                </wp:positionH>
                <wp:positionV relativeFrom="paragraph">
                  <wp:posOffset>4225925</wp:posOffset>
                </wp:positionV>
                <wp:extent cx="5394960" cy="635"/>
                <wp:effectExtent l="0" t="0" r="0" b="0"/>
                <wp:wrapSquare wrapText="bothSides"/>
                <wp:docPr id="75" name="Text Box 75"/>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rsidR="006D3B9B" w:rsidRPr="00316912" w:rsidRDefault="006D3B9B" w:rsidP="00316912">
                            <w:pPr>
                              <w:pStyle w:val="Caption"/>
                              <w:rPr>
                                <w:rFonts w:cs="Times New Roman"/>
                                <w:i w:val="0"/>
                                <w:noProof/>
                                <w:sz w:val="24"/>
                                <w:szCs w:val="24"/>
                              </w:rPr>
                            </w:pPr>
                            <w:bookmarkStart w:id="195" w:name="_Toc490130664"/>
                            <w:r w:rsidRPr="00316912">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5</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9</w:t>
                            </w:r>
                            <w:r>
                              <w:rPr>
                                <w:b/>
                                <w:sz w:val="24"/>
                                <w:szCs w:val="24"/>
                              </w:rPr>
                              <w:fldChar w:fldCharType="end"/>
                            </w:r>
                            <w:r w:rsidRPr="00316912">
                              <w:rPr>
                                <w:rFonts w:cs="Times New Roman"/>
                                <w:i w:val="0"/>
                                <w:sz w:val="24"/>
                                <w:szCs w:val="24"/>
                              </w:rPr>
                              <w:t xml:space="preserve"> Rayleigh fractional crystallization model for a parental, S-type granite liquid. The black line represents results of Rayleigh model and the red line denotes the MnO saturation surface for garnet in B-bearing, hydrous granitic melt. The model entails crystallization of a cordierite-biotite granite between F=1.0 and F=0.8, a biotite granite between F=0.8 and F=0.3, and a muscovite-biotite granite between F=0.3 and 0.0. The inflection of the red line at F=0.8 and F=0.3 is caused by a change in the slope of T/F (temperature/liquid fraction) at those points. Parameters for the Rayleigh model are reported in Table 7 (</w:t>
                            </w:r>
                            <w:r>
                              <w:rPr>
                                <w:rFonts w:cs="Times New Roman"/>
                                <w:i w:val="0"/>
                                <w:sz w:val="24"/>
                                <w:szCs w:val="24"/>
                              </w:rPr>
                              <w:t>Appendix 2</w:t>
                            </w:r>
                            <w:r w:rsidRPr="00316912">
                              <w:rPr>
                                <w:rFonts w:cs="Times New Roman"/>
                                <w:i w:val="0"/>
                                <w:sz w:val="24"/>
                                <w:szCs w:val="24"/>
                              </w:rPr>
                              <w:t>).</w:t>
                            </w:r>
                            <w:bookmarkEnd w:id="19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BDB61A6" id="Text Box 75" o:spid="_x0000_s1064" type="#_x0000_t202" style="position:absolute;margin-left:0;margin-top:332.75pt;width:424.8pt;height:.05pt;z-index:251760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" stroked="f">
                <v:textbox style="mso-fit-shape-to-text:t" inset="0,0,0,0">
                  <w:txbxContent>
                    <w:p w:rsidR="006D3B9B" w:rsidRPr="00316912" w:rsidRDefault="006D3B9B" w:rsidP="00316912">
                      <w:pPr>
                        <w:pStyle w:val="Caption"/>
                        <w:rPr>
                          <w:rFonts w:cs="Times New Roman"/>
                          <w:i w:val="0"/>
                          <w:noProof/>
                          <w:sz w:val="24"/>
                          <w:szCs w:val="24"/>
                        </w:rPr>
                      </w:pPr>
                      <w:bookmarkStart w:id="196" w:name="_Toc490130664"/>
                      <w:r w:rsidRPr="00316912">
                        <w:rPr>
                          <w:b/>
                          <w:sz w:val="24"/>
                          <w:szCs w:val="24"/>
                        </w:rPr>
                        <w:t xml:space="preserve">Figure </w:t>
                      </w:r>
                      <w:r>
                        <w:rPr>
                          <w:b/>
                          <w:sz w:val="24"/>
                          <w:szCs w:val="24"/>
                        </w:rPr>
                        <w:fldChar w:fldCharType="begin"/>
                      </w:r>
                      <w:r>
                        <w:rPr>
                          <w:b/>
                          <w:sz w:val="24"/>
                          <w:szCs w:val="24"/>
                        </w:rPr>
                        <w:instrText xml:space="preserve"> STYLEREF 1 \s </w:instrText>
                      </w:r>
                      <w:r>
                        <w:rPr>
                          <w:b/>
                          <w:sz w:val="24"/>
                          <w:szCs w:val="24"/>
                        </w:rPr>
                        <w:fldChar w:fldCharType="separate"/>
                      </w:r>
                      <w:r w:rsidR="000C5FC3">
                        <w:rPr>
                          <w:b/>
                          <w:noProof/>
                          <w:sz w:val="24"/>
                          <w:szCs w:val="24"/>
                        </w:rPr>
                        <w:t>5</w:t>
                      </w:r>
                      <w:r>
                        <w:rPr>
                          <w:b/>
                          <w:sz w:val="24"/>
                          <w:szCs w:val="24"/>
                        </w:rPr>
                        <w:fldChar w:fldCharType="end"/>
                      </w:r>
                      <w:r>
                        <w:rPr>
                          <w:b/>
                          <w:sz w:val="24"/>
                          <w:szCs w:val="24"/>
                        </w:rPr>
                        <w:noBreakHyphen/>
                      </w:r>
                      <w:r>
                        <w:rPr>
                          <w:b/>
                          <w:sz w:val="24"/>
                          <w:szCs w:val="24"/>
                        </w:rPr>
                        <w:fldChar w:fldCharType="begin"/>
                      </w:r>
                      <w:r>
                        <w:rPr>
                          <w:b/>
                          <w:sz w:val="24"/>
                          <w:szCs w:val="24"/>
                        </w:rPr>
                        <w:instrText xml:space="preserve"> SEQ Figure \* ARABIC \s 1 </w:instrText>
                      </w:r>
                      <w:r>
                        <w:rPr>
                          <w:b/>
                          <w:sz w:val="24"/>
                          <w:szCs w:val="24"/>
                        </w:rPr>
                        <w:fldChar w:fldCharType="separate"/>
                      </w:r>
                      <w:r w:rsidR="000C5FC3">
                        <w:rPr>
                          <w:b/>
                          <w:noProof/>
                          <w:sz w:val="24"/>
                          <w:szCs w:val="24"/>
                        </w:rPr>
                        <w:t>9</w:t>
                      </w:r>
                      <w:r>
                        <w:rPr>
                          <w:b/>
                          <w:sz w:val="24"/>
                          <w:szCs w:val="24"/>
                        </w:rPr>
                        <w:fldChar w:fldCharType="end"/>
                      </w:r>
                      <w:r w:rsidRPr="00316912">
                        <w:rPr>
                          <w:rFonts w:cs="Times New Roman"/>
                          <w:i w:val="0"/>
                          <w:sz w:val="24"/>
                          <w:szCs w:val="24"/>
                        </w:rPr>
                        <w:t xml:space="preserve"> Rayleigh fractional crystallization model for a parental, S-type granite liquid. The black line represents results of Rayleigh model and the red line denotes the MnO saturation surface for garnet in B-bearing, hydrous granitic melt. The model entails crystallization of a cordierite-biotite granite between F=1.0 and F=0.8, a biotite granite between F=0.8 and F=0.3, and a muscovite-biotite granite between F=0.3 and 0.0. The inflection of the red line at F=0.8 and F=0.3 is caused by a change in the slope of T/F (temperature/liquid fraction) at those points. Parameters for the Rayleigh model are reported in Table 7 (</w:t>
                      </w:r>
                      <w:r>
                        <w:rPr>
                          <w:rFonts w:cs="Times New Roman"/>
                          <w:i w:val="0"/>
                          <w:sz w:val="24"/>
                          <w:szCs w:val="24"/>
                        </w:rPr>
                        <w:t>Appendix 2</w:t>
                      </w:r>
                      <w:r w:rsidRPr="00316912">
                        <w:rPr>
                          <w:rFonts w:cs="Times New Roman"/>
                          <w:i w:val="0"/>
                          <w:sz w:val="24"/>
                          <w:szCs w:val="24"/>
                        </w:rPr>
                        <w:t>).</w:t>
                      </w:r>
                      <w:bookmarkEnd w:id="196"/>
                    </w:p>
                  </w:txbxContent>
                </v:textbox>
                <w10:wrap type="square"/>
              </v:shape>
            </w:pict>
          </mc:Fallback>
        </mc:AlternateContent>
      </w:r>
      <w:r>
        <w:rPr>
          <w:rFonts w:cs="Times New Roman"/>
          <w:noProof/>
        </w:rPr>
        <w:drawing>
          <wp:anchor distT="0" distB="0" distL="114300" distR="114300" simplePos="0" relativeHeight="251758592" behindDoc="0" locked="0" layoutInCell="1" allowOverlap="1">
            <wp:simplePos x="1466850" y="914400"/>
            <wp:positionH relativeFrom="margin">
              <wp:align>center</wp:align>
            </wp:positionH>
            <wp:positionV relativeFrom="margin">
              <wp:align>top</wp:align>
            </wp:positionV>
            <wp:extent cx="5394960" cy="4168775"/>
            <wp:effectExtent l="0" t="0" r="0" b="3175"/>
            <wp:wrapSquare wrapText="bothSides"/>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Fig 9.tif"/>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394960" cy="4168775"/>
                    </a:xfrm>
                    <a:prstGeom prst="rect">
                      <a:avLst/>
                    </a:prstGeom>
                  </pic:spPr>
                </pic:pic>
              </a:graphicData>
            </a:graphic>
          </wp:anchor>
        </w:drawing>
      </w:r>
    </w:p>
    <w:p w:rsidR="004E1D03" w:rsidRDefault="004E1D03" w:rsidP="004E1D03">
      <w:r>
        <w:br w:type="page"/>
      </w:r>
    </w:p>
    <w:p w:rsidR="00740B7D" w:rsidRDefault="00740B7D" w:rsidP="00665C0F">
      <w:pPr>
        <w:spacing w:line="480" w:lineRule="auto"/>
        <w:rPr>
          <w:rFonts w:cs="Times New Roman"/>
        </w:rPr>
        <w:sectPr w:rsidR="00740B7D" w:rsidSect="00D500E4">
          <w:footerReference w:type="default" r:id="rId89"/>
          <w:pgSz w:w="12240" w:h="15840"/>
          <w:pgMar w:top="1440" w:right="1440" w:bottom="1440" w:left="2304" w:header="720" w:footer="720" w:gutter="0"/>
          <w:cols w:space="720"/>
          <w:docGrid w:linePitch="360"/>
        </w:sectPr>
      </w:pPr>
    </w:p>
    <w:p w:rsidR="00740B7D" w:rsidRPr="00740B7D" w:rsidRDefault="00740B7D" w:rsidP="00740B7D">
      <w:pPr>
        <w:pStyle w:val="Caption"/>
        <w:keepNext/>
        <w:jc w:val="center"/>
        <w:rPr>
          <w:sz w:val="24"/>
          <w:szCs w:val="24"/>
        </w:rPr>
      </w:pPr>
      <w:bookmarkStart w:id="197" w:name="_Toc490131693"/>
      <w:r w:rsidRPr="00740B7D">
        <w:rPr>
          <w:sz w:val="24"/>
          <w:szCs w:val="24"/>
        </w:rPr>
        <w:t xml:space="preserve">Table </w:t>
      </w:r>
      <w:r w:rsidR="00B23FDA">
        <w:rPr>
          <w:sz w:val="24"/>
          <w:szCs w:val="24"/>
        </w:rPr>
        <w:fldChar w:fldCharType="begin"/>
      </w:r>
      <w:r w:rsidR="00B23FDA">
        <w:rPr>
          <w:sz w:val="24"/>
          <w:szCs w:val="24"/>
        </w:rPr>
        <w:instrText xml:space="preserve"> STYLEREF 1 \s </w:instrText>
      </w:r>
      <w:r w:rsidR="00B23FDA">
        <w:rPr>
          <w:sz w:val="24"/>
          <w:szCs w:val="24"/>
        </w:rPr>
        <w:fldChar w:fldCharType="separate"/>
      </w:r>
      <w:r w:rsidR="000C5FC3">
        <w:rPr>
          <w:noProof/>
          <w:sz w:val="24"/>
          <w:szCs w:val="24"/>
        </w:rPr>
        <w:t>5</w:t>
      </w:r>
      <w:r w:rsidR="00B23FDA">
        <w:rPr>
          <w:sz w:val="24"/>
          <w:szCs w:val="24"/>
        </w:rPr>
        <w:fldChar w:fldCharType="end"/>
      </w:r>
      <w:r w:rsidR="00B23FDA">
        <w:rPr>
          <w:sz w:val="24"/>
          <w:szCs w:val="24"/>
        </w:rPr>
        <w:noBreakHyphen/>
      </w:r>
      <w:r w:rsidR="00B23FDA">
        <w:rPr>
          <w:sz w:val="24"/>
          <w:szCs w:val="24"/>
        </w:rPr>
        <w:fldChar w:fldCharType="begin"/>
      </w:r>
      <w:r w:rsidR="00B23FDA">
        <w:rPr>
          <w:sz w:val="24"/>
          <w:szCs w:val="24"/>
        </w:rPr>
        <w:instrText xml:space="preserve"> SEQ Table \* ARABIC \s 1 </w:instrText>
      </w:r>
      <w:r w:rsidR="00B23FDA">
        <w:rPr>
          <w:sz w:val="24"/>
          <w:szCs w:val="24"/>
        </w:rPr>
        <w:fldChar w:fldCharType="separate"/>
      </w:r>
      <w:r w:rsidR="000C5FC3">
        <w:rPr>
          <w:noProof/>
          <w:sz w:val="24"/>
          <w:szCs w:val="24"/>
        </w:rPr>
        <w:t>1</w:t>
      </w:r>
      <w:r w:rsidR="00B23FDA">
        <w:rPr>
          <w:sz w:val="24"/>
          <w:szCs w:val="24"/>
        </w:rPr>
        <w:fldChar w:fldCharType="end"/>
      </w:r>
      <w:r w:rsidRPr="00740B7D">
        <w:rPr>
          <w:rFonts w:eastAsia="Times New Roman" w:cs="Times New Roman"/>
          <w:color w:val="000000"/>
          <w:sz w:val="24"/>
          <w:szCs w:val="24"/>
        </w:rPr>
        <w:t xml:space="preserve"> Compositions of Starting Materials</w:t>
      </w:r>
      <w:bookmarkEnd w:id="197"/>
    </w:p>
    <w:tbl>
      <w:tblPr>
        <w:tblW w:w="11491" w:type="dxa"/>
        <w:jc w:val="center"/>
        <w:tblCellMar>
          <w:top w:w="15" w:type="dxa"/>
          <w:bottom w:w="15" w:type="dxa"/>
        </w:tblCellMar>
        <w:tblLook w:val="04A0" w:firstRow="1" w:lastRow="0" w:firstColumn="1" w:lastColumn="0" w:noHBand="0" w:noVBand="1"/>
      </w:tblPr>
      <w:tblGrid>
        <w:gridCol w:w="800"/>
        <w:gridCol w:w="1567"/>
        <w:gridCol w:w="1013"/>
        <w:gridCol w:w="1611"/>
        <w:gridCol w:w="1300"/>
        <w:gridCol w:w="1300"/>
        <w:gridCol w:w="1300"/>
        <w:gridCol w:w="1300"/>
        <w:gridCol w:w="1300"/>
      </w:tblGrid>
      <w:tr w:rsidR="00740B7D" w:rsidRPr="00561012" w:rsidTr="00740B7D">
        <w:trPr>
          <w:trHeight w:val="420"/>
          <w:jc w:val="center"/>
        </w:trPr>
        <w:tc>
          <w:tcPr>
            <w:tcW w:w="800" w:type="dxa"/>
            <w:tcBorders>
              <w:top w:val="nil"/>
              <w:left w:val="nil"/>
              <w:bottom w:val="nil"/>
              <w:right w:val="nil"/>
            </w:tcBorders>
            <w:noWrap/>
            <w:vAlign w:val="center"/>
            <w:hideMark/>
          </w:tcPr>
          <w:p w:rsidR="00740B7D" w:rsidRPr="00561012" w:rsidRDefault="00740B7D" w:rsidP="00740B7D">
            <w:pPr>
              <w:spacing w:after="0"/>
              <w:jc w:val="right"/>
              <w:rPr>
                <w:rFonts w:eastAsia="Times New Roman" w:cs="Times New Roman"/>
                <w:color w:val="000000"/>
                <w:sz w:val="18"/>
                <w:szCs w:val="18"/>
              </w:rPr>
            </w:pPr>
            <w:r w:rsidRPr="00561012">
              <w:rPr>
                <w:rFonts w:eastAsia="Times New Roman" w:cs="Times New Roman"/>
                <w:color w:val="000000"/>
                <w:sz w:val="18"/>
                <w:szCs w:val="18"/>
              </w:rPr>
              <w:t>Mineral</w:t>
            </w:r>
          </w:p>
        </w:tc>
        <w:tc>
          <w:tcPr>
            <w:tcW w:w="1567" w:type="dxa"/>
            <w:tcBorders>
              <w:top w:val="single" w:sz="4" w:space="0" w:color="auto"/>
              <w:left w:val="nil"/>
              <w:bottom w:val="nil"/>
              <w:right w:val="nil"/>
            </w:tcBorders>
            <w:noWrap/>
            <w:vAlign w:val="center"/>
            <w:hideMark/>
          </w:tcPr>
          <w:p w:rsidR="00740B7D" w:rsidRPr="00561012" w:rsidRDefault="00740B7D" w:rsidP="00740B7D">
            <w:pPr>
              <w:spacing w:after="0"/>
              <w:jc w:val="center"/>
              <w:rPr>
                <w:rFonts w:eastAsia="Times New Roman" w:cs="Times New Roman"/>
                <w:color w:val="000000"/>
                <w:sz w:val="18"/>
                <w:szCs w:val="18"/>
                <w:u w:val="single"/>
              </w:rPr>
            </w:pPr>
            <w:r w:rsidRPr="00561012">
              <w:rPr>
                <w:rFonts w:eastAsia="Times New Roman" w:cs="Times New Roman"/>
                <w:color w:val="000000"/>
                <w:sz w:val="18"/>
                <w:szCs w:val="18"/>
                <w:u w:val="single"/>
              </w:rPr>
              <w:t>Orthoclase</w:t>
            </w:r>
          </w:p>
        </w:tc>
        <w:tc>
          <w:tcPr>
            <w:tcW w:w="1013" w:type="dxa"/>
            <w:tcBorders>
              <w:top w:val="single" w:sz="4" w:space="0" w:color="auto"/>
              <w:left w:val="nil"/>
              <w:bottom w:val="nil"/>
              <w:right w:val="nil"/>
            </w:tcBorders>
            <w:noWrap/>
            <w:vAlign w:val="center"/>
            <w:hideMark/>
          </w:tcPr>
          <w:p w:rsidR="00740B7D" w:rsidRPr="00561012" w:rsidRDefault="00740B7D" w:rsidP="00740B7D">
            <w:pPr>
              <w:spacing w:after="0"/>
              <w:jc w:val="center"/>
              <w:rPr>
                <w:rFonts w:eastAsia="Times New Roman" w:cs="Times New Roman"/>
                <w:color w:val="000000"/>
                <w:sz w:val="18"/>
                <w:szCs w:val="18"/>
                <w:u w:val="single"/>
              </w:rPr>
            </w:pPr>
            <w:r w:rsidRPr="00561012">
              <w:rPr>
                <w:rFonts w:eastAsia="Times New Roman" w:cs="Times New Roman"/>
                <w:color w:val="000000"/>
                <w:sz w:val="18"/>
                <w:szCs w:val="18"/>
                <w:u w:val="single"/>
              </w:rPr>
              <w:t>Albite</w:t>
            </w:r>
          </w:p>
        </w:tc>
        <w:tc>
          <w:tcPr>
            <w:tcW w:w="1611" w:type="dxa"/>
            <w:tcBorders>
              <w:top w:val="single" w:sz="4" w:space="0" w:color="auto"/>
              <w:left w:val="nil"/>
              <w:bottom w:val="nil"/>
              <w:right w:val="nil"/>
            </w:tcBorders>
            <w:noWrap/>
            <w:vAlign w:val="center"/>
            <w:hideMark/>
          </w:tcPr>
          <w:p w:rsidR="00740B7D" w:rsidRPr="00561012" w:rsidRDefault="00740B7D" w:rsidP="00740B7D">
            <w:pPr>
              <w:spacing w:after="0"/>
              <w:jc w:val="center"/>
              <w:rPr>
                <w:rFonts w:eastAsia="Times New Roman" w:cs="Times New Roman"/>
                <w:color w:val="000000"/>
                <w:sz w:val="18"/>
                <w:szCs w:val="18"/>
                <w:u w:val="single"/>
              </w:rPr>
            </w:pPr>
            <w:r w:rsidRPr="00561012">
              <w:rPr>
                <w:rFonts w:eastAsia="Times New Roman" w:cs="Times New Roman"/>
                <w:color w:val="000000"/>
                <w:sz w:val="18"/>
                <w:szCs w:val="18"/>
                <w:u w:val="single"/>
              </w:rPr>
              <w:t>Forsterite</w:t>
            </w:r>
          </w:p>
        </w:tc>
        <w:tc>
          <w:tcPr>
            <w:tcW w:w="1300" w:type="dxa"/>
            <w:tcBorders>
              <w:top w:val="single" w:sz="4" w:space="0" w:color="auto"/>
              <w:left w:val="nil"/>
              <w:bottom w:val="nil"/>
              <w:right w:val="nil"/>
            </w:tcBorders>
            <w:noWrap/>
            <w:vAlign w:val="center"/>
            <w:hideMark/>
          </w:tcPr>
          <w:p w:rsidR="00740B7D" w:rsidRPr="00561012" w:rsidRDefault="00740B7D" w:rsidP="00740B7D">
            <w:pPr>
              <w:spacing w:after="0"/>
              <w:jc w:val="center"/>
              <w:rPr>
                <w:rFonts w:eastAsia="Times New Roman" w:cs="Times New Roman"/>
                <w:color w:val="000000"/>
                <w:sz w:val="18"/>
                <w:szCs w:val="18"/>
                <w:u w:val="single"/>
              </w:rPr>
            </w:pPr>
            <w:r w:rsidRPr="00561012">
              <w:rPr>
                <w:rFonts w:eastAsia="Times New Roman" w:cs="Times New Roman"/>
                <w:color w:val="000000"/>
                <w:sz w:val="18"/>
                <w:szCs w:val="18"/>
                <w:u w:val="single"/>
              </w:rPr>
              <w:t>Mn-Fayalite</w:t>
            </w:r>
          </w:p>
        </w:tc>
        <w:tc>
          <w:tcPr>
            <w:tcW w:w="1300" w:type="dxa"/>
            <w:tcBorders>
              <w:top w:val="single" w:sz="4" w:space="0" w:color="auto"/>
              <w:left w:val="nil"/>
              <w:bottom w:val="nil"/>
              <w:right w:val="nil"/>
            </w:tcBorders>
            <w:noWrap/>
            <w:vAlign w:val="center"/>
            <w:hideMark/>
          </w:tcPr>
          <w:p w:rsidR="00740B7D" w:rsidRPr="00561012" w:rsidRDefault="00740B7D" w:rsidP="00740B7D">
            <w:pPr>
              <w:spacing w:after="0"/>
              <w:jc w:val="center"/>
              <w:rPr>
                <w:rFonts w:eastAsia="Times New Roman" w:cs="Times New Roman"/>
                <w:color w:val="000000"/>
                <w:sz w:val="18"/>
                <w:szCs w:val="18"/>
                <w:u w:val="single"/>
              </w:rPr>
            </w:pPr>
            <w:r w:rsidRPr="00561012">
              <w:rPr>
                <w:rFonts w:eastAsia="Times New Roman" w:cs="Times New Roman"/>
                <w:color w:val="000000"/>
                <w:sz w:val="18"/>
                <w:szCs w:val="18"/>
                <w:u w:val="single"/>
              </w:rPr>
              <w:t>Rhodonite</w:t>
            </w:r>
          </w:p>
        </w:tc>
        <w:tc>
          <w:tcPr>
            <w:tcW w:w="1300" w:type="dxa"/>
            <w:tcBorders>
              <w:top w:val="single" w:sz="4" w:space="0" w:color="auto"/>
              <w:left w:val="nil"/>
              <w:bottom w:val="nil"/>
              <w:right w:val="nil"/>
            </w:tcBorders>
            <w:noWrap/>
            <w:vAlign w:val="center"/>
            <w:hideMark/>
          </w:tcPr>
          <w:p w:rsidR="00740B7D" w:rsidRPr="00561012" w:rsidRDefault="00740B7D" w:rsidP="00740B7D">
            <w:pPr>
              <w:spacing w:after="0"/>
              <w:jc w:val="center"/>
              <w:rPr>
                <w:rFonts w:eastAsia="Times New Roman" w:cs="Times New Roman"/>
                <w:color w:val="000000"/>
                <w:sz w:val="18"/>
                <w:szCs w:val="18"/>
                <w:u w:val="single"/>
              </w:rPr>
            </w:pPr>
            <w:r w:rsidRPr="00561012">
              <w:rPr>
                <w:rFonts w:eastAsia="Times New Roman" w:cs="Times New Roman"/>
                <w:color w:val="000000"/>
                <w:sz w:val="18"/>
                <w:szCs w:val="18"/>
                <w:u w:val="single"/>
              </w:rPr>
              <w:t>Spessartine</w:t>
            </w:r>
          </w:p>
        </w:tc>
        <w:tc>
          <w:tcPr>
            <w:tcW w:w="1300" w:type="dxa"/>
            <w:tcBorders>
              <w:top w:val="single" w:sz="4" w:space="0" w:color="auto"/>
              <w:left w:val="nil"/>
              <w:bottom w:val="nil"/>
              <w:right w:val="nil"/>
            </w:tcBorders>
            <w:noWrap/>
            <w:vAlign w:val="center"/>
            <w:hideMark/>
          </w:tcPr>
          <w:p w:rsidR="00740B7D" w:rsidRPr="00561012" w:rsidRDefault="00740B7D" w:rsidP="00740B7D">
            <w:pPr>
              <w:spacing w:after="0"/>
              <w:jc w:val="center"/>
              <w:rPr>
                <w:rFonts w:eastAsia="Times New Roman" w:cs="Times New Roman"/>
                <w:color w:val="000000"/>
                <w:sz w:val="18"/>
                <w:szCs w:val="18"/>
                <w:u w:val="single"/>
              </w:rPr>
            </w:pPr>
            <w:r w:rsidRPr="00561012">
              <w:rPr>
                <w:rFonts w:eastAsia="Times New Roman" w:cs="Times New Roman"/>
                <w:color w:val="000000"/>
                <w:sz w:val="18"/>
                <w:szCs w:val="18"/>
                <w:u w:val="single"/>
              </w:rPr>
              <w:t>Almandine</w:t>
            </w:r>
          </w:p>
        </w:tc>
        <w:tc>
          <w:tcPr>
            <w:tcW w:w="1300" w:type="dxa"/>
            <w:tcBorders>
              <w:top w:val="single" w:sz="4" w:space="0" w:color="auto"/>
              <w:left w:val="nil"/>
              <w:bottom w:val="nil"/>
              <w:right w:val="nil"/>
            </w:tcBorders>
            <w:noWrap/>
            <w:vAlign w:val="center"/>
            <w:hideMark/>
          </w:tcPr>
          <w:p w:rsidR="00740B7D" w:rsidRPr="00561012" w:rsidRDefault="00740B7D" w:rsidP="00740B7D">
            <w:pPr>
              <w:spacing w:after="0"/>
              <w:jc w:val="center"/>
              <w:rPr>
                <w:rFonts w:eastAsia="Times New Roman" w:cs="Times New Roman"/>
                <w:color w:val="000000"/>
                <w:sz w:val="18"/>
                <w:szCs w:val="18"/>
                <w:u w:val="single"/>
              </w:rPr>
            </w:pPr>
            <w:r w:rsidRPr="00561012">
              <w:rPr>
                <w:rFonts w:eastAsia="Times New Roman" w:cs="Times New Roman"/>
                <w:color w:val="000000"/>
                <w:sz w:val="18"/>
                <w:szCs w:val="18"/>
                <w:u w:val="single"/>
              </w:rPr>
              <w:t>HG Glass</w:t>
            </w:r>
          </w:p>
        </w:tc>
      </w:tr>
      <w:tr w:rsidR="00740B7D" w:rsidRPr="00561012" w:rsidTr="00740B7D">
        <w:trPr>
          <w:trHeight w:val="260"/>
          <w:jc w:val="center"/>
        </w:trPr>
        <w:tc>
          <w:tcPr>
            <w:tcW w:w="8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u w:val="single"/>
              </w:rPr>
            </w:pPr>
          </w:p>
        </w:tc>
        <w:tc>
          <w:tcPr>
            <w:tcW w:w="1567" w:type="dxa"/>
            <w:tcBorders>
              <w:top w:val="nil"/>
              <w:left w:val="nil"/>
              <w:bottom w:val="nil"/>
              <w:right w:val="nil"/>
            </w:tcBorders>
            <w:noWrap/>
            <w:vAlign w:val="bottom"/>
            <w:hideMark/>
          </w:tcPr>
          <w:p w:rsidR="00740B7D" w:rsidRPr="00561012" w:rsidRDefault="00740B7D" w:rsidP="00740B7D">
            <w:pPr>
              <w:spacing w:after="0"/>
              <w:jc w:val="right"/>
              <w:rPr>
                <w:rFonts w:eastAsia="Times New Roman" w:cs="Times New Roman"/>
                <w:sz w:val="18"/>
                <w:szCs w:val="18"/>
              </w:rPr>
            </w:pPr>
          </w:p>
        </w:tc>
        <w:tc>
          <w:tcPr>
            <w:tcW w:w="1013"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sz w:val="18"/>
                <w:szCs w:val="18"/>
              </w:rPr>
            </w:pPr>
          </w:p>
        </w:tc>
        <w:tc>
          <w:tcPr>
            <w:tcW w:w="1611"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sz w:val="18"/>
                <w:szCs w:val="18"/>
              </w:rPr>
            </w:pP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sz w:val="18"/>
                <w:szCs w:val="18"/>
              </w:rPr>
            </w:pP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sz w:val="18"/>
                <w:szCs w:val="18"/>
              </w:rPr>
            </w:pP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sz w:val="18"/>
                <w:szCs w:val="18"/>
              </w:rPr>
            </w:pP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sz w:val="18"/>
                <w:szCs w:val="18"/>
              </w:rPr>
            </w:pP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sz w:val="18"/>
                <w:szCs w:val="18"/>
              </w:rPr>
            </w:pPr>
          </w:p>
        </w:tc>
      </w:tr>
      <w:tr w:rsidR="00740B7D" w:rsidRPr="00561012" w:rsidTr="00740B7D">
        <w:trPr>
          <w:trHeight w:val="300"/>
          <w:jc w:val="center"/>
        </w:trPr>
        <w:tc>
          <w:tcPr>
            <w:tcW w:w="800" w:type="dxa"/>
            <w:tcBorders>
              <w:top w:val="nil"/>
              <w:left w:val="nil"/>
              <w:bottom w:val="nil"/>
              <w:right w:val="nil"/>
            </w:tcBorders>
            <w:noWrap/>
            <w:vAlign w:val="bottom"/>
            <w:hideMark/>
          </w:tcPr>
          <w:p w:rsidR="00740B7D" w:rsidRPr="00561012" w:rsidRDefault="00740B7D" w:rsidP="00740B7D">
            <w:pPr>
              <w:spacing w:after="0"/>
              <w:jc w:val="right"/>
              <w:rPr>
                <w:rFonts w:eastAsia="Times New Roman" w:cs="Times New Roman"/>
                <w:color w:val="000000"/>
                <w:sz w:val="18"/>
                <w:szCs w:val="18"/>
              </w:rPr>
            </w:pPr>
            <w:r w:rsidRPr="00561012">
              <w:rPr>
                <w:rFonts w:eastAsia="Times New Roman" w:cs="Times New Roman"/>
                <w:color w:val="000000"/>
                <w:sz w:val="18"/>
                <w:szCs w:val="18"/>
              </w:rPr>
              <w:t>SiO</w:t>
            </w:r>
            <w:r w:rsidRPr="00561012">
              <w:rPr>
                <w:rFonts w:eastAsia="Times New Roman" w:cs="Times New Roman"/>
                <w:color w:val="000000"/>
                <w:sz w:val="18"/>
                <w:szCs w:val="18"/>
                <w:vertAlign w:val="subscript"/>
              </w:rPr>
              <w:t>2</w:t>
            </w:r>
          </w:p>
        </w:tc>
        <w:tc>
          <w:tcPr>
            <w:tcW w:w="1567" w:type="dxa"/>
            <w:tcBorders>
              <w:top w:val="single" w:sz="4" w:space="0" w:color="auto"/>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64.96</w:t>
            </w:r>
          </w:p>
        </w:tc>
        <w:tc>
          <w:tcPr>
            <w:tcW w:w="1013" w:type="dxa"/>
            <w:tcBorders>
              <w:top w:val="single" w:sz="4" w:space="0" w:color="auto"/>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68.83</w:t>
            </w:r>
          </w:p>
        </w:tc>
        <w:tc>
          <w:tcPr>
            <w:tcW w:w="1611" w:type="dxa"/>
            <w:tcBorders>
              <w:top w:val="single" w:sz="4" w:space="0" w:color="auto"/>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40.80</w:t>
            </w:r>
          </w:p>
        </w:tc>
        <w:tc>
          <w:tcPr>
            <w:tcW w:w="1300" w:type="dxa"/>
            <w:tcBorders>
              <w:top w:val="single" w:sz="4" w:space="0" w:color="auto"/>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30.01</w:t>
            </w:r>
          </w:p>
        </w:tc>
        <w:tc>
          <w:tcPr>
            <w:tcW w:w="1300" w:type="dxa"/>
            <w:tcBorders>
              <w:top w:val="single" w:sz="4" w:space="0" w:color="auto"/>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47.10</w:t>
            </w:r>
          </w:p>
        </w:tc>
        <w:tc>
          <w:tcPr>
            <w:tcW w:w="1300" w:type="dxa"/>
            <w:tcBorders>
              <w:top w:val="single" w:sz="4" w:space="0" w:color="auto"/>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35.59</w:t>
            </w:r>
          </w:p>
        </w:tc>
        <w:tc>
          <w:tcPr>
            <w:tcW w:w="1300" w:type="dxa"/>
            <w:tcBorders>
              <w:top w:val="single" w:sz="4" w:space="0" w:color="auto"/>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36.09</w:t>
            </w:r>
          </w:p>
        </w:tc>
        <w:tc>
          <w:tcPr>
            <w:tcW w:w="1300" w:type="dxa"/>
            <w:tcBorders>
              <w:top w:val="single" w:sz="4" w:space="0" w:color="auto"/>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77.51</w:t>
            </w:r>
          </w:p>
        </w:tc>
      </w:tr>
      <w:tr w:rsidR="00740B7D" w:rsidRPr="00561012" w:rsidTr="00740B7D">
        <w:trPr>
          <w:trHeight w:val="300"/>
          <w:jc w:val="center"/>
        </w:trPr>
        <w:tc>
          <w:tcPr>
            <w:tcW w:w="800" w:type="dxa"/>
            <w:tcBorders>
              <w:top w:val="nil"/>
              <w:left w:val="nil"/>
              <w:bottom w:val="nil"/>
              <w:right w:val="nil"/>
            </w:tcBorders>
            <w:noWrap/>
            <w:vAlign w:val="bottom"/>
            <w:hideMark/>
          </w:tcPr>
          <w:p w:rsidR="00740B7D" w:rsidRPr="00561012" w:rsidRDefault="00740B7D" w:rsidP="00740B7D">
            <w:pPr>
              <w:spacing w:after="0"/>
              <w:jc w:val="right"/>
              <w:rPr>
                <w:rFonts w:eastAsia="Times New Roman" w:cs="Times New Roman"/>
                <w:color w:val="000000"/>
                <w:sz w:val="18"/>
                <w:szCs w:val="18"/>
              </w:rPr>
            </w:pPr>
            <w:r w:rsidRPr="00561012">
              <w:rPr>
                <w:rFonts w:eastAsia="Times New Roman" w:cs="Times New Roman"/>
                <w:color w:val="000000"/>
                <w:sz w:val="18"/>
                <w:szCs w:val="18"/>
              </w:rPr>
              <w:t>Al</w:t>
            </w:r>
            <w:r w:rsidRPr="00561012">
              <w:rPr>
                <w:rFonts w:eastAsia="Times New Roman" w:cs="Times New Roman"/>
                <w:color w:val="000000"/>
                <w:sz w:val="18"/>
                <w:szCs w:val="18"/>
                <w:vertAlign w:val="subscript"/>
              </w:rPr>
              <w:t>2</w:t>
            </w:r>
            <w:r w:rsidRPr="00561012">
              <w:rPr>
                <w:rFonts w:eastAsia="Times New Roman" w:cs="Times New Roman"/>
                <w:color w:val="000000"/>
                <w:sz w:val="18"/>
                <w:szCs w:val="18"/>
              </w:rPr>
              <w:t>O</w:t>
            </w:r>
            <w:r w:rsidRPr="00561012">
              <w:rPr>
                <w:rFonts w:eastAsia="Times New Roman" w:cs="Times New Roman"/>
                <w:color w:val="000000"/>
                <w:sz w:val="18"/>
                <w:szCs w:val="18"/>
                <w:vertAlign w:val="subscript"/>
              </w:rPr>
              <w:t>3</w:t>
            </w:r>
          </w:p>
        </w:tc>
        <w:tc>
          <w:tcPr>
            <w:tcW w:w="1567"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18.52</w:t>
            </w:r>
          </w:p>
        </w:tc>
        <w:tc>
          <w:tcPr>
            <w:tcW w:w="1013"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19.76</w:t>
            </w:r>
          </w:p>
        </w:tc>
        <w:tc>
          <w:tcPr>
            <w:tcW w:w="1611"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0.01</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0.01</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0.01</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20.43</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20.73</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12.87</w:t>
            </w:r>
          </w:p>
        </w:tc>
      </w:tr>
      <w:tr w:rsidR="00740B7D" w:rsidRPr="00561012" w:rsidTr="00740B7D">
        <w:trPr>
          <w:trHeight w:val="300"/>
          <w:jc w:val="center"/>
        </w:trPr>
        <w:tc>
          <w:tcPr>
            <w:tcW w:w="800" w:type="dxa"/>
            <w:tcBorders>
              <w:top w:val="nil"/>
              <w:left w:val="nil"/>
              <w:bottom w:val="nil"/>
              <w:right w:val="nil"/>
            </w:tcBorders>
            <w:noWrap/>
            <w:vAlign w:val="bottom"/>
            <w:hideMark/>
          </w:tcPr>
          <w:p w:rsidR="00740B7D" w:rsidRPr="00561012" w:rsidRDefault="00740B7D" w:rsidP="00740B7D">
            <w:pPr>
              <w:spacing w:after="0"/>
              <w:jc w:val="right"/>
              <w:rPr>
                <w:rFonts w:eastAsia="Times New Roman" w:cs="Times New Roman"/>
                <w:color w:val="000000"/>
                <w:sz w:val="18"/>
                <w:szCs w:val="18"/>
              </w:rPr>
            </w:pPr>
            <w:r w:rsidRPr="00561012">
              <w:rPr>
                <w:rFonts w:eastAsia="Times New Roman" w:cs="Times New Roman"/>
                <w:color w:val="000000"/>
                <w:sz w:val="18"/>
                <w:szCs w:val="18"/>
              </w:rPr>
              <w:t>Fe</w:t>
            </w:r>
            <w:r w:rsidRPr="00561012">
              <w:rPr>
                <w:rFonts w:eastAsia="Times New Roman" w:cs="Times New Roman"/>
                <w:color w:val="000000"/>
                <w:sz w:val="18"/>
                <w:szCs w:val="18"/>
                <w:vertAlign w:val="subscript"/>
              </w:rPr>
              <w:t>2</w:t>
            </w:r>
            <w:r w:rsidRPr="00561012">
              <w:rPr>
                <w:rFonts w:eastAsia="Times New Roman" w:cs="Times New Roman"/>
                <w:color w:val="000000"/>
                <w:sz w:val="18"/>
                <w:szCs w:val="18"/>
              </w:rPr>
              <w:t>O</w:t>
            </w:r>
            <w:r w:rsidRPr="00561012">
              <w:rPr>
                <w:rFonts w:eastAsia="Times New Roman" w:cs="Times New Roman"/>
                <w:color w:val="000000"/>
                <w:sz w:val="18"/>
                <w:szCs w:val="18"/>
                <w:vertAlign w:val="subscript"/>
              </w:rPr>
              <w:t>3</w:t>
            </w:r>
          </w:p>
        </w:tc>
        <w:tc>
          <w:tcPr>
            <w:tcW w:w="1567"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013"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611"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r>
      <w:tr w:rsidR="00740B7D" w:rsidRPr="00561012" w:rsidTr="00740B7D">
        <w:trPr>
          <w:trHeight w:val="260"/>
          <w:jc w:val="center"/>
        </w:trPr>
        <w:tc>
          <w:tcPr>
            <w:tcW w:w="800" w:type="dxa"/>
            <w:tcBorders>
              <w:top w:val="nil"/>
              <w:left w:val="nil"/>
              <w:bottom w:val="nil"/>
              <w:right w:val="nil"/>
            </w:tcBorders>
            <w:noWrap/>
            <w:vAlign w:val="bottom"/>
            <w:hideMark/>
          </w:tcPr>
          <w:p w:rsidR="00740B7D" w:rsidRPr="00561012" w:rsidRDefault="00740B7D" w:rsidP="00740B7D">
            <w:pPr>
              <w:spacing w:after="0"/>
              <w:jc w:val="right"/>
              <w:rPr>
                <w:rFonts w:eastAsia="Times New Roman" w:cs="Times New Roman"/>
                <w:color w:val="000000"/>
                <w:sz w:val="18"/>
                <w:szCs w:val="18"/>
              </w:rPr>
            </w:pPr>
            <w:r w:rsidRPr="00561012">
              <w:rPr>
                <w:rFonts w:eastAsia="Times New Roman" w:cs="Times New Roman"/>
                <w:color w:val="000000"/>
                <w:sz w:val="18"/>
                <w:szCs w:val="18"/>
              </w:rPr>
              <w:t>FeO*</w:t>
            </w:r>
          </w:p>
        </w:tc>
        <w:tc>
          <w:tcPr>
            <w:tcW w:w="1567"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0.01</w:t>
            </w:r>
          </w:p>
        </w:tc>
        <w:tc>
          <w:tcPr>
            <w:tcW w:w="1013"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0.01</w:t>
            </w:r>
          </w:p>
        </w:tc>
        <w:tc>
          <w:tcPr>
            <w:tcW w:w="1611"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9.08</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62.64</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4.01</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2.35</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19.83</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r>
      <w:tr w:rsidR="00740B7D" w:rsidRPr="00561012" w:rsidTr="00740B7D">
        <w:trPr>
          <w:trHeight w:val="260"/>
          <w:jc w:val="center"/>
        </w:trPr>
        <w:tc>
          <w:tcPr>
            <w:tcW w:w="800" w:type="dxa"/>
            <w:tcBorders>
              <w:top w:val="nil"/>
              <w:left w:val="nil"/>
              <w:bottom w:val="nil"/>
              <w:right w:val="nil"/>
            </w:tcBorders>
            <w:noWrap/>
            <w:vAlign w:val="bottom"/>
            <w:hideMark/>
          </w:tcPr>
          <w:p w:rsidR="00740B7D" w:rsidRPr="00561012" w:rsidRDefault="00740B7D" w:rsidP="00740B7D">
            <w:pPr>
              <w:spacing w:after="0"/>
              <w:jc w:val="right"/>
              <w:rPr>
                <w:rFonts w:eastAsia="Times New Roman" w:cs="Times New Roman"/>
                <w:color w:val="000000"/>
                <w:sz w:val="18"/>
                <w:szCs w:val="18"/>
              </w:rPr>
            </w:pPr>
            <w:r w:rsidRPr="00561012">
              <w:rPr>
                <w:rFonts w:eastAsia="Times New Roman" w:cs="Times New Roman"/>
                <w:color w:val="000000"/>
                <w:sz w:val="18"/>
                <w:szCs w:val="18"/>
              </w:rPr>
              <w:t>MnO</w:t>
            </w:r>
          </w:p>
        </w:tc>
        <w:tc>
          <w:tcPr>
            <w:tcW w:w="1567"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013"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611"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0.12</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5.60</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40.96</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41.67</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23.16</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r>
      <w:tr w:rsidR="00740B7D" w:rsidRPr="00561012" w:rsidTr="00740B7D">
        <w:trPr>
          <w:trHeight w:val="260"/>
          <w:jc w:val="center"/>
        </w:trPr>
        <w:tc>
          <w:tcPr>
            <w:tcW w:w="800" w:type="dxa"/>
            <w:tcBorders>
              <w:top w:val="nil"/>
              <w:left w:val="nil"/>
              <w:bottom w:val="nil"/>
              <w:right w:val="nil"/>
            </w:tcBorders>
            <w:noWrap/>
            <w:vAlign w:val="bottom"/>
            <w:hideMark/>
          </w:tcPr>
          <w:p w:rsidR="00740B7D" w:rsidRPr="00561012" w:rsidRDefault="00740B7D" w:rsidP="00740B7D">
            <w:pPr>
              <w:spacing w:after="0"/>
              <w:jc w:val="right"/>
              <w:rPr>
                <w:rFonts w:eastAsia="Times New Roman" w:cs="Times New Roman"/>
                <w:color w:val="000000"/>
                <w:sz w:val="18"/>
                <w:szCs w:val="18"/>
              </w:rPr>
            </w:pPr>
            <w:r w:rsidRPr="00561012">
              <w:rPr>
                <w:rFonts w:eastAsia="Times New Roman" w:cs="Times New Roman"/>
                <w:color w:val="000000"/>
                <w:sz w:val="18"/>
                <w:szCs w:val="18"/>
              </w:rPr>
              <w:t>MgO</w:t>
            </w:r>
          </w:p>
        </w:tc>
        <w:tc>
          <w:tcPr>
            <w:tcW w:w="1567"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013"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611"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50.17</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1.12</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1.91</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0.00</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0.05</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r>
      <w:tr w:rsidR="00740B7D" w:rsidRPr="00561012" w:rsidTr="00740B7D">
        <w:trPr>
          <w:trHeight w:val="260"/>
          <w:jc w:val="center"/>
        </w:trPr>
        <w:tc>
          <w:tcPr>
            <w:tcW w:w="800" w:type="dxa"/>
            <w:tcBorders>
              <w:top w:val="nil"/>
              <w:left w:val="nil"/>
              <w:bottom w:val="nil"/>
              <w:right w:val="nil"/>
            </w:tcBorders>
            <w:noWrap/>
            <w:vAlign w:val="bottom"/>
            <w:hideMark/>
          </w:tcPr>
          <w:p w:rsidR="00740B7D" w:rsidRPr="00561012" w:rsidRDefault="00740B7D" w:rsidP="00740B7D">
            <w:pPr>
              <w:spacing w:after="0"/>
              <w:jc w:val="right"/>
              <w:rPr>
                <w:rFonts w:eastAsia="Times New Roman" w:cs="Times New Roman"/>
                <w:color w:val="000000"/>
                <w:sz w:val="18"/>
                <w:szCs w:val="18"/>
              </w:rPr>
            </w:pPr>
            <w:r w:rsidRPr="00561012">
              <w:rPr>
                <w:rFonts w:eastAsia="Times New Roman" w:cs="Times New Roman"/>
                <w:color w:val="000000"/>
                <w:sz w:val="18"/>
                <w:szCs w:val="18"/>
              </w:rPr>
              <w:t>CaO</w:t>
            </w:r>
          </w:p>
        </w:tc>
        <w:tc>
          <w:tcPr>
            <w:tcW w:w="1567"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0.00</w:t>
            </w:r>
          </w:p>
        </w:tc>
        <w:tc>
          <w:tcPr>
            <w:tcW w:w="1013"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0.07</w:t>
            </w:r>
          </w:p>
        </w:tc>
        <w:tc>
          <w:tcPr>
            <w:tcW w:w="1611"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0.07</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0.05</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5.41</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0.14</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0.33</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0.01</w:t>
            </w:r>
          </w:p>
        </w:tc>
      </w:tr>
      <w:tr w:rsidR="00740B7D" w:rsidRPr="00561012" w:rsidTr="00740B7D">
        <w:trPr>
          <w:trHeight w:val="300"/>
          <w:jc w:val="center"/>
        </w:trPr>
        <w:tc>
          <w:tcPr>
            <w:tcW w:w="800" w:type="dxa"/>
            <w:tcBorders>
              <w:top w:val="nil"/>
              <w:left w:val="nil"/>
              <w:bottom w:val="nil"/>
              <w:right w:val="nil"/>
            </w:tcBorders>
            <w:noWrap/>
            <w:vAlign w:val="bottom"/>
            <w:hideMark/>
          </w:tcPr>
          <w:p w:rsidR="00740B7D" w:rsidRPr="00561012" w:rsidRDefault="00740B7D" w:rsidP="00740B7D">
            <w:pPr>
              <w:spacing w:after="0"/>
              <w:jc w:val="right"/>
              <w:rPr>
                <w:rFonts w:eastAsia="Times New Roman" w:cs="Times New Roman"/>
                <w:color w:val="000000"/>
                <w:sz w:val="18"/>
                <w:szCs w:val="18"/>
              </w:rPr>
            </w:pPr>
            <w:r w:rsidRPr="00561012">
              <w:rPr>
                <w:rFonts w:eastAsia="Times New Roman" w:cs="Times New Roman"/>
                <w:color w:val="000000"/>
                <w:sz w:val="18"/>
                <w:szCs w:val="18"/>
              </w:rPr>
              <w:t>Na</w:t>
            </w:r>
            <w:r w:rsidRPr="00561012">
              <w:rPr>
                <w:rFonts w:eastAsia="Times New Roman" w:cs="Times New Roman"/>
                <w:color w:val="000000"/>
                <w:sz w:val="18"/>
                <w:szCs w:val="18"/>
                <w:vertAlign w:val="subscript"/>
              </w:rPr>
              <w:t>2</w:t>
            </w:r>
            <w:r w:rsidRPr="00561012">
              <w:rPr>
                <w:rFonts w:eastAsia="Times New Roman" w:cs="Times New Roman"/>
                <w:color w:val="000000"/>
                <w:sz w:val="18"/>
                <w:szCs w:val="18"/>
              </w:rPr>
              <w:t>O</w:t>
            </w:r>
          </w:p>
        </w:tc>
        <w:tc>
          <w:tcPr>
            <w:tcW w:w="1567"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0.85</w:t>
            </w:r>
          </w:p>
        </w:tc>
        <w:tc>
          <w:tcPr>
            <w:tcW w:w="1013"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11.59</w:t>
            </w:r>
          </w:p>
        </w:tc>
        <w:tc>
          <w:tcPr>
            <w:tcW w:w="1611"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0.00</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0.00</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4.54</w:t>
            </w:r>
          </w:p>
        </w:tc>
      </w:tr>
      <w:tr w:rsidR="00740B7D" w:rsidRPr="00561012" w:rsidTr="00740B7D">
        <w:trPr>
          <w:trHeight w:val="300"/>
          <w:jc w:val="center"/>
        </w:trPr>
        <w:tc>
          <w:tcPr>
            <w:tcW w:w="800" w:type="dxa"/>
            <w:tcBorders>
              <w:top w:val="nil"/>
              <w:left w:val="nil"/>
              <w:bottom w:val="nil"/>
              <w:right w:val="nil"/>
            </w:tcBorders>
            <w:noWrap/>
            <w:vAlign w:val="bottom"/>
            <w:hideMark/>
          </w:tcPr>
          <w:p w:rsidR="00740B7D" w:rsidRPr="00561012" w:rsidRDefault="00740B7D" w:rsidP="00740B7D">
            <w:pPr>
              <w:spacing w:after="0"/>
              <w:jc w:val="right"/>
              <w:rPr>
                <w:rFonts w:eastAsia="Times New Roman" w:cs="Times New Roman"/>
                <w:color w:val="000000"/>
                <w:sz w:val="18"/>
                <w:szCs w:val="18"/>
              </w:rPr>
            </w:pPr>
            <w:r w:rsidRPr="00561012">
              <w:rPr>
                <w:rFonts w:eastAsia="Times New Roman" w:cs="Times New Roman"/>
                <w:color w:val="000000"/>
                <w:sz w:val="18"/>
                <w:szCs w:val="18"/>
              </w:rPr>
              <w:t>K</w:t>
            </w:r>
            <w:r w:rsidRPr="00561012">
              <w:rPr>
                <w:rFonts w:eastAsia="Times New Roman" w:cs="Times New Roman"/>
                <w:color w:val="000000"/>
                <w:sz w:val="18"/>
                <w:szCs w:val="18"/>
                <w:vertAlign w:val="subscript"/>
              </w:rPr>
              <w:t>2</w:t>
            </w:r>
            <w:r w:rsidRPr="00561012">
              <w:rPr>
                <w:rFonts w:eastAsia="Times New Roman" w:cs="Times New Roman"/>
                <w:color w:val="000000"/>
                <w:sz w:val="18"/>
                <w:szCs w:val="18"/>
              </w:rPr>
              <w:t>O</w:t>
            </w:r>
          </w:p>
        </w:tc>
        <w:tc>
          <w:tcPr>
            <w:tcW w:w="1567"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15.35</w:t>
            </w:r>
          </w:p>
        </w:tc>
        <w:tc>
          <w:tcPr>
            <w:tcW w:w="1013"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0.24</w:t>
            </w:r>
          </w:p>
        </w:tc>
        <w:tc>
          <w:tcPr>
            <w:tcW w:w="1611"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0.00</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4.77</w:t>
            </w:r>
          </w:p>
        </w:tc>
      </w:tr>
      <w:tr w:rsidR="00740B7D" w:rsidRPr="00561012" w:rsidTr="00740B7D">
        <w:trPr>
          <w:trHeight w:val="260"/>
          <w:jc w:val="center"/>
        </w:trPr>
        <w:tc>
          <w:tcPr>
            <w:tcW w:w="800" w:type="dxa"/>
            <w:tcBorders>
              <w:top w:val="nil"/>
              <w:left w:val="nil"/>
              <w:bottom w:val="nil"/>
              <w:right w:val="nil"/>
            </w:tcBorders>
            <w:noWrap/>
            <w:vAlign w:val="bottom"/>
            <w:hideMark/>
          </w:tcPr>
          <w:p w:rsidR="00740B7D" w:rsidRPr="00561012" w:rsidRDefault="00740B7D" w:rsidP="00740B7D">
            <w:pPr>
              <w:spacing w:after="0"/>
              <w:jc w:val="right"/>
              <w:rPr>
                <w:rFonts w:eastAsia="Times New Roman" w:cs="Times New Roman"/>
                <w:color w:val="000000"/>
                <w:sz w:val="18"/>
                <w:szCs w:val="18"/>
              </w:rPr>
            </w:pPr>
            <w:r w:rsidRPr="00561012">
              <w:rPr>
                <w:rFonts w:eastAsia="Times New Roman" w:cs="Times New Roman"/>
                <w:color w:val="000000"/>
                <w:sz w:val="18"/>
                <w:szCs w:val="18"/>
              </w:rPr>
              <w:t>F</w:t>
            </w:r>
          </w:p>
        </w:tc>
        <w:tc>
          <w:tcPr>
            <w:tcW w:w="1567"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013"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611"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r>
      <w:tr w:rsidR="00740B7D" w:rsidRPr="00561012" w:rsidTr="00740B7D">
        <w:trPr>
          <w:trHeight w:val="260"/>
          <w:jc w:val="center"/>
        </w:trPr>
        <w:tc>
          <w:tcPr>
            <w:tcW w:w="800" w:type="dxa"/>
            <w:tcBorders>
              <w:top w:val="nil"/>
              <w:left w:val="nil"/>
              <w:bottom w:val="nil"/>
              <w:right w:val="nil"/>
            </w:tcBorders>
            <w:noWrap/>
            <w:vAlign w:val="bottom"/>
            <w:hideMark/>
          </w:tcPr>
          <w:p w:rsidR="00740B7D" w:rsidRPr="00561012" w:rsidRDefault="00740B7D" w:rsidP="00740B7D">
            <w:pPr>
              <w:spacing w:after="0"/>
              <w:jc w:val="right"/>
              <w:rPr>
                <w:rFonts w:eastAsia="Times New Roman" w:cs="Times New Roman"/>
                <w:color w:val="000000"/>
                <w:sz w:val="18"/>
                <w:szCs w:val="18"/>
              </w:rPr>
            </w:pPr>
            <w:r w:rsidRPr="00561012">
              <w:rPr>
                <w:rFonts w:eastAsia="Times New Roman" w:cs="Times New Roman"/>
                <w:color w:val="000000"/>
                <w:sz w:val="18"/>
                <w:szCs w:val="18"/>
              </w:rPr>
              <w:t>O=F</w:t>
            </w:r>
          </w:p>
        </w:tc>
        <w:tc>
          <w:tcPr>
            <w:tcW w:w="1567"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013"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611"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ND</w:t>
            </w:r>
          </w:p>
        </w:tc>
      </w:tr>
      <w:tr w:rsidR="00740B7D" w:rsidRPr="00561012" w:rsidTr="00740B7D">
        <w:trPr>
          <w:trHeight w:val="260"/>
          <w:jc w:val="center"/>
        </w:trPr>
        <w:tc>
          <w:tcPr>
            <w:tcW w:w="800" w:type="dxa"/>
            <w:tcBorders>
              <w:top w:val="nil"/>
              <w:left w:val="nil"/>
              <w:bottom w:val="nil"/>
              <w:right w:val="nil"/>
            </w:tcBorders>
            <w:noWrap/>
            <w:vAlign w:val="bottom"/>
            <w:hideMark/>
          </w:tcPr>
          <w:p w:rsidR="00740B7D" w:rsidRPr="00561012" w:rsidRDefault="00740B7D" w:rsidP="00740B7D">
            <w:pPr>
              <w:spacing w:after="0"/>
              <w:jc w:val="right"/>
              <w:rPr>
                <w:rFonts w:eastAsia="Times New Roman" w:cs="Times New Roman"/>
                <w:color w:val="000000"/>
                <w:sz w:val="18"/>
                <w:szCs w:val="18"/>
              </w:rPr>
            </w:pPr>
            <w:r w:rsidRPr="00561012">
              <w:rPr>
                <w:rFonts w:eastAsia="Times New Roman" w:cs="Times New Roman"/>
                <w:color w:val="000000"/>
                <w:sz w:val="18"/>
                <w:szCs w:val="18"/>
              </w:rPr>
              <w:t>Total</w:t>
            </w:r>
          </w:p>
        </w:tc>
        <w:tc>
          <w:tcPr>
            <w:tcW w:w="1567"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99.72</w:t>
            </w:r>
          </w:p>
        </w:tc>
        <w:tc>
          <w:tcPr>
            <w:tcW w:w="1013"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100.82</w:t>
            </w:r>
          </w:p>
        </w:tc>
        <w:tc>
          <w:tcPr>
            <w:tcW w:w="1611"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100.67</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99.65</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99.41</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100.18</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100.19</w:t>
            </w:r>
          </w:p>
        </w:tc>
        <w:tc>
          <w:tcPr>
            <w:tcW w:w="13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99.70</w:t>
            </w:r>
          </w:p>
        </w:tc>
      </w:tr>
      <w:tr w:rsidR="00740B7D" w:rsidRPr="00561012" w:rsidTr="00740B7D">
        <w:trPr>
          <w:trHeight w:val="260"/>
          <w:jc w:val="center"/>
        </w:trPr>
        <w:tc>
          <w:tcPr>
            <w:tcW w:w="800" w:type="dxa"/>
            <w:tcBorders>
              <w:top w:val="nil"/>
              <w:left w:val="nil"/>
              <w:bottom w:val="nil"/>
              <w:right w:val="nil"/>
            </w:tcBorders>
            <w:noWrap/>
            <w:vAlign w:val="bottom"/>
            <w:hideMark/>
          </w:tcPr>
          <w:p w:rsidR="00740B7D" w:rsidRPr="00561012" w:rsidRDefault="00740B7D" w:rsidP="00740B7D">
            <w:pPr>
              <w:spacing w:after="0"/>
              <w:jc w:val="right"/>
              <w:rPr>
                <w:rFonts w:eastAsia="Times New Roman" w:cs="Times New Roman"/>
                <w:color w:val="000000"/>
                <w:sz w:val="18"/>
                <w:szCs w:val="18"/>
              </w:rPr>
            </w:pPr>
            <w:r w:rsidRPr="00561012">
              <w:rPr>
                <w:rFonts w:eastAsia="Times New Roman" w:cs="Times New Roman"/>
                <w:color w:val="000000"/>
                <w:sz w:val="18"/>
                <w:szCs w:val="18"/>
              </w:rPr>
              <w:t>N</w:t>
            </w:r>
          </w:p>
        </w:tc>
        <w:tc>
          <w:tcPr>
            <w:tcW w:w="1567" w:type="dxa"/>
            <w:tcBorders>
              <w:top w:val="nil"/>
              <w:left w:val="nil"/>
              <w:bottom w:val="single" w:sz="4" w:space="0" w:color="auto"/>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60</w:t>
            </w:r>
          </w:p>
        </w:tc>
        <w:tc>
          <w:tcPr>
            <w:tcW w:w="1013" w:type="dxa"/>
            <w:tcBorders>
              <w:top w:val="nil"/>
              <w:left w:val="nil"/>
              <w:bottom w:val="single" w:sz="4" w:space="0" w:color="auto"/>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5</w:t>
            </w:r>
          </w:p>
        </w:tc>
        <w:tc>
          <w:tcPr>
            <w:tcW w:w="1611" w:type="dxa"/>
            <w:tcBorders>
              <w:top w:val="nil"/>
              <w:left w:val="nil"/>
              <w:bottom w:val="single" w:sz="4" w:space="0" w:color="auto"/>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45</w:t>
            </w:r>
          </w:p>
        </w:tc>
        <w:tc>
          <w:tcPr>
            <w:tcW w:w="1300" w:type="dxa"/>
            <w:tcBorders>
              <w:top w:val="nil"/>
              <w:left w:val="nil"/>
              <w:bottom w:val="single" w:sz="4" w:space="0" w:color="auto"/>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15</w:t>
            </w:r>
          </w:p>
        </w:tc>
        <w:tc>
          <w:tcPr>
            <w:tcW w:w="1300" w:type="dxa"/>
            <w:tcBorders>
              <w:top w:val="nil"/>
              <w:left w:val="nil"/>
              <w:bottom w:val="single" w:sz="4" w:space="0" w:color="auto"/>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25</w:t>
            </w:r>
          </w:p>
        </w:tc>
        <w:tc>
          <w:tcPr>
            <w:tcW w:w="1300" w:type="dxa"/>
            <w:tcBorders>
              <w:top w:val="nil"/>
              <w:left w:val="nil"/>
              <w:bottom w:val="single" w:sz="4" w:space="0" w:color="auto"/>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20</w:t>
            </w:r>
          </w:p>
        </w:tc>
        <w:tc>
          <w:tcPr>
            <w:tcW w:w="1300" w:type="dxa"/>
            <w:tcBorders>
              <w:top w:val="nil"/>
              <w:left w:val="nil"/>
              <w:bottom w:val="single" w:sz="4" w:space="0" w:color="auto"/>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20</w:t>
            </w:r>
          </w:p>
        </w:tc>
        <w:tc>
          <w:tcPr>
            <w:tcW w:w="1300" w:type="dxa"/>
            <w:tcBorders>
              <w:top w:val="nil"/>
              <w:left w:val="nil"/>
              <w:bottom w:val="single" w:sz="4" w:space="0" w:color="auto"/>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r w:rsidRPr="00561012">
              <w:rPr>
                <w:rFonts w:eastAsia="Times New Roman" w:cs="Times New Roman"/>
                <w:color w:val="000000"/>
                <w:sz w:val="18"/>
                <w:szCs w:val="18"/>
              </w:rPr>
              <w:t>267</w:t>
            </w:r>
          </w:p>
        </w:tc>
      </w:tr>
      <w:tr w:rsidR="00740B7D" w:rsidRPr="00561012" w:rsidTr="00740B7D">
        <w:trPr>
          <w:trHeight w:val="260"/>
          <w:jc w:val="center"/>
        </w:trPr>
        <w:tc>
          <w:tcPr>
            <w:tcW w:w="8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color w:val="000000"/>
                <w:sz w:val="18"/>
                <w:szCs w:val="18"/>
              </w:rPr>
            </w:pPr>
          </w:p>
        </w:tc>
        <w:tc>
          <w:tcPr>
            <w:tcW w:w="5491" w:type="dxa"/>
            <w:gridSpan w:val="4"/>
            <w:tcBorders>
              <w:top w:val="nil"/>
              <w:left w:val="nil"/>
              <w:bottom w:val="nil"/>
              <w:right w:val="nil"/>
            </w:tcBorders>
            <w:noWrap/>
            <w:vAlign w:val="bottom"/>
            <w:hideMark/>
          </w:tcPr>
          <w:p w:rsidR="00740B7D" w:rsidRPr="00561012" w:rsidRDefault="00740B7D" w:rsidP="00740B7D">
            <w:pPr>
              <w:spacing w:after="0"/>
              <w:rPr>
                <w:rFonts w:eastAsia="Times New Roman" w:cs="Times New Roman"/>
                <w:color w:val="000000"/>
                <w:sz w:val="18"/>
                <w:szCs w:val="18"/>
              </w:rPr>
            </w:pPr>
            <w:r w:rsidRPr="00561012">
              <w:rPr>
                <w:rFonts w:eastAsia="Times New Roman" w:cs="Times New Roman"/>
                <w:color w:val="000000"/>
                <w:sz w:val="18"/>
                <w:szCs w:val="18"/>
              </w:rPr>
              <w:t>Orthoclase: Little Three pegmatite mine, Ramona, CA</w:t>
            </w:r>
          </w:p>
        </w:tc>
        <w:tc>
          <w:tcPr>
            <w:tcW w:w="13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color w:val="000000"/>
                <w:sz w:val="18"/>
                <w:szCs w:val="18"/>
              </w:rPr>
            </w:pPr>
          </w:p>
        </w:tc>
        <w:tc>
          <w:tcPr>
            <w:tcW w:w="13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sz w:val="18"/>
                <w:szCs w:val="18"/>
              </w:rPr>
            </w:pPr>
          </w:p>
        </w:tc>
        <w:tc>
          <w:tcPr>
            <w:tcW w:w="13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sz w:val="18"/>
                <w:szCs w:val="18"/>
              </w:rPr>
            </w:pPr>
          </w:p>
        </w:tc>
        <w:tc>
          <w:tcPr>
            <w:tcW w:w="13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sz w:val="18"/>
                <w:szCs w:val="18"/>
              </w:rPr>
            </w:pPr>
          </w:p>
        </w:tc>
      </w:tr>
      <w:tr w:rsidR="00740B7D" w:rsidRPr="00561012" w:rsidTr="00740B7D">
        <w:trPr>
          <w:trHeight w:val="260"/>
          <w:jc w:val="center"/>
        </w:trPr>
        <w:tc>
          <w:tcPr>
            <w:tcW w:w="8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sz w:val="18"/>
                <w:szCs w:val="18"/>
              </w:rPr>
            </w:pPr>
          </w:p>
        </w:tc>
        <w:tc>
          <w:tcPr>
            <w:tcW w:w="2580" w:type="dxa"/>
            <w:gridSpan w:val="2"/>
            <w:tcBorders>
              <w:top w:val="nil"/>
              <w:left w:val="nil"/>
              <w:bottom w:val="nil"/>
              <w:right w:val="nil"/>
            </w:tcBorders>
            <w:noWrap/>
            <w:vAlign w:val="bottom"/>
            <w:hideMark/>
          </w:tcPr>
          <w:p w:rsidR="00740B7D" w:rsidRPr="00561012" w:rsidRDefault="00740B7D" w:rsidP="00740B7D">
            <w:pPr>
              <w:spacing w:after="0"/>
              <w:rPr>
                <w:rFonts w:eastAsia="Times New Roman" w:cs="Times New Roman"/>
                <w:color w:val="000000"/>
                <w:sz w:val="18"/>
                <w:szCs w:val="18"/>
              </w:rPr>
            </w:pPr>
            <w:r w:rsidRPr="00561012">
              <w:rPr>
                <w:rFonts w:eastAsia="Times New Roman" w:cs="Times New Roman"/>
                <w:color w:val="000000"/>
                <w:sz w:val="18"/>
                <w:szCs w:val="18"/>
              </w:rPr>
              <w:t>Albite: Copelinha, Brazil</w:t>
            </w:r>
          </w:p>
        </w:tc>
        <w:tc>
          <w:tcPr>
            <w:tcW w:w="1611"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color w:val="000000"/>
                <w:sz w:val="18"/>
                <w:szCs w:val="18"/>
              </w:rPr>
            </w:pPr>
          </w:p>
        </w:tc>
        <w:tc>
          <w:tcPr>
            <w:tcW w:w="13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sz w:val="18"/>
                <w:szCs w:val="18"/>
              </w:rPr>
            </w:pPr>
          </w:p>
        </w:tc>
        <w:tc>
          <w:tcPr>
            <w:tcW w:w="13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sz w:val="18"/>
                <w:szCs w:val="18"/>
              </w:rPr>
            </w:pPr>
          </w:p>
        </w:tc>
        <w:tc>
          <w:tcPr>
            <w:tcW w:w="13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sz w:val="18"/>
                <w:szCs w:val="18"/>
              </w:rPr>
            </w:pPr>
          </w:p>
        </w:tc>
        <w:tc>
          <w:tcPr>
            <w:tcW w:w="13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sz w:val="18"/>
                <w:szCs w:val="18"/>
              </w:rPr>
            </w:pPr>
          </w:p>
        </w:tc>
        <w:tc>
          <w:tcPr>
            <w:tcW w:w="13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sz w:val="18"/>
                <w:szCs w:val="18"/>
              </w:rPr>
            </w:pPr>
          </w:p>
        </w:tc>
      </w:tr>
      <w:tr w:rsidR="00740B7D" w:rsidRPr="00561012" w:rsidTr="00740B7D">
        <w:trPr>
          <w:trHeight w:val="260"/>
          <w:jc w:val="center"/>
        </w:trPr>
        <w:tc>
          <w:tcPr>
            <w:tcW w:w="8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sz w:val="18"/>
                <w:szCs w:val="18"/>
              </w:rPr>
            </w:pPr>
          </w:p>
        </w:tc>
        <w:tc>
          <w:tcPr>
            <w:tcW w:w="2580" w:type="dxa"/>
            <w:gridSpan w:val="2"/>
            <w:tcBorders>
              <w:top w:val="nil"/>
              <w:left w:val="nil"/>
              <w:bottom w:val="nil"/>
              <w:right w:val="nil"/>
            </w:tcBorders>
            <w:noWrap/>
            <w:vAlign w:val="center"/>
            <w:hideMark/>
          </w:tcPr>
          <w:p w:rsidR="00740B7D" w:rsidRPr="00561012" w:rsidRDefault="00740B7D" w:rsidP="00740B7D">
            <w:pPr>
              <w:spacing w:after="0"/>
              <w:rPr>
                <w:rFonts w:eastAsia="Times New Roman" w:cs="Times New Roman"/>
                <w:color w:val="000000"/>
                <w:sz w:val="18"/>
                <w:szCs w:val="18"/>
              </w:rPr>
            </w:pPr>
            <w:r w:rsidRPr="00561012">
              <w:rPr>
                <w:rFonts w:eastAsia="Times New Roman" w:cs="Times New Roman"/>
                <w:color w:val="000000"/>
                <w:sz w:val="18"/>
                <w:szCs w:val="18"/>
              </w:rPr>
              <w:t>Forsterite: San Carlos, AZ</w:t>
            </w:r>
          </w:p>
        </w:tc>
        <w:tc>
          <w:tcPr>
            <w:tcW w:w="1611"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color w:val="000000"/>
                <w:sz w:val="18"/>
                <w:szCs w:val="18"/>
              </w:rPr>
            </w:pPr>
          </w:p>
        </w:tc>
        <w:tc>
          <w:tcPr>
            <w:tcW w:w="13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sz w:val="18"/>
                <w:szCs w:val="18"/>
              </w:rPr>
            </w:pPr>
          </w:p>
        </w:tc>
        <w:tc>
          <w:tcPr>
            <w:tcW w:w="13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sz w:val="18"/>
                <w:szCs w:val="18"/>
              </w:rPr>
            </w:pPr>
          </w:p>
        </w:tc>
        <w:tc>
          <w:tcPr>
            <w:tcW w:w="13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sz w:val="18"/>
                <w:szCs w:val="18"/>
              </w:rPr>
            </w:pPr>
          </w:p>
        </w:tc>
        <w:tc>
          <w:tcPr>
            <w:tcW w:w="13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sz w:val="18"/>
                <w:szCs w:val="18"/>
              </w:rPr>
            </w:pPr>
          </w:p>
        </w:tc>
        <w:tc>
          <w:tcPr>
            <w:tcW w:w="13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sz w:val="18"/>
                <w:szCs w:val="18"/>
              </w:rPr>
            </w:pPr>
          </w:p>
        </w:tc>
      </w:tr>
      <w:tr w:rsidR="00740B7D" w:rsidRPr="00561012" w:rsidTr="00740B7D">
        <w:trPr>
          <w:trHeight w:val="260"/>
          <w:jc w:val="center"/>
        </w:trPr>
        <w:tc>
          <w:tcPr>
            <w:tcW w:w="800" w:type="dxa"/>
            <w:tcBorders>
              <w:top w:val="nil"/>
              <w:left w:val="nil"/>
              <w:bottom w:val="nil"/>
              <w:right w:val="nil"/>
            </w:tcBorders>
            <w:noWrap/>
            <w:vAlign w:val="center"/>
            <w:hideMark/>
          </w:tcPr>
          <w:p w:rsidR="00740B7D" w:rsidRPr="00561012" w:rsidRDefault="00740B7D" w:rsidP="00740B7D">
            <w:pPr>
              <w:spacing w:after="0"/>
              <w:rPr>
                <w:rFonts w:eastAsia="Times New Roman" w:cs="Times New Roman"/>
                <w:sz w:val="18"/>
                <w:szCs w:val="18"/>
              </w:rPr>
            </w:pPr>
          </w:p>
        </w:tc>
        <w:tc>
          <w:tcPr>
            <w:tcW w:w="2580" w:type="dxa"/>
            <w:gridSpan w:val="2"/>
            <w:tcBorders>
              <w:top w:val="nil"/>
              <w:left w:val="nil"/>
              <w:bottom w:val="nil"/>
              <w:right w:val="nil"/>
            </w:tcBorders>
            <w:noWrap/>
            <w:vAlign w:val="center"/>
            <w:hideMark/>
          </w:tcPr>
          <w:p w:rsidR="00740B7D" w:rsidRPr="00561012" w:rsidRDefault="00740B7D" w:rsidP="00740B7D">
            <w:pPr>
              <w:spacing w:after="0"/>
              <w:rPr>
                <w:rFonts w:eastAsia="Times New Roman" w:cs="Times New Roman"/>
                <w:color w:val="000000"/>
                <w:sz w:val="18"/>
                <w:szCs w:val="18"/>
              </w:rPr>
            </w:pPr>
            <w:r w:rsidRPr="00561012">
              <w:rPr>
                <w:rFonts w:eastAsia="Times New Roman" w:cs="Times New Roman"/>
                <w:color w:val="000000"/>
                <w:sz w:val="18"/>
                <w:szCs w:val="18"/>
              </w:rPr>
              <w:t>Mn-Fayalite: Sardinia, Italy</w:t>
            </w:r>
          </w:p>
        </w:tc>
        <w:tc>
          <w:tcPr>
            <w:tcW w:w="1611" w:type="dxa"/>
            <w:tcBorders>
              <w:top w:val="nil"/>
              <w:left w:val="nil"/>
              <w:bottom w:val="nil"/>
              <w:right w:val="nil"/>
            </w:tcBorders>
            <w:vAlign w:val="center"/>
            <w:hideMark/>
          </w:tcPr>
          <w:p w:rsidR="00740B7D" w:rsidRPr="00561012" w:rsidRDefault="00740B7D" w:rsidP="00740B7D">
            <w:pPr>
              <w:spacing w:after="0"/>
              <w:rPr>
                <w:rFonts w:eastAsia="Times New Roman" w:cs="Times New Roman"/>
                <w:color w:val="000000"/>
                <w:sz w:val="18"/>
                <w:szCs w:val="18"/>
              </w:rPr>
            </w:pPr>
          </w:p>
        </w:tc>
        <w:tc>
          <w:tcPr>
            <w:tcW w:w="1300" w:type="dxa"/>
            <w:tcBorders>
              <w:top w:val="nil"/>
              <w:left w:val="nil"/>
              <w:bottom w:val="nil"/>
              <w:right w:val="nil"/>
            </w:tcBorders>
            <w:vAlign w:val="center"/>
            <w:hideMark/>
          </w:tcPr>
          <w:p w:rsidR="00740B7D" w:rsidRPr="00561012" w:rsidRDefault="00740B7D" w:rsidP="00740B7D">
            <w:pPr>
              <w:spacing w:after="0"/>
              <w:jc w:val="center"/>
              <w:rPr>
                <w:rFonts w:eastAsia="Times New Roman" w:cs="Times New Roman"/>
                <w:sz w:val="18"/>
                <w:szCs w:val="18"/>
              </w:rPr>
            </w:pPr>
          </w:p>
        </w:tc>
        <w:tc>
          <w:tcPr>
            <w:tcW w:w="1300" w:type="dxa"/>
            <w:tcBorders>
              <w:top w:val="nil"/>
              <w:left w:val="nil"/>
              <w:bottom w:val="nil"/>
              <w:right w:val="nil"/>
            </w:tcBorders>
            <w:vAlign w:val="center"/>
            <w:hideMark/>
          </w:tcPr>
          <w:p w:rsidR="00740B7D" w:rsidRPr="00561012" w:rsidRDefault="00740B7D" w:rsidP="00740B7D">
            <w:pPr>
              <w:spacing w:after="0"/>
              <w:jc w:val="center"/>
              <w:rPr>
                <w:rFonts w:eastAsia="Times New Roman" w:cs="Times New Roman"/>
                <w:sz w:val="18"/>
                <w:szCs w:val="18"/>
              </w:rPr>
            </w:pPr>
          </w:p>
        </w:tc>
        <w:tc>
          <w:tcPr>
            <w:tcW w:w="1300" w:type="dxa"/>
            <w:tcBorders>
              <w:top w:val="nil"/>
              <w:left w:val="nil"/>
              <w:bottom w:val="nil"/>
              <w:right w:val="nil"/>
            </w:tcBorders>
            <w:vAlign w:val="center"/>
            <w:hideMark/>
          </w:tcPr>
          <w:p w:rsidR="00740B7D" w:rsidRPr="00561012" w:rsidRDefault="00740B7D" w:rsidP="00740B7D">
            <w:pPr>
              <w:spacing w:after="0"/>
              <w:jc w:val="center"/>
              <w:rPr>
                <w:rFonts w:eastAsia="Times New Roman" w:cs="Times New Roman"/>
                <w:sz w:val="18"/>
                <w:szCs w:val="18"/>
              </w:rPr>
            </w:pPr>
          </w:p>
        </w:tc>
        <w:tc>
          <w:tcPr>
            <w:tcW w:w="1300" w:type="dxa"/>
            <w:tcBorders>
              <w:top w:val="nil"/>
              <w:left w:val="nil"/>
              <w:bottom w:val="nil"/>
              <w:right w:val="nil"/>
            </w:tcBorders>
            <w:vAlign w:val="center"/>
            <w:hideMark/>
          </w:tcPr>
          <w:p w:rsidR="00740B7D" w:rsidRPr="00561012" w:rsidRDefault="00740B7D" w:rsidP="00740B7D">
            <w:pPr>
              <w:spacing w:after="0"/>
              <w:jc w:val="center"/>
              <w:rPr>
                <w:rFonts w:eastAsia="Times New Roman" w:cs="Times New Roman"/>
                <w:sz w:val="18"/>
                <w:szCs w:val="18"/>
              </w:rPr>
            </w:pPr>
          </w:p>
        </w:tc>
        <w:tc>
          <w:tcPr>
            <w:tcW w:w="1300" w:type="dxa"/>
            <w:tcBorders>
              <w:top w:val="nil"/>
              <w:left w:val="nil"/>
              <w:bottom w:val="nil"/>
              <w:right w:val="nil"/>
            </w:tcBorders>
            <w:vAlign w:val="center"/>
            <w:hideMark/>
          </w:tcPr>
          <w:p w:rsidR="00740B7D" w:rsidRPr="00561012" w:rsidRDefault="00740B7D" w:rsidP="00740B7D">
            <w:pPr>
              <w:spacing w:after="0"/>
              <w:jc w:val="center"/>
              <w:rPr>
                <w:rFonts w:eastAsia="Times New Roman" w:cs="Times New Roman"/>
                <w:sz w:val="18"/>
                <w:szCs w:val="18"/>
              </w:rPr>
            </w:pPr>
          </w:p>
        </w:tc>
      </w:tr>
      <w:tr w:rsidR="00740B7D" w:rsidRPr="00561012" w:rsidTr="00740B7D">
        <w:trPr>
          <w:trHeight w:val="260"/>
          <w:jc w:val="center"/>
        </w:trPr>
        <w:tc>
          <w:tcPr>
            <w:tcW w:w="800" w:type="dxa"/>
            <w:tcBorders>
              <w:top w:val="nil"/>
              <w:left w:val="nil"/>
              <w:bottom w:val="nil"/>
              <w:right w:val="nil"/>
            </w:tcBorders>
            <w:noWrap/>
            <w:vAlign w:val="bottom"/>
            <w:hideMark/>
          </w:tcPr>
          <w:p w:rsidR="00740B7D" w:rsidRPr="00561012" w:rsidRDefault="00740B7D" w:rsidP="00740B7D">
            <w:pPr>
              <w:spacing w:after="0"/>
              <w:jc w:val="center"/>
              <w:rPr>
                <w:rFonts w:eastAsia="Times New Roman" w:cs="Times New Roman"/>
                <w:sz w:val="18"/>
                <w:szCs w:val="18"/>
              </w:rPr>
            </w:pPr>
          </w:p>
        </w:tc>
        <w:tc>
          <w:tcPr>
            <w:tcW w:w="2580" w:type="dxa"/>
            <w:gridSpan w:val="2"/>
            <w:tcBorders>
              <w:top w:val="nil"/>
              <w:left w:val="nil"/>
              <w:bottom w:val="nil"/>
              <w:right w:val="nil"/>
            </w:tcBorders>
            <w:noWrap/>
            <w:vAlign w:val="center"/>
            <w:hideMark/>
          </w:tcPr>
          <w:p w:rsidR="00740B7D" w:rsidRPr="00561012" w:rsidRDefault="00740B7D" w:rsidP="00740B7D">
            <w:pPr>
              <w:spacing w:after="0"/>
              <w:rPr>
                <w:rFonts w:eastAsia="Times New Roman" w:cs="Times New Roman"/>
                <w:color w:val="000000"/>
                <w:sz w:val="18"/>
                <w:szCs w:val="18"/>
              </w:rPr>
            </w:pPr>
            <w:r w:rsidRPr="00561012">
              <w:rPr>
                <w:rFonts w:eastAsia="Times New Roman" w:cs="Times New Roman"/>
                <w:color w:val="000000"/>
                <w:sz w:val="18"/>
                <w:szCs w:val="18"/>
              </w:rPr>
              <w:t>Rhodonite: Brazil</w:t>
            </w:r>
          </w:p>
        </w:tc>
        <w:tc>
          <w:tcPr>
            <w:tcW w:w="1611"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color w:val="000000"/>
                <w:sz w:val="18"/>
                <w:szCs w:val="18"/>
              </w:rPr>
            </w:pPr>
          </w:p>
        </w:tc>
        <w:tc>
          <w:tcPr>
            <w:tcW w:w="13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sz w:val="18"/>
                <w:szCs w:val="18"/>
              </w:rPr>
            </w:pPr>
          </w:p>
        </w:tc>
        <w:tc>
          <w:tcPr>
            <w:tcW w:w="13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sz w:val="18"/>
                <w:szCs w:val="18"/>
              </w:rPr>
            </w:pPr>
          </w:p>
        </w:tc>
        <w:tc>
          <w:tcPr>
            <w:tcW w:w="13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sz w:val="18"/>
                <w:szCs w:val="18"/>
              </w:rPr>
            </w:pPr>
          </w:p>
        </w:tc>
        <w:tc>
          <w:tcPr>
            <w:tcW w:w="13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sz w:val="18"/>
                <w:szCs w:val="18"/>
              </w:rPr>
            </w:pPr>
          </w:p>
        </w:tc>
        <w:tc>
          <w:tcPr>
            <w:tcW w:w="13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sz w:val="18"/>
                <w:szCs w:val="18"/>
              </w:rPr>
            </w:pPr>
          </w:p>
        </w:tc>
      </w:tr>
      <w:tr w:rsidR="00740B7D" w:rsidRPr="00561012" w:rsidTr="00740B7D">
        <w:trPr>
          <w:trHeight w:val="260"/>
          <w:jc w:val="center"/>
        </w:trPr>
        <w:tc>
          <w:tcPr>
            <w:tcW w:w="8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sz w:val="18"/>
                <w:szCs w:val="18"/>
              </w:rPr>
            </w:pPr>
          </w:p>
        </w:tc>
        <w:tc>
          <w:tcPr>
            <w:tcW w:w="5491" w:type="dxa"/>
            <w:gridSpan w:val="4"/>
            <w:tcBorders>
              <w:top w:val="nil"/>
              <w:left w:val="nil"/>
              <w:bottom w:val="nil"/>
              <w:right w:val="nil"/>
            </w:tcBorders>
            <w:noWrap/>
            <w:vAlign w:val="center"/>
            <w:hideMark/>
          </w:tcPr>
          <w:p w:rsidR="00740B7D" w:rsidRPr="00561012" w:rsidRDefault="00740B7D" w:rsidP="00740B7D">
            <w:pPr>
              <w:spacing w:after="0"/>
              <w:rPr>
                <w:rFonts w:eastAsia="Times New Roman" w:cs="Times New Roman"/>
                <w:color w:val="000000"/>
                <w:sz w:val="18"/>
                <w:szCs w:val="18"/>
              </w:rPr>
            </w:pPr>
            <w:r w:rsidRPr="00561012">
              <w:rPr>
                <w:rFonts w:eastAsia="Times New Roman" w:cs="Times New Roman"/>
                <w:color w:val="000000"/>
                <w:sz w:val="18"/>
                <w:szCs w:val="18"/>
              </w:rPr>
              <w:t>Spessartine: Little Three pegmatite mine, Ramona, CA</w:t>
            </w:r>
          </w:p>
        </w:tc>
        <w:tc>
          <w:tcPr>
            <w:tcW w:w="13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color w:val="000000"/>
                <w:sz w:val="18"/>
                <w:szCs w:val="18"/>
              </w:rPr>
            </w:pPr>
          </w:p>
        </w:tc>
        <w:tc>
          <w:tcPr>
            <w:tcW w:w="13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sz w:val="18"/>
                <w:szCs w:val="18"/>
              </w:rPr>
            </w:pPr>
          </w:p>
        </w:tc>
        <w:tc>
          <w:tcPr>
            <w:tcW w:w="13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sz w:val="18"/>
                <w:szCs w:val="18"/>
              </w:rPr>
            </w:pPr>
          </w:p>
        </w:tc>
        <w:tc>
          <w:tcPr>
            <w:tcW w:w="13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sz w:val="18"/>
                <w:szCs w:val="18"/>
              </w:rPr>
            </w:pPr>
          </w:p>
        </w:tc>
      </w:tr>
      <w:tr w:rsidR="00740B7D" w:rsidRPr="00561012" w:rsidTr="00740B7D">
        <w:trPr>
          <w:trHeight w:val="260"/>
          <w:jc w:val="center"/>
        </w:trPr>
        <w:tc>
          <w:tcPr>
            <w:tcW w:w="8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sz w:val="18"/>
                <w:szCs w:val="18"/>
              </w:rPr>
            </w:pPr>
          </w:p>
        </w:tc>
        <w:tc>
          <w:tcPr>
            <w:tcW w:w="6791" w:type="dxa"/>
            <w:gridSpan w:val="5"/>
            <w:tcBorders>
              <w:top w:val="nil"/>
              <w:left w:val="nil"/>
              <w:bottom w:val="nil"/>
              <w:right w:val="nil"/>
            </w:tcBorders>
            <w:noWrap/>
            <w:vAlign w:val="center"/>
            <w:hideMark/>
          </w:tcPr>
          <w:p w:rsidR="00740B7D" w:rsidRPr="00561012" w:rsidRDefault="00740B7D" w:rsidP="00740B7D">
            <w:pPr>
              <w:spacing w:after="0"/>
              <w:rPr>
                <w:rFonts w:eastAsia="Times New Roman" w:cs="Times New Roman"/>
                <w:color w:val="000000"/>
                <w:sz w:val="18"/>
                <w:szCs w:val="18"/>
              </w:rPr>
            </w:pPr>
            <w:r w:rsidRPr="00561012">
              <w:rPr>
                <w:rFonts w:eastAsia="Times New Roman" w:cs="Times New Roman"/>
                <w:color w:val="000000"/>
                <w:sz w:val="18"/>
                <w:szCs w:val="18"/>
              </w:rPr>
              <w:t>Almandine: location unknown, University of Oklahoma mineral collection</w:t>
            </w:r>
          </w:p>
        </w:tc>
        <w:tc>
          <w:tcPr>
            <w:tcW w:w="13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color w:val="000000"/>
                <w:sz w:val="18"/>
                <w:szCs w:val="18"/>
              </w:rPr>
            </w:pPr>
          </w:p>
        </w:tc>
        <w:tc>
          <w:tcPr>
            <w:tcW w:w="13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sz w:val="18"/>
                <w:szCs w:val="18"/>
              </w:rPr>
            </w:pPr>
          </w:p>
        </w:tc>
        <w:tc>
          <w:tcPr>
            <w:tcW w:w="13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sz w:val="18"/>
                <w:szCs w:val="18"/>
              </w:rPr>
            </w:pPr>
          </w:p>
        </w:tc>
      </w:tr>
      <w:tr w:rsidR="00740B7D" w:rsidRPr="00561012" w:rsidTr="00740B7D">
        <w:trPr>
          <w:trHeight w:val="300"/>
          <w:jc w:val="center"/>
        </w:trPr>
        <w:tc>
          <w:tcPr>
            <w:tcW w:w="8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sz w:val="18"/>
                <w:szCs w:val="18"/>
              </w:rPr>
            </w:pPr>
          </w:p>
        </w:tc>
        <w:tc>
          <w:tcPr>
            <w:tcW w:w="8091" w:type="dxa"/>
            <w:gridSpan w:val="6"/>
            <w:tcBorders>
              <w:top w:val="nil"/>
              <w:left w:val="nil"/>
              <w:bottom w:val="nil"/>
              <w:right w:val="nil"/>
            </w:tcBorders>
            <w:noWrap/>
            <w:vAlign w:val="center"/>
            <w:hideMark/>
          </w:tcPr>
          <w:p w:rsidR="00740B7D" w:rsidRPr="00561012" w:rsidRDefault="00740B7D" w:rsidP="00740B7D">
            <w:pPr>
              <w:spacing w:after="0"/>
              <w:rPr>
                <w:rFonts w:eastAsia="Times New Roman" w:cs="Times New Roman"/>
                <w:color w:val="000000"/>
                <w:sz w:val="18"/>
                <w:szCs w:val="18"/>
              </w:rPr>
            </w:pPr>
            <w:r w:rsidRPr="00561012">
              <w:rPr>
                <w:rFonts w:eastAsia="Times New Roman" w:cs="Times New Roman"/>
                <w:color w:val="000000"/>
                <w:sz w:val="18"/>
                <w:szCs w:val="18"/>
              </w:rPr>
              <w:t>HG Glass: composition matches the thermal minimum in the haplogranite system at 200 MPa</w:t>
            </w:r>
            <w:r w:rsidRPr="00561012">
              <w:rPr>
                <w:rFonts w:eastAsia="Times New Roman" w:cs="Times New Roman"/>
                <w:color w:val="000000"/>
                <w:sz w:val="18"/>
                <w:szCs w:val="18"/>
                <w:vertAlign w:val="subscript"/>
              </w:rPr>
              <w:t>H2O</w:t>
            </w:r>
          </w:p>
        </w:tc>
        <w:tc>
          <w:tcPr>
            <w:tcW w:w="13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color w:val="000000"/>
                <w:sz w:val="18"/>
                <w:szCs w:val="18"/>
              </w:rPr>
            </w:pPr>
          </w:p>
        </w:tc>
        <w:tc>
          <w:tcPr>
            <w:tcW w:w="1300" w:type="dxa"/>
            <w:tcBorders>
              <w:top w:val="nil"/>
              <w:left w:val="nil"/>
              <w:bottom w:val="nil"/>
              <w:right w:val="nil"/>
            </w:tcBorders>
            <w:noWrap/>
            <w:vAlign w:val="bottom"/>
            <w:hideMark/>
          </w:tcPr>
          <w:p w:rsidR="00740B7D" w:rsidRPr="00561012" w:rsidRDefault="00740B7D" w:rsidP="00740B7D">
            <w:pPr>
              <w:spacing w:after="0"/>
              <w:rPr>
                <w:rFonts w:eastAsia="Times New Roman" w:cs="Times New Roman"/>
                <w:sz w:val="18"/>
                <w:szCs w:val="18"/>
              </w:rPr>
            </w:pPr>
          </w:p>
        </w:tc>
      </w:tr>
    </w:tbl>
    <w:p w:rsidR="004E1D03" w:rsidRDefault="004E1D03" w:rsidP="00665C0F">
      <w:pPr>
        <w:spacing w:line="480" w:lineRule="auto"/>
        <w:rPr>
          <w:rFonts w:cs="Times New Roman"/>
        </w:rPr>
      </w:pPr>
    </w:p>
    <w:p w:rsidR="00740B7D" w:rsidRDefault="006D3B9B" w:rsidP="004E1D03">
      <w:pPr>
        <w:sectPr w:rsidR="00740B7D" w:rsidSect="00740B7D">
          <w:footerReference w:type="default" r:id="rId90"/>
          <w:pgSz w:w="15840" w:h="12240" w:orient="landscape"/>
          <w:pgMar w:top="2304" w:right="1440" w:bottom="1440" w:left="1440" w:header="720" w:footer="720" w:gutter="0"/>
          <w:cols w:space="720"/>
          <w:docGrid w:linePitch="360"/>
        </w:sectPr>
      </w:pPr>
      <w:r>
        <w:rPr>
          <w:b/>
          <w:noProof/>
        </w:rPr>
        <mc:AlternateContent>
          <mc:Choice Requires="wps">
            <w:drawing>
              <wp:anchor distT="0" distB="0" distL="114300" distR="114300" simplePos="0" relativeHeight="251809792" behindDoc="0" locked="0" layoutInCell="1" allowOverlap="1" wp14:anchorId="6B35C139" wp14:editId="08429FAC">
                <wp:simplePos x="0" y="0"/>
                <wp:positionH relativeFrom="margin">
                  <wp:posOffset>-914400</wp:posOffset>
                </wp:positionH>
                <wp:positionV relativeFrom="margin">
                  <wp:posOffset>1958340</wp:posOffset>
                </wp:positionV>
                <wp:extent cx="914400" cy="914400"/>
                <wp:effectExtent l="0" t="0" r="0" b="0"/>
                <wp:wrapNone/>
                <wp:docPr id="201" name="Rectangle 201"/>
                <wp:cNvGraphicFramePr/>
                <a:graphic xmlns:a="http://schemas.openxmlformats.org/drawingml/2006/main">
                  <a:graphicData uri="http://schemas.microsoft.com/office/word/2010/wordprocessingShape">
                    <wps:wsp>
                      <wps:cNvSpPr/>
                      <wps:spPr>
                        <a:xfrm rot="5400000">
                          <a:off x="0" y="0"/>
                          <a:ext cx="914400" cy="914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D3B9B" w:rsidRPr="00935830" w:rsidRDefault="006D3B9B" w:rsidP="006D3B9B">
                            <w:pPr>
                              <w:jc w:val="center"/>
                              <w:rPr>
                                <w:color w:val="000000" w:themeColor="text1"/>
                              </w:rPr>
                            </w:pPr>
                            <w:r>
                              <w:rPr>
                                <w:color w:val="000000" w:themeColor="text1"/>
                              </w:rPr>
                              <w:t>141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35C139" id="Rectangle 201" o:spid="_x0000_s1065" style="position:absolute;margin-left:-1in;margin-top:154.2pt;width:1in;height:1in;rotation:90;z-index:2518097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" filled="f" stroked="f" strokeweight="2pt">
                <v:textbox>
                  <w:txbxContent>
                    <w:p w:rsidR="006D3B9B" w:rsidRPr="00935830" w:rsidRDefault="006D3B9B" w:rsidP="006D3B9B">
                      <w:pPr>
                        <w:jc w:val="center"/>
                        <w:rPr>
                          <w:color w:val="000000" w:themeColor="text1"/>
                        </w:rPr>
                      </w:pPr>
                      <w:r>
                        <w:rPr>
                          <w:color w:val="000000" w:themeColor="text1"/>
                        </w:rPr>
                        <w:t>141</w:t>
                      </w:r>
                    </w:p>
                  </w:txbxContent>
                </v:textbox>
                <w10:wrap anchorx="margin" anchory="margin"/>
              </v:rect>
            </w:pict>
          </mc:Fallback>
        </mc:AlternateContent>
      </w:r>
    </w:p>
    <w:p w:rsidR="00740B7D" w:rsidRPr="00740B7D" w:rsidRDefault="00740B7D" w:rsidP="00740B7D">
      <w:pPr>
        <w:pStyle w:val="Caption"/>
        <w:keepNext/>
        <w:jc w:val="center"/>
        <w:rPr>
          <w:sz w:val="24"/>
          <w:szCs w:val="24"/>
        </w:rPr>
      </w:pPr>
      <w:bookmarkStart w:id="198" w:name="_Toc490131694"/>
      <w:r w:rsidRPr="00740B7D">
        <w:rPr>
          <w:sz w:val="24"/>
          <w:szCs w:val="24"/>
        </w:rPr>
        <w:t xml:space="preserve">Table </w:t>
      </w:r>
      <w:r w:rsidR="00B23FDA">
        <w:rPr>
          <w:sz w:val="24"/>
          <w:szCs w:val="24"/>
        </w:rPr>
        <w:fldChar w:fldCharType="begin"/>
      </w:r>
      <w:r w:rsidR="00B23FDA">
        <w:rPr>
          <w:sz w:val="24"/>
          <w:szCs w:val="24"/>
        </w:rPr>
        <w:instrText xml:space="preserve"> STYLEREF 1 \s </w:instrText>
      </w:r>
      <w:r w:rsidR="00B23FDA">
        <w:rPr>
          <w:sz w:val="24"/>
          <w:szCs w:val="24"/>
        </w:rPr>
        <w:fldChar w:fldCharType="separate"/>
      </w:r>
      <w:r w:rsidR="000C5FC3">
        <w:rPr>
          <w:noProof/>
          <w:sz w:val="24"/>
          <w:szCs w:val="24"/>
        </w:rPr>
        <w:t>5</w:t>
      </w:r>
      <w:r w:rsidR="00B23FDA">
        <w:rPr>
          <w:sz w:val="24"/>
          <w:szCs w:val="24"/>
        </w:rPr>
        <w:fldChar w:fldCharType="end"/>
      </w:r>
      <w:r w:rsidR="00B23FDA">
        <w:rPr>
          <w:sz w:val="24"/>
          <w:szCs w:val="24"/>
        </w:rPr>
        <w:noBreakHyphen/>
      </w:r>
      <w:r w:rsidR="00B23FDA">
        <w:rPr>
          <w:sz w:val="24"/>
          <w:szCs w:val="24"/>
        </w:rPr>
        <w:fldChar w:fldCharType="begin"/>
      </w:r>
      <w:r w:rsidR="00B23FDA">
        <w:rPr>
          <w:sz w:val="24"/>
          <w:szCs w:val="24"/>
        </w:rPr>
        <w:instrText xml:space="preserve"> SEQ Table \* ARABIC \s 1 </w:instrText>
      </w:r>
      <w:r w:rsidR="00B23FDA">
        <w:rPr>
          <w:sz w:val="24"/>
          <w:szCs w:val="24"/>
        </w:rPr>
        <w:fldChar w:fldCharType="separate"/>
      </w:r>
      <w:r w:rsidR="000C5FC3">
        <w:rPr>
          <w:noProof/>
          <w:sz w:val="24"/>
          <w:szCs w:val="24"/>
        </w:rPr>
        <w:t>2</w:t>
      </w:r>
      <w:r w:rsidR="00B23FDA">
        <w:rPr>
          <w:sz w:val="24"/>
          <w:szCs w:val="24"/>
        </w:rPr>
        <w:fldChar w:fldCharType="end"/>
      </w:r>
      <w:r w:rsidRPr="00740B7D">
        <w:rPr>
          <w:rFonts w:eastAsia="Times New Roman" w:cs="Times New Roman"/>
          <w:bCs/>
          <w:color w:val="000000"/>
          <w:sz w:val="24"/>
          <w:szCs w:val="24"/>
        </w:rPr>
        <w:t xml:space="preserve"> Garnet (Grt) compositions</w:t>
      </w:r>
      <w:bookmarkEnd w:id="198"/>
    </w:p>
    <w:tbl>
      <w:tblPr>
        <w:tblW w:w="9005" w:type="dxa"/>
        <w:jc w:val="center"/>
        <w:tblCellMar>
          <w:top w:w="15" w:type="dxa"/>
          <w:bottom w:w="15" w:type="dxa"/>
        </w:tblCellMar>
        <w:tblLook w:val="04A0" w:firstRow="1" w:lastRow="0" w:firstColumn="1" w:lastColumn="0" w:noHBand="0" w:noVBand="1"/>
      </w:tblPr>
      <w:tblGrid>
        <w:gridCol w:w="1020"/>
        <w:gridCol w:w="860"/>
        <w:gridCol w:w="741"/>
        <w:gridCol w:w="840"/>
        <w:gridCol w:w="741"/>
        <w:gridCol w:w="860"/>
        <w:gridCol w:w="741"/>
        <w:gridCol w:w="860"/>
        <w:gridCol w:w="741"/>
        <w:gridCol w:w="860"/>
        <w:gridCol w:w="741"/>
      </w:tblGrid>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b/>
                <w:bCs/>
                <w:color w:val="000000"/>
                <w:sz w:val="18"/>
                <w:szCs w:val="18"/>
              </w:rPr>
            </w:pPr>
            <w:r w:rsidRPr="00946C71">
              <w:rPr>
                <w:rFonts w:eastAsia="Times New Roman" w:cs="Times New Roman"/>
                <w:b/>
                <w:bCs/>
                <w:color w:val="000000"/>
                <w:sz w:val="18"/>
                <w:szCs w:val="18"/>
              </w:rPr>
              <w:t>GT 1.3</w:t>
            </w:r>
          </w:p>
        </w:tc>
        <w:tc>
          <w:tcPr>
            <w:tcW w:w="741"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b/>
                <w:bCs/>
                <w:color w:val="000000"/>
                <w:sz w:val="18"/>
                <w:szCs w:val="18"/>
              </w:rPr>
            </w:pPr>
          </w:p>
        </w:tc>
        <w:tc>
          <w:tcPr>
            <w:tcW w:w="840"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741"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741"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741"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741"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GBT-90</w:t>
            </w: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4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GBT-88</w:t>
            </w: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GBT-89</w:t>
            </w: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GBT-101</w:t>
            </w: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GBT-103</w:t>
            </w: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T (°C)</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850</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4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850/750</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750</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850/750</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850/650</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t (hrs)</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45</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4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24/168</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168</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42/456</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42/456</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r>
      <w:tr w:rsidR="00740B7D" w:rsidRPr="00946C71" w:rsidTr="00740B7D">
        <w:trPr>
          <w:trHeight w:val="540"/>
          <w:jc w:val="center"/>
        </w:trPr>
        <w:tc>
          <w:tcPr>
            <w:tcW w:w="1020" w:type="dxa"/>
            <w:tcBorders>
              <w:top w:val="nil"/>
              <w:left w:val="nil"/>
              <w:bottom w:val="nil"/>
              <w:right w:val="nil"/>
            </w:tcBorders>
            <w:vAlign w:val="center"/>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Location of Analysis</w:t>
            </w:r>
          </w:p>
        </w:tc>
        <w:tc>
          <w:tcPr>
            <w:tcW w:w="860" w:type="dxa"/>
            <w:tcBorders>
              <w:top w:val="nil"/>
              <w:left w:val="nil"/>
              <w:bottom w:val="nil"/>
              <w:right w:val="nil"/>
            </w:tcBorders>
            <w:vAlign w:val="center"/>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Rim</w:t>
            </w:r>
          </w:p>
        </w:tc>
        <w:tc>
          <w:tcPr>
            <w:tcW w:w="741" w:type="dxa"/>
            <w:tcBorders>
              <w:top w:val="nil"/>
              <w:left w:val="nil"/>
              <w:bottom w:val="nil"/>
              <w:right w:val="nil"/>
            </w:tcBorders>
            <w:vAlign w:val="center"/>
            <w:hideMark/>
          </w:tcPr>
          <w:p w:rsidR="00740B7D" w:rsidRPr="00946C71" w:rsidRDefault="00740B7D" w:rsidP="00740B7D">
            <w:pPr>
              <w:spacing w:after="0"/>
              <w:jc w:val="center"/>
              <w:rPr>
                <w:rFonts w:eastAsia="Times New Roman" w:cs="Times New Roman"/>
                <w:color w:val="000000"/>
                <w:sz w:val="18"/>
                <w:szCs w:val="18"/>
              </w:rPr>
            </w:pPr>
          </w:p>
        </w:tc>
        <w:tc>
          <w:tcPr>
            <w:tcW w:w="840" w:type="dxa"/>
            <w:tcBorders>
              <w:top w:val="nil"/>
              <w:left w:val="nil"/>
              <w:bottom w:val="nil"/>
              <w:right w:val="nil"/>
            </w:tcBorders>
            <w:vAlign w:val="center"/>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Rim</w:t>
            </w:r>
          </w:p>
        </w:tc>
        <w:tc>
          <w:tcPr>
            <w:tcW w:w="741" w:type="dxa"/>
            <w:tcBorders>
              <w:top w:val="nil"/>
              <w:left w:val="nil"/>
              <w:bottom w:val="nil"/>
              <w:right w:val="nil"/>
            </w:tcBorders>
            <w:vAlign w:val="center"/>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vAlign w:val="center"/>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Rim</w:t>
            </w:r>
          </w:p>
        </w:tc>
        <w:tc>
          <w:tcPr>
            <w:tcW w:w="741" w:type="dxa"/>
            <w:tcBorders>
              <w:top w:val="nil"/>
              <w:left w:val="nil"/>
              <w:bottom w:val="nil"/>
              <w:right w:val="nil"/>
            </w:tcBorders>
            <w:vAlign w:val="center"/>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vAlign w:val="center"/>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Rim</w:t>
            </w:r>
          </w:p>
        </w:tc>
        <w:tc>
          <w:tcPr>
            <w:tcW w:w="741" w:type="dxa"/>
            <w:tcBorders>
              <w:top w:val="nil"/>
              <w:left w:val="nil"/>
              <w:bottom w:val="nil"/>
              <w:right w:val="nil"/>
            </w:tcBorders>
            <w:vAlign w:val="center"/>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vAlign w:val="center"/>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Rim</w:t>
            </w:r>
          </w:p>
        </w:tc>
        <w:tc>
          <w:tcPr>
            <w:tcW w:w="741" w:type="dxa"/>
            <w:tcBorders>
              <w:top w:val="nil"/>
              <w:left w:val="nil"/>
              <w:bottom w:val="nil"/>
              <w:right w:val="nil"/>
            </w:tcBorders>
            <w:vAlign w:val="center"/>
            <w:hideMark/>
          </w:tcPr>
          <w:p w:rsidR="00740B7D" w:rsidRPr="00946C71" w:rsidRDefault="00740B7D" w:rsidP="00740B7D">
            <w:pPr>
              <w:spacing w:after="0"/>
              <w:jc w:val="center"/>
              <w:rPr>
                <w:rFonts w:eastAsia="Times New Roman" w:cs="Times New Roman"/>
                <w:color w:val="000000"/>
                <w:sz w:val="18"/>
                <w:szCs w:val="18"/>
              </w:rPr>
            </w:pP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right"/>
              <w:rPr>
                <w:rFonts w:eastAsia="Times New Roman" w:cs="Times New Roman"/>
                <w:sz w:val="18"/>
                <w:szCs w:val="18"/>
              </w:rPr>
            </w:pP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840" w:type="dxa"/>
            <w:tcBorders>
              <w:top w:val="single" w:sz="4" w:space="0" w:color="auto"/>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2441" w:type="dxa"/>
            <w:gridSpan w:val="3"/>
            <w:tcBorders>
              <w:top w:val="nil"/>
              <w:left w:val="nil"/>
              <w:bottom w:val="nil"/>
              <w:right w:val="nil"/>
            </w:tcBorders>
            <w:noWrap/>
            <w:vAlign w:val="bottom"/>
            <w:hideMark/>
          </w:tcPr>
          <w:p w:rsidR="00740B7D" w:rsidRPr="00946C71" w:rsidRDefault="00740B7D" w:rsidP="00740B7D">
            <w:pPr>
              <w:spacing w:after="0"/>
              <w:rPr>
                <w:rFonts w:eastAsia="Times New Roman" w:cs="Times New Roman"/>
                <w:b/>
                <w:bCs/>
                <w:color w:val="000000"/>
                <w:sz w:val="18"/>
                <w:szCs w:val="18"/>
              </w:rPr>
            </w:pPr>
            <w:r w:rsidRPr="00946C71">
              <w:rPr>
                <w:rFonts w:eastAsia="Times New Roman" w:cs="Times New Roman"/>
                <w:b/>
                <w:bCs/>
                <w:color w:val="000000"/>
                <w:sz w:val="18"/>
                <w:szCs w:val="18"/>
              </w:rPr>
              <w:t>Weight Percent Oxides</w:t>
            </w:r>
          </w:p>
        </w:tc>
        <w:tc>
          <w:tcPr>
            <w:tcW w:w="741"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b/>
                <w:bCs/>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741"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741"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741"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SiO</w:t>
            </w:r>
            <w:r w:rsidRPr="00740B7D">
              <w:rPr>
                <w:rFonts w:eastAsia="Times New Roman" w:cs="Times New Roman"/>
                <w:b/>
                <w:bCs/>
                <w:color w:val="000000"/>
                <w:sz w:val="18"/>
                <w:szCs w:val="18"/>
                <w:vertAlign w:val="subscript"/>
              </w:rPr>
              <w:t>2</w:t>
            </w: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36.00 </w:t>
            </w: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(0.26)</w:t>
            </w:r>
          </w:p>
        </w:tc>
        <w:tc>
          <w:tcPr>
            <w:tcW w:w="84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35.80 </w:t>
            </w: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(0.53)</w:t>
            </w: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34.76 </w:t>
            </w: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(0.27)</w:t>
            </w: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35.33 </w:t>
            </w: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(0.28)</w:t>
            </w: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33.75 </w:t>
            </w: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(0.54)</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TiO</w:t>
            </w:r>
            <w:r w:rsidRPr="00740B7D">
              <w:rPr>
                <w:rFonts w:eastAsia="Times New Roman" w:cs="Times New Roman"/>
                <w:b/>
                <w:bCs/>
                <w:color w:val="000000"/>
                <w:sz w:val="18"/>
                <w:szCs w:val="18"/>
                <w:vertAlign w:val="subscript"/>
              </w:rPr>
              <w:t>2</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0.98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(0.11)</w:t>
            </w:r>
          </w:p>
        </w:tc>
        <w:tc>
          <w:tcPr>
            <w:tcW w:w="84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1.11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(0.14)</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1.27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(0.29)</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1.19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(0.07)</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0.95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(0.30)</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Al</w:t>
            </w:r>
            <w:r w:rsidRPr="00740B7D">
              <w:rPr>
                <w:rFonts w:eastAsia="Times New Roman" w:cs="Times New Roman"/>
                <w:b/>
                <w:bCs/>
                <w:color w:val="000000"/>
                <w:sz w:val="18"/>
                <w:szCs w:val="18"/>
                <w:vertAlign w:val="subscript"/>
              </w:rPr>
              <w:t>2</w:t>
            </w:r>
            <w:r w:rsidRPr="00946C71">
              <w:rPr>
                <w:rFonts w:eastAsia="Times New Roman" w:cs="Times New Roman"/>
                <w:b/>
                <w:bCs/>
                <w:color w:val="000000"/>
                <w:sz w:val="18"/>
                <w:szCs w:val="18"/>
              </w:rPr>
              <w:t>O</w:t>
            </w:r>
            <w:r w:rsidRPr="00740B7D">
              <w:rPr>
                <w:rFonts w:eastAsia="Times New Roman" w:cs="Times New Roman"/>
                <w:b/>
                <w:bCs/>
                <w:color w:val="000000"/>
                <w:sz w:val="18"/>
                <w:szCs w:val="18"/>
                <w:vertAlign w:val="subscript"/>
              </w:rPr>
              <w:t>3</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20.37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(0.30)</w:t>
            </w:r>
          </w:p>
        </w:tc>
        <w:tc>
          <w:tcPr>
            <w:tcW w:w="84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20.26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(0.17)</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19.25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(0.68)</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19.28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(0.23)</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19.20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(0.20)</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FeO*</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10.62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(1.02)</w:t>
            </w:r>
          </w:p>
        </w:tc>
        <w:tc>
          <w:tcPr>
            <w:tcW w:w="84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12.38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(0.18)</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10.05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(0.53)</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10.56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(0.70)</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6.78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(0.63)</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MnO</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22.68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(0.67)</w:t>
            </w:r>
          </w:p>
        </w:tc>
        <w:tc>
          <w:tcPr>
            <w:tcW w:w="84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25.42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(0.51)</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30.39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(0.89)</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28.89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(1.30)</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36.23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(0.57)</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MgO</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6.61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(0.56)</w:t>
            </w:r>
          </w:p>
        </w:tc>
        <w:tc>
          <w:tcPr>
            <w:tcW w:w="84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4.46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(0.31)</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2.80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(0.26)</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3.64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(0.45)</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0.99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(0.07)</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CaO</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0.18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(0.01)</w:t>
            </w:r>
          </w:p>
        </w:tc>
        <w:tc>
          <w:tcPr>
            <w:tcW w:w="84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0.17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(0.02)</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0.35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(0.04)</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0.19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(0.02)</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0.36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(0.04)</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Na</w:t>
            </w:r>
            <w:r w:rsidRPr="00740B7D">
              <w:rPr>
                <w:rFonts w:eastAsia="Times New Roman" w:cs="Times New Roman"/>
                <w:b/>
                <w:bCs/>
                <w:color w:val="000000"/>
                <w:sz w:val="18"/>
                <w:szCs w:val="18"/>
                <w:vertAlign w:val="subscript"/>
              </w:rPr>
              <w:t>2</w:t>
            </w:r>
            <w:r w:rsidRPr="00946C71">
              <w:rPr>
                <w:rFonts w:eastAsia="Times New Roman" w:cs="Times New Roman"/>
                <w:b/>
                <w:bCs/>
                <w:color w:val="000000"/>
                <w:sz w:val="18"/>
                <w:szCs w:val="18"/>
              </w:rPr>
              <w:t>O</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0.01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0.00 </w:t>
            </w:r>
          </w:p>
        </w:tc>
        <w:tc>
          <w:tcPr>
            <w:tcW w:w="84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0.01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(0.01)</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0.02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(0.04)</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0.01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(0.01)</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0.01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(0.01)</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K</w:t>
            </w:r>
            <w:r w:rsidRPr="00740B7D">
              <w:rPr>
                <w:rFonts w:eastAsia="Times New Roman" w:cs="Times New Roman"/>
                <w:b/>
                <w:bCs/>
                <w:color w:val="000000"/>
                <w:sz w:val="18"/>
                <w:szCs w:val="18"/>
                <w:vertAlign w:val="subscript"/>
              </w:rPr>
              <w:t>2</w:t>
            </w:r>
            <w:r w:rsidRPr="00946C71">
              <w:rPr>
                <w:rFonts w:eastAsia="Times New Roman" w:cs="Times New Roman"/>
                <w:b/>
                <w:bCs/>
                <w:color w:val="000000"/>
                <w:sz w:val="18"/>
                <w:szCs w:val="18"/>
              </w:rPr>
              <w:t>O</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0.04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(0.01)</w:t>
            </w:r>
          </w:p>
        </w:tc>
        <w:tc>
          <w:tcPr>
            <w:tcW w:w="84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0.02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(0.01)</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0.05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(0.01)</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0.02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(0.01)</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0.03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(0.01)</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Total</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97.58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(0.34)</w:t>
            </w:r>
          </w:p>
        </w:tc>
        <w:tc>
          <w:tcPr>
            <w:tcW w:w="84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99.67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(0.59)</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98.96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(0.48)</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99.12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(0.28)</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98.39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(0.39)</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 Pts (N)</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3</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4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21</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18</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10</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12</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right"/>
              <w:rPr>
                <w:rFonts w:eastAsia="Times New Roman" w:cs="Times New Roman"/>
                <w:sz w:val="18"/>
                <w:szCs w:val="18"/>
              </w:rPr>
            </w:pP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84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4042" w:type="dxa"/>
            <w:gridSpan w:val="5"/>
            <w:tcBorders>
              <w:top w:val="nil"/>
              <w:left w:val="nil"/>
              <w:bottom w:val="nil"/>
              <w:right w:val="nil"/>
            </w:tcBorders>
            <w:noWrap/>
            <w:vAlign w:val="bottom"/>
            <w:hideMark/>
          </w:tcPr>
          <w:p w:rsidR="00740B7D" w:rsidRPr="00946C71" w:rsidRDefault="00740B7D" w:rsidP="00740B7D">
            <w:pPr>
              <w:spacing w:after="0"/>
              <w:rPr>
                <w:rFonts w:eastAsia="Times New Roman" w:cs="Times New Roman"/>
                <w:b/>
                <w:bCs/>
                <w:color w:val="000000"/>
                <w:sz w:val="18"/>
                <w:szCs w:val="18"/>
              </w:rPr>
            </w:pPr>
            <w:r w:rsidRPr="00946C71">
              <w:rPr>
                <w:rFonts w:eastAsia="Times New Roman" w:cs="Times New Roman"/>
                <w:b/>
                <w:bCs/>
                <w:color w:val="000000"/>
                <w:sz w:val="18"/>
                <w:szCs w:val="18"/>
              </w:rPr>
              <w:t>Atoms per formula unit (based on 12 oxygens)</w:t>
            </w:r>
          </w:p>
        </w:tc>
        <w:tc>
          <w:tcPr>
            <w:tcW w:w="741"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b/>
                <w:bCs/>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Si</w:t>
            </w: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2.923 </w:t>
            </w: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(0.006)</w:t>
            </w:r>
          </w:p>
        </w:tc>
        <w:tc>
          <w:tcPr>
            <w:tcW w:w="84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2.905 </w:t>
            </w: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(0.026)</w:t>
            </w: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2.892 </w:t>
            </w: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(0.019)</w:t>
            </w: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2.914 </w:t>
            </w: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(0.016)</w:t>
            </w: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2.868 </w:t>
            </w: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(0.032)</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Ti</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0.060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(0.007)</w:t>
            </w:r>
          </w:p>
        </w:tc>
        <w:tc>
          <w:tcPr>
            <w:tcW w:w="84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0.068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(0.009)</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0.079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(0.018)</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0.074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(0.004)</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0.060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(0.019)</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Al</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1.949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(0.020)</w:t>
            </w:r>
          </w:p>
        </w:tc>
        <w:tc>
          <w:tcPr>
            <w:tcW w:w="84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1.938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(0.018)</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1.887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(0.062)</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1.874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(0.022)</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1.922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(0.015)</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Fe</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0.721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(0.071)</w:t>
            </w:r>
          </w:p>
        </w:tc>
        <w:tc>
          <w:tcPr>
            <w:tcW w:w="84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0.840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(0.010)</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0.699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(0.038)</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0.728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(0.047)</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0.482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(0.045)</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Mn</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1.561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(0.054)</w:t>
            </w:r>
          </w:p>
        </w:tc>
        <w:tc>
          <w:tcPr>
            <w:tcW w:w="84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1.748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(0.041)</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2.142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(0.066)</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2.019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(0.096)</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2.608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(0.042)</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Mg</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0.800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(0.063)</w:t>
            </w:r>
          </w:p>
        </w:tc>
        <w:tc>
          <w:tcPr>
            <w:tcW w:w="84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0.539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(0.036)</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0.347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(0.031)</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0.447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(0.055)</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0.126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(0.008)</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Ca</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0.016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(0.001)</w:t>
            </w:r>
          </w:p>
        </w:tc>
        <w:tc>
          <w:tcPr>
            <w:tcW w:w="84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0.015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(0.001)</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0.032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(0.004)</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0.017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(0.002)</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0.032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(0.004)</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 X-site</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3.097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(0.029)</w:t>
            </w:r>
          </w:p>
        </w:tc>
        <w:tc>
          <w:tcPr>
            <w:tcW w:w="84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3.142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(0.032)</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3.219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(0.071)</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3.211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(0.017)</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3.247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(0.024)</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∑Cations</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8.030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(0.011)</w:t>
            </w:r>
          </w:p>
        </w:tc>
        <w:tc>
          <w:tcPr>
            <w:tcW w:w="84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8.053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(0.020)</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8.078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(0.024)</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8.073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(0.011)</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8.098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(0.009)</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right"/>
              <w:rPr>
                <w:rFonts w:eastAsia="Times New Roman" w:cs="Times New Roman"/>
                <w:sz w:val="18"/>
                <w:szCs w:val="18"/>
              </w:rPr>
            </w:pP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84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4042" w:type="dxa"/>
            <w:gridSpan w:val="5"/>
            <w:tcBorders>
              <w:top w:val="nil"/>
              <w:left w:val="nil"/>
              <w:bottom w:val="nil"/>
              <w:right w:val="nil"/>
            </w:tcBorders>
            <w:noWrap/>
            <w:vAlign w:val="bottom"/>
            <w:hideMark/>
          </w:tcPr>
          <w:p w:rsidR="00740B7D" w:rsidRPr="00946C71" w:rsidRDefault="00740B7D" w:rsidP="00740B7D">
            <w:pPr>
              <w:spacing w:after="0"/>
              <w:rPr>
                <w:rFonts w:eastAsia="Times New Roman" w:cs="Times New Roman"/>
                <w:b/>
                <w:bCs/>
                <w:color w:val="000000"/>
                <w:sz w:val="18"/>
                <w:szCs w:val="18"/>
              </w:rPr>
            </w:pPr>
            <w:r w:rsidRPr="00946C71">
              <w:rPr>
                <w:rFonts w:eastAsia="Times New Roman" w:cs="Times New Roman"/>
                <w:b/>
                <w:bCs/>
                <w:color w:val="000000"/>
                <w:sz w:val="18"/>
                <w:szCs w:val="18"/>
              </w:rPr>
              <w:t>Normative End-Member Components</w:t>
            </w:r>
          </w:p>
        </w:tc>
        <w:tc>
          <w:tcPr>
            <w:tcW w:w="741"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b/>
                <w:bCs/>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%Sps</w:t>
            </w: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50.63 </w:t>
            </w: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(1.65)</w:t>
            </w:r>
          </w:p>
        </w:tc>
        <w:tc>
          <w:tcPr>
            <w:tcW w:w="84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55.89 </w:t>
            </w: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(1.12)</w:t>
            </w: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67.17 </w:t>
            </w: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(0.94)</w:t>
            </w: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63.20 </w:t>
            </w: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(2.86)</w:t>
            </w: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81.12 </w:t>
            </w: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(1.53)</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%Alm</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23.38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(2.08)</w:t>
            </w:r>
          </w:p>
        </w:tc>
        <w:tc>
          <w:tcPr>
            <w:tcW w:w="84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26.86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(0.38)</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21.93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(0.98)</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22.80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(1.48)</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14.98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(1.34)</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%Prp</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25.99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(2.26)</w:t>
            </w:r>
          </w:p>
        </w:tc>
        <w:tc>
          <w:tcPr>
            <w:tcW w:w="84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17.24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(1.13)</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10.89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(1.13)</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14.00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(1.75)</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3.91 </w:t>
            </w:r>
          </w:p>
        </w:tc>
        <w:tc>
          <w:tcPr>
            <w:tcW w:w="741"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(0.26)</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2441" w:type="dxa"/>
            <w:gridSpan w:val="3"/>
            <w:tcBorders>
              <w:top w:val="single" w:sz="4" w:space="0" w:color="auto"/>
              <w:left w:val="nil"/>
              <w:bottom w:val="nil"/>
              <w:right w:val="nil"/>
            </w:tcBorders>
            <w:noWrap/>
            <w:vAlign w:val="bottom"/>
            <w:hideMark/>
          </w:tcPr>
          <w:p w:rsidR="00740B7D" w:rsidRPr="00946C71" w:rsidRDefault="00740B7D" w:rsidP="00740B7D">
            <w:pPr>
              <w:spacing w:after="0"/>
              <w:rPr>
                <w:rFonts w:eastAsia="Times New Roman" w:cs="Times New Roman"/>
                <w:color w:val="000000"/>
                <w:sz w:val="18"/>
                <w:szCs w:val="18"/>
              </w:rPr>
            </w:pPr>
            <w:r w:rsidRPr="00946C71">
              <w:rPr>
                <w:rFonts w:eastAsia="Times New Roman" w:cs="Times New Roman"/>
                <w:color w:val="000000"/>
                <w:sz w:val="18"/>
                <w:szCs w:val="18"/>
              </w:rPr>
              <w:t>2σSD in parentheses</w:t>
            </w: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rPr>
                <w:rFonts w:eastAsia="Times New Roman" w:cs="Times New Roman"/>
                <w:color w:val="000000"/>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741" w:type="dxa"/>
            <w:tcBorders>
              <w:top w:val="single" w:sz="4" w:space="0" w:color="auto"/>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r>
    </w:tbl>
    <w:p w:rsidR="004E1D03" w:rsidRDefault="004E1D03" w:rsidP="004E1D03">
      <w:r>
        <w:br w:type="page"/>
      </w:r>
    </w:p>
    <w:tbl>
      <w:tblPr>
        <w:tblW w:w="7220" w:type="dxa"/>
        <w:jc w:val="center"/>
        <w:tblCellMar>
          <w:top w:w="15" w:type="dxa"/>
          <w:bottom w:w="15" w:type="dxa"/>
        </w:tblCellMar>
        <w:tblLook w:val="04A0" w:firstRow="1" w:lastRow="0" w:firstColumn="1" w:lastColumn="0" w:noHBand="0" w:noVBand="1"/>
      </w:tblPr>
      <w:tblGrid>
        <w:gridCol w:w="1020"/>
        <w:gridCol w:w="860"/>
        <w:gridCol w:w="741"/>
        <w:gridCol w:w="860"/>
        <w:gridCol w:w="741"/>
        <w:gridCol w:w="860"/>
        <w:gridCol w:w="741"/>
        <w:gridCol w:w="860"/>
        <w:gridCol w:w="741"/>
      </w:tblGrid>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3940" w:type="dxa"/>
            <w:gridSpan w:val="5"/>
            <w:tcBorders>
              <w:top w:val="nil"/>
              <w:left w:val="nil"/>
              <w:bottom w:val="nil"/>
              <w:right w:val="nil"/>
            </w:tcBorders>
            <w:noWrap/>
            <w:vAlign w:val="bottom"/>
            <w:hideMark/>
          </w:tcPr>
          <w:p w:rsidR="00740B7D" w:rsidRPr="00946C71" w:rsidRDefault="00740B7D" w:rsidP="00740B7D">
            <w:pPr>
              <w:spacing w:after="0"/>
              <w:rPr>
                <w:rFonts w:eastAsia="Times New Roman" w:cs="Times New Roman"/>
                <w:b/>
                <w:bCs/>
                <w:color w:val="000000"/>
                <w:sz w:val="18"/>
                <w:szCs w:val="18"/>
              </w:rPr>
            </w:pPr>
            <w:r w:rsidRPr="00946C71">
              <w:rPr>
                <w:rFonts w:eastAsia="Times New Roman" w:cs="Times New Roman"/>
                <w:b/>
                <w:bCs/>
                <w:color w:val="000000"/>
                <w:sz w:val="18"/>
                <w:szCs w:val="18"/>
              </w:rPr>
              <w:t>Table 2 cont.: Garnet (Grt) compositions</w:t>
            </w:r>
          </w:p>
        </w:tc>
        <w:tc>
          <w:tcPr>
            <w:tcW w:w="700"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b/>
                <w:bCs/>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700"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1552" w:type="dxa"/>
            <w:gridSpan w:val="2"/>
            <w:tcBorders>
              <w:top w:val="nil"/>
              <w:left w:val="nil"/>
              <w:bottom w:val="nil"/>
              <w:right w:val="nil"/>
            </w:tcBorders>
            <w:noWrap/>
            <w:vAlign w:val="bottom"/>
            <w:hideMark/>
          </w:tcPr>
          <w:p w:rsidR="00740B7D" w:rsidRPr="00946C71" w:rsidRDefault="00740B7D" w:rsidP="00740B7D">
            <w:pPr>
              <w:spacing w:after="0"/>
              <w:rPr>
                <w:rFonts w:eastAsia="Times New Roman" w:cs="Times New Roman"/>
                <w:b/>
                <w:bCs/>
                <w:color w:val="000000"/>
                <w:sz w:val="18"/>
                <w:szCs w:val="18"/>
              </w:rPr>
            </w:pPr>
            <w:r w:rsidRPr="00946C71">
              <w:rPr>
                <w:rFonts w:eastAsia="Times New Roman" w:cs="Times New Roman"/>
                <w:b/>
                <w:bCs/>
                <w:color w:val="000000"/>
                <w:sz w:val="18"/>
                <w:szCs w:val="18"/>
              </w:rPr>
              <w:t>MnGT-BC-4.1</w:t>
            </w:r>
          </w:p>
        </w:tc>
        <w:tc>
          <w:tcPr>
            <w:tcW w:w="860"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b/>
                <w:bCs/>
                <w:color w:val="000000"/>
                <w:sz w:val="18"/>
                <w:szCs w:val="18"/>
              </w:rPr>
            </w:pPr>
          </w:p>
        </w:tc>
        <w:tc>
          <w:tcPr>
            <w:tcW w:w="668"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700"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700"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MnGT-76</w:t>
            </w:r>
          </w:p>
        </w:tc>
        <w:tc>
          <w:tcPr>
            <w:tcW w:w="692"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MnGT-77</w:t>
            </w:r>
          </w:p>
        </w:tc>
        <w:tc>
          <w:tcPr>
            <w:tcW w:w="668"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MnGT-56</w:t>
            </w:r>
          </w:p>
        </w:tc>
        <w:tc>
          <w:tcPr>
            <w:tcW w:w="70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MnGT-49</w:t>
            </w:r>
          </w:p>
        </w:tc>
        <w:tc>
          <w:tcPr>
            <w:tcW w:w="70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T (°C)</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800/775</w:t>
            </w:r>
          </w:p>
        </w:tc>
        <w:tc>
          <w:tcPr>
            <w:tcW w:w="692"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800/750</w:t>
            </w:r>
          </w:p>
        </w:tc>
        <w:tc>
          <w:tcPr>
            <w:tcW w:w="668"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800/700</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800/700</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t (hrs)</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168/24</w:t>
            </w:r>
          </w:p>
        </w:tc>
        <w:tc>
          <w:tcPr>
            <w:tcW w:w="692"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168/24</w:t>
            </w:r>
          </w:p>
        </w:tc>
        <w:tc>
          <w:tcPr>
            <w:tcW w:w="668"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336/336</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168/264</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r>
      <w:tr w:rsidR="00740B7D" w:rsidRPr="00946C71" w:rsidTr="00740B7D">
        <w:trPr>
          <w:trHeight w:val="540"/>
          <w:jc w:val="center"/>
        </w:trPr>
        <w:tc>
          <w:tcPr>
            <w:tcW w:w="1020" w:type="dxa"/>
            <w:tcBorders>
              <w:top w:val="nil"/>
              <w:left w:val="nil"/>
              <w:bottom w:val="nil"/>
              <w:right w:val="nil"/>
            </w:tcBorders>
            <w:vAlign w:val="center"/>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Location of Analysis</w:t>
            </w:r>
          </w:p>
        </w:tc>
        <w:tc>
          <w:tcPr>
            <w:tcW w:w="860" w:type="dxa"/>
            <w:tcBorders>
              <w:top w:val="nil"/>
              <w:left w:val="nil"/>
              <w:bottom w:val="nil"/>
              <w:right w:val="nil"/>
            </w:tcBorders>
            <w:vAlign w:val="center"/>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Rim</w:t>
            </w:r>
          </w:p>
        </w:tc>
        <w:tc>
          <w:tcPr>
            <w:tcW w:w="692" w:type="dxa"/>
            <w:tcBorders>
              <w:top w:val="nil"/>
              <w:left w:val="nil"/>
              <w:bottom w:val="nil"/>
              <w:right w:val="nil"/>
            </w:tcBorders>
            <w:vAlign w:val="center"/>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vAlign w:val="center"/>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Rim</w:t>
            </w:r>
          </w:p>
        </w:tc>
        <w:tc>
          <w:tcPr>
            <w:tcW w:w="668" w:type="dxa"/>
            <w:tcBorders>
              <w:top w:val="nil"/>
              <w:left w:val="nil"/>
              <w:bottom w:val="nil"/>
              <w:right w:val="nil"/>
            </w:tcBorders>
            <w:vAlign w:val="center"/>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vAlign w:val="center"/>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Rim</w:t>
            </w:r>
          </w:p>
        </w:tc>
        <w:tc>
          <w:tcPr>
            <w:tcW w:w="700" w:type="dxa"/>
            <w:tcBorders>
              <w:top w:val="nil"/>
              <w:left w:val="nil"/>
              <w:bottom w:val="nil"/>
              <w:right w:val="nil"/>
            </w:tcBorders>
            <w:vAlign w:val="center"/>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vAlign w:val="center"/>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Rim</w:t>
            </w:r>
          </w:p>
        </w:tc>
        <w:tc>
          <w:tcPr>
            <w:tcW w:w="700" w:type="dxa"/>
            <w:tcBorders>
              <w:top w:val="nil"/>
              <w:left w:val="nil"/>
              <w:bottom w:val="nil"/>
              <w:right w:val="nil"/>
            </w:tcBorders>
            <w:vAlign w:val="center"/>
            <w:hideMark/>
          </w:tcPr>
          <w:p w:rsidR="00740B7D" w:rsidRPr="00946C71" w:rsidRDefault="00740B7D" w:rsidP="00740B7D">
            <w:pPr>
              <w:spacing w:after="0"/>
              <w:jc w:val="center"/>
              <w:rPr>
                <w:rFonts w:eastAsia="Times New Roman" w:cs="Times New Roman"/>
                <w:color w:val="000000"/>
                <w:sz w:val="18"/>
                <w:szCs w:val="18"/>
              </w:rPr>
            </w:pP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right"/>
              <w:rPr>
                <w:rFonts w:eastAsia="Times New Roman" w:cs="Times New Roman"/>
                <w:sz w:val="18"/>
                <w:szCs w:val="18"/>
              </w:rPr>
            </w:pPr>
          </w:p>
        </w:tc>
        <w:tc>
          <w:tcPr>
            <w:tcW w:w="692" w:type="dxa"/>
            <w:tcBorders>
              <w:top w:val="single" w:sz="4" w:space="0" w:color="auto"/>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668" w:type="dxa"/>
            <w:tcBorders>
              <w:top w:val="single" w:sz="4" w:space="0" w:color="auto"/>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700" w:type="dxa"/>
            <w:tcBorders>
              <w:top w:val="single" w:sz="4" w:space="0" w:color="auto"/>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700" w:type="dxa"/>
            <w:tcBorders>
              <w:top w:val="single" w:sz="4" w:space="0" w:color="auto"/>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2412" w:type="dxa"/>
            <w:gridSpan w:val="3"/>
            <w:tcBorders>
              <w:top w:val="nil"/>
              <w:left w:val="nil"/>
              <w:bottom w:val="nil"/>
              <w:right w:val="nil"/>
            </w:tcBorders>
            <w:noWrap/>
            <w:vAlign w:val="bottom"/>
            <w:hideMark/>
          </w:tcPr>
          <w:p w:rsidR="00740B7D" w:rsidRPr="00946C71" w:rsidRDefault="00740B7D" w:rsidP="00740B7D">
            <w:pPr>
              <w:spacing w:after="0"/>
              <w:rPr>
                <w:rFonts w:eastAsia="Times New Roman" w:cs="Times New Roman"/>
                <w:b/>
                <w:bCs/>
                <w:color w:val="000000"/>
                <w:sz w:val="18"/>
                <w:szCs w:val="18"/>
              </w:rPr>
            </w:pPr>
            <w:r w:rsidRPr="00946C71">
              <w:rPr>
                <w:rFonts w:eastAsia="Times New Roman" w:cs="Times New Roman"/>
                <w:b/>
                <w:bCs/>
                <w:color w:val="000000"/>
                <w:sz w:val="18"/>
                <w:szCs w:val="18"/>
              </w:rPr>
              <w:t>Weight Percent Oxides</w:t>
            </w:r>
          </w:p>
        </w:tc>
        <w:tc>
          <w:tcPr>
            <w:tcW w:w="668"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b/>
                <w:bCs/>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700"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700"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SiO</w:t>
            </w:r>
            <w:r w:rsidRPr="00740B7D">
              <w:rPr>
                <w:rFonts w:eastAsia="Times New Roman" w:cs="Times New Roman"/>
                <w:b/>
                <w:bCs/>
                <w:color w:val="000000"/>
                <w:sz w:val="18"/>
                <w:szCs w:val="18"/>
                <w:vertAlign w:val="subscript"/>
              </w:rPr>
              <w:t>2</w:t>
            </w: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36.43 </w:t>
            </w:r>
          </w:p>
        </w:tc>
        <w:tc>
          <w:tcPr>
            <w:tcW w:w="692"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(0.18)</w:t>
            </w: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36.42 </w:t>
            </w:r>
          </w:p>
        </w:tc>
        <w:tc>
          <w:tcPr>
            <w:tcW w:w="668"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(0.33)</w:t>
            </w: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35.63 </w:t>
            </w:r>
          </w:p>
        </w:tc>
        <w:tc>
          <w:tcPr>
            <w:tcW w:w="70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(0.39)</w:t>
            </w: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35.68 </w:t>
            </w:r>
          </w:p>
        </w:tc>
        <w:tc>
          <w:tcPr>
            <w:tcW w:w="70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(0.24)</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TiO</w:t>
            </w:r>
            <w:r w:rsidRPr="00740B7D">
              <w:rPr>
                <w:rFonts w:eastAsia="Times New Roman" w:cs="Times New Roman"/>
                <w:b/>
                <w:bCs/>
                <w:color w:val="000000"/>
                <w:sz w:val="18"/>
                <w:szCs w:val="18"/>
                <w:vertAlign w:val="subscript"/>
              </w:rPr>
              <w:t>2</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ND</w:t>
            </w:r>
          </w:p>
        </w:tc>
        <w:tc>
          <w:tcPr>
            <w:tcW w:w="692"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ND</w:t>
            </w:r>
          </w:p>
        </w:tc>
        <w:tc>
          <w:tcPr>
            <w:tcW w:w="668"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ND</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0.05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(0.02)</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Al</w:t>
            </w:r>
            <w:r w:rsidRPr="00740B7D">
              <w:rPr>
                <w:rFonts w:eastAsia="Times New Roman" w:cs="Times New Roman"/>
                <w:b/>
                <w:bCs/>
                <w:color w:val="000000"/>
                <w:sz w:val="18"/>
                <w:szCs w:val="18"/>
                <w:vertAlign w:val="subscript"/>
              </w:rPr>
              <w:t>2</w:t>
            </w:r>
            <w:r w:rsidRPr="00946C71">
              <w:rPr>
                <w:rFonts w:eastAsia="Times New Roman" w:cs="Times New Roman"/>
                <w:b/>
                <w:bCs/>
                <w:color w:val="000000"/>
                <w:sz w:val="18"/>
                <w:szCs w:val="18"/>
              </w:rPr>
              <w:t>O</w:t>
            </w:r>
            <w:r w:rsidRPr="00740B7D">
              <w:rPr>
                <w:rFonts w:eastAsia="Times New Roman" w:cs="Times New Roman"/>
                <w:b/>
                <w:bCs/>
                <w:color w:val="000000"/>
                <w:sz w:val="18"/>
                <w:szCs w:val="18"/>
                <w:vertAlign w:val="subscript"/>
              </w:rPr>
              <w:t>3</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20.03 </w:t>
            </w:r>
          </w:p>
        </w:tc>
        <w:tc>
          <w:tcPr>
            <w:tcW w:w="692"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(0.33)</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19.55 </w:t>
            </w:r>
          </w:p>
        </w:tc>
        <w:tc>
          <w:tcPr>
            <w:tcW w:w="668"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(0.55)</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19.54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(0.59)</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19.05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(0.29)</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FeO*</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8.58 </w:t>
            </w:r>
          </w:p>
        </w:tc>
        <w:tc>
          <w:tcPr>
            <w:tcW w:w="692"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(0.22)</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7.14 </w:t>
            </w:r>
          </w:p>
        </w:tc>
        <w:tc>
          <w:tcPr>
            <w:tcW w:w="668"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(0.27)</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6.19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(1.34)</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9.10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(0.98)</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MnO</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31.53 </w:t>
            </w:r>
          </w:p>
        </w:tc>
        <w:tc>
          <w:tcPr>
            <w:tcW w:w="692"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(0.58)</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33.62 </w:t>
            </w:r>
          </w:p>
        </w:tc>
        <w:tc>
          <w:tcPr>
            <w:tcW w:w="668"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(0.23)</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37.09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(2.32)</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31.88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(1.30)</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MgO</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3.20 </w:t>
            </w:r>
          </w:p>
        </w:tc>
        <w:tc>
          <w:tcPr>
            <w:tcW w:w="692"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(0.20)</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3.13 </w:t>
            </w:r>
          </w:p>
        </w:tc>
        <w:tc>
          <w:tcPr>
            <w:tcW w:w="668"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(0.16)</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1.54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(0.79)</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2.37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(0.29)</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CaO</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0.07 </w:t>
            </w:r>
          </w:p>
        </w:tc>
        <w:tc>
          <w:tcPr>
            <w:tcW w:w="692"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(0.01)</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0.07 </w:t>
            </w:r>
          </w:p>
        </w:tc>
        <w:tc>
          <w:tcPr>
            <w:tcW w:w="668"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(0.01)</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0.10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(0.01)</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0.09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(0.01)</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Na</w:t>
            </w:r>
            <w:r w:rsidRPr="00740B7D">
              <w:rPr>
                <w:rFonts w:eastAsia="Times New Roman" w:cs="Times New Roman"/>
                <w:b/>
                <w:bCs/>
                <w:color w:val="000000"/>
                <w:sz w:val="18"/>
                <w:szCs w:val="18"/>
                <w:vertAlign w:val="subscript"/>
              </w:rPr>
              <w:t>2</w:t>
            </w:r>
            <w:r w:rsidRPr="00946C71">
              <w:rPr>
                <w:rFonts w:eastAsia="Times New Roman" w:cs="Times New Roman"/>
                <w:b/>
                <w:bCs/>
                <w:color w:val="000000"/>
                <w:sz w:val="18"/>
                <w:szCs w:val="18"/>
              </w:rPr>
              <w:t>O</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ND</w:t>
            </w:r>
          </w:p>
        </w:tc>
        <w:tc>
          <w:tcPr>
            <w:tcW w:w="692"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ND</w:t>
            </w:r>
          </w:p>
        </w:tc>
        <w:tc>
          <w:tcPr>
            <w:tcW w:w="668"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ND</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ND</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K</w:t>
            </w:r>
            <w:r w:rsidRPr="00740B7D">
              <w:rPr>
                <w:rFonts w:eastAsia="Times New Roman" w:cs="Times New Roman"/>
                <w:b/>
                <w:bCs/>
                <w:color w:val="000000"/>
                <w:sz w:val="18"/>
                <w:szCs w:val="18"/>
                <w:vertAlign w:val="subscript"/>
              </w:rPr>
              <w:t>2</w:t>
            </w:r>
            <w:r w:rsidRPr="00946C71">
              <w:rPr>
                <w:rFonts w:eastAsia="Times New Roman" w:cs="Times New Roman"/>
                <w:b/>
                <w:bCs/>
                <w:color w:val="000000"/>
                <w:sz w:val="18"/>
                <w:szCs w:val="18"/>
              </w:rPr>
              <w:t>O</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ND</w:t>
            </w:r>
          </w:p>
        </w:tc>
        <w:tc>
          <w:tcPr>
            <w:tcW w:w="692"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ND</w:t>
            </w:r>
          </w:p>
        </w:tc>
        <w:tc>
          <w:tcPr>
            <w:tcW w:w="668"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ND</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ND</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Total</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99.85 </w:t>
            </w:r>
          </w:p>
        </w:tc>
        <w:tc>
          <w:tcPr>
            <w:tcW w:w="692"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(0.46)</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99.94 </w:t>
            </w:r>
          </w:p>
        </w:tc>
        <w:tc>
          <w:tcPr>
            <w:tcW w:w="668"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(0.59)</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100.09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(0.60)</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98.22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(0.30)</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 Pts (N)</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25</w:t>
            </w:r>
          </w:p>
        </w:tc>
        <w:tc>
          <w:tcPr>
            <w:tcW w:w="692"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6</w:t>
            </w:r>
          </w:p>
        </w:tc>
        <w:tc>
          <w:tcPr>
            <w:tcW w:w="668"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13</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57</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right"/>
              <w:rPr>
                <w:rFonts w:eastAsia="Times New Roman" w:cs="Times New Roman"/>
                <w:sz w:val="18"/>
                <w:szCs w:val="18"/>
              </w:rPr>
            </w:pPr>
          </w:p>
        </w:tc>
        <w:tc>
          <w:tcPr>
            <w:tcW w:w="692"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668"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70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70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3940" w:type="dxa"/>
            <w:gridSpan w:val="5"/>
            <w:tcBorders>
              <w:top w:val="nil"/>
              <w:left w:val="nil"/>
              <w:bottom w:val="nil"/>
              <w:right w:val="nil"/>
            </w:tcBorders>
            <w:noWrap/>
            <w:vAlign w:val="bottom"/>
            <w:hideMark/>
          </w:tcPr>
          <w:p w:rsidR="00740B7D" w:rsidRPr="00946C71" w:rsidRDefault="00740B7D" w:rsidP="00740B7D">
            <w:pPr>
              <w:spacing w:after="0"/>
              <w:rPr>
                <w:rFonts w:eastAsia="Times New Roman" w:cs="Times New Roman"/>
                <w:b/>
                <w:bCs/>
                <w:color w:val="000000"/>
                <w:sz w:val="18"/>
                <w:szCs w:val="18"/>
              </w:rPr>
            </w:pPr>
            <w:r w:rsidRPr="00946C71">
              <w:rPr>
                <w:rFonts w:eastAsia="Times New Roman" w:cs="Times New Roman"/>
                <w:b/>
                <w:bCs/>
                <w:color w:val="000000"/>
                <w:sz w:val="18"/>
                <w:szCs w:val="18"/>
              </w:rPr>
              <w:t>Atoms per formula unit (based on 12 oxygens)</w:t>
            </w:r>
          </w:p>
        </w:tc>
        <w:tc>
          <w:tcPr>
            <w:tcW w:w="700"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b/>
                <w:bCs/>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Si</w:t>
            </w: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2.974 </w:t>
            </w:r>
          </w:p>
        </w:tc>
        <w:tc>
          <w:tcPr>
            <w:tcW w:w="692"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(0.012)</w:t>
            </w: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2.982 </w:t>
            </w:r>
          </w:p>
        </w:tc>
        <w:tc>
          <w:tcPr>
            <w:tcW w:w="668"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(0.008)</w:t>
            </w: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2.953 </w:t>
            </w:r>
          </w:p>
        </w:tc>
        <w:tc>
          <w:tcPr>
            <w:tcW w:w="70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(0.009)</w:t>
            </w: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2.987 </w:t>
            </w:r>
          </w:p>
        </w:tc>
        <w:tc>
          <w:tcPr>
            <w:tcW w:w="70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(0.013)</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Ti</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ND</w:t>
            </w:r>
          </w:p>
        </w:tc>
        <w:tc>
          <w:tcPr>
            <w:tcW w:w="692"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ND</w:t>
            </w:r>
          </w:p>
        </w:tc>
        <w:tc>
          <w:tcPr>
            <w:tcW w:w="668"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ND</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0.003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(0.001)</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Al</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1.927 </w:t>
            </w:r>
          </w:p>
        </w:tc>
        <w:tc>
          <w:tcPr>
            <w:tcW w:w="692"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(0.024)</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1.885 </w:t>
            </w:r>
          </w:p>
        </w:tc>
        <w:tc>
          <w:tcPr>
            <w:tcW w:w="668"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(0.035)</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1.908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(0.041)</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1.880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(0.025)</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Fe</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0.586 </w:t>
            </w:r>
          </w:p>
        </w:tc>
        <w:tc>
          <w:tcPr>
            <w:tcW w:w="692"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(0.015)</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0.489 </w:t>
            </w:r>
          </w:p>
        </w:tc>
        <w:tc>
          <w:tcPr>
            <w:tcW w:w="668"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(0.022)</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0.429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(0.090)</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0.637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(0.069)</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Mn</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2.180 </w:t>
            </w:r>
          </w:p>
        </w:tc>
        <w:tc>
          <w:tcPr>
            <w:tcW w:w="692"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(0.043)</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2.331 </w:t>
            </w:r>
          </w:p>
        </w:tc>
        <w:tc>
          <w:tcPr>
            <w:tcW w:w="668"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(0.037)</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2.604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(0.174)</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2.261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(0.095)</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Mg</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0.389 </w:t>
            </w:r>
          </w:p>
        </w:tc>
        <w:tc>
          <w:tcPr>
            <w:tcW w:w="692"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(0.023)</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0.382 </w:t>
            </w:r>
          </w:p>
        </w:tc>
        <w:tc>
          <w:tcPr>
            <w:tcW w:w="668"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(0.016)</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0.190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(0.094)</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0.295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(0.036)</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Ca</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0.006 </w:t>
            </w:r>
          </w:p>
        </w:tc>
        <w:tc>
          <w:tcPr>
            <w:tcW w:w="692"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(0.001)</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0.006 </w:t>
            </w:r>
          </w:p>
        </w:tc>
        <w:tc>
          <w:tcPr>
            <w:tcW w:w="668"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(0.001)</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0.009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(0.001)</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0.008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(0.001)</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 X-site</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3.161 </w:t>
            </w:r>
          </w:p>
        </w:tc>
        <w:tc>
          <w:tcPr>
            <w:tcW w:w="692"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(0.021)</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3.209 </w:t>
            </w:r>
          </w:p>
        </w:tc>
        <w:tc>
          <w:tcPr>
            <w:tcW w:w="668"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(0.042)</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3.232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(0.057)</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3.201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(0.033)</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∑Cations</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8.062 </w:t>
            </w:r>
          </w:p>
        </w:tc>
        <w:tc>
          <w:tcPr>
            <w:tcW w:w="692"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(0.021)</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8.076 </w:t>
            </w:r>
          </w:p>
        </w:tc>
        <w:tc>
          <w:tcPr>
            <w:tcW w:w="668"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(0.013)</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8.093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(0.019)</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8.071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(0.013)</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right"/>
              <w:rPr>
                <w:rFonts w:eastAsia="Times New Roman" w:cs="Times New Roman"/>
                <w:sz w:val="18"/>
                <w:szCs w:val="18"/>
              </w:rPr>
            </w:pPr>
          </w:p>
        </w:tc>
        <w:tc>
          <w:tcPr>
            <w:tcW w:w="692"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668"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70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70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3940" w:type="dxa"/>
            <w:gridSpan w:val="5"/>
            <w:tcBorders>
              <w:top w:val="nil"/>
              <w:left w:val="nil"/>
              <w:bottom w:val="nil"/>
              <w:right w:val="nil"/>
            </w:tcBorders>
            <w:noWrap/>
            <w:vAlign w:val="bottom"/>
            <w:hideMark/>
          </w:tcPr>
          <w:p w:rsidR="00740B7D" w:rsidRPr="00946C71" w:rsidRDefault="00740B7D" w:rsidP="00740B7D">
            <w:pPr>
              <w:spacing w:after="0"/>
              <w:rPr>
                <w:rFonts w:eastAsia="Times New Roman" w:cs="Times New Roman"/>
                <w:b/>
                <w:bCs/>
                <w:color w:val="000000"/>
                <w:sz w:val="18"/>
                <w:szCs w:val="18"/>
              </w:rPr>
            </w:pPr>
            <w:r w:rsidRPr="00946C71">
              <w:rPr>
                <w:rFonts w:eastAsia="Times New Roman" w:cs="Times New Roman"/>
                <w:b/>
                <w:bCs/>
                <w:color w:val="000000"/>
                <w:sz w:val="18"/>
                <w:szCs w:val="18"/>
              </w:rPr>
              <w:t>Normative End-Member Components</w:t>
            </w:r>
          </w:p>
        </w:tc>
        <w:tc>
          <w:tcPr>
            <w:tcW w:w="700" w:type="dxa"/>
            <w:tcBorders>
              <w:top w:val="nil"/>
              <w:left w:val="nil"/>
              <w:bottom w:val="nil"/>
              <w:right w:val="nil"/>
            </w:tcBorders>
            <w:noWrap/>
            <w:vAlign w:val="bottom"/>
            <w:hideMark/>
          </w:tcPr>
          <w:p w:rsidR="00740B7D" w:rsidRPr="00946C71" w:rsidRDefault="00740B7D" w:rsidP="00740B7D">
            <w:pPr>
              <w:spacing w:after="0"/>
              <w:rPr>
                <w:rFonts w:eastAsia="Times New Roman" w:cs="Times New Roman"/>
                <w:b/>
                <w:bCs/>
                <w:color w:val="000000"/>
                <w:sz w:val="18"/>
                <w:szCs w:val="18"/>
              </w:rPr>
            </w:pP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sz w:val="18"/>
                <w:szCs w:val="18"/>
              </w:rPr>
            </w:pP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%Sps</w:t>
            </w: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69.10 </w:t>
            </w:r>
          </w:p>
        </w:tc>
        <w:tc>
          <w:tcPr>
            <w:tcW w:w="692"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(1.09)</w:t>
            </w: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72.80 </w:t>
            </w:r>
          </w:p>
        </w:tc>
        <w:tc>
          <w:tcPr>
            <w:tcW w:w="668"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(0.33)</w:t>
            </w: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80.83 </w:t>
            </w:r>
          </w:p>
        </w:tc>
        <w:tc>
          <w:tcPr>
            <w:tcW w:w="70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(5.70)</w:t>
            </w: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70.80 </w:t>
            </w:r>
          </w:p>
        </w:tc>
        <w:tc>
          <w:tcPr>
            <w:tcW w:w="700" w:type="dxa"/>
            <w:tcBorders>
              <w:top w:val="single" w:sz="4" w:space="0" w:color="auto"/>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(2.96)</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%Alm</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18.57 </w:t>
            </w:r>
          </w:p>
        </w:tc>
        <w:tc>
          <w:tcPr>
            <w:tcW w:w="692"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(0.47)</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15.26 </w:t>
            </w:r>
          </w:p>
        </w:tc>
        <w:tc>
          <w:tcPr>
            <w:tcW w:w="668"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(0.52)</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13.29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(2.81)</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19.95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(2.07)</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right"/>
              <w:rPr>
                <w:rFonts w:eastAsia="Times New Roman" w:cs="Times New Roman"/>
                <w:b/>
                <w:bCs/>
                <w:color w:val="000000"/>
                <w:sz w:val="18"/>
                <w:szCs w:val="18"/>
              </w:rPr>
            </w:pPr>
            <w:r w:rsidRPr="00946C71">
              <w:rPr>
                <w:rFonts w:eastAsia="Times New Roman" w:cs="Times New Roman"/>
                <w:b/>
                <w:bCs/>
                <w:color w:val="000000"/>
                <w:sz w:val="18"/>
                <w:szCs w:val="18"/>
              </w:rPr>
              <w:t>%Prp</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12.34 </w:t>
            </w:r>
          </w:p>
        </w:tc>
        <w:tc>
          <w:tcPr>
            <w:tcW w:w="692"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(0.78)</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11.93 </w:t>
            </w:r>
          </w:p>
        </w:tc>
        <w:tc>
          <w:tcPr>
            <w:tcW w:w="668"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(0.64)</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5.89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(3.01)</w:t>
            </w:r>
          </w:p>
        </w:tc>
        <w:tc>
          <w:tcPr>
            <w:tcW w:w="86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 xml:space="preserve">9.25 </w:t>
            </w:r>
          </w:p>
        </w:tc>
        <w:tc>
          <w:tcPr>
            <w:tcW w:w="70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r w:rsidRPr="00946C71">
              <w:rPr>
                <w:rFonts w:eastAsia="Times New Roman" w:cs="Times New Roman"/>
                <w:color w:val="000000"/>
                <w:sz w:val="18"/>
                <w:szCs w:val="18"/>
              </w:rPr>
              <w:t>(1.15)</w:t>
            </w:r>
          </w:p>
        </w:tc>
      </w:tr>
      <w:tr w:rsidR="00740B7D" w:rsidRPr="00946C71" w:rsidTr="00740B7D">
        <w:trPr>
          <w:trHeight w:val="260"/>
          <w:jc w:val="center"/>
        </w:trPr>
        <w:tc>
          <w:tcPr>
            <w:tcW w:w="1020" w:type="dxa"/>
            <w:tcBorders>
              <w:top w:val="nil"/>
              <w:left w:val="nil"/>
              <w:bottom w:val="nil"/>
              <w:right w:val="nil"/>
            </w:tcBorders>
            <w:noWrap/>
            <w:vAlign w:val="bottom"/>
            <w:hideMark/>
          </w:tcPr>
          <w:p w:rsidR="00740B7D" w:rsidRPr="00946C71" w:rsidRDefault="00740B7D" w:rsidP="00740B7D">
            <w:pPr>
              <w:spacing w:after="0"/>
              <w:jc w:val="center"/>
              <w:rPr>
                <w:rFonts w:eastAsia="Times New Roman" w:cs="Times New Roman"/>
                <w:color w:val="000000"/>
                <w:sz w:val="18"/>
                <w:szCs w:val="18"/>
              </w:rPr>
            </w:pPr>
          </w:p>
        </w:tc>
        <w:tc>
          <w:tcPr>
            <w:tcW w:w="2412" w:type="dxa"/>
            <w:gridSpan w:val="3"/>
            <w:tcBorders>
              <w:top w:val="single" w:sz="4" w:space="0" w:color="auto"/>
              <w:left w:val="nil"/>
              <w:bottom w:val="nil"/>
              <w:right w:val="nil"/>
            </w:tcBorders>
            <w:noWrap/>
            <w:vAlign w:val="bottom"/>
            <w:hideMark/>
          </w:tcPr>
          <w:p w:rsidR="00740B7D" w:rsidRPr="00946C71" w:rsidRDefault="00740B7D" w:rsidP="00740B7D">
            <w:pPr>
              <w:spacing w:after="0"/>
              <w:rPr>
                <w:rFonts w:eastAsia="Times New Roman" w:cs="Times New Roman"/>
                <w:color w:val="000000"/>
                <w:sz w:val="18"/>
                <w:szCs w:val="18"/>
              </w:rPr>
            </w:pPr>
            <w:r w:rsidRPr="00946C71">
              <w:rPr>
                <w:rFonts w:eastAsia="Times New Roman" w:cs="Times New Roman"/>
                <w:color w:val="000000"/>
                <w:sz w:val="18"/>
                <w:szCs w:val="18"/>
              </w:rPr>
              <w:t>2σSD in parentheses</w:t>
            </w:r>
          </w:p>
        </w:tc>
        <w:tc>
          <w:tcPr>
            <w:tcW w:w="668" w:type="dxa"/>
            <w:tcBorders>
              <w:top w:val="single" w:sz="4" w:space="0" w:color="auto"/>
              <w:left w:val="nil"/>
              <w:bottom w:val="nil"/>
              <w:right w:val="nil"/>
            </w:tcBorders>
            <w:noWrap/>
            <w:vAlign w:val="bottom"/>
            <w:hideMark/>
          </w:tcPr>
          <w:p w:rsidR="00740B7D" w:rsidRPr="00946C71" w:rsidRDefault="00740B7D" w:rsidP="00740B7D">
            <w:pPr>
              <w:spacing w:after="0"/>
              <w:rPr>
                <w:rFonts w:eastAsia="Times New Roman" w:cs="Times New Roman"/>
                <w:color w:val="000000"/>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700" w:type="dxa"/>
            <w:tcBorders>
              <w:top w:val="single" w:sz="4" w:space="0" w:color="auto"/>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860" w:type="dxa"/>
            <w:tcBorders>
              <w:top w:val="single" w:sz="4" w:space="0" w:color="auto"/>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c>
          <w:tcPr>
            <w:tcW w:w="700" w:type="dxa"/>
            <w:tcBorders>
              <w:top w:val="single" w:sz="4" w:space="0" w:color="auto"/>
              <w:left w:val="nil"/>
              <w:bottom w:val="nil"/>
              <w:right w:val="nil"/>
            </w:tcBorders>
            <w:noWrap/>
            <w:vAlign w:val="bottom"/>
            <w:hideMark/>
          </w:tcPr>
          <w:p w:rsidR="00740B7D" w:rsidRPr="00946C71" w:rsidRDefault="00740B7D" w:rsidP="00740B7D">
            <w:pPr>
              <w:spacing w:after="0"/>
              <w:rPr>
                <w:rFonts w:eastAsia="Times New Roman" w:cs="Times New Roman"/>
                <w:sz w:val="18"/>
                <w:szCs w:val="18"/>
              </w:rPr>
            </w:pPr>
          </w:p>
        </w:tc>
      </w:tr>
    </w:tbl>
    <w:p w:rsidR="004E1D03" w:rsidRDefault="004E1D03" w:rsidP="00665C0F">
      <w:pPr>
        <w:spacing w:line="480" w:lineRule="auto"/>
        <w:rPr>
          <w:rFonts w:cs="Times New Roman"/>
        </w:rPr>
      </w:pPr>
    </w:p>
    <w:p w:rsidR="004E1D03" w:rsidRDefault="004E1D03" w:rsidP="004E1D03">
      <w:r>
        <w:br w:type="page"/>
      </w:r>
    </w:p>
    <w:p w:rsidR="00D7629A" w:rsidRPr="00D7629A" w:rsidRDefault="00D7629A" w:rsidP="00D7629A">
      <w:pPr>
        <w:pStyle w:val="Caption"/>
        <w:keepNext/>
        <w:jc w:val="center"/>
        <w:rPr>
          <w:sz w:val="24"/>
          <w:szCs w:val="24"/>
        </w:rPr>
      </w:pPr>
      <w:bookmarkStart w:id="199" w:name="_Toc490131695"/>
      <w:r w:rsidRPr="00D7629A">
        <w:rPr>
          <w:sz w:val="24"/>
          <w:szCs w:val="24"/>
        </w:rPr>
        <w:t xml:space="preserve">Table </w:t>
      </w:r>
      <w:r w:rsidR="00B23FDA">
        <w:rPr>
          <w:sz w:val="24"/>
          <w:szCs w:val="24"/>
        </w:rPr>
        <w:fldChar w:fldCharType="begin"/>
      </w:r>
      <w:r w:rsidR="00B23FDA">
        <w:rPr>
          <w:sz w:val="24"/>
          <w:szCs w:val="24"/>
        </w:rPr>
        <w:instrText xml:space="preserve"> STYLEREF 1 \s </w:instrText>
      </w:r>
      <w:r w:rsidR="00B23FDA">
        <w:rPr>
          <w:sz w:val="24"/>
          <w:szCs w:val="24"/>
        </w:rPr>
        <w:fldChar w:fldCharType="separate"/>
      </w:r>
      <w:r w:rsidR="000C5FC3">
        <w:rPr>
          <w:noProof/>
          <w:sz w:val="24"/>
          <w:szCs w:val="24"/>
        </w:rPr>
        <w:t>5</w:t>
      </w:r>
      <w:r w:rsidR="00B23FDA">
        <w:rPr>
          <w:sz w:val="24"/>
          <w:szCs w:val="24"/>
        </w:rPr>
        <w:fldChar w:fldCharType="end"/>
      </w:r>
      <w:r w:rsidR="00B23FDA">
        <w:rPr>
          <w:sz w:val="24"/>
          <w:szCs w:val="24"/>
        </w:rPr>
        <w:noBreakHyphen/>
      </w:r>
      <w:r w:rsidR="00B23FDA">
        <w:rPr>
          <w:sz w:val="24"/>
          <w:szCs w:val="24"/>
        </w:rPr>
        <w:fldChar w:fldCharType="begin"/>
      </w:r>
      <w:r w:rsidR="00B23FDA">
        <w:rPr>
          <w:sz w:val="24"/>
          <w:szCs w:val="24"/>
        </w:rPr>
        <w:instrText xml:space="preserve"> SEQ Table \* ARABIC \s 1 </w:instrText>
      </w:r>
      <w:r w:rsidR="00B23FDA">
        <w:rPr>
          <w:sz w:val="24"/>
          <w:szCs w:val="24"/>
        </w:rPr>
        <w:fldChar w:fldCharType="separate"/>
      </w:r>
      <w:r w:rsidR="000C5FC3">
        <w:rPr>
          <w:noProof/>
          <w:sz w:val="24"/>
          <w:szCs w:val="24"/>
        </w:rPr>
        <w:t>3</w:t>
      </w:r>
      <w:r w:rsidR="00B23FDA">
        <w:rPr>
          <w:sz w:val="24"/>
          <w:szCs w:val="24"/>
        </w:rPr>
        <w:fldChar w:fldCharType="end"/>
      </w:r>
      <w:r w:rsidRPr="00D7629A">
        <w:rPr>
          <w:rFonts w:eastAsia="Times New Roman" w:cs="Times New Roman"/>
          <w:bCs/>
          <w:color w:val="000000"/>
          <w:sz w:val="24"/>
          <w:szCs w:val="24"/>
        </w:rPr>
        <w:t xml:space="preserve"> </w:t>
      </w:r>
      <w:r w:rsidRPr="00811D9E">
        <w:rPr>
          <w:rFonts w:eastAsia="Times New Roman" w:cs="Times New Roman"/>
          <w:bCs/>
          <w:color w:val="000000"/>
          <w:sz w:val="24"/>
          <w:szCs w:val="24"/>
        </w:rPr>
        <w:t>Tourmaline (tur) compositions</w:t>
      </w:r>
      <w:bookmarkEnd w:id="199"/>
    </w:p>
    <w:tbl>
      <w:tblPr>
        <w:tblW w:w="7671" w:type="dxa"/>
        <w:jc w:val="center"/>
        <w:tblCellMar>
          <w:top w:w="15" w:type="dxa"/>
          <w:bottom w:w="15" w:type="dxa"/>
        </w:tblCellMar>
        <w:tblLook w:val="04A0" w:firstRow="1" w:lastRow="0" w:firstColumn="1" w:lastColumn="0" w:noHBand="0" w:noVBand="1"/>
      </w:tblPr>
      <w:tblGrid>
        <w:gridCol w:w="983"/>
        <w:gridCol w:w="872"/>
        <w:gridCol w:w="800"/>
        <w:gridCol w:w="872"/>
        <w:gridCol w:w="800"/>
        <w:gridCol w:w="872"/>
        <w:gridCol w:w="800"/>
        <w:gridCol w:w="872"/>
        <w:gridCol w:w="800"/>
      </w:tblGrid>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rPr>
                <w:rFonts w:eastAsia="Times New Roman" w:cs="Times New Roman"/>
                <w:sz w:val="20"/>
                <w:szCs w:val="20"/>
              </w:rPr>
            </w:pPr>
          </w:p>
        </w:tc>
        <w:tc>
          <w:tcPr>
            <w:tcW w:w="1672" w:type="dxa"/>
            <w:gridSpan w:val="2"/>
            <w:tcBorders>
              <w:top w:val="nil"/>
              <w:left w:val="nil"/>
              <w:bottom w:val="nil"/>
              <w:right w:val="nil"/>
            </w:tcBorders>
            <w:noWrap/>
            <w:vAlign w:val="bottom"/>
            <w:hideMark/>
          </w:tcPr>
          <w:p w:rsidR="00D7629A" w:rsidRPr="00811D9E" w:rsidRDefault="00D7629A" w:rsidP="00D7629A">
            <w:pPr>
              <w:spacing w:after="0"/>
              <w:rPr>
                <w:rFonts w:eastAsia="Times New Roman" w:cs="Times New Roman"/>
                <w:b/>
                <w:bCs/>
                <w:color w:val="000000"/>
                <w:sz w:val="20"/>
                <w:szCs w:val="20"/>
              </w:rPr>
            </w:pPr>
            <w:r w:rsidRPr="00811D9E">
              <w:rPr>
                <w:rFonts w:eastAsia="Times New Roman" w:cs="Times New Roman"/>
                <w:b/>
                <w:bCs/>
                <w:color w:val="000000"/>
                <w:sz w:val="20"/>
                <w:szCs w:val="20"/>
              </w:rPr>
              <w:t>MnGT-BC-4.1</w:t>
            </w:r>
          </w:p>
        </w:tc>
        <w:tc>
          <w:tcPr>
            <w:tcW w:w="872" w:type="dxa"/>
            <w:tcBorders>
              <w:top w:val="nil"/>
              <w:left w:val="nil"/>
              <w:bottom w:val="nil"/>
              <w:right w:val="nil"/>
            </w:tcBorders>
            <w:noWrap/>
            <w:vAlign w:val="bottom"/>
            <w:hideMark/>
          </w:tcPr>
          <w:p w:rsidR="00D7629A" w:rsidRPr="00811D9E" w:rsidRDefault="00D7629A" w:rsidP="00D7629A">
            <w:pPr>
              <w:spacing w:after="0"/>
              <w:rPr>
                <w:rFonts w:eastAsia="Times New Roman" w:cs="Times New Roman"/>
                <w:b/>
                <w:bCs/>
                <w:color w:val="000000"/>
                <w:sz w:val="20"/>
                <w:szCs w:val="20"/>
              </w:rPr>
            </w:pPr>
          </w:p>
        </w:tc>
        <w:tc>
          <w:tcPr>
            <w:tcW w:w="800" w:type="dxa"/>
            <w:tcBorders>
              <w:top w:val="nil"/>
              <w:left w:val="nil"/>
              <w:bottom w:val="nil"/>
              <w:right w:val="nil"/>
            </w:tcBorders>
            <w:noWrap/>
            <w:vAlign w:val="bottom"/>
            <w:hideMark/>
          </w:tcPr>
          <w:p w:rsidR="00D7629A" w:rsidRPr="00811D9E" w:rsidRDefault="00D7629A" w:rsidP="00D7629A">
            <w:pPr>
              <w:spacing w:after="0"/>
              <w:rPr>
                <w:rFonts w:eastAsia="Times New Roman" w:cs="Times New Roman"/>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rPr>
                <w:rFonts w:eastAsia="Times New Roman" w:cs="Times New Roman"/>
                <w:sz w:val="20"/>
                <w:szCs w:val="20"/>
              </w:rPr>
            </w:pPr>
          </w:p>
        </w:tc>
        <w:tc>
          <w:tcPr>
            <w:tcW w:w="800" w:type="dxa"/>
            <w:tcBorders>
              <w:top w:val="nil"/>
              <w:left w:val="nil"/>
              <w:bottom w:val="nil"/>
              <w:right w:val="nil"/>
            </w:tcBorders>
            <w:noWrap/>
            <w:vAlign w:val="bottom"/>
            <w:hideMark/>
          </w:tcPr>
          <w:p w:rsidR="00D7629A" w:rsidRPr="00811D9E" w:rsidRDefault="00D7629A" w:rsidP="00D7629A">
            <w:pPr>
              <w:spacing w:after="0"/>
              <w:rPr>
                <w:rFonts w:eastAsia="Times New Roman" w:cs="Times New Roman"/>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rPr>
                <w:rFonts w:eastAsia="Times New Roman" w:cs="Times New Roman"/>
                <w:sz w:val="20"/>
                <w:szCs w:val="20"/>
              </w:rPr>
            </w:pPr>
          </w:p>
        </w:tc>
        <w:tc>
          <w:tcPr>
            <w:tcW w:w="800" w:type="dxa"/>
            <w:tcBorders>
              <w:top w:val="nil"/>
              <w:left w:val="nil"/>
              <w:bottom w:val="nil"/>
              <w:right w:val="nil"/>
            </w:tcBorders>
            <w:noWrap/>
            <w:vAlign w:val="bottom"/>
            <w:hideMark/>
          </w:tcPr>
          <w:p w:rsidR="00D7629A" w:rsidRPr="00811D9E" w:rsidRDefault="00D7629A" w:rsidP="00D7629A">
            <w:pPr>
              <w:spacing w:after="0"/>
              <w:rPr>
                <w:rFonts w:eastAsia="Times New Roman" w:cs="Times New Roman"/>
                <w:sz w:val="20"/>
                <w:szCs w:val="20"/>
              </w:rPr>
            </w:pP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Exp #</w:t>
            </w:r>
          </w:p>
        </w:tc>
        <w:tc>
          <w:tcPr>
            <w:tcW w:w="872" w:type="dxa"/>
            <w:tcBorders>
              <w:top w:val="single" w:sz="4" w:space="0" w:color="auto"/>
              <w:left w:val="nil"/>
              <w:bottom w:val="nil"/>
              <w:right w:val="nil"/>
            </w:tcBorders>
            <w:noWrap/>
            <w:vAlign w:val="bottom"/>
            <w:hideMark/>
          </w:tcPr>
          <w:p w:rsidR="00D7629A" w:rsidRPr="00811D9E" w:rsidRDefault="00D7629A" w:rsidP="00D7629A">
            <w:pPr>
              <w:spacing w:after="0"/>
              <w:rPr>
                <w:rFonts w:eastAsia="Times New Roman" w:cs="Times New Roman"/>
                <w:color w:val="000000"/>
                <w:sz w:val="20"/>
                <w:szCs w:val="20"/>
              </w:rPr>
            </w:pPr>
            <w:r w:rsidRPr="00811D9E">
              <w:rPr>
                <w:rFonts w:eastAsia="Times New Roman" w:cs="Times New Roman"/>
                <w:color w:val="000000"/>
                <w:sz w:val="20"/>
                <w:szCs w:val="20"/>
              </w:rPr>
              <w:t>MnGT-77</w:t>
            </w:r>
          </w:p>
        </w:tc>
        <w:tc>
          <w:tcPr>
            <w:tcW w:w="800" w:type="dxa"/>
            <w:tcBorders>
              <w:top w:val="single" w:sz="4" w:space="0" w:color="auto"/>
              <w:left w:val="nil"/>
              <w:bottom w:val="nil"/>
              <w:right w:val="nil"/>
            </w:tcBorders>
            <w:noWrap/>
            <w:vAlign w:val="bottom"/>
            <w:hideMark/>
          </w:tcPr>
          <w:p w:rsidR="00D7629A" w:rsidRPr="00811D9E" w:rsidRDefault="00D7629A" w:rsidP="00D7629A">
            <w:pPr>
              <w:spacing w:after="0"/>
              <w:rPr>
                <w:rFonts w:eastAsia="Times New Roman" w:cs="Times New Roman"/>
                <w:color w:val="000000"/>
                <w:sz w:val="20"/>
                <w:szCs w:val="20"/>
              </w:rPr>
            </w:pPr>
          </w:p>
        </w:tc>
        <w:tc>
          <w:tcPr>
            <w:tcW w:w="872" w:type="dxa"/>
            <w:tcBorders>
              <w:top w:val="single" w:sz="4" w:space="0" w:color="auto"/>
              <w:left w:val="nil"/>
              <w:bottom w:val="nil"/>
              <w:right w:val="nil"/>
            </w:tcBorders>
            <w:noWrap/>
            <w:vAlign w:val="bottom"/>
            <w:hideMark/>
          </w:tcPr>
          <w:p w:rsidR="00D7629A" w:rsidRPr="00811D9E" w:rsidRDefault="00D7629A" w:rsidP="00D7629A">
            <w:pPr>
              <w:spacing w:after="0"/>
              <w:rPr>
                <w:rFonts w:eastAsia="Times New Roman" w:cs="Times New Roman"/>
                <w:color w:val="000000"/>
                <w:sz w:val="20"/>
                <w:szCs w:val="20"/>
              </w:rPr>
            </w:pPr>
            <w:r w:rsidRPr="00811D9E">
              <w:rPr>
                <w:rFonts w:eastAsia="Times New Roman" w:cs="Times New Roman"/>
                <w:color w:val="000000"/>
                <w:sz w:val="20"/>
                <w:szCs w:val="20"/>
              </w:rPr>
              <w:t>MnGT-78</w:t>
            </w:r>
          </w:p>
        </w:tc>
        <w:tc>
          <w:tcPr>
            <w:tcW w:w="800" w:type="dxa"/>
            <w:tcBorders>
              <w:top w:val="single" w:sz="4" w:space="0" w:color="auto"/>
              <w:left w:val="nil"/>
              <w:bottom w:val="nil"/>
              <w:right w:val="nil"/>
            </w:tcBorders>
            <w:noWrap/>
            <w:vAlign w:val="bottom"/>
            <w:hideMark/>
          </w:tcPr>
          <w:p w:rsidR="00D7629A" w:rsidRPr="00811D9E" w:rsidRDefault="00D7629A" w:rsidP="00D7629A">
            <w:pPr>
              <w:spacing w:after="0"/>
              <w:rPr>
                <w:rFonts w:eastAsia="Times New Roman" w:cs="Times New Roman"/>
                <w:color w:val="000000"/>
                <w:sz w:val="20"/>
                <w:szCs w:val="20"/>
              </w:rPr>
            </w:pPr>
          </w:p>
        </w:tc>
        <w:tc>
          <w:tcPr>
            <w:tcW w:w="872" w:type="dxa"/>
            <w:tcBorders>
              <w:top w:val="single" w:sz="4" w:space="0" w:color="auto"/>
              <w:left w:val="nil"/>
              <w:bottom w:val="nil"/>
              <w:right w:val="nil"/>
            </w:tcBorders>
            <w:noWrap/>
            <w:vAlign w:val="bottom"/>
            <w:hideMark/>
          </w:tcPr>
          <w:p w:rsidR="00D7629A" w:rsidRPr="00811D9E" w:rsidRDefault="00D7629A" w:rsidP="00D7629A">
            <w:pPr>
              <w:spacing w:after="0"/>
              <w:rPr>
                <w:rFonts w:eastAsia="Times New Roman" w:cs="Times New Roman"/>
                <w:color w:val="000000"/>
                <w:sz w:val="20"/>
                <w:szCs w:val="20"/>
              </w:rPr>
            </w:pPr>
            <w:r w:rsidRPr="00811D9E">
              <w:rPr>
                <w:rFonts w:eastAsia="Times New Roman" w:cs="Times New Roman"/>
                <w:color w:val="000000"/>
                <w:sz w:val="20"/>
                <w:szCs w:val="20"/>
              </w:rPr>
              <w:t>MnGT-49</w:t>
            </w:r>
          </w:p>
        </w:tc>
        <w:tc>
          <w:tcPr>
            <w:tcW w:w="800" w:type="dxa"/>
            <w:tcBorders>
              <w:top w:val="single" w:sz="4" w:space="0" w:color="auto"/>
              <w:left w:val="nil"/>
              <w:bottom w:val="nil"/>
              <w:right w:val="nil"/>
            </w:tcBorders>
            <w:noWrap/>
            <w:vAlign w:val="bottom"/>
            <w:hideMark/>
          </w:tcPr>
          <w:p w:rsidR="00D7629A" w:rsidRPr="00811D9E" w:rsidRDefault="00D7629A" w:rsidP="00D7629A">
            <w:pPr>
              <w:spacing w:after="0"/>
              <w:rPr>
                <w:rFonts w:eastAsia="Times New Roman" w:cs="Times New Roman"/>
                <w:color w:val="000000"/>
                <w:sz w:val="20"/>
                <w:szCs w:val="20"/>
              </w:rPr>
            </w:pPr>
          </w:p>
        </w:tc>
        <w:tc>
          <w:tcPr>
            <w:tcW w:w="872" w:type="dxa"/>
            <w:tcBorders>
              <w:top w:val="single" w:sz="4" w:space="0" w:color="auto"/>
              <w:left w:val="nil"/>
              <w:bottom w:val="nil"/>
              <w:right w:val="nil"/>
            </w:tcBorders>
            <w:noWrap/>
            <w:vAlign w:val="bottom"/>
            <w:hideMark/>
          </w:tcPr>
          <w:p w:rsidR="00D7629A" w:rsidRPr="00811D9E" w:rsidRDefault="00D7629A" w:rsidP="00D7629A">
            <w:pPr>
              <w:spacing w:after="0"/>
              <w:rPr>
                <w:rFonts w:eastAsia="Times New Roman" w:cs="Times New Roman"/>
                <w:color w:val="000000"/>
                <w:sz w:val="20"/>
                <w:szCs w:val="20"/>
              </w:rPr>
            </w:pPr>
            <w:r w:rsidRPr="00811D9E">
              <w:rPr>
                <w:rFonts w:eastAsia="Times New Roman" w:cs="Times New Roman"/>
                <w:color w:val="000000"/>
                <w:sz w:val="20"/>
                <w:szCs w:val="20"/>
              </w:rPr>
              <w:t>MnGT-56</w:t>
            </w:r>
          </w:p>
        </w:tc>
        <w:tc>
          <w:tcPr>
            <w:tcW w:w="800" w:type="dxa"/>
            <w:tcBorders>
              <w:top w:val="single" w:sz="4" w:space="0" w:color="auto"/>
              <w:left w:val="nil"/>
              <w:bottom w:val="nil"/>
              <w:right w:val="nil"/>
            </w:tcBorders>
            <w:noWrap/>
            <w:vAlign w:val="bottom"/>
            <w:hideMark/>
          </w:tcPr>
          <w:p w:rsidR="00D7629A" w:rsidRPr="00811D9E" w:rsidRDefault="00D7629A" w:rsidP="00D7629A">
            <w:pPr>
              <w:spacing w:after="0"/>
              <w:rPr>
                <w:rFonts w:eastAsia="Times New Roman" w:cs="Times New Roman"/>
                <w:color w:val="000000"/>
                <w:sz w:val="20"/>
                <w:szCs w:val="20"/>
              </w:rPr>
            </w:pP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T (</w:t>
            </w:r>
            <w:r w:rsidRPr="00811D9E">
              <w:rPr>
                <w:rFonts w:ascii="Calibri" w:eastAsia="Times New Roman" w:hAnsi="Calibri" w:cs="Times New Roman"/>
                <w:b/>
                <w:bCs/>
                <w:color w:val="000000"/>
                <w:sz w:val="20"/>
                <w:szCs w:val="20"/>
              </w:rPr>
              <w:t>°</w:t>
            </w:r>
            <w:r w:rsidRPr="00811D9E">
              <w:rPr>
                <w:rFonts w:eastAsia="Times New Roman" w:cs="Times New Roman"/>
                <w:b/>
                <w:bCs/>
                <w:color w:val="000000"/>
                <w:sz w:val="20"/>
                <w:szCs w:val="20"/>
              </w:rPr>
              <w:t>C)</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800/750</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800/725</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800/700</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800/700</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t (hrs)</w:t>
            </w:r>
          </w:p>
        </w:tc>
        <w:tc>
          <w:tcPr>
            <w:tcW w:w="872"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168/24</w:t>
            </w:r>
          </w:p>
        </w:tc>
        <w:tc>
          <w:tcPr>
            <w:tcW w:w="800"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168/24</w:t>
            </w:r>
          </w:p>
        </w:tc>
        <w:tc>
          <w:tcPr>
            <w:tcW w:w="800"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168/264</w:t>
            </w:r>
          </w:p>
        </w:tc>
        <w:tc>
          <w:tcPr>
            <w:tcW w:w="800"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336/336</w:t>
            </w:r>
          </w:p>
        </w:tc>
        <w:tc>
          <w:tcPr>
            <w:tcW w:w="800"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sz w:val="20"/>
                <w:szCs w:val="20"/>
              </w:rPr>
            </w:pPr>
          </w:p>
        </w:tc>
        <w:tc>
          <w:tcPr>
            <w:tcW w:w="800" w:type="dxa"/>
            <w:tcBorders>
              <w:top w:val="nil"/>
              <w:left w:val="nil"/>
              <w:bottom w:val="nil"/>
              <w:right w:val="nil"/>
            </w:tcBorders>
            <w:noWrap/>
            <w:vAlign w:val="bottom"/>
            <w:hideMark/>
          </w:tcPr>
          <w:p w:rsidR="00D7629A" w:rsidRPr="00811D9E" w:rsidRDefault="00D7629A" w:rsidP="00D7629A">
            <w:pPr>
              <w:spacing w:after="0"/>
              <w:rPr>
                <w:rFonts w:eastAsia="Times New Roman" w:cs="Times New Roman"/>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rPr>
                <w:rFonts w:eastAsia="Times New Roman" w:cs="Times New Roman"/>
                <w:sz w:val="20"/>
                <w:szCs w:val="20"/>
              </w:rPr>
            </w:pPr>
          </w:p>
        </w:tc>
        <w:tc>
          <w:tcPr>
            <w:tcW w:w="800" w:type="dxa"/>
            <w:tcBorders>
              <w:top w:val="nil"/>
              <w:left w:val="nil"/>
              <w:bottom w:val="nil"/>
              <w:right w:val="nil"/>
            </w:tcBorders>
            <w:noWrap/>
            <w:vAlign w:val="bottom"/>
            <w:hideMark/>
          </w:tcPr>
          <w:p w:rsidR="00D7629A" w:rsidRPr="00811D9E" w:rsidRDefault="00D7629A" w:rsidP="00D7629A">
            <w:pPr>
              <w:spacing w:after="0"/>
              <w:rPr>
                <w:rFonts w:eastAsia="Times New Roman" w:cs="Times New Roman"/>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rPr>
                <w:rFonts w:eastAsia="Times New Roman" w:cs="Times New Roman"/>
                <w:sz w:val="20"/>
                <w:szCs w:val="20"/>
              </w:rPr>
            </w:pPr>
          </w:p>
        </w:tc>
        <w:tc>
          <w:tcPr>
            <w:tcW w:w="800" w:type="dxa"/>
            <w:tcBorders>
              <w:top w:val="nil"/>
              <w:left w:val="nil"/>
              <w:bottom w:val="nil"/>
              <w:right w:val="nil"/>
            </w:tcBorders>
            <w:noWrap/>
            <w:vAlign w:val="bottom"/>
            <w:hideMark/>
          </w:tcPr>
          <w:p w:rsidR="00D7629A" w:rsidRPr="00811D9E" w:rsidRDefault="00D7629A" w:rsidP="00D7629A">
            <w:pPr>
              <w:spacing w:after="0"/>
              <w:rPr>
                <w:rFonts w:eastAsia="Times New Roman" w:cs="Times New Roman"/>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rPr>
                <w:rFonts w:eastAsia="Times New Roman" w:cs="Times New Roman"/>
                <w:sz w:val="20"/>
                <w:szCs w:val="20"/>
              </w:rPr>
            </w:pPr>
          </w:p>
        </w:tc>
        <w:tc>
          <w:tcPr>
            <w:tcW w:w="800" w:type="dxa"/>
            <w:tcBorders>
              <w:top w:val="nil"/>
              <w:left w:val="nil"/>
              <w:bottom w:val="nil"/>
              <w:right w:val="nil"/>
            </w:tcBorders>
            <w:noWrap/>
            <w:vAlign w:val="bottom"/>
            <w:hideMark/>
          </w:tcPr>
          <w:p w:rsidR="00D7629A" w:rsidRPr="00811D9E" w:rsidRDefault="00D7629A" w:rsidP="00D7629A">
            <w:pPr>
              <w:spacing w:after="0"/>
              <w:rPr>
                <w:rFonts w:eastAsia="Times New Roman" w:cs="Times New Roman"/>
                <w:sz w:val="20"/>
                <w:szCs w:val="20"/>
              </w:rPr>
            </w:pP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rPr>
                <w:rFonts w:eastAsia="Times New Roman" w:cs="Times New Roman"/>
                <w:sz w:val="20"/>
                <w:szCs w:val="20"/>
              </w:rPr>
            </w:pPr>
          </w:p>
        </w:tc>
        <w:tc>
          <w:tcPr>
            <w:tcW w:w="2544" w:type="dxa"/>
            <w:gridSpan w:val="3"/>
            <w:tcBorders>
              <w:top w:val="nil"/>
              <w:left w:val="nil"/>
              <w:bottom w:val="nil"/>
              <w:right w:val="nil"/>
            </w:tcBorders>
            <w:noWrap/>
            <w:vAlign w:val="bottom"/>
            <w:hideMark/>
          </w:tcPr>
          <w:p w:rsidR="00D7629A" w:rsidRPr="00811D9E" w:rsidRDefault="00D7629A" w:rsidP="00D7629A">
            <w:pPr>
              <w:spacing w:after="0"/>
              <w:rPr>
                <w:rFonts w:eastAsia="Times New Roman" w:cs="Times New Roman"/>
                <w:b/>
                <w:bCs/>
                <w:color w:val="000000"/>
                <w:sz w:val="20"/>
                <w:szCs w:val="20"/>
              </w:rPr>
            </w:pPr>
            <w:r w:rsidRPr="00811D9E">
              <w:rPr>
                <w:rFonts w:eastAsia="Times New Roman" w:cs="Times New Roman"/>
                <w:b/>
                <w:bCs/>
                <w:color w:val="000000"/>
                <w:sz w:val="20"/>
                <w:szCs w:val="20"/>
              </w:rPr>
              <w:t>Weight Percent Oxides</w:t>
            </w:r>
          </w:p>
        </w:tc>
        <w:tc>
          <w:tcPr>
            <w:tcW w:w="800" w:type="dxa"/>
            <w:tcBorders>
              <w:top w:val="nil"/>
              <w:left w:val="nil"/>
              <w:bottom w:val="nil"/>
              <w:right w:val="nil"/>
            </w:tcBorders>
            <w:noWrap/>
            <w:vAlign w:val="bottom"/>
            <w:hideMark/>
          </w:tcPr>
          <w:p w:rsidR="00D7629A" w:rsidRPr="00811D9E" w:rsidRDefault="00D7629A" w:rsidP="00D7629A">
            <w:pPr>
              <w:spacing w:after="0"/>
              <w:rPr>
                <w:rFonts w:eastAsia="Times New Roman" w:cs="Times New Roman"/>
                <w:b/>
                <w:bCs/>
                <w:color w:val="000000"/>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rPr>
                <w:rFonts w:eastAsia="Times New Roman" w:cs="Times New Roman"/>
                <w:sz w:val="20"/>
                <w:szCs w:val="20"/>
              </w:rPr>
            </w:pPr>
          </w:p>
        </w:tc>
        <w:tc>
          <w:tcPr>
            <w:tcW w:w="800" w:type="dxa"/>
            <w:tcBorders>
              <w:top w:val="nil"/>
              <w:left w:val="nil"/>
              <w:bottom w:val="nil"/>
              <w:right w:val="nil"/>
            </w:tcBorders>
            <w:noWrap/>
            <w:vAlign w:val="bottom"/>
            <w:hideMark/>
          </w:tcPr>
          <w:p w:rsidR="00D7629A" w:rsidRPr="00811D9E" w:rsidRDefault="00D7629A" w:rsidP="00D7629A">
            <w:pPr>
              <w:spacing w:after="0"/>
              <w:rPr>
                <w:rFonts w:eastAsia="Times New Roman" w:cs="Times New Roman"/>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rPr>
                <w:rFonts w:eastAsia="Times New Roman" w:cs="Times New Roman"/>
                <w:sz w:val="20"/>
                <w:szCs w:val="20"/>
              </w:rPr>
            </w:pPr>
          </w:p>
        </w:tc>
        <w:tc>
          <w:tcPr>
            <w:tcW w:w="800" w:type="dxa"/>
            <w:tcBorders>
              <w:top w:val="nil"/>
              <w:left w:val="nil"/>
              <w:bottom w:val="nil"/>
              <w:right w:val="nil"/>
            </w:tcBorders>
            <w:noWrap/>
            <w:vAlign w:val="bottom"/>
            <w:hideMark/>
          </w:tcPr>
          <w:p w:rsidR="00D7629A" w:rsidRPr="00811D9E" w:rsidRDefault="00D7629A" w:rsidP="00D7629A">
            <w:pPr>
              <w:spacing w:after="0"/>
              <w:rPr>
                <w:rFonts w:eastAsia="Times New Roman" w:cs="Times New Roman"/>
                <w:sz w:val="20"/>
                <w:szCs w:val="20"/>
              </w:rPr>
            </w:pPr>
          </w:p>
        </w:tc>
      </w:tr>
      <w:tr w:rsidR="00D7629A" w:rsidRPr="00811D9E" w:rsidTr="00D7629A">
        <w:trPr>
          <w:trHeight w:val="28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SiO</w:t>
            </w:r>
            <w:r w:rsidRPr="00811D9E">
              <w:rPr>
                <w:rFonts w:eastAsia="Times New Roman" w:cs="Times New Roman"/>
                <w:b/>
                <w:bCs/>
                <w:color w:val="000000"/>
                <w:sz w:val="20"/>
                <w:szCs w:val="20"/>
                <w:vertAlign w:val="subscript"/>
              </w:rPr>
              <w:t>2</w:t>
            </w:r>
          </w:p>
        </w:tc>
        <w:tc>
          <w:tcPr>
            <w:tcW w:w="872" w:type="dxa"/>
            <w:tcBorders>
              <w:top w:val="single" w:sz="4" w:space="0" w:color="auto"/>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34.86 </w:t>
            </w:r>
          </w:p>
        </w:tc>
        <w:tc>
          <w:tcPr>
            <w:tcW w:w="800" w:type="dxa"/>
            <w:tcBorders>
              <w:top w:val="single" w:sz="4" w:space="0" w:color="auto"/>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(0.60)</w:t>
            </w:r>
          </w:p>
        </w:tc>
        <w:tc>
          <w:tcPr>
            <w:tcW w:w="872" w:type="dxa"/>
            <w:tcBorders>
              <w:top w:val="single" w:sz="4" w:space="0" w:color="auto"/>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33.95 </w:t>
            </w:r>
          </w:p>
        </w:tc>
        <w:tc>
          <w:tcPr>
            <w:tcW w:w="800" w:type="dxa"/>
            <w:tcBorders>
              <w:top w:val="single" w:sz="4" w:space="0" w:color="auto"/>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(0.70)</w:t>
            </w:r>
          </w:p>
        </w:tc>
        <w:tc>
          <w:tcPr>
            <w:tcW w:w="872" w:type="dxa"/>
            <w:tcBorders>
              <w:top w:val="single" w:sz="4" w:space="0" w:color="auto"/>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34.69 </w:t>
            </w:r>
          </w:p>
        </w:tc>
        <w:tc>
          <w:tcPr>
            <w:tcW w:w="800" w:type="dxa"/>
            <w:tcBorders>
              <w:top w:val="single" w:sz="4" w:space="0" w:color="auto"/>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(0.58)</w:t>
            </w:r>
          </w:p>
        </w:tc>
        <w:tc>
          <w:tcPr>
            <w:tcW w:w="872" w:type="dxa"/>
            <w:tcBorders>
              <w:top w:val="single" w:sz="4" w:space="0" w:color="auto"/>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33.79 </w:t>
            </w:r>
          </w:p>
        </w:tc>
        <w:tc>
          <w:tcPr>
            <w:tcW w:w="800" w:type="dxa"/>
            <w:tcBorders>
              <w:top w:val="single" w:sz="4" w:space="0" w:color="auto"/>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(0.83)</w:t>
            </w:r>
          </w:p>
        </w:tc>
      </w:tr>
      <w:tr w:rsidR="00D7629A" w:rsidRPr="00811D9E" w:rsidTr="00D7629A">
        <w:trPr>
          <w:trHeight w:val="28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TiO</w:t>
            </w:r>
            <w:r w:rsidRPr="00811D9E">
              <w:rPr>
                <w:rFonts w:eastAsia="Times New Roman" w:cs="Times New Roman"/>
                <w:b/>
                <w:bCs/>
                <w:color w:val="000000"/>
                <w:sz w:val="20"/>
                <w:szCs w:val="20"/>
                <w:vertAlign w:val="subscript"/>
              </w:rPr>
              <w:t>2</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0.04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(0.02)</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0.04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(0.02)</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0.04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(0.02)</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0.04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(0.02)</w:t>
            </w:r>
          </w:p>
        </w:tc>
      </w:tr>
      <w:tr w:rsidR="00D7629A" w:rsidRPr="00811D9E" w:rsidTr="00D7629A">
        <w:trPr>
          <w:trHeight w:val="28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B</w:t>
            </w:r>
            <w:r w:rsidRPr="00811D9E">
              <w:rPr>
                <w:rFonts w:eastAsia="Times New Roman" w:cs="Times New Roman"/>
                <w:b/>
                <w:bCs/>
                <w:color w:val="000000"/>
                <w:sz w:val="20"/>
                <w:szCs w:val="20"/>
                <w:vertAlign w:val="subscript"/>
              </w:rPr>
              <w:t>2</w:t>
            </w:r>
            <w:r w:rsidRPr="00811D9E">
              <w:rPr>
                <w:rFonts w:eastAsia="Times New Roman" w:cs="Times New Roman"/>
                <w:b/>
                <w:bCs/>
                <w:color w:val="000000"/>
                <w:sz w:val="20"/>
                <w:szCs w:val="20"/>
              </w:rPr>
              <w:t>O</w:t>
            </w:r>
            <w:r w:rsidRPr="00811D9E">
              <w:rPr>
                <w:rFonts w:eastAsia="Times New Roman" w:cs="Times New Roman"/>
                <w:b/>
                <w:bCs/>
                <w:color w:val="000000"/>
                <w:sz w:val="20"/>
                <w:szCs w:val="20"/>
                <w:vertAlign w:val="subscript"/>
              </w:rPr>
              <w:t>3</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10.97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(0.38)</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11.33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(0.31)</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11.11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(0.34)</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11.32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(0.37)</w:t>
            </w:r>
          </w:p>
        </w:tc>
      </w:tr>
      <w:tr w:rsidR="00D7629A" w:rsidRPr="00811D9E" w:rsidTr="00D7629A">
        <w:trPr>
          <w:trHeight w:val="28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Al</w:t>
            </w:r>
            <w:r w:rsidRPr="00811D9E">
              <w:rPr>
                <w:rFonts w:eastAsia="Times New Roman" w:cs="Times New Roman"/>
                <w:b/>
                <w:bCs/>
                <w:color w:val="000000"/>
                <w:sz w:val="20"/>
                <w:szCs w:val="20"/>
                <w:vertAlign w:val="subscript"/>
              </w:rPr>
              <w:t>2</w:t>
            </w:r>
            <w:r w:rsidRPr="00811D9E">
              <w:rPr>
                <w:rFonts w:eastAsia="Times New Roman" w:cs="Times New Roman"/>
                <w:b/>
                <w:bCs/>
                <w:color w:val="000000"/>
                <w:sz w:val="20"/>
                <w:szCs w:val="20"/>
              </w:rPr>
              <w:t>O</w:t>
            </w:r>
            <w:r w:rsidRPr="00811D9E">
              <w:rPr>
                <w:rFonts w:eastAsia="Times New Roman" w:cs="Times New Roman"/>
                <w:b/>
                <w:bCs/>
                <w:color w:val="000000"/>
                <w:sz w:val="20"/>
                <w:szCs w:val="20"/>
                <w:vertAlign w:val="subscript"/>
              </w:rPr>
              <w:t>3</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30.80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(1.94)</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28.37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(0.98)</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31.26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(1.33)</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29.70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(1.47)</w:t>
            </w: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FeO*</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9.24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(0.99)</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10.06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(0.37)</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8.00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(0.56)</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9.82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(0.77)</w:t>
            </w: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MnO</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0.67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(0.06)</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0.65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(0.06)</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0.57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(0.08)</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0.92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(0.19)</w:t>
            </w: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MgO</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6.11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(0.49)</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5.87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(0.45)</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5.60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(0.41)</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6.27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(0.51)</w:t>
            </w: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CaO</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0.44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(0.07)</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0.47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(0.07)</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0.45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(0.07)</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0.46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(0.11)</w:t>
            </w:r>
          </w:p>
        </w:tc>
      </w:tr>
      <w:tr w:rsidR="00D7629A" w:rsidRPr="00811D9E" w:rsidTr="00D7629A">
        <w:trPr>
          <w:trHeight w:val="28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Na</w:t>
            </w:r>
            <w:r w:rsidRPr="00811D9E">
              <w:rPr>
                <w:rFonts w:eastAsia="Times New Roman" w:cs="Times New Roman"/>
                <w:b/>
                <w:bCs/>
                <w:color w:val="000000"/>
                <w:sz w:val="20"/>
                <w:szCs w:val="20"/>
                <w:vertAlign w:val="subscript"/>
              </w:rPr>
              <w:t>2</w:t>
            </w:r>
            <w:r w:rsidRPr="00811D9E">
              <w:rPr>
                <w:rFonts w:eastAsia="Times New Roman" w:cs="Times New Roman"/>
                <w:b/>
                <w:bCs/>
                <w:color w:val="000000"/>
                <w:sz w:val="20"/>
                <w:szCs w:val="20"/>
              </w:rPr>
              <w:t>O</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2.09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(0.03)</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2.19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(0.05)</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2.18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(0.08)</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2.22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(0.08)</w:t>
            </w: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Total</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95.22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(1.19)</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92.94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(0.94)</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93.90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(0.66)</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94.54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(0.72)</w:t>
            </w: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 Pts (N)</w:t>
            </w:r>
          </w:p>
        </w:tc>
        <w:tc>
          <w:tcPr>
            <w:tcW w:w="872"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6</w:t>
            </w:r>
          </w:p>
        </w:tc>
        <w:tc>
          <w:tcPr>
            <w:tcW w:w="800"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15</w:t>
            </w:r>
          </w:p>
        </w:tc>
        <w:tc>
          <w:tcPr>
            <w:tcW w:w="800"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31</w:t>
            </w:r>
          </w:p>
        </w:tc>
        <w:tc>
          <w:tcPr>
            <w:tcW w:w="800"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69</w:t>
            </w:r>
          </w:p>
        </w:tc>
        <w:tc>
          <w:tcPr>
            <w:tcW w:w="800"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sz w:val="20"/>
                <w:szCs w:val="20"/>
              </w:rPr>
            </w:pPr>
          </w:p>
        </w:tc>
        <w:tc>
          <w:tcPr>
            <w:tcW w:w="2544" w:type="dxa"/>
            <w:gridSpan w:val="3"/>
            <w:tcBorders>
              <w:top w:val="nil"/>
              <w:left w:val="nil"/>
              <w:bottom w:val="nil"/>
              <w:right w:val="nil"/>
            </w:tcBorders>
            <w:noWrap/>
            <w:vAlign w:val="bottom"/>
            <w:hideMark/>
          </w:tcPr>
          <w:p w:rsidR="00D7629A" w:rsidRPr="00811D9E" w:rsidRDefault="00D7629A" w:rsidP="00D7629A">
            <w:pPr>
              <w:spacing w:after="0"/>
              <w:rPr>
                <w:rFonts w:eastAsia="Times New Roman" w:cs="Times New Roman"/>
                <w:color w:val="000000"/>
                <w:sz w:val="20"/>
                <w:szCs w:val="20"/>
              </w:rPr>
            </w:pPr>
            <w:r w:rsidRPr="00811D9E">
              <w:rPr>
                <w:rFonts w:eastAsia="Times New Roman" w:cs="Times New Roman"/>
                <w:color w:val="000000"/>
                <w:sz w:val="20"/>
                <w:szCs w:val="20"/>
              </w:rPr>
              <w:t>2σSD in parentheses</w:t>
            </w:r>
          </w:p>
        </w:tc>
        <w:tc>
          <w:tcPr>
            <w:tcW w:w="800" w:type="dxa"/>
            <w:tcBorders>
              <w:top w:val="nil"/>
              <w:left w:val="nil"/>
              <w:bottom w:val="nil"/>
              <w:right w:val="nil"/>
            </w:tcBorders>
            <w:noWrap/>
            <w:vAlign w:val="bottom"/>
            <w:hideMark/>
          </w:tcPr>
          <w:p w:rsidR="00D7629A" w:rsidRPr="00811D9E" w:rsidRDefault="00D7629A" w:rsidP="00D7629A">
            <w:pPr>
              <w:spacing w:after="0"/>
              <w:rPr>
                <w:rFonts w:eastAsia="Times New Roman" w:cs="Times New Roman"/>
                <w:color w:val="000000"/>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sz w:val="20"/>
                <w:szCs w:val="20"/>
              </w:rPr>
            </w:pP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sz w:val="20"/>
                <w:szCs w:val="20"/>
              </w:rPr>
            </w:pP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sz w:val="20"/>
                <w:szCs w:val="20"/>
              </w:rPr>
            </w:pP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sz w:val="20"/>
                <w:szCs w:val="20"/>
              </w:rPr>
            </w:pPr>
          </w:p>
        </w:tc>
        <w:tc>
          <w:tcPr>
            <w:tcW w:w="4216" w:type="dxa"/>
            <w:gridSpan w:val="5"/>
            <w:tcBorders>
              <w:top w:val="nil"/>
              <w:left w:val="nil"/>
              <w:bottom w:val="nil"/>
              <w:right w:val="nil"/>
            </w:tcBorders>
            <w:noWrap/>
            <w:vAlign w:val="bottom"/>
            <w:hideMark/>
          </w:tcPr>
          <w:p w:rsidR="00D7629A" w:rsidRPr="00811D9E" w:rsidRDefault="00D7629A" w:rsidP="00D7629A">
            <w:pPr>
              <w:spacing w:after="0"/>
              <w:rPr>
                <w:rFonts w:eastAsia="Times New Roman" w:cs="Times New Roman"/>
                <w:b/>
                <w:bCs/>
                <w:color w:val="000000"/>
                <w:sz w:val="20"/>
                <w:szCs w:val="20"/>
              </w:rPr>
            </w:pPr>
            <w:r w:rsidRPr="00811D9E">
              <w:rPr>
                <w:rFonts w:eastAsia="Times New Roman" w:cs="Times New Roman"/>
                <w:b/>
                <w:bCs/>
                <w:color w:val="000000"/>
                <w:sz w:val="20"/>
                <w:szCs w:val="20"/>
              </w:rPr>
              <w:t>Atoms per Formula Unit (29 Oxygens)</w:t>
            </w:r>
          </w:p>
        </w:tc>
        <w:tc>
          <w:tcPr>
            <w:tcW w:w="800" w:type="dxa"/>
            <w:tcBorders>
              <w:top w:val="nil"/>
              <w:left w:val="nil"/>
              <w:bottom w:val="nil"/>
              <w:right w:val="nil"/>
            </w:tcBorders>
            <w:noWrap/>
            <w:vAlign w:val="bottom"/>
            <w:hideMark/>
          </w:tcPr>
          <w:p w:rsidR="00D7629A" w:rsidRPr="00811D9E" w:rsidRDefault="00D7629A" w:rsidP="00D7629A">
            <w:pPr>
              <w:spacing w:after="0"/>
              <w:rPr>
                <w:rFonts w:eastAsia="Times New Roman" w:cs="Times New Roman"/>
                <w:b/>
                <w:bCs/>
                <w:color w:val="000000"/>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sz w:val="20"/>
                <w:szCs w:val="20"/>
              </w:rPr>
            </w:pP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sz w:val="20"/>
                <w:szCs w:val="20"/>
              </w:rPr>
            </w:pP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Si</w:t>
            </w:r>
          </w:p>
        </w:tc>
        <w:tc>
          <w:tcPr>
            <w:tcW w:w="872" w:type="dxa"/>
            <w:tcBorders>
              <w:top w:val="single" w:sz="4" w:space="0" w:color="auto"/>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5.861 </w:t>
            </w:r>
          </w:p>
        </w:tc>
        <w:tc>
          <w:tcPr>
            <w:tcW w:w="800" w:type="dxa"/>
            <w:tcBorders>
              <w:top w:val="single" w:sz="4" w:space="0" w:color="auto"/>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(0.105)</w:t>
            </w:r>
          </w:p>
        </w:tc>
        <w:tc>
          <w:tcPr>
            <w:tcW w:w="872" w:type="dxa"/>
            <w:tcBorders>
              <w:top w:val="single" w:sz="4" w:space="0" w:color="auto"/>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5.867 </w:t>
            </w:r>
          </w:p>
        </w:tc>
        <w:tc>
          <w:tcPr>
            <w:tcW w:w="800" w:type="dxa"/>
            <w:tcBorders>
              <w:top w:val="single" w:sz="4" w:space="0" w:color="auto"/>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(0.092)</w:t>
            </w:r>
          </w:p>
        </w:tc>
        <w:tc>
          <w:tcPr>
            <w:tcW w:w="872" w:type="dxa"/>
            <w:tcBorders>
              <w:top w:val="single" w:sz="4" w:space="0" w:color="auto"/>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5.864 </w:t>
            </w:r>
          </w:p>
        </w:tc>
        <w:tc>
          <w:tcPr>
            <w:tcW w:w="800" w:type="dxa"/>
            <w:tcBorders>
              <w:top w:val="single" w:sz="4" w:space="0" w:color="auto"/>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(0.122)</w:t>
            </w:r>
          </w:p>
        </w:tc>
        <w:tc>
          <w:tcPr>
            <w:tcW w:w="872" w:type="dxa"/>
            <w:tcBorders>
              <w:top w:val="single" w:sz="4" w:space="0" w:color="auto"/>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5.749 </w:t>
            </w:r>
          </w:p>
        </w:tc>
        <w:tc>
          <w:tcPr>
            <w:tcW w:w="800" w:type="dxa"/>
            <w:tcBorders>
              <w:top w:val="single" w:sz="4" w:space="0" w:color="auto"/>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(0.140)</w:t>
            </w: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Ti</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0.005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(0.002)</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0.005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(0.003)</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0.005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(0.003)</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0.005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(0.002)</w:t>
            </w: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 xml:space="preserve">B </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3.184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(0.097)</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3.381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(0.095)</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3.240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(0.086)</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3.324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(0.111)</w:t>
            </w: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Al</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6.098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(0.307)</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5.778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(0.176)</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6.227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(0.234)</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5.956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(0.258)</w:t>
            </w: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Fe</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1.301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(0.151)</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1.455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(0.065)</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1.130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(0.083)</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1.398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(0.118)</w:t>
            </w: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Mn</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0.095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(0.009)</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0.096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(0.008)</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0.081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(0.012)</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0.133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(0.027)</w:t>
            </w: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Mg</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1.531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(0.130)</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1.511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(0.109)</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1.411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(0.110)</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1.592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(0.134)</w:t>
            </w: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Ca</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0.079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(0.013)</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0.088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(0.013)</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0.081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(0.012)</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0.084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(0.020)</w:t>
            </w: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Na</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0.682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(0.018)</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0.735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(0.019)</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0.716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(0.028)</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0.731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(0.030)</w:t>
            </w: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Sum</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18.835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(0.065)</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18.915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(0.029)</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18.755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(0.057)</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18.971 </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(0.071)</w:t>
            </w:r>
          </w:p>
        </w:tc>
      </w:tr>
      <w:tr w:rsidR="00D7629A" w:rsidRPr="00811D9E" w:rsidTr="00D7629A">
        <w:trPr>
          <w:trHeight w:val="31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Mg</w:t>
            </w:r>
            <w:r w:rsidRPr="00811D9E">
              <w:rPr>
                <w:rFonts w:eastAsia="Times New Roman" w:cs="Times New Roman"/>
                <w:b/>
                <w:bCs/>
                <w:color w:val="000000"/>
                <w:sz w:val="20"/>
                <w:szCs w:val="20"/>
                <w:vertAlign w:val="superscript"/>
              </w:rPr>
              <w:t>#</w:t>
            </w:r>
          </w:p>
        </w:tc>
        <w:tc>
          <w:tcPr>
            <w:tcW w:w="872"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0.541 </w:t>
            </w:r>
          </w:p>
        </w:tc>
        <w:tc>
          <w:tcPr>
            <w:tcW w:w="800"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(0.031)</w:t>
            </w:r>
          </w:p>
        </w:tc>
        <w:tc>
          <w:tcPr>
            <w:tcW w:w="872"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0.509 </w:t>
            </w:r>
          </w:p>
        </w:tc>
        <w:tc>
          <w:tcPr>
            <w:tcW w:w="800"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(0.023)</w:t>
            </w:r>
          </w:p>
        </w:tc>
        <w:tc>
          <w:tcPr>
            <w:tcW w:w="872"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0.555 </w:t>
            </w:r>
          </w:p>
        </w:tc>
        <w:tc>
          <w:tcPr>
            <w:tcW w:w="800"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(0.014)</w:t>
            </w:r>
          </w:p>
        </w:tc>
        <w:tc>
          <w:tcPr>
            <w:tcW w:w="872"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 xml:space="preserve">0.532 </w:t>
            </w:r>
          </w:p>
        </w:tc>
        <w:tc>
          <w:tcPr>
            <w:tcW w:w="800"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(0.025)</w:t>
            </w:r>
          </w:p>
        </w:tc>
      </w:tr>
      <w:tr w:rsidR="00D7629A" w:rsidRPr="00811D9E" w:rsidTr="00D7629A">
        <w:trPr>
          <w:trHeight w:val="315"/>
          <w:jc w:val="center"/>
        </w:trPr>
        <w:tc>
          <w:tcPr>
            <w:tcW w:w="983"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1672" w:type="dxa"/>
            <w:gridSpan w:val="2"/>
            <w:tcBorders>
              <w:top w:val="nil"/>
              <w:left w:val="nil"/>
              <w:bottom w:val="nil"/>
              <w:right w:val="nil"/>
            </w:tcBorders>
            <w:noWrap/>
            <w:vAlign w:val="bottom"/>
            <w:hideMark/>
          </w:tcPr>
          <w:p w:rsidR="00D7629A" w:rsidRPr="00811D9E" w:rsidRDefault="00D7629A" w:rsidP="00D7629A">
            <w:pPr>
              <w:spacing w:after="0"/>
              <w:rPr>
                <w:rFonts w:eastAsia="Times New Roman" w:cs="Times New Roman"/>
                <w:color w:val="000000"/>
                <w:sz w:val="20"/>
                <w:szCs w:val="20"/>
              </w:rPr>
            </w:pPr>
            <w:r w:rsidRPr="00811D9E">
              <w:rPr>
                <w:rFonts w:eastAsia="Times New Roman" w:cs="Times New Roman"/>
                <w:color w:val="000000"/>
                <w:sz w:val="20"/>
                <w:szCs w:val="20"/>
              </w:rPr>
              <w:t>Mg</w:t>
            </w:r>
            <w:r w:rsidRPr="00811D9E">
              <w:rPr>
                <w:rFonts w:eastAsia="Times New Roman" w:cs="Times New Roman"/>
                <w:color w:val="000000"/>
                <w:sz w:val="20"/>
                <w:szCs w:val="20"/>
                <w:vertAlign w:val="superscript"/>
              </w:rPr>
              <w:t>#</w:t>
            </w:r>
            <w:r w:rsidRPr="00811D9E">
              <w:rPr>
                <w:rFonts w:eastAsia="Times New Roman" w:cs="Times New Roman"/>
                <w:color w:val="000000"/>
                <w:sz w:val="20"/>
                <w:szCs w:val="20"/>
              </w:rPr>
              <w:t>=Mg/Mg+Fe</w:t>
            </w:r>
          </w:p>
        </w:tc>
        <w:tc>
          <w:tcPr>
            <w:tcW w:w="872" w:type="dxa"/>
            <w:tcBorders>
              <w:top w:val="nil"/>
              <w:left w:val="nil"/>
              <w:bottom w:val="nil"/>
              <w:right w:val="nil"/>
            </w:tcBorders>
            <w:noWrap/>
            <w:vAlign w:val="bottom"/>
            <w:hideMark/>
          </w:tcPr>
          <w:p w:rsidR="00D7629A" w:rsidRPr="00811D9E" w:rsidRDefault="00D7629A" w:rsidP="00D7629A">
            <w:pPr>
              <w:spacing w:after="0"/>
              <w:rPr>
                <w:rFonts w:eastAsia="Times New Roman" w:cs="Times New Roman"/>
                <w:color w:val="000000"/>
                <w:sz w:val="20"/>
                <w:szCs w:val="20"/>
              </w:rPr>
            </w:pPr>
          </w:p>
        </w:tc>
        <w:tc>
          <w:tcPr>
            <w:tcW w:w="800" w:type="dxa"/>
            <w:tcBorders>
              <w:top w:val="nil"/>
              <w:left w:val="nil"/>
              <w:bottom w:val="nil"/>
              <w:right w:val="nil"/>
            </w:tcBorders>
            <w:noWrap/>
            <w:vAlign w:val="bottom"/>
            <w:hideMark/>
          </w:tcPr>
          <w:p w:rsidR="00D7629A" w:rsidRPr="00811D9E" w:rsidRDefault="00D7629A" w:rsidP="00D7629A">
            <w:pPr>
              <w:spacing w:after="0"/>
              <w:rPr>
                <w:rFonts w:eastAsia="Times New Roman" w:cs="Times New Roman"/>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rPr>
                <w:rFonts w:eastAsia="Times New Roman" w:cs="Times New Roman"/>
                <w:sz w:val="20"/>
                <w:szCs w:val="20"/>
              </w:rPr>
            </w:pPr>
          </w:p>
        </w:tc>
        <w:tc>
          <w:tcPr>
            <w:tcW w:w="800" w:type="dxa"/>
            <w:tcBorders>
              <w:top w:val="nil"/>
              <w:left w:val="nil"/>
              <w:bottom w:val="nil"/>
              <w:right w:val="nil"/>
            </w:tcBorders>
            <w:noWrap/>
            <w:vAlign w:val="bottom"/>
            <w:hideMark/>
          </w:tcPr>
          <w:p w:rsidR="00D7629A" w:rsidRPr="00811D9E" w:rsidRDefault="00D7629A" w:rsidP="00D7629A">
            <w:pPr>
              <w:spacing w:after="0"/>
              <w:rPr>
                <w:rFonts w:eastAsia="Times New Roman" w:cs="Times New Roman"/>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rPr>
                <w:rFonts w:eastAsia="Times New Roman" w:cs="Times New Roman"/>
                <w:sz w:val="20"/>
                <w:szCs w:val="20"/>
              </w:rPr>
            </w:pPr>
          </w:p>
        </w:tc>
        <w:tc>
          <w:tcPr>
            <w:tcW w:w="800" w:type="dxa"/>
            <w:tcBorders>
              <w:top w:val="nil"/>
              <w:left w:val="nil"/>
              <w:bottom w:val="nil"/>
              <w:right w:val="nil"/>
            </w:tcBorders>
            <w:noWrap/>
            <w:vAlign w:val="bottom"/>
            <w:hideMark/>
          </w:tcPr>
          <w:p w:rsidR="00D7629A" w:rsidRPr="00811D9E" w:rsidRDefault="00D7629A" w:rsidP="00D7629A">
            <w:pPr>
              <w:spacing w:after="0"/>
              <w:rPr>
                <w:rFonts w:eastAsia="Times New Roman" w:cs="Times New Roman"/>
                <w:sz w:val="20"/>
                <w:szCs w:val="20"/>
              </w:rPr>
            </w:pP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rPr>
                <w:rFonts w:eastAsia="Times New Roman" w:cs="Times New Roman"/>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sz w:val="20"/>
                <w:szCs w:val="20"/>
              </w:rPr>
            </w:pP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sz w:val="20"/>
                <w:szCs w:val="20"/>
              </w:rPr>
            </w:pP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sz w:val="20"/>
                <w:szCs w:val="20"/>
              </w:rPr>
            </w:pP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sz w:val="20"/>
                <w:szCs w:val="20"/>
              </w:rPr>
            </w:pP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sz w:val="20"/>
                <w:szCs w:val="20"/>
              </w:rPr>
            </w:pP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sz w:val="20"/>
                <w:szCs w:val="20"/>
              </w:rPr>
            </w:pPr>
          </w:p>
        </w:tc>
        <w:tc>
          <w:tcPr>
            <w:tcW w:w="4216" w:type="dxa"/>
            <w:gridSpan w:val="5"/>
            <w:tcBorders>
              <w:top w:val="nil"/>
              <w:left w:val="nil"/>
              <w:bottom w:val="nil"/>
              <w:right w:val="nil"/>
            </w:tcBorders>
            <w:noWrap/>
            <w:vAlign w:val="bottom"/>
            <w:hideMark/>
          </w:tcPr>
          <w:p w:rsidR="00D7629A" w:rsidRPr="00811D9E" w:rsidRDefault="00D7629A" w:rsidP="00D7629A">
            <w:pPr>
              <w:spacing w:after="0"/>
              <w:rPr>
                <w:rFonts w:eastAsia="Times New Roman" w:cs="Times New Roman"/>
                <w:b/>
                <w:bCs/>
                <w:color w:val="000000"/>
                <w:sz w:val="20"/>
                <w:szCs w:val="20"/>
              </w:rPr>
            </w:pPr>
            <w:r w:rsidRPr="00811D9E">
              <w:rPr>
                <w:rFonts w:eastAsia="Times New Roman" w:cs="Times New Roman"/>
                <w:b/>
                <w:bCs/>
                <w:color w:val="000000"/>
                <w:sz w:val="20"/>
                <w:szCs w:val="20"/>
              </w:rPr>
              <w:t>Normative End-Member Components</w:t>
            </w:r>
          </w:p>
        </w:tc>
        <w:tc>
          <w:tcPr>
            <w:tcW w:w="800" w:type="dxa"/>
            <w:tcBorders>
              <w:top w:val="nil"/>
              <w:left w:val="nil"/>
              <w:bottom w:val="nil"/>
              <w:right w:val="nil"/>
            </w:tcBorders>
            <w:noWrap/>
            <w:vAlign w:val="bottom"/>
            <w:hideMark/>
          </w:tcPr>
          <w:p w:rsidR="00D7629A" w:rsidRPr="00811D9E" w:rsidRDefault="00D7629A" w:rsidP="00D7629A">
            <w:pPr>
              <w:spacing w:after="0"/>
              <w:rPr>
                <w:rFonts w:eastAsia="Times New Roman" w:cs="Times New Roman"/>
                <w:b/>
                <w:bCs/>
                <w:color w:val="000000"/>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sz w:val="20"/>
                <w:szCs w:val="20"/>
              </w:rPr>
            </w:pP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sz w:val="20"/>
                <w:szCs w:val="20"/>
              </w:rPr>
            </w:pP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Schorl</w:t>
            </w:r>
          </w:p>
        </w:tc>
        <w:tc>
          <w:tcPr>
            <w:tcW w:w="872" w:type="dxa"/>
            <w:tcBorders>
              <w:top w:val="single" w:sz="4" w:space="0" w:color="auto"/>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25.53</w:t>
            </w:r>
          </w:p>
        </w:tc>
        <w:tc>
          <w:tcPr>
            <w:tcW w:w="800" w:type="dxa"/>
            <w:tcBorders>
              <w:top w:val="single" w:sz="4" w:space="0" w:color="auto"/>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single" w:sz="4" w:space="0" w:color="auto"/>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36.81</w:t>
            </w:r>
          </w:p>
        </w:tc>
        <w:tc>
          <w:tcPr>
            <w:tcW w:w="800" w:type="dxa"/>
            <w:tcBorders>
              <w:top w:val="single" w:sz="4" w:space="0" w:color="auto"/>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single" w:sz="4" w:space="0" w:color="auto"/>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27.98</w:t>
            </w:r>
          </w:p>
        </w:tc>
        <w:tc>
          <w:tcPr>
            <w:tcW w:w="800" w:type="dxa"/>
            <w:tcBorders>
              <w:top w:val="single" w:sz="4" w:space="0" w:color="auto"/>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single" w:sz="4" w:space="0" w:color="auto"/>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28.05</w:t>
            </w:r>
          </w:p>
        </w:tc>
        <w:tc>
          <w:tcPr>
            <w:tcW w:w="800" w:type="dxa"/>
            <w:tcBorders>
              <w:top w:val="single" w:sz="4" w:space="0" w:color="auto"/>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Dravite</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39.59</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33.43</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34.90</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40.80</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Tsilaisite</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3.19</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3.17</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2.72</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4.42</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Uvite</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0.43</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4.10</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4.52</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4.41</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Feruvite</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0.36</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4.61</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3.62</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3.98</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Foitite</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14.18</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9.46</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9.10</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8.70</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Mg-Foitite</w:t>
            </w: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16.71</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8.41</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11.35</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9.64</w:t>
            </w:r>
          </w:p>
        </w:tc>
        <w:tc>
          <w:tcPr>
            <w:tcW w:w="800" w:type="dxa"/>
            <w:tcBorders>
              <w:top w:val="nil"/>
              <w:left w:val="nil"/>
              <w:bottom w:val="nil"/>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r>
      <w:tr w:rsidR="00D7629A" w:rsidRPr="00811D9E" w:rsidTr="00D7629A">
        <w:trPr>
          <w:trHeight w:val="255"/>
          <w:jc w:val="center"/>
        </w:trPr>
        <w:tc>
          <w:tcPr>
            <w:tcW w:w="983" w:type="dxa"/>
            <w:tcBorders>
              <w:top w:val="nil"/>
              <w:left w:val="nil"/>
              <w:bottom w:val="nil"/>
              <w:right w:val="nil"/>
            </w:tcBorders>
            <w:noWrap/>
            <w:vAlign w:val="bottom"/>
            <w:hideMark/>
          </w:tcPr>
          <w:p w:rsidR="00D7629A" w:rsidRPr="00811D9E" w:rsidRDefault="00D7629A" w:rsidP="00D7629A">
            <w:pPr>
              <w:spacing w:after="0"/>
              <w:jc w:val="right"/>
              <w:rPr>
                <w:rFonts w:eastAsia="Times New Roman" w:cs="Times New Roman"/>
                <w:b/>
                <w:bCs/>
                <w:color w:val="000000"/>
                <w:sz w:val="20"/>
                <w:szCs w:val="20"/>
              </w:rPr>
            </w:pPr>
            <w:r w:rsidRPr="00811D9E">
              <w:rPr>
                <w:rFonts w:eastAsia="Times New Roman" w:cs="Times New Roman"/>
                <w:b/>
                <w:bCs/>
                <w:color w:val="000000"/>
                <w:sz w:val="20"/>
                <w:szCs w:val="20"/>
              </w:rPr>
              <w:t>Olenite</w:t>
            </w:r>
          </w:p>
        </w:tc>
        <w:tc>
          <w:tcPr>
            <w:tcW w:w="872"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0.00</w:t>
            </w:r>
          </w:p>
        </w:tc>
        <w:tc>
          <w:tcPr>
            <w:tcW w:w="800"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0.00</w:t>
            </w:r>
          </w:p>
        </w:tc>
        <w:tc>
          <w:tcPr>
            <w:tcW w:w="800"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5.80</w:t>
            </w:r>
          </w:p>
        </w:tc>
        <w:tc>
          <w:tcPr>
            <w:tcW w:w="800"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c>
          <w:tcPr>
            <w:tcW w:w="872"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r w:rsidRPr="00811D9E">
              <w:rPr>
                <w:rFonts w:eastAsia="Times New Roman" w:cs="Times New Roman"/>
                <w:color w:val="000000"/>
                <w:sz w:val="20"/>
                <w:szCs w:val="20"/>
              </w:rPr>
              <w:t>0.00</w:t>
            </w:r>
          </w:p>
        </w:tc>
        <w:tc>
          <w:tcPr>
            <w:tcW w:w="800" w:type="dxa"/>
            <w:tcBorders>
              <w:top w:val="nil"/>
              <w:left w:val="nil"/>
              <w:bottom w:val="single" w:sz="4" w:space="0" w:color="auto"/>
              <w:right w:val="nil"/>
            </w:tcBorders>
            <w:noWrap/>
            <w:vAlign w:val="bottom"/>
            <w:hideMark/>
          </w:tcPr>
          <w:p w:rsidR="00D7629A" w:rsidRPr="00811D9E" w:rsidRDefault="00D7629A" w:rsidP="00D7629A">
            <w:pPr>
              <w:spacing w:after="0"/>
              <w:jc w:val="center"/>
              <w:rPr>
                <w:rFonts w:eastAsia="Times New Roman" w:cs="Times New Roman"/>
                <w:color w:val="000000"/>
                <w:sz w:val="20"/>
                <w:szCs w:val="20"/>
              </w:rPr>
            </w:pPr>
          </w:p>
        </w:tc>
      </w:tr>
    </w:tbl>
    <w:p w:rsidR="004E1D03" w:rsidRDefault="00D7629A" w:rsidP="00665C0F">
      <w:pPr>
        <w:spacing w:line="480" w:lineRule="auto"/>
        <w:rPr>
          <w:rFonts w:cs="Times New Roman"/>
        </w:rPr>
      </w:pPr>
      <w:r w:rsidRPr="003F7576">
        <w:rPr>
          <w:noProof/>
        </w:rPr>
        <w:drawing>
          <wp:anchor distT="0" distB="0" distL="114300" distR="114300" simplePos="0" relativeHeight="251762688" behindDoc="0" locked="0" layoutInCell="1" allowOverlap="1">
            <wp:simplePos x="1466850" y="914400"/>
            <wp:positionH relativeFrom="margin">
              <wp:align>center</wp:align>
            </wp:positionH>
            <wp:positionV relativeFrom="margin">
              <wp:align>top</wp:align>
            </wp:positionV>
            <wp:extent cx="4352925" cy="6981825"/>
            <wp:effectExtent l="0" t="0" r="9525" b="9525"/>
            <wp:wrapTopAndBottom/>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352925" cy="6981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E1D03" w:rsidRDefault="004E1D03" w:rsidP="004E1D03">
      <w:r>
        <w:br w:type="page"/>
      </w:r>
    </w:p>
    <w:p w:rsidR="004E1D03" w:rsidRDefault="00D7629A" w:rsidP="00665C0F">
      <w:pPr>
        <w:spacing w:line="480" w:lineRule="auto"/>
        <w:rPr>
          <w:rFonts w:cs="Times New Roman"/>
        </w:rPr>
      </w:pPr>
      <w:r w:rsidRPr="003F7576">
        <w:rPr>
          <w:noProof/>
        </w:rPr>
        <w:drawing>
          <wp:anchor distT="0" distB="0" distL="114300" distR="114300" simplePos="0" relativeHeight="251761664" behindDoc="0" locked="0" layoutInCell="1" allowOverlap="1">
            <wp:simplePos x="1466850" y="914400"/>
            <wp:positionH relativeFrom="margin">
              <wp:align>center</wp:align>
            </wp:positionH>
            <wp:positionV relativeFrom="margin">
              <wp:align>top</wp:align>
            </wp:positionV>
            <wp:extent cx="4352925" cy="6981825"/>
            <wp:effectExtent l="0" t="0" r="9525" b="9525"/>
            <wp:wrapTopAndBottom/>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352925" cy="6981825"/>
                    </a:xfrm>
                    <a:prstGeom prst="rect">
                      <a:avLst/>
                    </a:prstGeom>
                    <a:noFill/>
                    <a:ln>
                      <a:noFill/>
                    </a:ln>
                  </pic:spPr>
                </pic:pic>
              </a:graphicData>
            </a:graphic>
          </wp:anchor>
        </w:drawing>
      </w:r>
    </w:p>
    <w:p w:rsidR="004E1D03" w:rsidRDefault="004E1D03" w:rsidP="004E1D03">
      <w:r>
        <w:br w:type="page"/>
      </w:r>
    </w:p>
    <w:p w:rsidR="004E1D03" w:rsidRDefault="00D7629A" w:rsidP="00665C0F">
      <w:pPr>
        <w:spacing w:line="480" w:lineRule="auto"/>
        <w:rPr>
          <w:rFonts w:cs="Times New Roman"/>
        </w:rPr>
      </w:pPr>
      <w:r w:rsidRPr="003F7576">
        <w:rPr>
          <w:noProof/>
        </w:rPr>
        <w:drawing>
          <wp:anchor distT="0" distB="0" distL="114300" distR="114300" simplePos="0" relativeHeight="251763712" behindDoc="0" locked="0" layoutInCell="1" allowOverlap="1">
            <wp:simplePos x="1466850" y="914400"/>
            <wp:positionH relativeFrom="margin">
              <wp:align>center</wp:align>
            </wp:positionH>
            <wp:positionV relativeFrom="margin">
              <wp:align>top</wp:align>
            </wp:positionV>
            <wp:extent cx="3000375" cy="6981825"/>
            <wp:effectExtent l="0" t="0" r="0" b="9525"/>
            <wp:wrapTopAndBottom/>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000375" cy="6981825"/>
                    </a:xfrm>
                    <a:prstGeom prst="rect">
                      <a:avLst/>
                    </a:prstGeom>
                    <a:noFill/>
                    <a:ln>
                      <a:noFill/>
                    </a:ln>
                  </pic:spPr>
                </pic:pic>
              </a:graphicData>
            </a:graphic>
          </wp:anchor>
        </w:drawing>
      </w:r>
    </w:p>
    <w:p w:rsidR="004E1D03" w:rsidRDefault="004E1D03" w:rsidP="004E1D03">
      <w:r>
        <w:br w:type="page"/>
      </w:r>
    </w:p>
    <w:p w:rsidR="00D7629A" w:rsidRDefault="00D7629A" w:rsidP="00665C0F">
      <w:pPr>
        <w:spacing w:line="480" w:lineRule="auto"/>
        <w:rPr>
          <w:rFonts w:cs="Times New Roman"/>
        </w:rPr>
        <w:sectPr w:rsidR="00D7629A" w:rsidSect="00740B7D">
          <w:footerReference w:type="default" r:id="rId94"/>
          <w:pgSz w:w="12240" w:h="15840"/>
          <w:pgMar w:top="1440" w:right="1440" w:bottom="1440" w:left="2304" w:header="720" w:footer="720" w:gutter="0"/>
          <w:cols w:space="720"/>
          <w:docGrid w:linePitch="360"/>
        </w:sectPr>
      </w:pPr>
    </w:p>
    <w:p w:rsidR="00D7629A" w:rsidRPr="00D7629A" w:rsidRDefault="00D7629A" w:rsidP="00D7629A">
      <w:pPr>
        <w:pStyle w:val="Caption"/>
        <w:keepNext/>
        <w:jc w:val="center"/>
        <w:rPr>
          <w:sz w:val="24"/>
          <w:szCs w:val="24"/>
        </w:rPr>
      </w:pPr>
      <w:bookmarkStart w:id="200" w:name="_Toc490131696"/>
      <w:r w:rsidRPr="00D7629A">
        <w:rPr>
          <w:sz w:val="24"/>
          <w:szCs w:val="24"/>
        </w:rPr>
        <w:t xml:space="preserve">Table </w:t>
      </w:r>
      <w:r w:rsidR="00B23FDA">
        <w:rPr>
          <w:sz w:val="24"/>
          <w:szCs w:val="24"/>
        </w:rPr>
        <w:fldChar w:fldCharType="begin"/>
      </w:r>
      <w:r w:rsidR="00B23FDA">
        <w:rPr>
          <w:sz w:val="24"/>
          <w:szCs w:val="24"/>
        </w:rPr>
        <w:instrText xml:space="preserve"> STYLEREF 1 \s </w:instrText>
      </w:r>
      <w:r w:rsidR="00B23FDA">
        <w:rPr>
          <w:sz w:val="24"/>
          <w:szCs w:val="24"/>
        </w:rPr>
        <w:fldChar w:fldCharType="separate"/>
      </w:r>
      <w:r w:rsidR="000C5FC3">
        <w:rPr>
          <w:noProof/>
          <w:sz w:val="24"/>
          <w:szCs w:val="24"/>
        </w:rPr>
        <w:t>5</w:t>
      </w:r>
      <w:r w:rsidR="00B23FDA">
        <w:rPr>
          <w:sz w:val="24"/>
          <w:szCs w:val="24"/>
        </w:rPr>
        <w:fldChar w:fldCharType="end"/>
      </w:r>
      <w:r w:rsidR="00B23FDA">
        <w:rPr>
          <w:sz w:val="24"/>
          <w:szCs w:val="24"/>
        </w:rPr>
        <w:noBreakHyphen/>
      </w:r>
      <w:r w:rsidR="00B23FDA">
        <w:rPr>
          <w:sz w:val="24"/>
          <w:szCs w:val="24"/>
        </w:rPr>
        <w:fldChar w:fldCharType="begin"/>
      </w:r>
      <w:r w:rsidR="00B23FDA">
        <w:rPr>
          <w:sz w:val="24"/>
          <w:szCs w:val="24"/>
        </w:rPr>
        <w:instrText xml:space="preserve"> SEQ Table \* ARABIC \s 1 </w:instrText>
      </w:r>
      <w:r w:rsidR="00B23FDA">
        <w:rPr>
          <w:sz w:val="24"/>
          <w:szCs w:val="24"/>
        </w:rPr>
        <w:fldChar w:fldCharType="separate"/>
      </w:r>
      <w:r w:rsidR="000C5FC3">
        <w:rPr>
          <w:noProof/>
          <w:sz w:val="24"/>
          <w:szCs w:val="24"/>
        </w:rPr>
        <w:t>4</w:t>
      </w:r>
      <w:r w:rsidR="00B23FDA">
        <w:rPr>
          <w:sz w:val="24"/>
          <w:szCs w:val="24"/>
        </w:rPr>
        <w:fldChar w:fldCharType="end"/>
      </w:r>
      <w:r w:rsidRPr="00D7629A">
        <w:rPr>
          <w:rFonts w:eastAsia="Times New Roman" w:cs="Times New Roman"/>
          <w:bCs/>
          <w:color w:val="000000"/>
          <w:sz w:val="24"/>
          <w:szCs w:val="24"/>
        </w:rPr>
        <w:t xml:space="preserve"> Cordierite (Crd) compositions</w:t>
      </w:r>
      <w:bookmarkEnd w:id="200"/>
    </w:p>
    <w:tbl>
      <w:tblPr>
        <w:tblW w:w="5000" w:type="pct"/>
        <w:tblCellMar>
          <w:top w:w="15" w:type="dxa"/>
          <w:bottom w:w="15" w:type="dxa"/>
        </w:tblCellMar>
        <w:tblLook w:val="04A0" w:firstRow="1" w:lastRow="0" w:firstColumn="1" w:lastColumn="0" w:noHBand="0" w:noVBand="1"/>
      </w:tblPr>
      <w:tblGrid>
        <w:gridCol w:w="821"/>
        <w:gridCol w:w="866"/>
        <w:gridCol w:w="672"/>
        <w:gridCol w:w="878"/>
        <w:gridCol w:w="611"/>
        <w:gridCol w:w="878"/>
        <w:gridCol w:w="612"/>
        <w:gridCol w:w="791"/>
        <w:gridCol w:w="612"/>
        <w:gridCol w:w="879"/>
        <w:gridCol w:w="700"/>
        <w:gridCol w:w="879"/>
        <w:gridCol w:w="700"/>
        <w:gridCol w:w="879"/>
        <w:gridCol w:w="700"/>
        <w:gridCol w:w="879"/>
        <w:gridCol w:w="603"/>
      </w:tblGrid>
      <w:tr w:rsidR="00160678" w:rsidRPr="00C413BA" w:rsidTr="004A1A6C">
        <w:trPr>
          <w:trHeight w:val="260"/>
        </w:trPr>
        <w:tc>
          <w:tcPr>
            <w:tcW w:w="313" w:type="pct"/>
            <w:tcBorders>
              <w:top w:val="nil"/>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309" w:type="pct"/>
            <w:tcBorders>
              <w:top w:val="nil"/>
              <w:left w:val="nil"/>
              <w:bottom w:val="single" w:sz="4" w:space="0" w:color="auto"/>
              <w:right w:val="nil"/>
            </w:tcBorders>
            <w:noWrap/>
            <w:vAlign w:val="bottom"/>
            <w:hideMark/>
          </w:tcPr>
          <w:p w:rsidR="00160678" w:rsidRPr="00C413BA" w:rsidRDefault="00160678" w:rsidP="009610A8">
            <w:pPr>
              <w:spacing w:after="0"/>
              <w:rPr>
                <w:rFonts w:eastAsia="Times New Roman" w:cs="Times New Roman"/>
                <w:b/>
                <w:bCs/>
                <w:color w:val="000000"/>
                <w:sz w:val="16"/>
                <w:szCs w:val="16"/>
              </w:rPr>
            </w:pPr>
            <w:r w:rsidRPr="00C413BA">
              <w:rPr>
                <w:rFonts w:eastAsia="Times New Roman" w:cs="Times New Roman"/>
                <w:b/>
                <w:bCs/>
                <w:color w:val="000000"/>
                <w:sz w:val="16"/>
                <w:szCs w:val="16"/>
              </w:rPr>
              <w:t>GT 1.3</w:t>
            </w:r>
          </w:p>
        </w:tc>
        <w:tc>
          <w:tcPr>
            <w:tcW w:w="240" w:type="pct"/>
            <w:tcBorders>
              <w:top w:val="nil"/>
              <w:left w:val="nil"/>
              <w:bottom w:val="single" w:sz="4" w:space="0" w:color="auto"/>
              <w:right w:val="nil"/>
            </w:tcBorders>
            <w:noWrap/>
            <w:vAlign w:val="bottom"/>
            <w:hideMark/>
          </w:tcPr>
          <w:p w:rsidR="00160678" w:rsidRPr="00C413BA" w:rsidRDefault="00160678" w:rsidP="009610A8">
            <w:pPr>
              <w:spacing w:after="0"/>
              <w:rPr>
                <w:rFonts w:eastAsia="Times New Roman" w:cs="Times New Roman"/>
                <w:b/>
                <w:bCs/>
                <w:color w:val="000000"/>
                <w:sz w:val="16"/>
                <w:szCs w:val="16"/>
              </w:rPr>
            </w:pPr>
          </w:p>
        </w:tc>
        <w:tc>
          <w:tcPr>
            <w:tcW w:w="343" w:type="pct"/>
            <w:tcBorders>
              <w:top w:val="nil"/>
              <w:left w:val="nil"/>
              <w:bottom w:val="single" w:sz="4" w:space="0" w:color="auto"/>
              <w:right w:val="nil"/>
            </w:tcBorders>
            <w:noWrap/>
            <w:vAlign w:val="bottom"/>
            <w:hideMark/>
          </w:tcPr>
          <w:p w:rsidR="00160678" w:rsidRPr="00C413BA" w:rsidRDefault="00160678" w:rsidP="009610A8">
            <w:pPr>
              <w:spacing w:after="0"/>
              <w:rPr>
                <w:rFonts w:eastAsia="Times New Roman" w:cs="Times New Roman"/>
                <w:sz w:val="16"/>
                <w:szCs w:val="16"/>
              </w:rPr>
            </w:pPr>
          </w:p>
        </w:tc>
        <w:tc>
          <w:tcPr>
            <w:tcW w:w="240" w:type="pct"/>
            <w:tcBorders>
              <w:top w:val="nil"/>
              <w:left w:val="nil"/>
              <w:bottom w:val="single" w:sz="4" w:space="0" w:color="auto"/>
              <w:right w:val="nil"/>
            </w:tcBorders>
            <w:noWrap/>
            <w:vAlign w:val="bottom"/>
            <w:hideMark/>
          </w:tcPr>
          <w:p w:rsidR="00160678" w:rsidRPr="00C413BA" w:rsidRDefault="00160678" w:rsidP="009610A8">
            <w:pPr>
              <w:spacing w:after="0"/>
              <w:rPr>
                <w:rFonts w:eastAsia="Times New Roman" w:cs="Times New Roman"/>
                <w:sz w:val="16"/>
                <w:szCs w:val="16"/>
              </w:rPr>
            </w:pPr>
          </w:p>
        </w:tc>
        <w:tc>
          <w:tcPr>
            <w:tcW w:w="343" w:type="pct"/>
            <w:tcBorders>
              <w:top w:val="nil"/>
              <w:left w:val="nil"/>
              <w:bottom w:val="single" w:sz="4" w:space="0" w:color="auto"/>
              <w:right w:val="nil"/>
            </w:tcBorders>
            <w:noWrap/>
            <w:vAlign w:val="bottom"/>
            <w:hideMark/>
          </w:tcPr>
          <w:p w:rsidR="00160678" w:rsidRPr="00C413BA" w:rsidRDefault="00160678" w:rsidP="009610A8">
            <w:pPr>
              <w:spacing w:after="0"/>
              <w:rPr>
                <w:rFonts w:eastAsia="Times New Roman" w:cs="Times New Roman"/>
                <w:sz w:val="16"/>
                <w:szCs w:val="16"/>
              </w:rPr>
            </w:pPr>
          </w:p>
        </w:tc>
        <w:tc>
          <w:tcPr>
            <w:tcW w:w="240" w:type="pct"/>
            <w:tcBorders>
              <w:top w:val="nil"/>
              <w:left w:val="nil"/>
              <w:bottom w:val="single" w:sz="4" w:space="0" w:color="auto"/>
              <w:right w:val="nil"/>
            </w:tcBorders>
            <w:noWrap/>
            <w:vAlign w:val="bottom"/>
            <w:hideMark/>
          </w:tcPr>
          <w:p w:rsidR="00160678" w:rsidRPr="00C413BA" w:rsidRDefault="00160678" w:rsidP="009610A8">
            <w:pPr>
              <w:spacing w:after="0"/>
              <w:rPr>
                <w:rFonts w:eastAsia="Times New Roman" w:cs="Times New Roman"/>
                <w:sz w:val="16"/>
                <w:szCs w:val="16"/>
              </w:rPr>
            </w:pPr>
          </w:p>
        </w:tc>
        <w:tc>
          <w:tcPr>
            <w:tcW w:w="309" w:type="pct"/>
            <w:tcBorders>
              <w:top w:val="nil"/>
              <w:left w:val="nil"/>
              <w:bottom w:val="single" w:sz="4" w:space="0" w:color="auto"/>
              <w:right w:val="nil"/>
            </w:tcBorders>
            <w:noWrap/>
            <w:vAlign w:val="bottom"/>
            <w:hideMark/>
          </w:tcPr>
          <w:p w:rsidR="00160678" w:rsidRPr="00C413BA" w:rsidRDefault="00160678" w:rsidP="009610A8">
            <w:pPr>
              <w:spacing w:after="0"/>
              <w:rPr>
                <w:rFonts w:eastAsia="Times New Roman" w:cs="Times New Roman"/>
                <w:sz w:val="16"/>
                <w:szCs w:val="16"/>
              </w:rPr>
            </w:pPr>
          </w:p>
        </w:tc>
        <w:tc>
          <w:tcPr>
            <w:tcW w:w="240" w:type="pct"/>
            <w:tcBorders>
              <w:top w:val="nil"/>
              <w:left w:val="nil"/>
              <w:bottom w:val="single" w:sz="4" w:space="0" w:color="auto"/>
              <w:right w:val="nil"/>
            </w:tcBorders>
            <w:noWrap/>
            <w:vAlign w:val="bottom"/>
            <w:hideMark/>
          </w:tcPr>
          <w:p w:rsidR="00160678" w:rsidRPr="00C413BA" w:rsidRDefault="00160678" w:rsidP="009610A8">
            <w:pPr>
              <w:spacing w:after="0"/>
              <w:rPr>
                <w:rFonts w:eastAsia="Times New Roman" w:cs="Times New Roman"/>
                <w:sz w:val="16"/>
                <w:szCs w:val="16"/>
              </w:rPr>
            </w:pPr>
          </w:p>
        </w:tc>
        <w:tc>
          <w:tcPr>
            <w:tcW w:w="343" w:type="pct"/>
            <w:tcBorders>
              <w:top w:val="nil"/>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274" w:type="pct"/>
            <w:tcBorders>
              <w:top w:val="nil"/>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343" w:type="pct"/>
            <w:tcBorders>
              <w:top w:val="nil"/>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274" w:type="pct"/>
            <w:tcBorders>
              <w:top w:val="nil"/>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343" w:type="pct"/>
            <w:tcBorders>
              <w:top w:val="nil"/>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274" w:type="pct"/>
            <w:tcBorders>
              <w:top w:val="nil"/>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343" w:type="pct"/>
            <w:tcBorders>
              <w:top w:val="nil"/>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230" w:type="pct"/>
            <w:tcBorders>
              <w:top w:val="nil"/>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r>
      <w:tr w:rsidR="00160678" w:rsidRPr="00C413BA" w:rsidTr="004A1A6C">
        <w:trPr>
          <w:trHeight w:val="260"/>
        </w:trPr>
        <w:tc>
          <w:tcPr>
            <w:tcW w:w="313" w:type="pct"/>
            <w:tcBorders>
              <w:top w:val="nil"/>
              <w:left w:val="nil"/>
              <w:bottom w:val="nil"/>
              <w:right w:val="nil"/>
            </w:tcBorders>
            <w:noWrap/>
            <w:vAlign w:val="bottom"/>
            <w:hideMark/>
          </w:tcPr>
          <w:p w:rsidR="00160678" w:rsidRPr="00C413BA" w:rsidRDefault="00160678" w:rsidP="009610A8">
            <w:pPr>
              <w:spacing w:after="0"/>
              <w:jc w:val="right"/>
              <w:rPr>
                <w:rFonts w:eastAsia="Times New Roman" w:cs="Times New Roman"/>
                <w:b/>
                <w:bCs/>
                <w:color w:val="000000"/>
                <w:sz w:val="16"/>
                <w:szCs w:val="16"/>
              </w:rPr>
            </w:pPr>
            <w:r w:rsidRPr="00C413BA">
              <w:rPr>
                <w:rFonts w:eastAsia="Times New Roman" w:cs="Times New Roman"/>
                <w:b/>
                <w:bCs/>
                <w:color w:val="000000"/>
                <w:sz w:val="16"/>
                <w:szCs w:val="16"/>
              </w:rPr>
              <w:t>Exp #</w:t>
            </w:r>
          </w:p>
        </w:tc>
        <w:tc>
          <w:tcPr>
            <w:tcW w:w="309"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GBT-90</w:t>
            </w:r>
          </w:p>
        </w:tc>
        <w:tc>
          <w:tcPr>
            <w:tcW w:w="240"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p>
        </w:tc>
        <w:tc>
          <w:tcPr>
            <w:tcW w:w="343"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GBT-101</w:t>
            </w:r>
          </w:p>
        </w:tc>
        <w:tc>
          <w:tcPr>
            <w:tcW w:w="240"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p>
        </w:tc>
        <w:tc>
          <w:tcPr>
            <w:tcW w:w="343"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GBT-101</w:t>
            </w:r>
          </w:p>
        </w:tc>
        <w:tc>
          <w:tcPr>
            <w:tcW w:w="240"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p>
        </w:tc>
        <w:tc>
          <w:tcPr>
            <w:tcW w:w="309"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GBT-88</w:t>
            </w:r>
          </w:p>
        </w:tc>
        <w:tc>
          <w:tcPr>
            <w:tcW w:w="240"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p>
        </w:tc>
        <w:tc>
          <w:tcPr>
            <w:tcW w:w="343" w:type="pct"/>
            <w:tcBorders>
              <w:top w:val="single" w:sz="4" w:space="0" w:color="auto"/>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GBT-102</w:t>
            </w:r>
          </w:p>
        </w:tc>
        <w:tc>
          <w:tcPr>
            <w:tcW w:w="274" w:type="pct"/>
            <w:tcBorders>
              <w:top w:val="single" w:sz="4" w:space="0" w:color="auto"/>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p>
        </w:tc>
        <w:tc>
          <w:tcPr>
            <w:tcW w:w="343" w:type="pct"/>
            <w:tcBorders>
              <w:top w:val="single" w:sz="4" w:space="0" w:color="auto"/>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GBT-102</w:t>
            </w:r>
          </w:p>
        </w:tc>
        <w:tc>
          <w:tcPr>
            <w:tcW w:w="274" w:type="pct"/>
            <w:tcBorders>
              <w:top w:val="single" w:sz="4" w:space="0" w:color="auto"/>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p>
        </w:tc>
        <w:tc>
          <w:tcPr>
            <w:tcW w:w="343" w:type="pct"/>
            <w:tcBorders>
              <w:top w:val="single" w:sz="4" w:space="0" w:color="auto"/>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GBT-103</w:t>
            </w:r>
          </w:p>
        </w:tc>
        <w:tc>
          <w:tcPr>
            <w:tcW w:w="274" w:type="pct"/>
            <w:tcBorders>
              <w:top w:val="single" w:sz="4" w:space="0" w:color="auto"/>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p>
        </w:tc>
        <w:tc>
          <w:tcPr>
            <w:tcW w:w="343" w:type="pct"/>
            <w:tcBorders>
              <w:top w:val="single" w:sz="4" w:space="0" w:color="auto"/>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GBT-103</w:t>
            </w:r>
          </w:p>
        </w:tc>
        <w:tc>
          <w:tcPr>
            <w:tcW w:w="230" w:type="pct"/>
            <w:tcBorders>
              <w:top w:val="single" w:sz="4" w:space="0" w:color="auto"/>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p>
        </w:tc>
      </w:tr>
      <w:tr w:rsidR="00160678" w:rsidRPr="00C413BA" w:rsidTr="004A1A6C">
        <w:trPr>
          <w:trHeight w:val="260"/>
        </w:trPr>
        <w:tc>
          <w:tcPr>
            <w:tcW w:w="313" w:type="pct"/>
            <w:tcBorders>
              <w:top w:val="nil"/>
              <w:left w:val="nil"/>
              <w:bottom w:val="nil"/>
              <w:right w:val="nil"/>
            </w:tcBorders>
            <w:noWrap/>
            <w:vAlign w:val="bottom"/>
            <w:hideMark/>
          </w:tcPr>
          <w:p w:rsidR="00160678" w:rsidRPr="00C413BA" w:rsidRDefault="00160678" w:rsidP="009610A8">
            <w:pPr>
              <w:spacing w:after="0"/>
              <w:jc w:val="right"/>
              <w:rPr>
                <w:rFonts w:eastAsia="Times New Roman" w:cs="Times New Roman"/>
                <w:b/>
                <w:bCs/>
                <w:color w:val="000000"/>
                <w:sz w:val="16"/>
                <w:szCs w:val="16"/>
              </w:rPr>
            </w:pPr>
            <w:r w:rsidRPr="00C413BA">
              <w:rPr>
                <w:rFonts w:eastAsia="Times New Roman" w:cs="Times New Roman"/>
                <w:b/>
                <w:bCs/>
                <w:color w:val="000000"/>
                <w:sz w:val="16"/>
                <w:szCs w:val="16"/>
              </w:rPr>
              <w:t>T (°C)</w:t>
            </w:r>
          </w:p>
        </w:tc>
        <w:tc>
          <w:tcPr>
            <w:tcW w:w="309"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850</w:t>
            </w:r>
          </w:p>
        </w:tc>
        <w:tc>
          <w:tcPr>
            <w:tcW w:w="240"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850/750</w:t>
            </w:r>
          </w:p>
        </w:tc>
        <w:tc>
          <w:tcPr>
            <w:tcW w:w="240"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850/750</w:t>
            </w:r>
          </w:p>
        </w:tc>
        <w:tc>
          <w:tcPr>
            <w:tcW w:w="240"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p>
        </w:tc>
        <w:tc>
          <w:tcPr>
            <w:tcW w:w="309"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850/750</w:t>
            </w:r>
          </w:p>
        </w:tc>
        <w:tc>
          <w:tcPr>
            <w:tcW w:w="240"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p>
        </w:tc>
        <w:tc>
          <w:tcPr>
            <w:tcW w:w="343"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850/700</w:t>
            </w:r>
          </w:p>
        </w:tc>
        <w:tc>
          <w:tcPr>
            <w:tcW w:w="274"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p>
        </w:tc>
        <w:tc>
          <w:tcPr>
            <w:tcW w:w="343"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850/700</w:t>
            </w:r>
          </w:p>
        </w:tc>
        <w:tc>
          <w:tcPr>
            <w:tcW w:w="274"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850/650</w:t>
            </w:r>
          </w:p>
        </w:tc>
        <w:tc>
          <w:tcPr>
            <w:tcW w:w="274"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850/650</w:t>
            </w:r>
          </w:p>
        </w:tc>
        <w:tc>
          <w:tcPr>
            <w:tcW w:w="230"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p>
        </w:tc>
      </w:tr>
      <w:tr w:rsidR="00160678" w:rsidRPr="00C413BA" w:rsidTr="004A1A6C">
        <w:trPr>
          <w:trHeight w:val="260"/>
        </w:trPr>
        <w:tc>
          <w:tcPr>
            <w:tcW w:w="313" w:type="pct"/>
            <w:tcBorders>
              <w:top w:val="nil"/>
              <w:left w:val="nil"/>
              <w:bottom w:val="nil"/>
              <w:right w:val="nil"/>
            </w:tcBorders>
            <w:noWrap/>
            <w:vAlign w:val="bottom"/>
            <w:hideMark/>
          </w:tcPr>
          <w:p w:rsidR="00160678" w:rsidRPr="00C413BA" w:rsidRDefault="00160678" w:rsidP="009610A8">
            <w:pPr>
              <w:spacing w:after="0"/>
              <w:jc w:val="right"/>
              <w:rPr>
                <w:rFonts w:eastAsia="Times New Roman" w:cs="Times New Roman"/>
                <w:b/>
                <w:bCs/>
                <w:color w:val="000000"/>
                <w:sz w:val="16"/>
                <w:szCs w:val="16"/>
              </w:rPr>
            </w:pPr>
            <w:r w:rsidRPr="00C413BA">
              <w:rPr>
                <w:rFonts w:eastAsia="Times New Roman" w:cs="Times New Roman"/>
                <w:b/>
                <w:bCs/>
                <w:color w:val="000000"/>
                <w:sz w:val="16"/>
                <w:szCs w:val="16"/>
              </w:rPr>
              <w:t>t (hrs)</w:t>
            </w:r>
          </w:p>
        </w:tc>
        <w:tc>
          <w:tcPr>
            <w:tcW w:w="309"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48</w:t>
            </w:r>
          </w:p>
        </w:tc>
        <w:tc>
          <w:tcPr>
            <w:tcW w:w="240"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42/456</w:t>
            </w:r>
          </w:p>
        </w:tc>
        <w:tc>
          <w:tcPr>
            <w:tcW w:w="240"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42/456</w:t>
            </w:r>
          </w:p>
        </w:tc>
        <w:tc>
          <w:tcPr>
            <w:tcW w:w="240"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p>
        </w:tc>
        <w:tc>
          <w:tcPr>
            <w:tcW w:w="309"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24/168</w:t>
            </w:r>
          </w:p>
        </w:tc>
        <w:tc>
          <w:tcPr>
            <w:tcW w:w="240"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p>
        </w:tc>
        <w:tc>
          <w:tcPr>
            <w:tcW w:w="343"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48/336</w:t>
            </w:r>
          </w:p>
        </w:tc>
        <w:tc>
          <w:tcPr>
            <w:tcW w:w="274"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p>
        </w:tc>
        <w:tc>
          <w:tcPr>
            <w:tcW w:w="343"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48/336</w:t>
            </w:r>
          </w:p>
        </w:tc>
        <w:tc>
          <w:tcPr>
            <w:tcW w:w="274"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42/456</w:t>
            </w:r>
          </w:p>
        </w:tc>
        <w:tc>
          <w:tcPr>
            <w:tcW w:w="274"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42/456</w:t>
            </w:r>
          </w:p>
        </w:tc>
        <w:tc>
          <w:tcPr>
            <w:tcW w:w="230"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p>
        </w:tc>
      </w:tr>
      <w:tr w:rsidR="00160678" w:rsidRPr="00C413BA" w:rsidTr="004A1A6C">
        <w:trPr>
          <w:trHeight w:val="327"/>
        </w:trPr>
        <w:tc>
          <w:tcPr>
            <w:tcW w:w="313" w:type="pct"/>
            <w:tcBorders>
              <w:top w:val="nil"/>
              <w:left w:val="nil"/>
              <w:bottom w:val="nil"/>
              <w:right w:val="nil"/>
            </w:tcBorders>
            <w:vAlign w:val="center"/>
            <w:hideMark/>
          </w:tcPr>
          <w:p w:rsidR="00160678" w:rsidRPr="00C413BA" w:rsidRDefault="00160678" w:rsidP="009610A8">
            <w:pPr>
              <w:spacing w:after="0"/>
              <w:jc w:val="right"/>
              <w:rPr>
                <w:rFonts w:eastAsia="Times New Roman" w:cs="Times New Roman"/>
                <w:b/>
                <w:bCs/>
                <w:color w:val="000000"/>
                <w:sz w:val="16"/>
                <w:szCs w:val="16"/>
              </w:rPr>
            </w:pPr>
            <w:r w:rsidRPr="00C413BA">
              <w:rPr>
                <w:rFonts w:eastAsia="Times New Roman" w:cs="Times New Roman"/>
                <w:b/>
                <w:bCs/>
                <w:color w:val="000000"/>
                <w:sz w:val="16"/>
                <w:szCs w:val="16"/>
              </w:rPr>
              <w:t>Location of analysis</w:t>
            </w:r>
          </w:p>
        </w:tc>
        <w:tc>
          <w:tcPr>
            <w:tcW w:w="309" w:type="pct"/>
            <w:tcBorders>
              <w:top w:val="nil"/>
              <w:left w:val="nil"/>
              <w:bottom w:val="single" w:sz="4" w:space="0" w:color="auto"/>
              <w:right w:val="nil"/>
            </w:tcBorders>
            <w:noWrap/>
            <w:vAlign w:val="center"/>
            <w:hideMark/>
          </w:tcPr>
          <w:p w:rsidR="00160678" w:rsidRPr="00C413BA" w:rsidRDefault="00160678" w:rsidP="009610A8">
            <w:pPr>
              <w:spacing w:after="0"/>
              <w:jc w:val="right"/>
              <w:rPr>
                <w:rFonts w:eastAsia="Times New Roman" w:cs="Times New Roman"/>
                <w:b/>
                <w:bCs/>
                <w:color w:val="000000"/>
                <w:sz w:val="16"/>
                <w:szCs w:val="16"/>
              </w:rPr>
            </w:pPr>
          </w:p>
        </w:tc>
        <w:tc>
          <w:tcPr>
            <w:tcW w:w="240" w:type="pct"/>
            <w:tcBorders>
              <w:top w:val="nil"/>
              <w:left w:val="nil"/>
              <w:bottom w:val="single" w:sz="4" w:space="0" w:color="auto"/>
              <w:right w:val="nil"/>
            </w:tcBorders>
            <w:noWrap/>
            <w:vAlign w:val="center"/>
            <w:hideMark/>
          </w:tcPr>
          <w:p w:rsidR="00160678" w:rsidRPr="00C413BA" w:rsidRDefault="00160678" w:rsidP="009610A8">
            <w:pPr>
              <w:spacing w:after="0"/>
              <w:jc w:val="center"/>
              <w:rPr>
                <w:rFonts w:eastAsia="Times New Roman" w:cs="Times New Roman"/>
                <w:sz w:val="16"/>
                <w:szCs w:val="16"/>
              </w:rPr>
            </w:pPr>
          </w:p>
        </w:tc>
        <w:tc>
          <w:tcPr>
            <w:tcW w:w="343" w:type="pct"/>
            <w:tcBorders>
              <w:top w:val="nil"/>
              <w:left w:val="nil"/>
              <w:bottom w:val="single" w:sz="4" w:space="0" w:color="auto"/>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Core</w:t>
            </w:r>
          </w:p>
        </w:tc>
        <w:tc>
          <w:tcPr>
            <w:tcW w:w="240" w:type="pct"/>
            <w:tcBorders>
              <w:top w:val="nil"/>
              <w:left w:val="nil"/>
              <w:bottom w:val="single" w:sz="4" w:space="0" w:color="auto"/>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p>
        </w:tc>
        <w:tc>
          <w:tcPr>
            <w:tcW w:w="343" w:type="pct"/>
            <w:tcBorders>
              <w:top w:val="nil"/>
              <w:left w:val="nil"/>
              <w:bottom w:val="single" w:sz="4" w:space="0" w:color="auto"/>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Rim</w:t>
            </w:r>
          </w:p>
        </w:tc>
        <w:tc>
          <w:tcPr>
            <w:tcW w:w="240" w:type="pct"/>
            <w:tcBorders>
              <w:top w:val="nil"/>
              <w:left w:val="nil"/>
              <w:bottom w:val="single" w:sz="4" w:space="0" w:color="auto"/>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p>
        </w:tc>
        <w:tc>
          <w:tcPr>
            <w:tcW w:w="309" w:type="pct"/>
            <w:tcBorders>
              <w:top w:val="nil"/>
              <w:left w:val="nil"/>
              <w:bottom w:val="single" w:sz="4" w:space="0" w:color="auto"/>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Rim</w:t>
            </w:r>
          </w:p>
        </w:tc>
        <w:tc>
          <w:tcPr>
            <w:tcW w:w="240" w:type="pct"/>
            <w:tcBorders>
              <w:top w:val="nil"/>
              <w:left w:val="nil"/>
              <w:bottom w:val="single" w:sz="4" w:space="0" w:color="auto"/>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p>
        </w:tc>
        <w:tc>
          <w:tcPr>
            <w:tcW w:w="343"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Core</w:t>
            </w:r>
          </w:p>
        </w:tc>
        <w:tc>
          <w:tcPr>
            <w:tcW w:w="274"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p>
        </w:tc>
        <w:tc>
          <w:tcPr>
            <w:tcW w:w="343"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Rim</w:t>
            </w:r>
          </w:p>
        </w:tc>
        <w:tc>
          <w:tcPr>
            <w:tcW w:w="274"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p>
        </w:tc>
        <w:tc>
          <w:tcPr>
            <w:tcW w:w="343"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Core</w:t>
            </w:r>
          </w:p>
        </w:tc>
        <w:tc>
          <w:tcPr>
            <w:tcW w:w="274"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p>
        </w:tc>
        <w:tc>
          <w:tcPr>
            <w:tcW w:w="343"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Rim</w:t>
            </w:r>
          </w:p>
        </w:tc>
        <w:tc>
          <w:tcPr>
            <w:tcW w:w="230"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color w:val="000000"/>
                <w:sz w:val="16"/>
                <w:szCs w:val="16"/>
              </w:rPr>
            </w:pPr>
          </w:p>
        </w:tc>
      </w:tr>
      <w:tr w:rsidR="00160678" w:rsidRPr="00C413BA" w:rsidTr="004A1A6C">
        <w:trPr>
          <w:trHeight w:val="260"/>
        </w:trPr>
        <w:tc>
          <w:tcPr>
            <w:tcW w:w="313" w:type="pct"/>
            <w:tcBorders>
              <w:top w:val="nil"/>
              <w:left w:val="nil"/>
              <w:bottom w:val="nil"/>
              <w:right w:val="nil"/>
            </w:tcBorders>
            <w:vAlign w:val="bottom"/>
            <w:hideMark/>
          </w:tcPr>
          <w:p w:rsidR="00160678" w:rsidRPr="00C413BA" w:rsidRDefault="00160678" w:rsidP="009610A8">
            <w:pPr>
              <w:spacing w:after="0"/>
              <w:jc w:val="center"/>
              <w:rPr>
                <w:rFonts w:eastAsia="Times New Roman" w:cs="Times New Roman"/>
                <w:sz w:val="16"/>
                <w:szCs w:val="16"/>
              </w:rPr>
            </w:pPr>
          </w:p>
        </w:tc>
        <w:tc>
          <w:tcPr>
            <w:tcW w:w="309" w:type="pct"/>
            <w:tcBorders>
              <w:top w:val="nil"/>
              <w:left w:val="nil"/>
              <w:bottom w:val="nil"/>
              <w:right w:val="nil"/>
            </w:tcBorders>
            <w:noWrap/>
            <w:vAlign w:val="center"/>
            <w:hideMark/>
          </w:tcPr>
          <w:p w:rsidR="00160678" w:rsidRPr="00C413BA" w:rsidRDefault="00160678" w:rsidP="009610A8">
            <w:pPr>
              <w:spacing w:after="0"/>
              <w:jc w:val="right"/>
              <w:rPr>
                <w:rFonts w:eastAsia="Times New Roman" w:cs="Times New Roman"/>
                <w:sz w:val="16"/>
                <w:szCs w:val="16"/>
              </w:rPr>
            </w:pPr>
          </w:p>
        </w:tc>
        <w:tc>
          <w:tcPr>
            <w:tcW w:w="240"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sz w:val="16"/>
                <w:szCs w:val="16"/>
              </w:rPr>
            </w:pPr>
          </w:p>
        </w:tc>
        <w:tc>
          <w:tcPr>
            <w:tcW w:w="343"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sz w:val="16"/>
                <w:szCs w:val="16"/>
              </w:rPr>
            </w:pPr>
          </w:p>
        </w:tc>
        <w:tc>
          <w:tcPr>
            <w:tcW w:w="240"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sz w:val="16"/>
                <w:szCs w:val="16"/>
              </w:rPr>
            </w:pPr>
          </w:p>
        </w:tc>
        <w:tc>
          <w:tcPr>
            <w:tcW w:w="343"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sz w:val="16"/>
                <w:szCs w:val="16"/>
              </w:rPr>
            </w:pPr>
          </w:p>
        </w:tc>
        <w:tc>
          <w:tcPr>
            <w:tcW w:w="240"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sz w:val="16"/>
                <w:szCs w:val="16"/>
              </w:rPr>
            </w:pPr>
          </w:p>
        </w:tc>
        <w:tc>
          <w:tcPr>
            <w:tcW w:w="309"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sz w:val="16"/>
                <w:szCs w:val="16"/>
              </w:rPr>
            </w:pPr>
          </w:p>
        </w:tc>
        <w:tc>
          <w:tcPr>
            <w:tcW w:w="240"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sz w:val="16"/>
                <w:szCs w:val="16"/>
              </w:rPr>
            </w:pPr>
          </w:p>
        </w:tc>
        <w:tc>
          <w:tcPr>
            <w:tcW w:w="343" w:type="pct"/>
            <w:tcBorders>
              <w:top w:val="single" w:sz="4" w:space="0" w:color="auto"/>
              <w:left w:val="nil"/>
              <w:bottom w:val="nil"/>
              <w:right w:val="nil"/>
            </w:tcBorders>
            <w:noWrap/>
            <w:vAlign w:val="bottom"/>
            <w:hideMark/>
          </w:tcPr>
          <w:p w:rsidR="00160678" w:rsidRPr="00C413BA" w:rsidRDefault="00160678" w:rsidP="009610A8">
            <w:pPr>
              <w:spacing w:after="0"/>
              <w:jc w:val="center"/>
              <w:rPr>
                <w:rFonts w:eastAsia="Times New Roman" w:cs="Times New Roman"/>
                <w:sz w:val="16"/>
                <w:szCs w:val="16"/>
              </w:rPr>
            </w:pPr>
          </w:p>
        </w:tc>
        <w:tc>
          <w:tcPr>
            <w:tcW w:w="274" w:type="pct"/>
            <w:tcBorders>
              <w:top w:val="single" w:sz="4" w:space="0" w:color="auto"/>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343" w:type="pct"/>
            <w:tcBorders>
              <w:top w:val="single" w:sz="4" w:space="0" w:color="auto"/>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274" w:type="pct"/>
            <w:tcBorders>
              <w:top w:val="single" w:sz="4" w:space="0" w:color="auto"/>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343" w:type="pct"/>
            <w:tcBorders>
              <w:top w:val="single" w:sz="4" w:space="0" w:color="auto"/>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274" w:type="pct"/>
            <w:tcBorders>
              <w:top w:val="single" w:sz="4" w:space="0" w:color="auto"/>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343" w:type="pct"/>
            <w:tcBorders>
              <w:top w:val="single" w:sz="4" w:space="0" w:color="auto"/>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230" w:type="pct"/>
            <w:tcBorders>
              <w:top w:val="single" w:sz="4" w:space="0" w:color="auto"/>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r>
      <w:tr w:rsidR="00160678" w:rsidRPr="00C413BA" w:rsidTr="004A1A6C">
        <w:trPr>
          <w:trHeight w:val="260"/>
        </w:trPr>
        <w:tc>
          <w:tcPr>
            <w:tcW w:w="313" w:type="pct"/>
            <w:tcBorders>
              <w:top w:val="nil"/>
              <w:left w:val="nil"/>
              <w:bottom w:val="nil"/>
              <w:right w:val="nil"/>
            </w:tcBorders>
            <w:vAlign w:val="bottom"/>
            <w:hideMark/>
          </w:tcPr>
          <w:p w:rsidR="00160678" w:rsidRPr="00C413BA" w:rsidRDefault="00160678" w:rsidP="009610A8">
            <w:pPr>
              <w:spacing w:after="0"/>
              <w:rPr>
                <w:rFonts w:eastAsia="Times New Roman" w:cs="Times New Roman"/>
                <w:sz w:val="16"/>
                <w:szCs w:val="16"/>
              </w:rPr>
            </w:pPr>
          </w:p>
        </w:tc>
        <w:tc>
          <w:tcPr>
            <w:tcW w:w="892" w:type="pct"/>
            <w:gridSpan w:val="3"/>
            <w:tcBorders>
              <w:top w:val="nil"/>
              <w:left w:val="nil"/>
              <w:bottom w:val="nil"/>
              <w:right w:val="nil"/>
            </w:tcBorders>
            <w:noWrap/>
            <w:vAlign w:val="center"/>
            <w:hideMark/>
          </w:tcPr>
          <w:p w:rsidR="00160678" w:rsidRPr="00C413BA" w:rsidRDefault="00160678" w:rsidP="009610A8">
            <w:pPr>
              <w:spacing w:after="0"/>
              <w:rPr>
                <w:rFonts w:eastAsia="Times New Roman" w:cs="Times New Roman"/>
                <w:b/>
                <w:bCs/>
                <w:color w:val="000000"/>
                <w:sz w:val="16"/>
                <w:szCs w:val="16"/>
              </w:rPr>
            </w:pPr>
            <w:r w:rsidRPr="00C413BA">
              <w:rPr>
                <w:rFonts w:eastAsia="Times New Roman" w:cs="Times New Roman"/>
                <w:b/>
                <w:bCs/>
                <w:color w:val="000000"/>
                <w:sz w:val="16"/>
                <w:szCs w:val="16"/>
              </w:rPr>
              <w:t>Weight Percent Oxides</w:t>
            </w:r>
          </w:p>
        </w:tc>
        <w:tc>
          <w:tcPr>
            <w:tcW w:w="240" w:type="pct"/>
            <w:tcBorders>
              <w:top w:val="nil"/>
              <w:left w:val="nil"/>
              <w:bottom w:val="nil"/>
              <w:right w:val="nil"/>
            </w:tcBorders>
            <w:noWrap/>
            <w:vAlign w:val="center"/>
            <w:hideMark/>
          </w:tcPr>
          <w:p w:rsidR="00160678" w:rsidRPr="00C413BA" w:rsidRDefault="00160678" w:rsidP="009610A8">
            <w:pPr>
              <w:spacing w:after="0"/>
              <w:rPr>
                <w:rFonts w:eastAsia="Times New Roman" w:cs="Times New Roman"/>
                <w:b/>
                <w:bCs/>
                <w:color w:val="000000"/>
                <w:sz w:val="16"/>
                <w:szCs w:val="16"/>
              </w:rPr>
            </w:pPr>
          </w:p>
        </w:tc>
        <w:tc>
          <w:tcPr>
            <w:tcW w:w="343"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sz w:val="16"/>
                <w:szCs w:val="16"/>
              </w:rPr>
            </w:pPr>
          </w:p>
        </w:tc>
        <w:tc>
          <w:tcPr>
            <w:tcW w:w="240"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sz w:val="16"/>
                <w:szCs w:val="16"/>
              </w:rPr>
            </w:pPr>
          </w:p>
        </w:tc>
        <w:tc>
          <w:tcPr>
            <w:tcW w:w="309"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sz w:val="16"/>
                <w:szCs w:val="16"/>
              </w:rPr>
            </w:pPr>
          </w:p>
        </w:tc>
        <w:tc>
          <w:tcPr>
            <w:tcW w:w="240" w:type="pct"/>
            <w:tcBorders>
              <w:top w:val="nil"/>
              <w:left w:val="nil"/>
              <w:bottom w:val="nil"/>
              <w:right w:val="nil"/>
            </w:tcBorders>
            <w:noWrap/>
            <w:vAlign w:val="center"/>
            <w:hideMark/>
          </w:tcPr>
          <w:p w:rsidR="00160678" w:rsidRPr="00C413BA" w:rsidRDefault="00160678" w:rsidP="009610A8">
            <w:pPr>
              <w:spacing w:after="0"/>
              <w:jc w:val="center"/>
              <w:rPr>
                <w:rFonts w:eastAsia="Times New Roman" w:cs="Times New Roman"/>
                <w:sz w:val="16"/>
                <w:szCs w:val="16"/>
              </w:rPr>
            </w:pP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sz w:val="16"/>
                <w:szCs w:val="16"/>
              </w:rPr>
            </w:pPr>
          </w:p>
        </w:tc>
        <w:tc>
          <w:tcPr>
            <w:tcW w:w="274" w:type="pct"/>
            <w:tcBorders>
              <w:top w:val="nil"/>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343" w:type="pct"/>
            <w:tcBorders>
              <w:top w:val="nil"/>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274" w:type="pct"/>
            <w:tcBorders>
              <w:top w:val="nil"/>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343" w:type="pct"/>
            <w:tcBorders>
              <w:top w:val="nil"/>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274" w:type="pct"/>
            <w:tcBorders>
              <w:top w:val="nil"/>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343" w:type="pct"/>
            <w:tcBorders>
              <w:top w:val="nil"/>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230" w:type="pct"/>
            <w:tcBorders>
              <w:top w:val="nil"/>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r>
      <w:tr w:rsidR="00160678" w:rsidRPr="00C413BA" w:rsidTr="004A1A6C">
        <w:trPr>
          <w:trHeight w:val="260"/>
        </w:trPr>
        <w:tc>
          <w:tcPr>
            <w:tcW w:w="313" w:type="pct"/>
            <w:tcBorders>
              <w:top w:val="nil"/>
              <w:left w:val="nil"/>
              <w:bottom w:val="nil"/>
              <w:right w:val="nil"/>
            </w:tcBorders>
            <w:noWrap/>
            <w:vAlign w:val="bottom"/>
            <w:hideMark/>
          </w:tcPr>
          <w:p w:rsidR="00160678" w:rsidRPr="00C413BA" w:rsidRDefault="00160678" w:rsidP="009610A8">
            <w:pPr>
              <w:spacing w:after="0"/>
              <w:jc w:val="right"/>
              <w:rPr>
                <w:rFonts w:eastAsia="Times New Roman" w:cs="Times New Roman"/>
                <w:b/>
                <w:bCs/>
                <w:color w:val="000000"/>
                <w:sz w:val="16"/>
                <w:szCs w:val="16"/>
              </w:rPr>
            </w:pPr>
            <w:r w:rsidRPr="00C413BA">
              <w:rPr>
                <w:rFonts w:eastAsia="Times New Roman" w:cs="Times New Roman"/>
                <w:b/>
                <w:bCs/>
                <w:color w:val="000000"/>
                <w:sz w:val="16"/>
                <w:szCs w:val="16"/>
              </w:rPr>
              <w:t>SiO2</w:t>
            </w:r>
          </w:p>
        </w:tc>
        <w:tc>
          <w:tcPr>
            <w:tcW w:w="309" w:type="pct"/>
            <w:tcBorders>
              <w:top w:val="single" w:sz="4" w:space="0" w:color="auto"/>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46.56 </w:t>
            </w:r>
          </w:p>
        </w:tc>
        <w:tc>
          <w:tcPr>
            <w:tcW w:w="240" w:type="pct"/>
            <w:tcBorders>
              <w:top w:val="single" w:sz="4" w:space="0" w:color="auto"/>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(0.58)</w:t>
            </w:r>
          </w:p>
        </w:tc>
        <w:tc>
          <w:tcPr>
            <w:tcW w:w="343" w:type="pct"/>
            <w:tcBorders>
              <w:top w:val="single" w:sz="4" w:space="0" w:color="auto"/>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47.73 </w:t>
            </w:r>
          </w:p>
        </w:tc>
        <w:tc>
          <w:tcPr>
            <w:tcW w:w="240" w:type="pct"/>
            <w:tcBorders>
              <w:top w:val="single" w:sz="4" w:space="0" w:color="auto"/>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(0.77)</w:t>
            </w:r>
          </w:p>
        </w:tc>
        <w:tc>
          <w:tcPr>
            <w:tcW w:w="343" w:type="pct"/>
            <w:tcBorders>
              <w:top w:val="single" w:sz="4" w:space="0" w:color="auto"/>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47.35 </w:t>
            </w:r>
          </w:p>
        </w:tc>
        <w:tc>
          <w:tcPr>
            <w:tcW w:w="240" w:type="pct"/>
            <w:tcBorders>
              <w:top w:val="single" w:sz="4" w:space="0" w:color="auto"/>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(0.34)</w:t>
            </w:r>
          </w:p>
        </w:tc>
        <w:tc>
          <w:tcPr>
            <w:tcW w:w="309" w:type="pct"/>
            <w:tcBorders>
              <w:top w:val="single" w:sz="4" w:space="0" w:color="auto"/>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47.28 </w:t>
            </w:r>
          </w:p>
        </w:tc>
        <w:tc>
          <w:tcPr>
            <w:tcW w:w="240" w:type="pct"/>
            <w:tcBorders>
              <w:top w:val="single" w:sz="4" w:space="0" w:color="auto"/>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(0.41)</w:t>
            </w:r>
          </w:p>
        </w:tc>
        <w:tc>
          <w:tcPr>
            <w:tcW w:w="343" w:type="pct"/>
            <w:tcBorders>
              <w:top w:val="single" w:sz="4" w:space="0" w:color="auto"/>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47.35 </w:t>
            </w:r>
          </w:p>
        </w:tc>
        <w:tc>
          <w:tcPr>
            <w:tcW w:w="274" w:type="pct"/>
            <w:tcBorders>
              <w:top w:val="single" w:sz="4" w:space="0" w:color="auto"/>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(0.44)</w:t>
            </w:r>
          </w:p>
        </w:tc>
        <w:tc>
          <w:tcPr>
            <w:tcW w:w="343" w:type="pct"/>
            <w:tcBorders>
              <w:top w:val="single" w:sz="4" w:space="0" w:color="auto"/>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47.48 </w:t>
            </w:r>
          </w:p>
        </w:tc>
        <w:tc>
          <w:tcPr>
            <w:tcW w:w="274" w:type="pct"/>
            <w:tcBorders>
              <w:top w:val="single" w:sz="4" w:space="0" w:color="auto"/>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(0.36)</w:t>
            </w:r>
          </w:p>
        </w:tc>
        <w:tc>
          <w:tcPr>
            <w:tcW w:w="343" w:type="pct"/>
            <w:tcBorders>
              <w:top w:val="single" w:sz="4" w:space="0" w:color="auto"/>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46.81 </w:t>
            </w:r>
          </w:p>
        </w:tc>
        <w:tc>
          <w:tcPr>
            <w:tcW w:w="274" w:type="pct"/>
            <w:tcBorders>
              <w:top w:val="single" w:sz="4" w:space="0" w:color="auto"/>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(0.68)</w:t>
            </w:r>
          </w:p>
        </w:tc>
        <w:tc>
          <w:tcPr>
            <w:tcW w:w="343" w:type="pct"/>
            <w:tcBorders>
              <w:top w:val="single" w:sz="4" w:space="0" w:color="auto"/>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45.79 </w:t>
            </w:r>
          </w:p>
        </w:tc>
        <w:tc>
          <w:tcPr>
            <w:tcW w:w="230" w:type="pct"/>
            <w:tcBorders>
              <w:top w:val="single" w:sz="4" w:space="0" w:color="auto"/>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(0.68)</w:t>
            </w:r>
          </w:p>
        </w:tc>
      </w:tr>
      <w:tr w:rsidR="00160678" w:rsidRPr="00C413BA" w:rsidTr="004A1A6C">
        <w:trPr>
          <w:trHeight w:val="260"/>
        </w:trPr>
        <w:tc>
          <w:tcPr>
            <w:tcW w:w="313" w:type="pct"/>
            <w:tcBorders>
              <w:top w:val="nil"/>
              <w:left w:val="nil"/>
              <w:bottom w:val="nil"/>
              <w:right w:val="nil"/>
            </w:tcBorders>
            <w:noWrap/>
            <w:vAlign w:val="bottom"/>
            <w:hideMark/>
          </w:tcPr>
          <w:p w:rsidR="00160678" w:rsidRPr="00C413BA" w:rsidRDefault="00160678" w:rsidP="009610A8">
            <w:pPr>
              <w:spacing w:after="0"/>
              <w:jc w:val="right"/>
              <w:rPr>
                <w:rFonts w:eastAsia="Times New Roman" w:cs="Times New Roman"/>
                <w:b/>
                <w:bCs/>
                <w:color w:val="000000"/>
                <w:sz w:val="16"/>
                <w:szCs w:val="16"/>
              </w:rPr>
            </w:pPr>
            <w:r w:rsidRPr="00C413BA">
              <w:rPr>
                <w:rFonts w:eastAsia="Times New Roman" w:cs="Times New Roman"/>
                <w:b/>
                <w:bCs/>
                <w:color w:val="000000"/>
                <w:sz w:val="16"/>
                <w:szCs w:val="16"/>
              </w:rPr>
              <w:t>Al2O3</w:t>
            </w:r>
          </w:p>
        </w:tc>
        <w:tc>
          <w:tcPr>
            <w:tcW w:w="309"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32.79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(0.39)</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32.64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(0.23)</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32.30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(0.24)</w:t>
            </w:r>
          </w:p>
        </w:tc>
        <w:tc>
          <w:tcPr>
            <w:tcW w:w="309"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32.82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(0.26)</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32.84 </w:t>
            </w:r>
          </w:p>
        </w:tc>
        <w:tc>
          <w:tcPr>
            <w:tcW w:w="274"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(0.15)</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32.14 </w:t>
            </w:r>
          </w:p>
        </w:tc>
        <w:tc>
          <w:tcPr>
            <w:tcW w:w="274"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(0.35)</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33.02 </w:t>
            </w:r>
          </w:p>
        </w:tc>
        <w:tc>
          <w:tcPr>
            <w:tcW w:w="274"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(0.44)</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32.00 </w:t>
            </w:r>
          </w:p>
        </w:tc>
        <w:tc>
          <w:tcPr>
            <w:tcW w:w="23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(0.25)</w:t>
            </w:r>
          </w:p>
        </w:tc>
      </w:tr>
      <w:tr w:rsidR="00160678" w:rsidRPr="00C413BA" w:rsidTr="004A1A6C">
        <w:trPr>
          <w:trHeight w:val="260"/>
        </w:trPr>
        <w:tc>
          <w:tcPr>
            <w:tcW w:w="313" w:type="pct"/>
            <w:tcBorders>
              <w:top w:val="nil"/>
              <w:left w:val="nil"/>
              <w:bottom w:val="nil"/>
              <w:right w:val="nil"/>
            </w:tcBorders>
            <w:noWrap/>
            <w:vAlign w:val="bottom"/>
            <w:hideMark/>
          </w:tcPr>
          <w:p w:rsidR="00160678" w:rsidRPr="00C413BA" w:rsidRDefault="00160678" w:rsidP="009610A8">
            <w:pPr>
              <w:spacing w:after="0"/>
              <w:jc w:val="right"/>
              <w:rPr>
                <w:rFonts w:eastAsia="Times New Roman" w:cs="Times New Roman"/>
                <w:b/>
                <w:bCs/>
                <w:color w:val="000000"/>
                <w:sz w:val="16"/>
                <w:szCs w:val="16"/>
              </w:rPr>
            </w:pPr>
            <w:r w:rsidRPr="00C413BA">
              <w:rPr>
                <w:rFonts w:eastAsia="Times New Roman" w:cs="Times New Roman"/>
                <w:b/>
                <w:bCs/>
                <w:color w:val="000000"/>
                <w:sz w:val="16"/>
                <w:szCs w:val="16"/>
              </w:rPr>
              <w:t>FeO*</w:t>
            </w:r>
          </w:p>
        </w:tc>
        <w:tc>
          <w:tcPr>
            <w:tcW w:w="309"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3.35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(0.31)</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3.19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(0.44)</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3.92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(0.38)</w:t>
            </w:r>
          </w:p>
        </w:tc>
        <w:tc>
          <w:tcPr>
            <w:tcW w:w="309"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4.59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(0.09)</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3.12 </w:t>
            </w:r>
          </w:p>
        </w:tc>
        <w:tc>
          <w:tcPr>
            <w:tcW w:w="274"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(0.22)</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3.09 </w:t>
            </w:r>
          </w:p>
        </w:tc>
        <w:tc>
          <w:tcPr>
            <w:tcW w:w="274"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(0.16)</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3.58 </w:t>
            </w:r>
          </w:p>
        </w:tc>
        <w:tc>
          <w:tcPr>
            <w:tcW w:w="274"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(0.32)</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5.03 </w:t>
            </w:r>
          </w:p>
        </w:tc>
        <w:tc>
          <w:tcPr>
            <w:tcW w:w="23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(0.29)</w:t>
            </w:r>
          </w:p>
        </w:tc>
      </w:tr>
      <w:tr w:rsidR="00160678" w:rsidRPr="00C413BA" w:rsidTr="004A1A6C">
        <w:trPr>
          <w:trHeight w:val="260"/>
        </w:trPr>
        <w:tc>
          <w:tcPr>
            <w:tcW w:w="313" w:type="pct"/>
            <w:tcBorders>
              <w:top w:val="nil"/>
              <w:left w:val="nil"/>
              <w:bottom w:val="nil"/>
              <w:right w:val="nil"/>
            </w:tcBorders>
            <w:noWrap/>
            <w:vAlign w:val="bottom"/>
            <w:hideMark/>
          </w:tcPr>
          <w:p w:rsidR="00160678" w:rsidRPr="00C413BA" w:rsidRDefault="00160678" w:rsidP="009610A8">
            <w:pPr>
              <w:spacing w:after="0"/>
              <w:jc w:val="right"/>
              <w:rPr>
                <w:rFonts w:eastAsia="Times New Roman" w:cs="Times New Roman"/>
                <w:b/>
                <w:bCs/>
                <w:color w:val="000000"/>
                <w:sz w:val="16"/>
                <w:szCs w:val="16"/>
              </w:rPr>
            </w:pPr>
            <w:r w:rsidRPr="00C413BA">
              <w:rPr>
                <w:rFonts w:eastAsia="Times New Roman" w:cs="Times New Roman"/>
                <w:b/>
                <w:bCs/>
                <w:color w:val="000000"/>
                <w:sz w:val="16"/>
                <w:szCs w:val="16"/>
              </w:rPr>
              <w:t>MnO</w:t>
            </w:r>
          </w:p>
        </w:tc>
        <w:tc>
          <w:tcPr>
            <w:tcW w:w="309"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2.66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(0.36)</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2.73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(0.46)</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4.12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(0.25)</w:t>
            </w:r>
          </w:p>
        </w:tc>
        <w:tc>
          <w:tcPr>
            <w:tcW w:w="309"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3.15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(0.19)</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2.42 </w:t>
            </w:r>
          </w:p>
        </w:tc>
        <w:tc>
          <w:tcPr>
            <w:tcW w:w="274"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(0.27)</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4.26 </w:t>
            </w:r>
          </w:p>
        </w:tc>
        <w:tc>
          <w:tcPr>
            <w:tcW w:w="274"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(0.67)</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2.67 </w:t>
            </w:r>
          </w:p>
        </w:tc>
        <w:tc>
          <w:tcPr>
            <w:tcW w:w="274"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(0.16)</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6.89 </w:t>
            </w:r>
          </w:p>
        </w:tc>
        <w:tc>
          <w:tcPr>
            <w:tcW w:w="23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(0.98)</w:t>
            </w:r>
          </w:p>
        </w:tc>
      </w:tr>
      <w:tr w:rsidR="00160678" w:rsidRPr="00C413BA" w:rsidTr="004A1A6C">
        <w:trPr>
          <w:trHeight w:val="260"/>
        </w:trPr>
        <w:tc>
          <w:tcPr>
            <w:tcW w:w="313" w:type="pct"/>
            <w:tcBorders>
              <w:top w:val="nil"/>
              <w:left w:val="nil"/>
              <w:bottom w:val="nil"/>
              <w:right w:val="nil"/>
            </w:tcBorders>
            <w:noWrap/>
            <w:vAlign w:val="bottom"/>
            <w:hideMark/>
          </w:tcPr>
          <w:p w:rsidR="00160678" w:rsidRPr="00C413BA" w:rsidRDefault="00160678" w:rsidP="009610A8">
            <w:pPr>
              <w:spacing w:after="0"/>
              <w:jc w:val="right"/>
              <w:rPr>
                <w:rFonts w:eastAsia="Times New Roman" w:cs="Times New Roman"/>
                <w:b/>
                <w:bCs/>
                <w:color w:val="000000"/>
                <w:sz w:val="16"/>
                <w:szCs w:val="16"/>
              </w:rPr>
            </w:pPr>
            <w:r w:rsidRPr="00C413BA">
              <w:rPr>
                <w:rFonts w:eastAsia="Times New Roman" w:cs="Times New Roman"/>
                <w:b/>
                <w:bCs/>
                <w:color w:val="000000"/>
                <w:sz w:val="16"/>
                <w:szCs w:val="16"/>
              </w:rPr>
              <w:t>MgO</w:t>
            </w:r>
          </w:p>
        </w:tc>
        <w:tc>
          <w:tcPr>
            <w:tcW w:w="309"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9.89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(0.45)</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10.30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(0.60)</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8.91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(0.10)</w:t>
            </w:r>
          </w:p>
        </w:tc>
        <w:tc>
          <w:tcPr>
            <w:tcW w:w="309"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9.22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(0.18)</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10.50 </w:t>
            </w:r>
          </w:p>
        </w:tc>
        <w:tc>
          <w:tcPr>
            <w:tcW w:w="274"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(0.31)</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9.24 </w:t>
            </w:r>
          </w:p>
        </w:tc>
        <w:tc>
          <w:tcPr>
            <w:tcW w:w="274"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(0.38)</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9.95 </w:t>
            </w:r>
          </w:p>
        </w:tc>
        <w:tc>
          <w:tcPr>
            <w:tcW w:w="274"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(0.30)</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6.23 </w:t>
            </w:r>
          </w:p>
        </w:tc>
        <w:tc>
          <w:tcPr>
            <w:tcW w:w="23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(0.50)</w:t>
            </w:r>
          </w:p>
        </w:tc>
      </w:tr>
      <w:tr w:rsidR="00160678" w:rsidRPr="00C413BA" w:rsidTr="004A1A6C">
        <w:trPr>
          <w:trHeight w:val="260"/>
        </w:trPr>
        <w:tc>
          <w:tcPr>
            <w:tcW w:w="313" w:type="pct"/>
            <w:tcBorders>
              <w:top w:val="nil"/>
              <w:left w:val="nil"/>
              <w:bottom w:val="nil"/>
              <w:right w:val="nil"/>
            </w:tcBorders>
            <w:noWrap/>
            <w:vAlign w:val="bottom"/>
            <w:hideMark/>
          </w:tcPr>
          <w:p w:rsidR="00160678" w:rsidRPr="00C413BA" w:rsidRDefault="00160678" w:rsidP="009610A8">
            <w:pPr>
              <w:spacing w:after="0"/>
              <w:jc w:val="right"/>
              <w:rPr>
                <w:rFonts w:eastAsia="Times New Roman" w:cs="Times New Roman"/>
                <w:b/>
                <w:bCs/>
                <w:color w:val="000000"/>
                <w:sz w:val="16"/>
                <w:szCs w:val="16"/>
              </w:rPr>
            </w:pPr>
            <w:r w:rsidRPr="00C413BA">
              <w:rPr>
                <w:rFonts w:eastAsia="Times New Roman" w:cs="Times New Roman"/>
                <w:b/>
                <w:bCs/>
                <w:color w:val="000000"/>
                <w:sz w:val="16"/>
                <w:szCs w:val="16"/>
              </w:rPr>
              <w:t>CaO</w:t>
            </w:r>
          </w:p>
        </w:tc>
        <w:tc>
          <w:tcPr>
            <w:tcW w:w="309"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0.09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(0.03)</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0.05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(0.02)</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0.03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(0.02)</w:t>
            </w:r>
          </w:p>
        </w:tc>
        <w:tc>
          <w:tcPr>
            <w:tcW w:w="309"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0.05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(0.02)</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0.05 </w:t>
            </w:r>
          </w:p>
        </w:tc>
        <w:tc>
          <w:tcPr>
            <w:tcW w:w="274"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(0.02)</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0.04 </w:t>
            </w:r>
          </w:p>
        </w:tc>
        <w:tc>
          <w:tcPr>
            <w:tcW w:w="274"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(0.02)</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0.07 </w:t>
            </w:r>
          </w:p>
        </w:tc>
        <w:tc>
          <w:tcPr>
            <w:tcW w:w="274"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(0.02)</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0.07 </w:t>
            </w:r>
          </w:p>
        </w:tc>
        <w:tc>
          <w:tcPr>
            <w:tcW w:w="23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(0.03)</w:t>
            </w:r>
          </w:p>
        </w:tc>
      </w:tr>
      <w:tr w:rsidR="00160678" w:rsidRPr="00C413BA" w:rsidTr="004A1A6C">
        <w:trPr>
          <w:trHeight w:val="260"/>
        </w:trPr>
        <w:tc>
          <w:tcPr>
            <w:tcW w:w="313" w:type="pct"/>
            <w:tcBorders>
              <w:top w:val="nil"/>
              <w:left w:val="nil"/>
              <w:bottom w:val="nil"/>
              <w:right w:val="nil"/>
            </w:tcBorders>
            <w:noWrap/>
            <w:vAlign w:val="bottom"/>
            <w:hideMark/>
          </w:tcPr>
          <w:p w:rsidR="00160678" w:rsidRPr="00C413BA" w:rsidRDefault="00160678" w:rsidP="009610A8">
            <w:pPr>
              <w:spacing w:after="0"/>
              <w:jc w:val="right"/>
              <w:rPr>
                <w:rFonts w:eastAsia="Times New Roman" w:cs="Times New Roman"/>
                <w:b/>
                <w:bCs/>
                <w:color w:val="000000"/>
                <w:sz w:val="16"/>
                <w:szCs w:val="16"/>
              </w:rPr>
            </w:pPr>
            <w:r w:rsidRPr="00C413BA">
              <w:rPr>
                <w:rFonts w:eastAsia="Times New Roman" w:cs="Times New Roman"/>
                <w:b/>
                <w:bCs/>
                <w:color w:val="000000"/>
                <w:sz w:val="16"/>
                <w:szCs w:val="16"/>
              </w:rPr>
              <w:t>Na2O</w:t>
            </w:r>
          </w:p>
        </w:tc>
        <w:tc>
          <w:tcPr>
            <w:tcW w:w="309"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0.25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(0.06)</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0.21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(0.07)</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0.15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(0.03)</w:t>
            </w:r>
          </w:p>
        </w:tc>
        <w:tc>
          <w:tcPr>
            <w:tcW w:w="309"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0.18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(0.06)</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0.26 </w:t>
            </w:r>
          </w:p>
        </w:tc>
        <w:tc>
          <w:tcPr>
            <w:tcW w:w="274"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(0.07)</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0.18 </w:t>
            </w:r>
          </w:p>
        </w:tc>
        <w:tc>
          <w:tcPr>
            <w:tcW w:w="274"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(0.06)</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0.33 </w:t>
            </w:r>
          </w:p>
        </w:tc>
        <w:tc>
          <w:tcPr>
            <w:tcW w:w="274"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(0.03)</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0.40 </w:t>
            </w:r>
          </w:p>
        </w:tc>
        <w:tc>
          <w:tcPr>
            <w:tcW w:w="23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(0.16)</w:t>
            </w:r>
          </w:p>
        </w:tc>
      </w:tr>
      <w:tr w:rsidR="00160678" w:rsidRPr="00C413BA" w:rsidTr="004A1A6C">
        <w:trPr>
          <w:trHeight w:val="260"/>
        </w:trPr>
        <w:tc>
          <w:tcPr>
            <w:tcW w:w="313" w:type="pct"/>
            <w:tcBorders>
              <w:top w:val="nil"/>
              <w:left w:val="nil"/>
              <w:bottom w:val="nil"/>
              <w:right w:val="nil"/>
            </w:tcBorders>
            <w:noWrap/>
            <w:vAlign w:val="bottom"/>
            <w:hideMark/>
          </w:tcPr>
          <w:p w:rsidR="00160678" w:rsidRPr="00C413BA" w:rsidRDefault="00160678" w:rsidP="009610A8">
            <w:pPr>
              <w:spacing w:after="0"/>
              <w:jc w:val="right"/>
              <w:rPr>
                <w:rFonts w:eastAsia="Times New Roman" w:cs="Times New Roman"/>
                <w:b/>
                <w:bCs/>
                <w:color w:val="000000"/>
                <w:sz w:val="16"/>
                <w:szCs w:val="16"/>
              </w:rPr>
            </w:pPr>
            <w:r w:rsidRPr="00C413BA">
              <w:rPr>
                <w:rFonts w:eastAsia="Times New Roman" w:cs="Times New Roman"/>
                <w:b/>
                <w:bCs/>
                <w:color w:val="000000"/>
                <w:sz w:val="16"/>
                <w:szCs w:val="16"/>
              </w:rPr>
              <w:t>K2O</w:t>
            </w:r>
          </w:p>
        </w:tc>
        <w:tc>
          <w:tcPr>
            <w:tcW w:w="309"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0.19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(0.05)</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0.07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(0.02)</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0.06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(0.01)</w:t>
            </w:r>
          </w:p>
        </w:tc>
        <w:tc>
          <w:tcPr>
            <w:tcW w:w="309"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0.08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(0.02)</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0.10 </w:t>
            </w:r>
          </w:p>
        </w:tc>
        <w:tc>
          <w:tcPr>
            <w:tcW w:w="274"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(0.05)</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0.05 </w:t>
            </w:r>
          </w:p>
        </w:tc>
        <w:tc>
          <w:tcPr>
            <w:tcW w:w="274"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(0.02)</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0.13 </w:t>
            </w:r>
          </w:p>
        </w:tc>
        <w:tc>
          <w:tcPr>
            <w:tcW w:w="274"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(0.03)</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0.07 </w:t>
            </w:r>
          </w:p>
        </w:tc>
        <w:tc>
          <w:tcPr>
            <w:tcW w:w="23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(0.03)</w:t>
            </w:r>
          </w:p>
        </w:tc>
      </w:tr>
      <w:tr w:rsidR="00160678" w:rsidRPr="00C413BA" w:rsidTr="004A1A6C">
        <w:trPr>
          <w:trHeight w:val="260"/>
        </w:trPr>
        <w:tc>
          <w:tcPr>
            <w:tcW w:w="313" w:type="pct"/>
            <w:tcBorders>
              <w:top w:val="nil"/>
              <w:left w:val="nil"/>
              <w:bottom w:val="nil"/>
              <w:right w:val="nil"/>
            </w:tcBorders>
            <w:noWrap/>
            <w:vAlign w:val="bottom"/>
            <w:hideMark/>
          </w:tcPr>
          <w:p w:rsidR="00160678" w:rsidRPr="00C413BA" w:rsidRDefault="00160678" w:rsidP="009610A8">
            <w:pPr>
              <w:spacing w:after="0"/>
              <w:jc w:val="right"/>
              <w:rPr>
                <w:rFonts w:eastAsia="Times New Roman" w:cs="Times New Roman"/>
                <w:b/>
                <w:bCs/>
                <w:color w:val="000000"/>
                <w:sz w:val="16"/>
                <w:szCs w:val="16"/>
              </w:rPr>
            </w:pPr>
            <w:r w:rsidRPr="00C413BA">
              <w:rPr>
                <w:rFonts w:eastAsia="Times New Roman" w:cs="Times New Roman"/>
                <w:b/>
                <w:bCs/>
                <w:color w:val="000000"/>
                <w:sz w:val="16"/>
                <w:szCs w:val="16"/>
              </w:rPr>
              <w:t>Total</w:t>
            </w:r>
          </w:p>
        </w:tc>
        <w:tc>
          <w:tcPr>
            <w:tcW w:w="309"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95.83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(0.39)</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96.94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(0.89)</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96.86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(0.55)</w:t>
            </w:r>
          </w:p>
        </w:tc>
        <w:tc>
          <w:tcPr>
            <w:tcW w:w="309"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97.43 </w:t>
            </w:r>
          </w:p>
        </w:tc>
        <w:tc>
          <w:tcPr>
            <w:tcW w:w="24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(0.49)</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96.69 </w:t>
            </w:r>
          </w:p>
        </w:tc>
        <w:tc>
          <w:tcPr>
            <w:tcW w:w="274"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(0.32)</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96.51 </w:t>
            </w:r>
          </w:p>
        </w:tc>
        <w:tc>
          <w:tcPr>
            <w:tcW w:w="274"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(0.51)</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96.59 </w:t>
            </w:r>
          </w:p>
        </w:tc>
        <w:tc>
          <w:tcPr>
            <w:tcW w:w="274"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(0.50)</w:t>
            </w: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96.50 </w:t>
            </w:r>
          </w:p>
        </w:tc>
        <w:tc>
          <w:tcPr>
            <w:tcW w:w="23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(0.34)</w:t>
            </w:r>
          </w:p>
        </w:tc>
      </w:tr>
      <w:tr w:rsidR="00160678" w:rsidRPr="00C413BA" w:rsidTr="004A1A6C">
        <w:trPr>
          <w:trHeight w:val="260"/>
        </w:trPr>
        <w:tc>
          <w:tcPr>
            <w:tcW w:w="313" w:type="pct"/>
            <w:tcBorders>
              <w:top w:val="nil"/>
              <w:left w:val="nil"/>
              <w:bottom w:val="nil"/>
              <w:right w:val="nil"/>
            </w:tcBorders>
            <w:noWrap/>
            <w:vAlign w:val="bottom"/>
            <w:hideMark/>
          </w:tcPr>
          <w:p w:rsidR="00160678" w:rsidRPr="00C413BA" w:rsidRDefault="00160678" w:rsidP="009610A8">
            <w:pPr>
              <w:spacing w:after="0"/>
              <w:jc w:val="right"/>
              <w:rPr>
                <w:rFonts w:eastAsia="Times New Roman" w:cs="Times New Roman"/>
                <w:b/>
                <w:bCs/>
                <w:color w:val="000000"/>
                <w:sz w:val="16"/>
                <w:szCs w:val="16"/>
              </w:rPr>
            </w:pPr>
            <w:r w:rsidRPr="00C413BA">
              <w:rPr>
                <w:rFonts w:eastAsia="Times New Roman" w:cs="Times New Roman"/>
                <w:b/>
                <w:bCs/>
                <w:color w:val="000000"/>
                <w:sz w:val="16"/>
                <w:szCs w:val="16"/>
              </w:rPr>
              <w:t># Pts (N)</w:t>
            </w:r>
          </w:p>
        </w:tc>
        <w:tc>
          <w:tcPr>
            <w:tcW w:w="309" w:type="pct"/>
            <w:tcBorders>
              <w:top w:val="nil"/>
              <w:left w:val="nil"/>
              <w:bottom w:val="single" w:sz="4" w:space="0" w:color="auto"/>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14 </w:t>
            </w:r>
          </w:p>
        </w:tc>
        <w:tc>
          <w:tcPr>
            <w:tcW w:w="240" w:type="pct"/>
            <w:tcBorders>
              <w:top w:val="nil"/>
              <w:left w:val="nil"/>
              <w:bottom w:val="single" w:sz="4" w:space="0" w:color="auto"/>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p>
        </w:tc>
        <w:tc>
          <w:tcPr>
            <w:tcW w:w="343" w:type="pct"/>
            <w:tcBorders>
              <w:top w:val="nil"/>
              <w:left w:val="nil"/>
              <w:bottom w:val="single" w:sz="4" w:space="0" w:color="auto"/>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10 </w:t>
            </w:r>
          </w:p>
        </w:tc>
        <w:tc>
          <w:tcPr>
            <w:tcW w:w="240" w:type="pct"/>
            <w:tcBorders>
              <w:top w:val="nil"/>
              <w:left w:val="nil"/>
              <w:bottom w:val="single" w:sz="4" w:space="0" w:color="auto"/>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p>
        </w:tc>
        <w:tc>
          <w:tcPr>
            <w:tcW w:w="343" w:type="pct"/>
            <w:tcBorders>
              <w:top w:val="nil"/>
              <w:left w:val="nil"/>
              <w:bottom w:val="single" w:sz="4" w:space="0" w:color="auto"/>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10 </w:t>
            </w:r>
          </w:p>
        </w:tc>
        <w:tc>
          <w:tcPr>
            <w:tcW w:w="240" w:type="pct"/>
            <w:tcBorders>
              <w:top w:val="nil"/>
              <w:left w:val="nil"/>
              <w:bottom w:val="single" w:sz="4" w:space="0" w:color="auto"/>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p>
        </w:tc>
        <w:tc>
          <w:tcPr>
            <w:tcW w:w="309" w:type="pct"/>
            <w:tcBorders>
              <w:top w:val="nil"/>
              <w:left w:val="nil"/>
              <w:bottom w:val="single" w:sz="4" w:space="0" w:color="auto"/>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20 </w:t>
            </w:r>
          </w:p>
        </w:tc>
        <w:tc>
          <w:tcPr>
            <w:tcW w:w="240" w:type="pct"/>
            <w:tcBorders>
              <w:top w:val="nil"/>
              <w:left w:val="nil"/>
              <w:bottom w:val="single" w:sz="4" w:space="0" w:color="auto"/>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10</w:t>
            </w:r>
          </w:p>
        </w:tc>
        <w:tc>
          <w:tcPr>
            <w:tcW w:w="274"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10</w:t>
            </w:r>
          </w:p>
        </w:tc>
        <w:tc>
          <w:tcPr>
            <w:tcW w:w="274"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15</w:t>
            </w:r>
          </w:p>
        </w:tc>
        <w:tc>
          <w:tcPr>
            <w:tcW w:w="274"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p>
        </w:tc>
        <w:tc>
          <w:tcPr>
            <w:tcW w:w="34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15</w:t>
            </w:r>
          </w:p>
        </w:tc>
        <w:tc>
          <w:tcPr>
            <w:tcW w:w="230"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color w:val="000000"/>
                <w:sz w:val="16"/>
                <w:szCs w:val="16"/>
              </w:rPr>
            </w:pPr>
          </w:p>
        </w:tc>
      </w:tr>
      <w:tr w:rsidR="00160678" w:rsidRPr="00C413BA" w:rsidTr="004A1A6C">
        <w:trPr>
          <w:trHeight w:val="260"/>
        </w:trPr>
        <w:tc>
          <w:tcPr>
            <w:tcW w:w="313" w:type="pct"/>
            <w:tcBorders>
              <w:top w:val="nil"/>
              <w:left w:val="nil"/>
              <w:bottom w:val="nil"/>
              <w:right w:val="nil"/>
            </w:tcBorders>
            <w:noWrap/>
            <w:vAlign w:val="bottom"/>
            <w:hideMark/>
          </w:tcPr>
          <w:p w:rsidR="00160678" w:rsidRPr="00C413BA" w:rsidRDefault="00160678" w:rsidP="009610A8">
            <w:pPr>
              <w:spacing w:after="0"/>
              <w:jc w:val="center"/>
              <w:rPr>
                <w:rFonts w:eastAsia="Times New Roman" w:cs="Times New Roman"/>
                <w:sz w:val="16"/>
                <w:szCs w:val="16"/>
              </w:rPr>
            </w:pPr>
          </w:p>
        </w:tc>
        <w:tc>
          <w:tcPr>
            <w:tcW w:w="549" w:type="pct"/>
            <w:gridSpan w:val="2"/>
            <w:tcBorders>
              <w:top w:val="nil"/>
              <w:left w:val="nil"/>
              <w:bottom w:val="nil"/>
              <w:right w:val="nil"/>
            </w:tcBorders>
            <w:noWrap/>
            <w:vAlign w:val="bottom"/>
            <w:hideMark/>
          </w:tcPr>
          <w:p w:rsidR="00160678" w:rsidRPr="00C413BA" w:rsidRDefault="00160678" w:rsidP="009610A8">
            <w:pPr>
              <w:spacing w:after="0"/>
              <w:rPr>
                <w:rFonts w:eastAsia="Times New Roman" w:cs="Times New Roman"/>
                <w:color w:val="000000"/>
                <w:sz w:val="16"/>
                <w:szCs w:val="16"/>
              </w:rPr>
            </w:pPr>
            <w:r w:rsidRPr="00C413BA">
              <w:rPr>
                <w:rFonts w:eastAsia="Times New Roman" w:cs="Times New Roman"/>
                <w:color w:val="000000"/>
                <w:sz w:val="16"/>
                <w:szCs w:val="16"/>
              </w:rPr>
              <w:t>2σSD in parentheses</w:t>
            </w:r>
          </w:p>
        </w:tc>
        <w:tc>
          <w:tcPr>
            <w:tcW w:w="343" w:type="pct"/>
            <w:tcBorders>
              <w:top w:val="nil"/>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240" w:type="pct"/>
            <w:tcBorders>
              <w:top w:val="nil"/>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343" w:type="pct"/>
            <w:tcBorders>
              <w:top w:val="nil"/>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240" w:type="pct"/>
            <w:tcBorders>
              <w:top w:val="nil"/>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309" w:type="pct"/>
            <w:tcBorders>
              <w:top w:val="nil"/>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240" w:type="pct"/>
            <w:tcBorders>
              <w:top w:val="nil"/>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343" w:type="pct"/>
            <w:tcBorders>
              <w:top w:val="single" w:sz="4" w:space="0" w:color="auto"/>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274" w:type="pct"/>
            <w:tcBorders>
              <w:top w:val="single" w:sz="4" w:space="0" w:color="auto"/>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343" w:type="pct"/>
            <w:tcBorders>
              <w:top w:val="single" w:sz="4" w:space="0" w:color="auto"/>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274" w:type="pct"/>
            <w:tcBorders>
              <w:top w:val="single" w:sz="4" w:space="0" w:color="auto"/>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343" w:type="pct"/>
            <w:tcBorders>
              <w:top w:val="single" w:sz="4" w:space="0" w:color="auto"/>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274" w:type="pct"/>
            <w:tcBorders>
              <w:top w:val="single" w:sz="4" w:space="0" w:color="auto"/>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343" w:type="pct"/>
            <w:tcBorders>
              <w:top w:val="single" w:sz="4" w:space="0" w:color="auto"/>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c>
          <w:tcPr>
            <w:tcW w:w="230" w:type="pct"/>
            <w:tcBorders>
              <w:top w:val="single" w:sz="4" w:space="0" w:color="auto"/>
              <w:left w:val="nil"/>
              <w:bottom w:val="nil"/>
              <w:right w:val="nil"/>
            </w:tcBorders>
            <w:noWrap/>
            <w:vAlign w:val="bottom"/>
            <w:hideMark/>
          </w:tcPr>
          <w:p w:rsidR="00160678" w:rsidRPr="00C413BA" w:rsidRDefault="00160678" w:rsidP="009610A8">
            <w:pPr>
              <w:spacing w:after="0"/>
              <w:rPr>
                <w:rFonts w:eastAsia="Times New Roman" w:cs="Times New Roman"/>
                <w:sz w:val="16"/>
                <w:szCs w:val="16"/>
              </w:rPr>
            </w:pPr>
          </w:p>
        </w:tc>
      </w:tr>
    </w:tbl>
    <w:p w:rsidR="004E1D03" w:rsidRDefault="006D3B9B" w:rsidP="00665C0F">
      <w:pPr>
        <w:spacing w:line="480" w:lineRule="auto"/>
        <w:rPr>
          <w:rFonts w:cs="Times New Roman"/>
        </w:rPr>
      </w:pPr>
      <w:r>
        <w:rPr>
          <w:b/>
          <w:noProof/>
        </w:rPr>
        <mc:AlternateContent>
          <mc:Choice Requires="wps">
            <w:drawing>
              <wp:anchor distT="0" distB="0" distL="114300" distR="114300" simplePos="0" relativeHeight="251811840" behindDoc="0" locked="0" layoutInCell="1" allowOverlap="1" wp14:anchorId="6B35C139" wp14:editId="08429FAC">
                <wp:simplePos x="0" y="0"/>
                <wp:positionH relativeFrom="margin">
                  <wp:posOffset>-914400</wp:posOffset>
                </wp:positionH>
                <wp:positionV relativeFrom="margin">
                  <wp:posOffset>1964690</wp:posOffset>
                </wp:positionV>
                <wp:extent cx="914400" cy="914400"/>
                <wp:effectExtent l="0" t="0" r="0" b="0"/>
                <wp:wrapNone/>
                <wp:docPr id="202" name="Rectangle 202"/>
                <wp:cNvGraphicFramePr/>
                <a:graphic xmlns:a="http://schemas.openxmlformats.org/drawingml/2006/main">
                  <a:graphicData uri="http://schemas.microsoft.com/office/word/2010/wordprocessingShape">
                    <wps:wsp>
                      <wps:cNvSpPr/>
                      <wps:spPr>
                        <a:xfrm rot="5400000">
                          <a:off x="0" y="0"/>
                          <a:ext cx="914400" cy="914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D3B9B" w:rsidRPr="00935830" w:rsidRDefault="006D3B9B" w:rsidP="006D3B9B">
                            <w:pPr>
                              <w:jc w:val="center"/>
                              <w:rPr>
                                <w:color w:val="000000" w:themeColor="text1"/>
                              </w:rPr>
                            </w:pPr>
                            <w:r>
                              <w:rPr>
                                <w:color w:val="000000" w:themeColor="text1"/>
                              </w:rPr>
                              <w:t>148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35C139" id="Rectangle 202" o:spid="_x0000_s1066" style="position:absolute;margin-left:-1in;margin-top:154.7pt;width:1in;height:1in;rotation:90;z-index:2518118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" filled="f" stroked="f" strokeweight="2pt">
                <v:textbox>
                  <w:txbxContent>
                    <w:p w:rsidR="006D3B9B" w:rsidRPr="00935830" w:rsidRDefault="006D3B9B" w:rsidP="006D3B9B">
                      <w:pPr>
                        <w:jc w:val="center"/>
                        <w:rPr>
                          <w:color w:val="000000" w:themeColor="text1"/>
                        </w:rPr>
                      </w:pPr>
                      <w:r>
                        <w:rPr>
                          <w:color w:val="000000" w:themeColor="text1"/>
                        </w:rPr>
                        <w:t>148</w:t>
                      </w:r>
                    </w:p>
                  </w:txbxContent>
                </v:textbox>
                <w10:wrap anchorx="margin" anchory="margin"/>
              </v:rect>
            </w:pict>
          </mc:Fallback>
        </mc:AlternateContent>
      </w:r>
    </w:p>
    <w:p w:rsidR="004E1D03" w:rsidRDefault="004E1D03" w:rsidP="004E1D03">
      <w:r>
        <w:br w:type="page"/>
      </w:r>
    </w:p>
    <w:tbl>
      <w:tblPr>
        <w:tblW w:w="12240" w:type="dxa"/>
        <w:jc w:val="center"/>
        <w:tblCellMar>
          <w:top w:w="15" w:type="dxa"/>
          <w:bottom w:w="15" w:type="dxa"/>
        </w:tblCellMar>
        <w:tblLook w:val="04A0" w:firstRow="1" w:lastRow="0" w:firstColumn="1" w:lastColumn="0" w:noHBand="0" w:noVBand="1"/>
      </w:tblPr>
      <w:tblGrid>
        <w:gridCol w:w="912"/>
        <w:gridCol w:w="685"/>
        <w:gridCol w:w="723"/>
        <w:gridCol w:w="724"/>
        <w:gridCol w:w="721"/>
        <w:gridCol w:w="716"/>
        <w:gridCol w:w="716"/>
        <w:gridCol w:w="716"/>
        <w:gridCol w:w="740"/>
        <w:gridCol w:w="724"/>
        <w:gridCol w:w="723"/>
        <w:gridCol w:w="720"/>
        <w:gridCol w:w="720"/>
        <w:gridCol w:w="720"/>
        <w:gridCol w:w="720"/>
        <w:gridCol w:w="720"/>
        <w:gridCol w:w="683"/>
      </w:tblGrid>
      <w:tr w:rsidR="003A6954" w:rsidRPr="00C413BA" w:rsidTr="003A6954">
        <w:trPr>
          <w:trHeight w:val="260"/>
          <w:jc w:val="center"/>
        </w:trPr>
        <w:tc>
          <w:tcPr>
            <w:tcW w:w="912" w:type="dxa"/>
            <w:tcBorders>
              <w:top w:val="nil"/>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c>
          <w:tcPr>
            <w:tcW w:w="3569" w:type="dxa"/>
            <w:gridSpan w:val="5"/>
            <w:tcBorders>
              <w:top w:val="nil"/>
              <w:left w:val="nil"/>
              <w:bottom w:val="nil"/>
              <w:right w:val="nil"/>
            </w:tcBorders>
            <w:noWrap/>
            <w:vAlign w:val="bottom"/>
            <w:hideMark/>
          </w:tcPr>
          <w:p w:rsidR="003A6954" w:rsidRPr="00C413BA" w:rsidRDefault="003A6954" w:rsidP="009610A8">
            <w:pPr>
              <w:spacing w:after="0"/>
              <w:rPr>
                <w:rFonts w:eastAsia="Times New Roman" w:cs="Times New Roman"/>
                <w:b/>
                <w:bCs/>
                <w:color w:val="000000"/>
                <w:sz w:val="16"/>
                <w:szCs w:val="16"/>
              </w:rPr>
            </w:pPr>
            <w:r>
              <w:rPr>
                <w:rFonts w:eastAsia="Times New Roman" w:cs="Times New Roman"/>
                <w:b/>
                <w:bCs/>
                <w:color w:val="000000"/>
                <w:sz w:val="16"/>
                <w:szCs w:val="16"/>
              </w:rPr>
              <w:t>Table 4 cont.: Cordierite (Crd) compositions</w:t>
            </w:r>
          </w:p>
        </w:tc>
        <w:tc>
          <w:tcPr>
            <w:tcW w:w="716" w:type="dxa"/>
            <w:tcBorders>
              <w:top w:val="nil"/>
              <w:left w:val="nil"/>
              <w:bottom w:val="nil"/>
              <w:right w:val="nil"/>
            </w:tcBorders>
            <w:noWrap/>
            <w:vAlign w:val="bottom"/>
            <w:hideMark/>
          </w:tcPr>
          <w:p w:rsidR="003A6954" w:rsidRPr="00C413BA" w:rsidRDefault="003A6954" w:rsidP="009610A8">
            <w:pPr>
              <w:spacing w:after="0"/>
              <w:rPr>
                <w:rFonts w:eastAsia="Times New Roman" w:cs="Times New Roman"/>
                <w:b/>
                <w:bCs/>
                <w:color w:val="000000"/>
                <w:sz w:val="16"/>
                <w:szCs w:val="16"/>
              </w:rPr>
            </w:pPr>
          </w:p>
        </w:tc>
        <w:tc>
          <w:tcPr>
            <w:tcW w:w="716" w:type="dxa"/>
            <w:tcBorders>
              <w:top w:val="nil"/>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c>
          <w:tcPr>
            <w:tcW w:w="740" w:type="dxa"/>
            <w:tcBorders>
              <w:top w:val="nil"/>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c>
          <w:tcPr>
            <w:tcW w:w="724" w:type="dxa"/>
            <w:tcBorders>
              <w:top w:val="nil"/>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c>
          <w:tcPr>
            <w:tcW w:w="723" w:type="dxa"/>
            <w:tcBorders>
              <w:top w:val="nil"/>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c>
          <w:tcPr>
            <w:tcW w:w="720" w:type="dxa"/>
            <w:tcBorders>
              <w:top w:val="nil"/>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c>
          <w:tcPr>
            <w:tcW w:w="720" w:type="dxa"/>
            <w:tcBorders>
              <w:top w:val="nil"/>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c>
          <w:tcPr>
            <w:tcW w:w="720" w:type="dxa"/>
            <w:tcBorders>
              <w:top w:val="nil"/>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c>
          <w:tcPr>
            <w:tcW w:w="720" w:type="dxa"/>
            <w:tcBorders>
              <w:top w:val="nil"/>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c>
          <w:tcPr>
            <w:tcW w:w="720" w:type="dxa"/>
            <w:tcBorders>
              <w:top w:val="nil"/>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c>
          <w:tcPr>
            <w:tcW w:w="540" w:type="dxa"/>
            <w:tcBorders>
              <w:top w:val="nil"/>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r>
      <w:tr w:rsidR="003A6954" w:rsidRPr="00C413BA" w:rsidTr="003A6954">
        <w:trPr>
          <w:trHeight w:val="260"/>
          <w:jc w:val="center"/>
        </w:trPr>
        <w:tc>
          <w:tcPr>
            <w:tcW w:w="912" w:type="dxa"/>
            <w:tcBorders>
              <w:top w:val="nil"/>
              <w:left w:val="nil"/>
              <w:bottom w:val="nil"/>
              <w:right w:val="nil"/>
            </w:tcBorders>
            <w:noWrap/>
            <w:vAlign w:val="bottom"/>
          </w:tcPr>
          <w:p w:rsidR="003A6954" w:rsidRPr="00C413BA" w:rsidRDefault="003A6954" w:rsidP="009610A8">
            <w:pPr>
              <w:spacing w:after="0"/>
              <w:rPr>
                <w:rFonts w:eastAsia="Times New Roman" w:cs="Times New Roman"/>
                <w:sz w:val="16"/>
                <w:szCs w:val="16"/>
              </w:rPr>
            </w:pPr>
          </w:p>
        </w:tc>
        <w:tc>
          <w:tcPr>
            <w:tcW w:w="3569" w:type="dxa"/>
            <w:gridSpan w:val="5"/>
            <w:tcBorders>
              <w:top w:val="nil"/>
              <w:left w:val="nil"/>
              <w:bottom w:val="nil"/>
              <w:right w:val="nil"/>
            </w:tcBorders>
            <w:noWrap/>
            <w:vAlign w:val="bottom"/>
          </w:tcPr>
          <w:p w:rsidR="003A6954" w:rsidRPr="00C413BA" w:rsidRDefault="003A6954" w:rsidP="009610A8">
            <w:pPr>
              <w:spacing w:after="0"/>
              <w:rPr>
                <w:rFonts w:eastAsia="Times New Roman" w:cs="Times New Roman"/>
                <w:b/>
                <w:bCs/>
                <w:color w:val="000000"/>
                <w:sz w:val="16"/>
                <w:szCs w:val="16"/>
              </w:rPr>
            </w:pPr>
            <w:r w:rsidRPr="00C413BA">
              <w:rPr>
                <w:rFonts w:eastAsia="Times New Roman" w:cs="Times New Roman"/>
                <w:b/>
                <w:bCs/>
                <w:color w:val="000000"/>
                <w:sz w:val="16"/>
                <w:szCs w:val="16"/>
              </w:rPr>
              <w:t>Atoms per formula unit (18 oxygen basis)</w:t>
            </w:r>
          </w:p>
        </w:tc>
        <w:tc>
          <w:tcPr>
            <w:tcW w:w="716" w:type="dxa"/>
            <w:tcBorders>
              <w:top w:val="nil"/>
              <w:left w:val="nil"/>
              <w:bottom w:val="nil"/>
              <w:right w:val="nil"/>
            </w:tcBorders>
            <w:noWrap/>
            <w:vAlign w:val="bottom"/>
          </w:tcPr>
          <w:p w:rsidR="003A6954" w:rsidRPr="00C413BA" w:rsidRDefault="003A6954" w:rsidP="009610A8">
            <w:pPr>
              <w:spacing w:after="0"/>
              <w:rPr>
                <w:rFonts w:eastAsia="Times New Roman" w:cs="Times New Roman"/>
                <w:b/>
                <w:bCs/>
                <w:color w:val="000000"/>
                <w:sz w:val="16"/>
                <w:szCs w:val="16"/>
              </w:rPr>
            </w:pPr>
          </w:p>
        </w:tc>
        <w:tc>
          <w:tcPr>
            <w:tcW w:w="716" w:type="dxa"/>
            <w:tcBorders>
              <w:top w:val="nil"/>
              <w:left w:val="nil"/>
              <w:bottom w:val="nil"/>
              <w:right w:val="nil"/>
            </w:tcBorders>
            <w:noWrap/>
            <w:vAlign w:val="bottom"/>
          </w:tcPr>
          <w:p w:rsidR="003A6954" w:rsidRPr="00C413BA" w:rsidRDefault="003A6954" w:rsidP="009610A8">
            <w:pPr>
              <w:spacing w:after="0"/>
              <w:rPr>
                <w:rFonts w:eastAsia="Times New Roman" w:cs="Times New Roman"/>
                <w:sz w:val="16"/>
                <w:szCs w:val="16"/>
              </w:rPr>
            </w:pPr>
          </w:p>
        </w:tc>
        <w:tc>
          <w:tcPr>
            <w:tcW w:w="740" w:type="dxa"/>
            <w:tcBorders>
              <w:top w:val="nil"/>
              <w:left w:val="nil"/>
              <w:bottom w:val="nil"/>
              <w:right w:val="nil"/>
            </w:tcBorders>
            <w:noWrap/>
            <w:vAlign w:val="bottom"/>
          </w:tcPr>
          <w:p w:rsidR="003A6954" w:rsidRPr="00C413BA" w:rsidRDefault="003A6954" w:rsidP="009610A8">
            <w:pPr>
              <w:spacing w:after="0"/>
              <w:rPr>
                <w:rFonts w:eastAsia="Times New Roman" w:cs="Times New Roman"/>
                <w:sz w:val="16"/>
                <w:szCs w:val="16"/>
              </w:rPr>
            </w:pPr>
          </w:p>
        </w:tc>
        <w:tc>
          <w:tcPr>
            <w:tcW w:w="724" w:type="dxa"/>
            <w:tcBorders>
              <w:top w:val="nil"/>
              <w:left w:val="nil"/>
              <w:bottom w:val="nil"/>
              <w:right w:val="nil"/>
            </w:tcBorders>
            <w:noWrap/>
            <w:vAlign w:val="bottom"/>
          </w:tcPr>
          <w:p w:rsidR="003A6954" w:rsidRPr="00C413BA" w:rsidRDefault="003A6954" w:rsidP="009610A8">
            <w:pPr>
              <w:spacing w:after="0"/>
              <w:rPr>
                <w:rFonts w:eastAsia="Times New Roman" w:cs="Times New Roman"/>
                <w:sz w:val="16"/>
                <w:szCs w:val="16"/>
              </w:rPr>
            </w:pPr>
          </w:p>
        </w:tc>
        <w:tc>
          <w:tcPr>
            <w:tcW w:w="723" w:type="dxa"/>
            <w:tcBorders>
              <w:top w:val="nil"/>
              <w:left w:val="nil"/>
              <w:bottom w:val="nil"/>
              <w:right w:val="nil"/>
            </w:tcBorders>
            <w:noWrap/>
            <w:vAlign w:val="bottom"/>
          </w:tcPr>
          <w:p w:rsidR="003A6954" w:rsidRPr="00C413BA" w:rsidRDefault="003A6954" w:rsidP="009610A8">
            <w:pPr>
              <w:spacing w:after="0"/>
              <w:rPr>
                <w:rFonts w:eastAsia="Times New Roman" w:cs="Times New Roman"/>
                <w:sz w:val="16"/>
                <w:szCs w:val="16"/>
              </w:rPr>
            </w:pPr>
          </w:p>
        </w:tc>
        <w:tc>
          <w:tcPr>
            <w:tcW w:w="720" w:type="dxa"/>
            <w:tcBorders>
              <w:top w:val="nil"/>
              <w:left w:val="nil"/>
              <w:bottom w:val="nil"/>
              <w:right w:val="nil"/>
            </w:tcBorders>
            <w:noWrap/>
            <w:vAlign w:val="bottom"/>
          </w:tcPr>
          <w:p w:rsidR="003A6954" w:rsidRPr="00C413BA" w:rsidRDefault="003A6954" w:rsidP="009610A8">
            <w:pPr>
              <w:spacing w:after="0"/>
              <w:rPr>
                <w:rFonts w:eastAsia="Times New Roman" w:cs="Times New Roman"/>
                <w:sz w:val="16"/>
                <w:szCs w:val="16"/>
              </w:rPr>
            </w:pPr>
          </w:p>
        </w:tc>
        <w:tc>
          <w:tcPr>
            <w:tcW w:w="720" w:type="dxa"/>
            <w:tcBorders>
              <w:top w:val="nil"/>
              <w:left w:val="nil"/>
              <w:bottom w:val="nil"/>
              <w:right w:val="nil"/>
            </w:tcBorders>
            <w:noWrap/>
            <w:vAlign w:val="bottom"/>
          </w:tcPr>
          <w:p w:rsidR="003A6954" w:rsidRPr="00C413BA" w:rsidRDefault="003A6954" w:rsidP="009610A8">
            <w:pPr>
              <w:spacing w:after="0"/>
              <w:rPr>
                <w:rFonts w:eastAsia="Times New Roman" w:cs="Times New Roman"/>
                <w:sz w:val="16"/>
                <w:szCs w:val="16"/>
              </w:rPr>
            </w:pPr>
          </w:p>
        </w:tc>
        <w:tc>
          <w:tcPr>
            <w:tcW w:w="720" w:type="dxa"/>
            <w:tcBorders>
              <w:top w:val="nil"/>
              <w:left w:val="nil"/>
              <w:bottom w:val="nil"/>
              <w:right w:val="nil"/>
            </w:tcBorders>
            <w:noWrap/>
            <w:vAlign w:val="bottom"/>
          </w:tcPr>
          <w:p w:rsidR="003A6954" w:rsidRPr="00C413BA" w:rsidRDefault="003A6954" w:rsidP="009610A8">
            <w:pPr>
              <w:spacing w:after="0"/>
              <w:rPr>
                <w:rFonts w:eastAsia="Times New Roman" w:cs="Times New Roman"/>
                <w:sz w:val="16"/>
                <w:szCs w:val="16"/>
              </w:rPr>
            </w:pPr>
          </w:p>
        </w:tc>
        <w:tc>
          <w:tcPr>
            <w:tcW w:w="720" w:type="dxa"/>
            <w:tcBorders>
              <w:top w:val="nil"/>
              <w:left w:val="nil"/>
              <w:bottom w:val="nil"/>
              <w:right w:val="nil"/>
            </w:tcBorders>
            <w:noWrap/>
            <w:vAlign w:val="bottom"/>
          </w:tcPr>
          <w:p w:rsidR="003A6954" w:rsidRPr="00C413BA" w:rsidRDefault="003A6954" w:rsidP="009610A8">
            <w:pPr>
              <w:spacing w:after="0"/>
              <w:rPr>
                <w:rFonts w:eastAsia="Times New Roman" w:cs="Times New Roman"/>
                <w:sz w:val="16"/>
                <w:szCs w:val="16"/>
              </w:rPr>
            </w:pPr>
          </w:p>
        </w:tc>
        <w:tc>
          <w:tcPr>
            <w:tcW w:w="720" w:type="dxa"/>
            <w:tcBorders>
              <w:top w:val="nil"/>
              <w:left w:val="nil"/>
              <w:bottom w:val="nil"/>
              <w:right w:val="nil"/>
            </w:tcBorders>
            <w:noWrap/>
            <w:vAlign w:val="bottom"/>
          </w:tcPr>
          <w:p w:rsidR="003A6954" w:rsidRPr="00C413BA" w:rsidRDefault="003A6954" w:rsidP="009610A8">
            <w:pPr>
              <w:spacing w:after="0"/>
              <w:rPr>
                <w:rFonts w:eastAsia="Times New Roman" w:cs="Times New Roman"/>
                <w:sz w:val="16"/>
                <w:szCs w:val="16"/>
              </w:rPr>
            </w:pPr>
          </w:p>
        </w:tc>
        <w:tc>
          <w:tcPr>
            <w:tcW w:w="540" w:type="dxa"/>
            <w:tcBorders>
              <w:top w:val="nil"/>
              <w:left w:val="nil"/>
              <w:bottom w:val="nil"/>
              <w:right w:val="nil"/>
            </w:tcBorders>
            <w:noWrap/>
            <w:vAlign w:val="bottom"/>
          </w:tcPr>
          <w:p w:rsidR="003A6954" w:rsidRPr="00C413BA" w:rsidRDefault="003A6954" w:rsidP="009610A8">
            <w:pPr>
              <w:spacing w:after="0"/>
              <w:rPr>
                <w:rFonts w:eastAsia="Times New Roman" w:cs="Times New Roman"/>
                <w:sz w:val="16"/>
                <w:szCs w:val="16"/>
              </w:rPr>
            </w:pPr>
          </w:p>
        </w:tc>
      </w:tr>
      <w:tr w:rsidR="003A6954" w:rsidRPr="00C413BA" w:rsidTr="003A6954">
        <w:trPr>
          <w:trHeight w:val="260"/>
          <w:jc w:val="center"/>
        </w:trPr>
        <w:tc>
          <w:tcPr>
            <w:tcW w:w="912" w:type="dxa"/>
            <w:tcBorders>
              <w:top w:val="nil"/>
              <w:left w:val="nil"/>
              <w:bottom w:val="nil"/>
              <w:right w:val="nil"/>
            </w:tcBorders>
            <w:noWrap/>
            <w:vAlign w:val="bottom"/>
            <w:hideMark/>
          </w:tcPr>
          <w:p w:rsidR="003A6954" w:rsidRPr="00C413BA" w:rsidRDefault="003A6954" w:rsidP="009610A8">
            <w:pPr>
              <w:spacing w:after="0"/>
              <w:jc w:val="right"/>
              <w:rPr>
                <w:rFonts w:eastAsia="Times New Roman" w:cs="Times New Roman"/>
                <w:b/>
                <w:bCs/>
                <w:color w:val="000000"/>
                <w:sz w:val="16"/>
                <w:szCs w:val="16"/>
              </w:rPr>
            </w:pPr>
            <w:r w:rsidRPr="00C413BA">
              <w:rPr>
                <w:rFonts w:eastAsia="Times New Roman" w:cs="Times New Roman"/>
                <w:b/>
                <w:bCs/>
                <w:color w:val="000000"/>
                <w:sz w:val="16"/>
                <w:szCs w:val="16"/>
              </w:rPr>
              <w:t>Si</w:t>
            </w:r>
          </w:p>
        </w:tc>
        <w:tc>
          <w:tcPr>
            <w:tcW w:w="685" w:type="dxa"/>
            <w:tcBorders>
              <w:top w:val="single" w:sz="4" w:space="0" w:color="auto"/>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4.889 </w:t>
            </w:r>
          </w:p>
        </w:tc>
        <w:tc>
          <w:tcPr>
            <w:tcW w:w="723" w:type="dxa"/>
            <w:tcBorders>
              <w:top w:val="single" w:sz="4" w:space="0" w:color="auto"/>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(0.045)</w:t>
            </w:r>
          </w:p>
        </w:tc>
        <w:tc>
          <w:tcPr>
            <w:tcW w:w="724" w:type="dxa"/>
            <w:tcBorders>
              <w:top w:val="single" w:sz="4" w:space="0" w:color="auto"/>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4.942 </w:t>
            </w:r>
          </w:p>
        </w:tc>
        <w:tc>
          <w:tcPr>
            <w:tcW w:w="721" w:type="dxa"/>
            <w:tcBorders>
              <w:top w:val="single" w:sz="4" w:space="0" w:color="auto"/>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(0.033)</w:t>
            </w:r>
          </w:p>
        </w:tc>
        <w:tc>
          <w:tcPr>
            <w:tcW w:w="716" w:type="dxa"/>
            <w:tcBorders>
              <w:top w:val="single" w:sz="4" w:space="0" w:color="auto"/>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4.953 </w:t>
            </w:r>
          </w:p>
        </w:tc>
        <w:tc>
          <w:tcPr>
            <w:tcW w:w="716" w:type="dxa"/>
            <w:tcBorders>
              <w:top w:val="single" w:sz="4" w:space="0" w:color="auto"/>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(0.023)</w:t>
            </w:r>
          </w:p>
        </w:tc>
        <w:tc>
          <w:tcPr>
            <w:tcW w:w="716" w:type="dxa"/>
            <w:tcBorders>
              <w:top w:val="single" w:sz="4" w:space="0" w:color="auto"/>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4.914 </w:t>
            </w:r>
          </w:p>
        </w:tc>
        <w:tc>
          <w:tcPr>
            <w:tcW w:w="740" w:type="dxa"/>
            <w:tcBorders>
              <w:top w:val="single" w:sz="4" w:space="0" w:color="auto"/>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(0.028)</w:t>
            </w:r>
          </w:p>
        </w:tc>
        <w:tc>
          <w:tcPr>
            <w:tcW w:w="724" w:type="dxa"/>
            <w:tcBorders>
              <w:top w:val="single" w:sz="4" w:space="0" w:color="auto"/>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4.912 </w:t>
            </w:r>
          </w:p>
        </w:tc>
        <w:tc>
          <w:tcPr>
            <w:tcW w:w="723" w:type="dxa"/>
            <w:tcBorders>
              <w:top w:val="single" w:sz="4" w:space="0" w:color="auto"/>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(0.023)</w:t>
            </w:r>
          </w:p>
        </w:tc>
        <w:tc>
          <w:tcPr>
            <w:tcW w:w="720" w:type="dxa"/>
            <w:tcBorders>
              <w:top w:val="single" w:sz="4" w:space="0" w:color="auto"/>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4.968 </w:t>
            </w:r>
          </w:p>
        </w:tc>
        <w:tc>
          <w:tcPr>
            <w:tcW w:w="720" w:type="dxa"/>
            <w:tcBorders>
              <w:top w:val="single" w:sz="4" w:space="0" w:color="auto"/>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(0.034)</w:t>
            </w:r>
          </w:p>
        </w:tc>
        <w:tc>
          <w:tcPr>
            <w:tcW w:w="720" w:type="dxa"/>
            <w:tcBorders>
              <w:top w:val="single" w:sz="4" w:space="0" w:color="auto"/>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4.882 </w:t>
            </w:r>
          </w:p>
        </w:tc>
        <w:tc>
          <w:tcPr>
            <w:tcW w:w="720" w:type="dxa"/>
            <w:tcBorders>
              <w:top w:val="single" w:sz="4" w:space="0" w:color="auto"/>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(0.045)</w:t>
            </w:r>
          </w:p>
        </w:tc>
        <w:tc>
          <w:tcPr>
            <w:tcW w:w="720" w:type="dxa"/>
            <w:tcBorders>
              <w:top w:val="single" w:sz="4" w:space="0" w:color="auto"/>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4.906 </w:t>
            </w:r>
          </w:p>
        </w:tc>
        <w:tc>
          <w:tcPr>
            <w:tcW w:w="540" w:type="dxa"/>
            <w:tcBorders>
              <w:top w:val="single" w:sz="4" w:space="0" w:color="auto"/>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(0.045)</w:t>
            </w:r>
          </w:p>
        </w:tc>
      </w:tr>
      <w:tr w:rsidR="003A6954" w:rsidRPr="00C413BA" w:rsidTr="003A6954">
        <w:trPr>
          <w:trHeight w:val="260"/>
          <w:jc w:val="center"/>
        </w:trPr>
        <w:tc>
          <w:tcPr>
            <w:tcW w:w="912" w:type="dxa"/>
            <w:tcBorders>
              <w:top w:val="nil"/>
              <w:left w:val="nil"/>
              <w:bottom w:val="nil"/>
              <w:right w:val="nil"/>
            </w:tcBorders>
            <w:noWrap/>
            <w:vAlign w:val="bottom"/>
            <w:hideMark/>
          </w:tcPr>
          <w:p w:rsidR="003A6954" w:rsidRPr="00C413BA" w:rsidRDefault="003A6954" w:rsidP="009610A8">
            <w:pPr>
              <w:spacing w:after="0"/>
              <w:jc w:val="right"/>
              <w:rPr>
                <w:rFonts w:eastAsia="Times New Roman" w:cs="Times New Roman"/>
                <w:b/>
                <w:bCs/>
                <w:color w:val="000000"/>
                <w:sz w:val="16"/>
                <w:szCs w:val="16"/>
              </w:rPr>
            </w:pPr>
            <w:r w:rsidRPr="00C413BA">
              <w:rPr>
                <w:rFonts w:eastAsia="Times New Roman" w:cs="Times New Roman"/>
                <w:b/>
                <w:bCs/>
                <w:color w:val="000000"/>
                <w:sz w:val="16"/>
                <w:szCs w:val="16"/>
              </w:rPr>
              <w:t>Al</w:t>
            </w:r>
          </w:p>
        </w:tc>
        <w:tc>
          <w:tcPr>
            <w:tcW w:w="685"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4.058 </w:t>
            </w:r>
          </w:p>
        </w:tc>
        <w:tc>
          <w:tcPr>
            <w:tcW w:w="723"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(0.053)</w:t>
            </w:r>
          </w:p>
        </w:tc>
        <w:tc>
          <w:tcPr>
            <w:tcW w:w="724"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3.983 </w:t>
            </w:r>
          </w:p>
        </w:tc>
        <w:tc>
          <w:tcPr>
            <w:tcW w:w="721"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(0.028)</w:t>
            </w:r>
          </w:p>
        </w:tc>
        <w:tc>
          <w:tcPr>
            <w:tcW w:w="716"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3.982 </w:t>
            </w:r>
          </w:p>
        </w:tc>
        <w:tc>
          <w:tcPr>
            <w:tcW w:w="716"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(0.026)</w:t>
            </w:r>
          </w:p>
        </w:tc>
        <w:tc>
          <w:tcPr>
            <w:tcW w:w="716"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4.020 </w:t>
            </w:r>
          </w:p>
        </w:tc>
        <w:tc>
          <w:tcPr>
            <w:tcW w:w="74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(0.027)</w:t>
            </w:r>
          </w:p>
        </w:tc>
        <w:tc>
          <w:tcPr>
            <w:tcW w:w="724"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4.016 </w:t>
            </w:r>
          </w:p>
        </w:tc>
        <w:tc>
          <w:tcPr>
            <w:tcW w:w="723"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(0.023)</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3.964 </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(0.036)</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4.058 </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(0.065)</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4.041 </w:t>
            </w:r>
          </w:p>
        </w:tc>
        <w:tc>
          <w:tcPr>
            <w:tcW w:w="54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(0.045)</w:t>
            </w:r>
          </w:p>
        </w:tc>
      </w:tr>
      <w:tr w:rsidR="003A6954" w:rsidRPr="00C413BA" w:rsidTr="003A6954">
        <w:trPr>
          <w:trHeight w:val="260"/>
          <w:jc w:val="center"/>
        </w:trPr>
        <w:tc>
          <w:tcPr>
            <w:tcW w:w="912" w:type="dxa"/>
            <w:tcBorders>
              <w:top w:val="nil"/>
              <w:left w:val="nil"/>
              <w:bottom w:val="nil"/>
              <w:right w:val="nil"/>
            </w:tcBorders>
            <w:noWrap/>
            <w:vAlign w:val="bottom"/>
            <w:hideMark/>
          </w:tcPr>
          <w:p w:rsidR="003A6954" w:rsidRPr="00C413BA" w:rsidRDefault="003A6954" w:rsidP="009610A8">
            <w:pPr>
              <w:spacing w:after="0"/>
              <w:jc w:val="right"/>
              <w:rPr>
                <w:rFonts w:eastAsia="Times New Roman" w:cs="Times New Roman"/>
                <w:b/>
                <w:bCs/>
                <w:color w:val="000000"/>
                <w:sz w:val="16"/>
                <w:szCs w:val="16"/>
              </w:rPr>
            </w:pPr>
            <w:r w:rsidRPr="00C413BA">
              <w:rPr>
                <w:rFonts w:eastAsia="Times New Roman" w:cs="Times New Roman"/>
                <w:b/>
                <w:bCs/>
                <w:color w:val="000000"/>
                <w:sz w:val="16"/>
                <w:szCs w:val="16"/>
              </w:rPr>
              <w:t>Fe</w:t>
            </w:r>
          </w:p>
        </w:tc>
        <w:tc>
          <w:tcPr>
            <w:tcW w:w="685"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0.295 </w:t>
            </w:r>
          </w:p>
        </w:tc>
        <w:tc>
          <w:tcPr>
            <w:tcW w:w="723"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(0.028)</w:t>
            </w:r>
          </w:p>
        </w:tc>
        <w:tc>
          <w:tcPr>
            <w:tcW w:w="724"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0.277 </w:t>
            </w:r>
          </w:p>
        </w:tc>
        <w:tc>
          <w:tcPr>
            <w:tcW w:w="721"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(0.039)</w:t>
            </w:r>
          </w:p>
        </w:tc>
        <w:tc>
          <w:tcPr>
            <w:tcW w:w="716"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0.343 </w:t>
            </w:r>
          </w:p>
        </w:tc>
        <w:tc>
          <w:tcPr>
            <w:tcW w:w="716"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(0.033)</w:t>
            </w:r>
          </w:p>
        </w:tc>
        <w:tc>
          <w:tcPr>
            <w:tcW w:w="716"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0.399 </w:t>
            </w:r>
          </w:p>
        </w:tc>
        <w:tc>
          <w:tcPr>
            <w:tcW w:w="74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(0.008)</w:t>
            </w:r>
          </w:p>
        </w:tc>
        <w:tc>
          <w:tcPr>
            <w:tcW w:w="724"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0.271 </w:t>
            </w:r>
          </w:p>
        </w:tc>
        <w:tc>
          <w:tcPr>
            <w:tcW w:w="723"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(0.020)</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0.270 </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(0.014)</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0.312 </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(0.029)</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0.451 </w:t>
            </w:r>
          </w:p>
        </w:tc>
        <w:tc>
          <w:tcPr>
            <w:tcW w:w="54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(0.026)</w:t>
            </w:r>
          </w:p>
        </w:tc>
      </w:tr>
      <w:tr w:rsidR="003A6954" w:rsidRPr="00C413BA" w:rsidTr="003A6954">
        <w:trPr>
          <w:trHeight w:val="260"/>
          <w:jc w:val="center"/>
        </w:trPr>
        <w:tc>
          <w:tcPr>
            <w:tcW w:w="912" w:type="dxa"/>
            <w:tcBorders>
              <w:top w:val="nil"/>
              <w:left w:val="nil"/>
              <w:bottom w:val="nil"/>
              <w:right w:val="nil"/>
            </w:tcBorders>
            <w:noWrap/>
            <w:vAlign w:val="bottom"/>
            <w:hideMark/>
          </w:tcPr>
          <w:p w:rsidR="003A6954" w:rsidRPr="00C413BA" w:rsidRDefault="003A6954" w:rsidP="009610A8">
            <w:pPr>
              <w:spacing w:after="0"/>
              <w:jc w:val="right"/>
              <w:rPr>
                <w:rFonts w:eastAsia="Times New Roman" w:cs="Times New Roman"/>
                <w:b/>
                <w:bCs/>
                <w:color w:val="000000"/>
                <w:sz w:val="16"/>
                <w:szCs w:val="16"/>
              </w:rPr>
            </w:pPr>
            <w:r w:rsidRPr="00C413BA">
              <w:rPr>
                <w:rFonts w:eastAsia="Times New Roman" w:cs="Times New Roman"/>
                <w:b/>
                <w:bCs/>
                <w:color w:val="000000"/>
                <w:sz w:val="16"/>
                <w:szCs w:val="16"/>
              </w:rPr>
              <w:t>Mn</w:t>
            </w:r>
          </w:p>
        </w:tc>
        <w:tc>
          <w:tcPr>
            <w:tcW w:w="685"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0.236 </w:t>
            </w:r>
          </w:p>
        </w:tc>
        <w:tc>
          <w:tcPr>
            <w:tcW w:w="723"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(0.032)</w:t>
            </w:r>
          </w:p>
        </w:tc>
        <w:tc>
          <w:tcPr>
            <w:tcW w:w="724"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0.239 </w:t>
            </w:r>
          </w:p>
        </w:tc>
        <w:tc>
          <w:tcPr>
            <w:tcW w:w="721"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(0.042)</w:t>
            </w:r>
          </w:p>
        </w:tc>
        <w:tc>
          <w:tcPr>
            <w:tcW w:w="716"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0.365 </w:t>
            </w:r>
          </w:p>
        </w:tc>
        <w:tc>
          <w:tcPr>
            <w:tcW w:w="716"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(0.022)</w:t>
            </w:r>
          </w:p>
        </w:tc>
        <w:tc>
          <w:tcPr>
            <w:tcW w:w="716"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0.278 </w:t>
            </w:r>
          </w:p>
        </w:tc>
        <w:tc>
          <w:tcPr>
            <w:tcW w:w="74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(0.018)</w:t>
            </w:r>
          </w:p>
        </w:tc>
        <w:tc>
          <w:tcPr>
            <w:tcW w:w="724"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0.213 </w:t>
            </w:r>
          </w:p>
        </w:tc>
        <w:tc>
          <w:tcPr>
            <w:tcW w:w="723"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(0.024)</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0.377 </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(0.059)</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0.236 </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(0.015)</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0.625 </w:t>
            </w:r>
          </w:p>
        </w:tc>
        <w:tc>
          <w:tcPr>
            <w:tcW w:w="54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(0.091)</w:t>
            </w:r>
          </w:p>
        </w:tc>
      </w:tr>
      <w:tr w:rsidR="003A6954" w:rsidRPr="00C413BA" w:rsidTr="003A6954">
        <w:trPr>
          <w:trHeight w:val="260"/>
          <w:jc w:val="center"/>
        </w:trPr>
        <w:tc>
          <w:tcPr>
            <w:tcW w:w="912" w:type="dxa"/>
            <w:tcBorders>
              <w:top w:val="nil"/>
              <w:left w:val="nil"/>
              <w:bottom w:val="nil"/>
              <w:right w:val="nil"/>
            </w:tcBorders>
            <w:noWrap/>
            <w:vAlign w:val="bottom"/>
            <w:hideMark/>
          </w:tcPr>
          <w:p w:rsidR="003A6954" w:rsidRPr="00C413BA" w:rsidRDefault="003A6954" w:rsidP="009610A8">
            <w:pPr>
              <w:spacing w:after="0"/>
              <w:jc w:val="right"/>
              <w:rPr>
                <w:rFonts w:eastAsia="Times New Roman" w:cs="Times New Roman"/>
                <w:b/>
                <w:bCs/>
                <w:color w:val="000000"/>
                <w:sz w:val="16"/>
                <w:szCs w:val="16"/>
              </w:rPr>
            </w:pPr>
            <w:r w:rsidRPr="00C413BA">
              <w:rPr>
                <w:rFonts w:eastAsia="Times New Roman" w:cs="Times New Roman"/>
                <w:b/>
                <w:bCs/>
                <w:color w:val="000000"/>
                <w:sz w:val="16"/>
                <w:szCs w:val="16"/>
              </w:rPr>
              <w:t>Mg</w:t>
            </w:r>
          </w:p>
        </w:tc>
        <w:tc>
          <w:tcPr>
            <w:tcW w:w="685"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1.548 </w:t>
            </w:r>
          </w:p>
        </w:tc>
        <w:tc>
          <w:tcPr>
            <w:tcW w:w="723"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(0.064)</w:t>
            </w:r>
          </w:p>
        </w:tc>
        <w:tc>
          <w:tcPr>
            <w:tcW w:w="724"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1.590 </w:t>
            </w:r>
          </w:p>
        </w:tc>
        <w:tc>
          <w:tcPr>
            <w:tcW w:w="721"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(0.085)</w:t>
            </w:r>
          </w:p>
        </w:tc>
        <w:tc>
          <w:tcPr>
            <w:tcW w:w="716"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1.389 </w:t>
            </w:r>
          </w:p>
        </w:tc>
        <w:tc>
          <w:tcPr>
            <w:tcW w:w="716"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(0.015)</w:t>
            </w:r>
          </w:p>
        </w:tc>
        <w:tc>
          <w:tcPr>
            <w:tcW w:w="716"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1.428 </w:t>
            </w:r>
          </w:p>
        </w:tc>
        <w:tc>
          <w:tcPr>
            <w:tcW w:w="74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(0.027)</w:t>
            </w:r>
          </w:p>
        </w:tc>
        <w:tc>
          <w:tcPr>
            <w:tcW w:w="724"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1.624 </w:t>
            </w:r>
          </w:p>
        </w:tc>
        <w:tc>
          <w:tcPr>
            <w:tcW w:w="723"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(0.041)</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1.441 </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(0.057)</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1.546 </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(0.040)</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0.994 </w:t>
            </w:r>
          </w:p>
        </w:tc>
        <w:tc>
          <w:tcPr>
            <w:tcW w:w="54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(0.075)</w:t>
            </w:r>
          </w:p>
        </w:tc>
      </w:tr>
      <w:tr w:rsidR="003A6954" w:rsidRPr="00C413BA" w:rsidTr="003A6954">
        <w:trPr>
          <w:trHeight w:val="260"/>
          <w:jc w:val="center"/>
        </w:trPr>
        <w:tc>
          <w:tcPr>
            <w:tcW w:w="912" w:type="dxa"/>
            <w:tcBorders>
              <w:top w:val="nil"/>
              <w:left w:val="nil"/>
              <w:bottom w:val="nil"/>
              <w:right w:val="nil"/>
            </w:tcBorders>
            <w:noWrap/>
            <w:vAlign w:val="bottom"/>
            <w:hideMark/>
          </w:tcPr>
          <w:p w:rsidR="003A6954" w:rsidRPr="00C413BA" w:rsidRDefault="003A6954" w:rsidP="009610A8">
            <w:pPr>
              <w:spacing w:after="0"/>
              <w:jc w:val="right"/>
              <w:rPr>
                <w:rFonts w:eastAsia="Times New Roman" w:cs="Times New Roman"/>
                <w:b/>
                <w:bCs/>
                <w:color w:val="000000"/>
                <w:sz w:val="16"/>
                <w:szCs w:val="16"/>
              </w:rPr>
            </w:pPr>
            <w:r w:rsidRPr="00C413BA">
              <w:rPr>
                <w:rFonts w:eastAsia="Times New Roman" w:cs="Times New Roman"/>
                <w:b/>
                <w:bCs/>
                <w:color w:val="000000"/>
                <w:sz w:val="16"/>
                <w:szCs w:val="16"/>
              </w:rPr>
              <w:t>Ca</w:t>
            </w:r>
          </w:p>
        </w:tc>
        <w:tc>
          <w:tcPr>
            <w:tcW w:w="685"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0.010 </w:t>
            </w:r>
          </w:p>
        </w:tc>
        <w:tc>
          <w:tcPr>
            <w:tcW w:w="723"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(0.003)</w:t>
            </w:r>
          </w:p>
        </w:tc>
        <w:tc>
          <w:tcPr>
            <w:tcW w:w="724"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0.005 </w:t>
            </w:r>
          </w:p>
        </w:tc>
        <w:tc>
          <w:tcPr>
            <w:tcW w:w="721"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(0.002)</w:t>
            </w:r>
          </w:p>
        </w:tc>
        <w:tc>
          <w:tcPr>
            <w:tcW w:w="716"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0.004 </w:t>
            </w:r>
          </w:p>
        </w:tc>
        <w:tc>
          <w:tcPr>
            <w:tcW w:w="716"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(0.002)</w:t>
            </w:r>
          </w:p>
        </w:tc>
        <w:tc>
          <w:tcPr>
            <w:tcW w:w="716"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0.005 </w:t>
            </w:r>
          </w:p>
        </w:tc>
        <w:tc>
          <w:tcPr>
            <w:tcW w:w="74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(0.002)</w:t>
            </w:r>
          </w:p>
        </w:tc>
        <w:tc>
          <w:tcPr>
            <w:tcW w:w="724"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0.006 </w:t>
            </w:r>
          </w:p>
        </w:tc>
        <w:tc>
          <w:tcPr>
            <w:tcW w:w="723"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(0.002)</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0.005 </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(0.002)</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0.008 </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(0.002)</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0.008 </w:t>
            </w:r>
          </w:p>
        </w:tc>
        <w:tc>
          <w:tcPr>
            <w:tcW w:w="54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(0.004)</w:t>
            </w:r>
          </w:p>
        </w:tc>
      </w:tr>
      <w:tr w:rsidR="003A6954" w:rsidRPr="00C413BA" w:rsidTr="003A6954">
        <w:trPr>
          <w:trHeight w:val="260"/>
          <w:jc w:val="center"/>
        </w:trPr>
        <w:tc>
          <w:tcPr>
            <w:tcW w:w="912" w:type="dxa"/>
            <w:tcBorders>
              <w:top w:val="nil"/>
              <w:left w:val="nil"/>
              <w:bottom w:val="nil"/>
              <w:right w:val="nil"/>
            </w:tcBorders>
            <w:noWrap/>
            <w:vAlign w:val="bottom"/>
            <w:hideMark/>
          </w:tcPr>
          <w:p w:rsidR="003A6954" w:rsidRPr="00C413BA" w:rsidRDefault="003A6954" w:rsidP="009610A8">
            <w:pPr>
              <w:spacing w:after="0"/>
              <w:jc w:val="right"/>
              <w:rPr>
                <w:rFonts w:eastAsia="Times New Roman" w:cs="Times New Roman"/>
                <w:b/>
                <w:bCs/>
                <w:color w:val="000000"/>
                <w:sz w:val="16"/>
                <w:szCs w:val="16"/>
              </w:rPr>
            </w:pPr>
            <w:r w:rsidRPr="00C413BA">
              <w:rPr>
                <w:rFonts w:eastAsia="Times New Roman" w:cs="Times New Roman"/>
                <w:b/>
                <w:bCs/>
                <w:color w:val="000000"/>
                <w:sz w:val="16"/>
                <w:szCs w:val="16"/>
              </w:rPr>
              <w:t>Na</w:t>
            </w:r>
          </w:p>
        </w:tc>
        <w:tc>
          <w:tcPr>
            <w:tcW w:w="685"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0.051 </w:t>
            </w:r>
          </w:p>
        </w:tc>
        <w:tc>
          <w:tcPr>
            <w:tcW w:w="723"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(0.012)</w:t>
            </w:r>
          </w:p>
        </w:tc>
        <w:tc>
          <w:tcPr>
            <w:tcW w:w="724"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0.042 </w:t>
            </w:r>
          </w:p>
        </w:tc>
        <w:tc>
          <w:tcPr>
            <w:tcW w:w="721"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(0.013)</w:t>
            </w:r>
          </w:p>
        </w:tc>
        <w:tc>
          <w:tcPr>
            <w:tcW w:w="716"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0.030 </w:t>
            </w:r>
          </w:p>
        </w:tc>
        <w:tc>
          <w:tcPr>
            <w:tcW w:w="716"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(0.006)</w:t>
            </w:r>
          </w:p>
        </w:tc>
        <w:tc>
          <w:tcPr>
            <w:tcW w:w="716"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0.036 </w:t>
            </w:r>
          </w:p>
        </w:tc>
        <w:tc>
          <w:tcPr>
            <w:tcW w:w="74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(0.012)</w:t>
            </w:r>
          </w:p>
        </w:tc>
        <w:tc>
          <w:tcPr>
            <w:tcW w:w="724"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0.053 </w:t>
            </w:r>
          </w:p>
        </w:tc>
        <w:tc>
          <w:tcPr>
            <w:tcW w:w="723"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(0.014)</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0.036 </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(0.012)</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0.067 </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(0.006)</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0.084 </w:t>
            </w:r>
          </w:p>
        </w:tc>
        <w:tc>
          <w:tcPr>
            <w:tcW w:w="54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(0.034)</w:t>
            </w:r>
          </w:p>
        </w:tc>
      </w:tr>
      <w:tr w:rsidR="003A6954" w:rsidRPr="00C413BA" w:rsidTr="003A6954">
        <w:trPr>
          <w:trHeight w:val="260"/>
          <w:jc w:val="center"/>
        </w:trPr>
        <w:tc>
          <w:tcPr>
            <w:tcW w:w="912" w:type="dxa"/>
            <w:tcBorders>
              <w:top w:val="nil"/>
              <w:left w:val="nil"/>
              <w:bottom w:val="nil"/>
              <w:right w:val="nil"/>
            </w:tcBorders>
            <w:noWrap/>
            <w:vAlign w:val="bottom"/>
            <w:hideMark/>
          </w:tcPr>
          <w:p w:rsidR="003A6954" w:rsidRPr="00C413BA" w:rsidRDefault="003A6954" w:rsidP="009610A8">
            <w:pPr>
              <w:spacing w:after="0"/>
              <w:jc w:val="right"/>
              <w:rPr>
                <w:rFonts w:eastAsia="Times New Roman" w:cs="Times New Roman"/>
                <w:b/>
                <w:bCs/>
                <w:color w:val="000000"/>
                <w:sz w:val="16"/>
                <w:szCs w:val="16"/>
              </w:rPr>
            </w:pPr>
            <w:r w:rsidRPr="00C413BA">
              <w:rPr>
                <w:rFonts w:eastAsia="Times New Roman" w:cs="Times New Roman"/>
                <w:b/>
                <w:bCs/>
                <w:color w:val="000000"/>
                <w:sz w:val="16"/>
                <w:szCs w:val="16"/>
              </w:rPr>
              <w:t>K</w:t>
            </w:r>
          </w:p>
        </w:tc>
        <w:tc>
          <w:tcPr>
            <w:tcW w:w="685"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0.025 </w:t>
            </w:r>
          </w:p>
        </w:tc>
        <w:tc>
          <w:tcPr>
            <w:tcW w:w="723"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(0.006)</w:t>
            </w:r>
          </w:p>
        </w:tc>
        <w:tc>
          <w:tcPr>
            <w:tcW w:w="724"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0.009 </w:t>
            </w:r>
          </w:p>
        </w:tc>
        <w:tc>
          <w:tcPr>
            <w:tcW w:w="721"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(0.002)</w:t>
            </w:r>
          </w:p>
        </w:tc>
        <w:tc>
          <w:tcPr>
            <w:tcW w:w="716"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0.007 </w:t>
            </w:r>
          </w:p>
        </w:tc>
        <w:tc>
          <w:tcPr>
            <w:tcW w:w="716"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(0.002)</w:t>
            </w:r>
          </w:p>
        </w:tc>
        <w:tc>
          <w:tcPr>
            <w:tcW w:w="716"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0.010 </w:t>
            </w:r>
          </w:p>
        </w:tc>
        <w:tc>
          <w:tcPr>
            <w:tcW w:w="74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(0.003)</w:t>
            </w:r>
          </w:p>
        </w:tc>
        <w:tc>
          <w:tcPr>
            <w:tcW w:w="724"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0.013 </w:t>
            </w:r>
          </w:p>
        </w:tc>
        <w:tc>
          <w:tcPr>
            <w:tcW w:w="723"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(0.007)</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0.007 </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(0.003)</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0.017 </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(0.004)</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0.009 </w:t>
            </w:r>
          </w:p>
        </w:tc>
        <w:tc>
          <w:tcPr>
            <w:tcW w:w="54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(0.004)</w:t>
            </w:r>
          </w:p>
        </w:tc>
      </w:tr>
      <w:tr w:rsidR="003A6954" w:rsidRPr="00C413BA" w:rsidTr="003A6954">
        <w:trPr>
          <w:trHeight w:val="260"/>
          <w:jc w:val="center"/>
        </w:trPr>
        <w:tc>
          <w:tcPr>
            <w:tcW w:w="912" w:type="dxa"/>
            <w:tcBorders>
              <w:top w:val="nil"/>
              <w:left w:val="nil"/>
              <w:bottom w:val="nil"/>
              <w:right w:val="nil"/>
            </w:tcBorders>
            <w:noWrap/>
            <w:vAlign w:val="bottom"/>
            <w:hideMark/>
          </w:tcPr>
          <w:p w:rsidR="003A6954" w:rsidRPr="00C413BA" w:rsidRDefault="003A6954" w:rsidP="009610A8">
            <w:pPr>
              <w:spacing w:after="0"/>
              <w:jc w:val="right"/>
              <w:rPr>
                <w:rFonts w:eastAsia="Times New Roman" w:cs="Times New Roman"/>
                <w:b/>
                <w:bCs/>
                <w:color w:val="000000"/>
                <w:sz w:val="16"/>
                <w:szCs w:val="16"/>
              </w:rPr>
            </w:pPr>
            <w:r w:rsidRPr="00C413BA">
              <w:rPr>
                <w:rFonts w:eastAsia="Times New Roman" w:cs="Times New Roman"/>
                <w:b/>
                <w:bCs/>
                <w:color w:val="000000"/>
                <w:sz w:val="16"/>
                <w:szCs w:val="16"/>
              </w:rPr>
              <w:t>∑Cations</w:t>
            </w:r>
          </w:p>
        </w:tc>
        <w:tc>
          <w:tcPr>
            <w:tcW w:w="685"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11.116 </w:t>
            </w:r>
          </w:p>
        </w:tc>
        <w:tc>
          <w:tcPr>
            <w:tcW w:w="723"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(0.029)</w:t>
            </w:r>
          </w:p>
        </w:tc>
        <w:tc>
          <w:tcPr>
            <w:tcW w:w="724"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11.090 </w:t>
            </w:r>
          </w:p>
        </w:tc>
        <w:tc>
          <w:tcPr>
            <w:tcW w:w="721"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(0.025)</w:t>
            </w:r>
          </w:p>
        </w:tc>
        <w:tc>
          <w:tcPr>
            <w:tcW w:w="716"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11.074 </w:t>
            </w:r>
          </w:p>
        </w:tc>
        <w:tc>
          <w:tcPr>
            <w:tcW w:w="716"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(0.013)</w:t>
            </w:r>
          </w:p>
        </w:tc>
        <w:tc>
          <w:tcPr>
            <w:tcW w:w="716"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11.095 </w:t>
            </w:r>
          </w:p>
        </w:tc>
        <w:tc>
          <w:tcPr>
            <w:tcW w:w="74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(0.017)</w:t>
            </w:r>
          </w:p>
        </w:tc>
        <w:tc>
          <w:tcPr>
            <w:tcW w:w="724"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11.110 </w:t>
            </w:r>
          </w:p>
        </w:tc>
        <w:tc>
          <w:tcPr>
            <w:tcW w:w="723"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(0.022)</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11.070 </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(0.017)</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11.129 </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(0.015)</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11.119 </w:t>
            </w:r>
          </w:p>
        </w:tc>
        <w:tc>
          <w:tcPr>
            <w:tcW w:w="54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(0.041)</w:t>
            </w:r>
          </w:p>
        </w:tc>
      </w:tr>
      <w:tr w:rsidR="003A6954" w:rsidRPr="00C413BA" w:rsidTr="003A6954">
        <w:trPr>
          <w:trHeight w:val="260"/>
          <w:jc w:val="center"/>
        </w:trPr>
        <w:tc>
          <w:tcPr>
            <w:tcW w:w="912" w:type="dxa"/>
            <w:tcBorders>
              <w:top w:val="nil"/>
              <w:left w:val="nil"/>
              <w:bottom w:val="nil"/>
              <w:right w:val="nil"/>
            </w:tcBorders>
            <w:noWrap/>
            <w:vAlign w:val="bottom"/>
            <w:hideMark/>
          </w:tcPr>
          <w:p w:rsidR="003A6954" w:rsidRPr="00C413BA" w:rsidRDefault="003A6954" w:rsidP="009610A8">
            <w:pPr>
              <w:spacing w:after="0"/>
              <w:jc w:val="right"/>
              <w:rPr>
                <w:rFonts w:eastAsia="Times New Roman" w:cs="Times New Roman"/>
                <w:b/>
                <w:bCs/>
                <w:color w:val="000000"/>
                <w:sz w:val="16"/>
                <w:szCs w:val="16"/>
              </w:rPr>
            </w:pPr>
            <w:r w:rsidRPr="00C413BA">
              <w:rPr>
                <w:rFonts w:eastAsia="Times New Roman" w:cs="Times New Roman"/>
                <w:b/>
                <w:bCs/>
                <w:color w:val="000000"/>
                <w:sz w:val="16"/>
                <w:szCs w:val="16"/>
              </w:rPr>
              <w:t>∑M site</w:t>
            </w:r>
          </w:p>
        </w:tc>
        <w:tc>
          <w:tcPr>
            <w:tcW w:w="685"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2.079 </w:t>
            </w:r>
          </w:p>
        </w:tc>
        <w:tc>
          <w:tcPr>
            <w:tcW w:w="723"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(0.021)</w:t>
            </w:r>
          </w:p>
        </w:tc>
        <w:tc>
          <w:tcPr>
            <w:tcW w:w="724"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2.106 </w:t>
            </w:r>
          </w:p>
        </w:tc>
        <w:tc>
          <w:tcPr>
            <w:tcW w:w="721"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(0.025)</w:t>
            </w:r>
          </w:p>
        </w:tc>
        <w:tc>
          <w:tcPr>
            <w:tcW w:w="716"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2.097 </w:t>
            </w:r>
          </w:p>
        </w:tc>
        <w:tc>
          <w:tcPr>
            <w:tcW w:w="716"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(0.010)</w:t>
            </w:r>
          </w:p>
        </w:tc>
        <w:tc>
          <w:tcPr>
            <w:tcW w:w="716"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2.105 </w:t>
            </w:r>
          </w:p>
        </w:tc>
        <w:tc>
          <w:tcPr>
            <w:tcW w:w="740"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(0.022)</w:t>
            </w:r>
          </w:p>
        </w:tc>
        <w:tc>
          <w:tcPr>
            <w:tcW w:w="724"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2.107 </w:t>
            </w:r>
          </w:p>
        </w:tc>
        <w:tc>
          <w:tcPr>
            <w:tcW w:w="723"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(0.011)</w:t>
            </w:r>
          </w:p>
        </w:tc>
        <w:tc>
          <w:tcPr>
            <w:tcW w:w="720"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2.088 </w:t>
            </w:r>
          </w:p>
        </w:tc>
        <w:tc>
          <w:tcPr>
            <w:tcW w:w="720"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(0.024)</w:t>
            </w:r>
          </w:p>
        </w:tc>
        <w:tc>
          <w:tcPr>
            <w:tcW w:w="720"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2.094 </w:t>
            </w:r>
          </w:p>
        </w:tc>
        <w:tc>
          <w:tcPr>
            <w:tcW w:w="720"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(0.018)</w:t>
            </w:r>
          </w:p>
        </w:tc>
        <w:tc>
          <w:tcPr>
            <w:tcW w:w="720"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2.070 </w:t>
            </w:r>
          </w:p>
        </w:tc>
        <w:tc>
          <w:tcPr>
            <w:tcW w:w="540"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(0.012)</w:t>
            </w:r>
          </w:p>
        </w:tc>
      </w:tr>
      <w:tr w:rsidR="003A6954" w:rsidRPr="00C413BA" w:rsidTr="003A6954">
        <w:trPr>
          <w:trHeight w:val="260"/>
          <w:jc w:val="center"/>
        </w:trPr>
        <w:tc>
          <w:tcPr>
            <w:tcW w:w="912"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p>
        </w:tc>
        <w:tc>
          <w:tcPr>
            <w:tcW w:w="685" w:type="dxa"/>
            <w:tcBorders>
              <w:top w:val="nil"/>
              <w:left w:val="nil"/>
              <w:bottom w:val="nil"/>
              <w:right w:val="nil"/>
            </w:tcBorders>
            <w:noWrap/>
            <w:vAlign w:val="bottom"/>
            <w:hideMark/>
          </w:tcPr>
          <w:p w:rsidR="003A6954" w:rsidRPr="00C413BA" w:rsidRDefault="003A6954" w:rsidP="009610A8">
            <w:pPr>
              <w:spacing w:after="0"/>
              <w:jc w:val="right"/>
              <w:rPr>
                <w:rFonts w:eastAsia="Times New Roman" w:cs="Times New Roman"/>
                <w:sz w:val="16"/>
                <w:szCs w:val="16"/>
              </w:rPr>
            </w:pPr>
          </w:p>
        </w:tc>
        <w:tc>
          <w:tcPr>
            <w:tcW w:w="723"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sz w:val="16"/>
                <w:szCs w:val="16"/>
              </w:rPr>
            </w:pPr>
          </w:p>
        </w:tc>
        <w:tc>
          <w:tcPr>
            <w:tcW w:w="724"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sz w:val="16"/>
                <w:szCs w:val="16"/>
              </w:rPr>
            </w:pPr>
          </w:p>
        </w:tc>
        <w:tc>
          <w:tcPr>
            <w:tcW w:w="721"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sz w:val="16"/>
                <w:szCs w:val="16"/>
              </w:rPr>
            </w:pPr>
          </w:p>
        </w:tc>
        <w:tc>
          <w:tcPr>
            <w:tcW w:w="716"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sz w:val="16"/>
                <w:szCs w:val="16"/>
              </w:rPr>
            </w:pPr>
          </w:p>
        </w:tc>
        <w:tc>
          <w:tcPr>
            <w:tcW w:w="716"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sz w:val="16"/>
                <w:szCs w:val="16"/>
              </w:rPr>
            </w:pPr>
          </w:p>
        </w:tc>
        <w:tc>
          <w:tcPr>
            <w:tcW w:w="716"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sz w:val="16"/>
                <w:szCs w:val="16"/>
              </w:rPr>
            </w:pPr>
          </w:p>
        </w:tc>
        <w:tc>
          <w:tcPr>
            <w:tcW w:w="74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sz w:val="16"/>
                <w:szCs w:val="16"/>
              </w:rPr>
            </w:pPr>
          </w:p>
        </w:tc>
        <w:tc>
          <w:tcPr>
            <w:tcW w:w="724"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sz w:val="16"/>
                <w:szCs w:val="16"/>
              </w:rPr>
            </w:pPr>
          </w:p>
        </w:tc>
        <w:tc>
          <w:tcPr>
            <w:tcW w:w="723"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sz w:val="16"/>
                <w:szCs w:val="16"/>
              </w:rPr>
            </w:pP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sz w:val="16"/>
                <w:szCs w:val="16"/>
              </w:rPr>
            </w:pP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sz w:val="16"/>
                <w:szCs w:val="16"/>
              </w:rPr>
            </w:pP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sz w:val="16"/>
                <w:szCs w:val="16"/>
              </w:rPr>
            </w:pP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sz w:val="16"/>
                <w:szCs w:val="16"/>
              </w:rPr>
            </w:pP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sz w:val="16"/>
                <w:szCs w:val="16"/>
              </w:rPr>
            </w:pPr>
          </w:p>
        </w:tc>
        <w:tc>
          <w:tcPr>
            <w:tcW w:w="54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sz w:val="16"/>
                <w:szCs w:val="16"/>
              </w:rPr>
            </w:pPr>
          </w:p>
        </w:tc>
      </w:tr>
      <w:tr w:rsidR="003A6954" w:rsidRPr="00C413BA" w:rsidTr="003A6954">
        <w:trPr>
          <w:trHeight w:val="260"/>
          <w:jc w:val="center"/>
        </w:trPr>
        <w:tc>
          <w:tcPr>
            <w:tcW w:w="912"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sz w:val="16"/>
                <w:szCs w:val="16"/>
              </w:rPr>
            </w:pPr>
          </w:p>
        </w:tc>
        <w:tc>
          <w:tcPr>
            <w:tcW w:w="3569" w:type="dxa"/>
            <w:gridSpan w:val="5"/>
            <w:tcBorders>
              <w:top w:val="nil"/>
              <w:left w:val="nil"/>
              <w:bottom w:val="single" w:sz="4" w:space="0" w:color="auto"/>
              <w:right w:val="nil"/>
            </w:tcBorders>
            <w:noWrap/>
            <w:vAlign w:val="bottom"/>
            <w:hideMark/>
          </w:tcPr>
          <w:p w:rsidR="003A6954" w:rsidRPr="00C413BA" w:rsidRDefault="003A6954" w:rsidP="009610A8">
            <w:pPr>
              <w:spacing w:after="0"/>
              <w:rPr>
                <w:rFonts w:eastAsia="Times New Roman" w:cs="Times New Roman"/>
                <w:b/>
                <w:bCs/>
                <w:color w:val="000000"/>
                <w:sz w:val="16"/>
                <w:szCs w:val="16"/>
              </w:rPr>
            </w:pPr>
            <w:r w:rsidRPr="00C413BA">
              <w:rPr>
                <w:rFonts w:eastAsia="Times New Roman" w:cs="Times New Roman"/>
                <w:b/>
                <w:bCs/>
                <w:color w:val="000000"/>
                <w:sz w:val="16"/>
                <w:szCs w:val="16"/>
              </w:rPr>
              <w:t>Normative End-Member Components</w:t>
            </w:r>
          </w:p>
        </w:tc>
        <w:tc>
          <w:tcPr>
            <w:tcW w:w="716" w:type="dxa"/>
            <w:tcBorders>
              <w:top w:val="nil"/>
              <w:left w:val="nil"/>
              <w:bottom w:val="single" w:sz="4" w:space="0" w:color="auto"/>
              <w:right w:val="nil"/>
            </w:tcBorders>
            <w:noWrap/>
            <w:vAlign w:val="bottom"/>
            <w:hideMark/>
          </w:tcPr>
          <w:p w:rsidR="003A6954" w:rsidRPr="00C413BA" w:rsidRDefault="003A6954" w:rsidP="009610A8">
            <w:pPr>
              <w:spacing w:after="0"/>
              <w:rPr>
                <w:rFonts w:eastAsia="Times New Roman" w:cs="Times New Roman"/>
                <w:b/>
                <w:bCs/>
                <w:color w:val="000000"/>
                <w:sz w:val="16"/>
                <w:szCs w:val="16"/>
              </w:rPr>
            </w:pPr>
          </w:p>
        </w:tc>
        <w:tc>
          <w:tcPr>
            <w:tcW w:w="716"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sz w:val="16"/>
                <w:szCs w:val="16"/>
              </w:rPr>
            </w:pPr>
          </w:p>
        </w:tc>
        <w:tc>
          <w:tcPr>
            <w:tcW w:w="740"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sz w:val="16"/>
                <w:szCs w:val="16"/>
              </w:rPr>
            </w:pPr>
          </w:p>
        </w:tc>
        <w:tc>
          <w:tcPr>
            <w:tcW w:w="724"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sz w:val="16"/>
                <w:szCs w:val="16"/>
              </w:rPr>
            </w:pPr>
          </w:p>
        </w:tc>
        <w:tc>
          <w:tcPr>
            <w:tcW w:w="723"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sz w:val="16"/>
                <w:szCs w:val="16"/>
              </w:rPr>
            </w:pPr>
          </w:p>
        </w:tc>
        <w:tc>
          <w:tcPr>
            <w:tcW w:w="720"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sz w:val="16"/>
                <w:szCs w:val="16"/>
              </w:rPr>
            </w:pPr>
          </w:p>
        </w:tc>
        <w:tc>
          <w:tcPr>
            <w:tcW w:w="720"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sz w:val="16"/>
                <w:szCs w:val="16"/>
              </w:rPr>
            </w:pPr>
          </w:p>
        </w:tc>
        <w:tc>
          <w:tcPr>
            <w:tcW w:w="720"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sz w:val="16"/>
                <w:szCs w:val="16"/>
              </w:rPr>
            </w:pPr>
          </w:p>
        </w:tc>
        <w:tc>
          <w:tcPr>
            <w:tcW w:w="720"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sz w:val="16"/>
                <w:szCs w:val="16"/>
              </w:rPr>
            </w:pPr>
          </w:p>
        </w:tc>
        <w:tc>
          <w:tcPr>
            <w:tcW w:w="720"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sz w:val="16"/>
                <w:szCs w:val="16"/>
              </w:rPr>
            </w:pPr>
          </w:p>
        </w:tc>
        <w:tc>
          <w:tcPr>
            <w:tcW w:w="540"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sz w:val="16"/>
                <w:szCs w:val="16"/>
              </w:rPr>
            </w:pPr>
          </w:p>
        </w:tc>
      </w:tr>
      <w:tr w:rsidR="003A6954" w:rsidRPr="00C413BA" w:rsidTr="003A6954">
        <w:trPr>
          <w:trHeight w:val="260"/>
          <w:jc w:val="center"/>
        </w:trPr>
        <w:tc>
          <w:tcPr>
            <w:tcW w:w="912" w:type="dxa"/>
            <w:tcBorders>
              <w:top w:val="nil"/>
              <w:left w:val="nil"/>
              <w:bottom w:val="nil"/>
              <w:right w:val="nil"/>
            </w:tcBorders>
            <w:noWrap/>
            <w:vAlign w:val="bottom"/>
            <w:hideMark/>
          </w:tcPr>
          <w:p w:rsidR="003A6954" w:rsidRPr="00C413BA" w:rsidRDefault="003A6954" w:rsidP="009610A8">
            <w:pPr>
              <w:spacing w:after="0"/>
              <w:jc w:val="right"/>
              <w:rPr>
                <w:rFonts w:eastAsia="Times New Roman" w:cs="Times New Roman"/>
                <w:b/>
                <w:bCs/>
                <w:color w:val="000000"/>
                <w:sz w:val="16"/>
                <w:szCs w:val="16"/>
              </w:rPr>
            </w:pPr>
            <w:r w:rsidRPr="00C413BA">
              <w:rPr>
                <w:rFonts w:eastAsia="Times New Roman" w:cs="Times New Roman"/>
                <w:b/>
                <w:bCs/>
                <w:color w:val="000000"/>
                <w:sz w:val="16"/>
                <w:szCs w:val="16"/>
              </w:rPr>
              <w:t>% Crd</w:t>
            </w:r>
          </w:p>
        </w:tc>
        <w:tc>
          <w:tcPr>
            <w:tcW w:w="685"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83.99 </w:t>
            </w:r>
          </w:p>
        </w:tc>
        <w:tc>
          <w:tcPr>
            <w:tcW w:w="723"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(1.76)</w:t>
            </w:r>
          </w:p>
        </w:tc>
        <w:tc>
          <w:tcPr>
            <w:tcW w:w="724"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85.13 </w:t>
            </w:r>
          </w:p>
        </w:tc>
        <w:tc>
          <w:tcPr>
            <w:tcW w:w="721"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(2.43)</w:t>
            </w:r>
          </w:p>
        </w:tc>
        <w:tc>
          <w:tcPr>
            <w:tcW w:w="716"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80.22 </w:t>
            </w:r>
          </w:p>
        </w:tc>
        <w:tc>
          <w:tcPr>
            <w:tcW w:w="716"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(1.65)</w:t>
            </w:r>
          </w:p>
        </w:tc>
        <w:tc>
          <w:tcPr>
            <w:tcW w:w="716"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78.14 </w:t>
            </w:r>
          </w:p>
        </w:tc>
        <w:tc>
          <w:tcPr>
            <w:tcW w:w="74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(0.46)</w:t>
            </w:r>
          </w:p>
        </w:tc>
        <w:tc>
          <w:tcPr>
            <w:tcW w:w="724"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85.71 </w:t>
            </w:r>
          </w:p>
        </w:tc>
        <w:tc>
          <w:tcPr>
            <w:tcW w:w="723"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(1.18)</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84.19 </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(0.68)</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83.20 </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(1.58)</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68.73 </w:t>
            </w:r>
          </w:p>
        </w:tc>
        <w:tc>
          <w:tcPr>
            <w:tcW w:w="54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(1.79)</w:t>
            </w:r>
          </w:p>
        </w:tc>
      </w:tr>
      <w:tr w:rsidR="003A6954" w:rsidRPr="00C413BA" w:rsidTr="003A6954">
        <w:trPr>
          <w:trHeight w:val="260"/>
          <w:jc w:val="center"/>
        </w:trPr>
        <w:tc>
          <w:tcPr>
            <w:tcW w:w="912" w:type="dxa"/>
            <w:tcBorders>
              <w:top w:val="nil"/>
              <w:left w:val="nil"/>
              <w:bottom w:val="nil"/>
              <w:right w:val="nil"/>
            </w:tcBorders>
            <w:noWrap/>
            <w:vAlign w:val="bottom"/>
            <w:hideMark/>
          </w:tcPr>
          <w:p w:rsidR="003A6954" w:rsidRPr="00C413BA" w:rsidRDefault="003A6954" w:rsidP="009610A8">
            <w:pPr>
              <w:spacing w:after="0"/>
              <w:jc w:val="right"/>
              <w:rPr>
                <w:rFonts w:eastAsia="Times New Roman" w:cs="Times New Roman"/>
                <w:b/>
                <w:bCs/>
                <w:color w:val="000000"/>
                <w:sz w:val="16"/>
                <w:szCs w:val="16"/>
              </w:rPr>
            </w:pPr>
            <w:r w:rsidRPr="00C413BA">
              <w:rPr>
                <w:rFonts w:eastAsia="Times New Roman" w:cs="Times New Roman"/>
                <w:b/>
                <w:bCs/>
                <w:color w:val="000000"/>
                <w:sz w:val="16"/>
                <w:szCs w:val="16"/>
              </w:rPr>
              <w:t>% Sek</w:t>
            </w:r>
          </w:p>
        </w:tc>
        <w:tc>
          <w:tcPr>
            <w:tcW w:w="685"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16.01 </w:t>
            </w:r>
          </w:p>
        </w:tc>
        <w:tc>
          <w:tcPr>
            <w:tcW w:w="723"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(1.76)</w:t>
            </w:r>
          </w:p>
        </w:tc>
        <w:tc>
          <w:tcPr>
            <w:tcW w:w="724"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14.87 </w:t>
            </w:r>
          </w:p>
        </w:tc>
        <w:tc>
          <w:tcPr>
            <w:tcW w:w="721"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(2.43)</w:t>
            </w:r>
          </w:p>
        </w:tc>
        <w:tc>
          <w:tcPr>
            <w:tcW w:w="716"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19.78 </w:t>
            </w:r>
          </w:p>
        </w:tc>
        <w:tc>
          <w:tcPr>
            <w:tcW w:w="716"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(1.65)</w:t>
            </w:r>
          </w:p>
        </w:tc>
        <w:tc>
          <w:tcPr>
            <w:tcW w:w="716"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21.86 </w:t>
            </w:r>
          </w:p>
        </w:tc>
        <w:tc>
          <w:tcPr>
            <w:tcW w:w="740" w:type="dxa"/>
            <w:tcBorders>
              <w:top w:val="nil"/>
              <w:left w:val="nil"/>
              <w:bottom w:val="single" w:sz="4" w:space="0" w:color="auto"/>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(0.46)</w:t>
            </w:r>
          </w:p>
        </w:tc>
        <w:tc>
          <w:tcPr>
            <w:tcW w:w="724"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14.29 </w:t>
            </w:r>
          </w:p>
        </w:tc>
        <w:tc>
          <w:tcPr>
            <w:tcW w:w="723"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(1.18)</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15.81 </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(0.68)</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16.80 </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(1.58)</w:t>
            </w:r>
          </w:p>
        </w:tc>
        <w:tc>
          <w:tcPr>
            <w:tcW w:w="72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 xml:space="preserve">31.27 </w:t>
            </w:r>
          </w:p>
        </w:tc>
        <w:tc>
          <w:tcPr>
            <w:tcW w:w="540"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r w:rsidRPr="00C413BA">
              <w:rPr>
                <w:rFonts w:eastAsia="Times New Roman" w:cs="Times New Roman"/>
                <w:color w:val="000000"/>
                <w:sz w:val="16"/>
                <w:szCs w:val="16"/>
              </w:rPr>
              <w:t>(1.79)</w:t>
            </w:r>
          </w:p>
        </w:tc>
      </w:tr>
      <w:tr w:rsidR="003A6954" w:rsidRPr="00C413BA" w:rsidTr="003A6954">
        <w:trPr>
          <w:trHeight w:val="128"/>
          <w:jc w:val="center"/>
        </w:trPr>
        <w:tc>
          <w:tcPr>
            <w:tcW w:w="912" w:type="dxa"/>
            <w:tcBorders>
              <w:top w:val="nil"/>
              <w:left w:val="nil"/>
              <w:bottom w:val="nil"/>
              <w:right w:val="nil"/>
            </w:tcBorders>
            <w:noWrap/>
            <w:vAlign w:val="bottom"/>
            <w:hideMark/>
          </w:tcPr>
          <w:p w:rsidR="003A6954" w:rsidRPr="00C413BA" w:rsidRDefault="003A6954" w:rsidP="009610A8">
            <w:pPr>
              <w:spacing w:after="0"/>
              <w:jc w:val="center"/>
              <w:rPr>
                <w:rFonts w:eastAsia="Times New Roman" w:cs="Times New Roman"/>
                <w:color w:val="000000"/>
                <w:sz w:val="16"/>
                <w:szCs w:val="16"/>
              </w:rPr>
            </w:pPr>
          </w:p>
        </w:tc>
        <w:tc>
          <w:tcPr>
            <w:tcW w:w="2853" w:type="dxa"/>
            <w:gridSpan w:val="4"/>
            <w:tcBorders>
              <w:top w:val="nil"/>
              <w:left w:val="nil"/>
              <w:bottom w:val="nil"/>
              <w:right w:val="nil"/>
            </w:tcBorders>
            <w:noWrap/>
            <w:vAlign w:val="bottom"/>
            <w:hideMark/>
          </w:tcPr>
          <w:p w:rsidR="003A6954" w:rsidRPr="00C413BA" w:rsidRDefault="003A6954" w:rsidP="009610A8">
            <w:pPr>
              <w:spacing w:after="0"/>
              <w:rPr>
                <w:rFonts w:eastAsia="Times New Roman" w:cs="Times New Roman"/>
                <w:color w:val="000000"/>
                <w:sz w:val="16"/>
                <w:szCs w:val="16"/>
              </w:rPr>
            </w:pPr>
            <w:r w:rsidRPr="00C413BA">
              <w:rPr>
                <w:rFonts w:eastAsia="Times New Roman" w:cs="Times New Roman"/>
                <w:color w:val="000000"/>
                <w:sz w:val="16"/>
                <w:szCs w:val="16"/>
              </w:rPr>
              <w:t>Crd: Mg</w:t>
            </w:r>
            <w:r w:rsidRPr="00C413BA">
              <w:rPr>
                <w:rFonts w:eastAsia="Times New Roman" w:cs="Times New Roman"/>
                <w:color w:val="000000"/>
                <w:sz w:val="16"/>
                <w:szCs w:val="16"/>
                <w:vertAlign w:val="subscript"/>
              </w:rPr>
              <w:t>2</w:t>
            </w:r>
            <w:r w:rsidRPr="00C413BA">
              <w:rPr>
                <w:rFonts w:eastAsia="Times New Roman" w:cs="Times New Roman"/>
                <w:color w:val="000000"/>
                <w:sz w:val="16"/>
                <w:szCs w:val="16"/>
              </w:rPr>
              <w:t>Al</w:t>
            </w:r>
            <w:r w:rsidRPr="00C413BA">
              <w:rPr>
                <w:rFonts w:eastAsia="Times New Roman" w:cs="Times New Roman"/>
                <w:color w:val="000000"/>
                <w:sz w:val="16"/>
                <w:szCs w:val="16"/>
                <w:vertAlign w:val="subscript"/>
              </w:rPr>
              <w:t>4</w:t>
            </w:r>
            <w:r w:rsidRPr="00C413BA">
              <w:rPr>
                <w:rFonts w:eastAsia="Times New Roman" w:cs="Times New Roman"/>
                <w:color w:val="000000"/>
                <w:sz w:val="16"/>
                <w:szCs w:val="16"/>
              </w:rPr>
              <w:t>Si</w:t>
            </w:r>
            <w:r w:rsidRPr="00C413BA">
              <w:rPr>
                <w:rFonts w:eastAsia="Times New Roman" w:cs="Times New Roman"/>
                <w:color w:val="000000"/>
                <w:sz w:val="16"/>
                <w:szCs w:val="16"/>
                <w:vertAlign w:val="subscript"/>
              </w:rPr>
              <w:t>5</w:t>
            </w:r>
            <w:r w:rsidRPr="00C413BA">
              <w:rPr>
                <w:rFonts w:eastAsia="Times New Roman" w:cs="Times New Roman"/>
                <w:color w:val="000000"/>
                <w:sz w:val="16"/>
                <w:szCs w:val="16"/>
              </w:rPr>
              <w:t>O</w:t>
            </w:r>
            <w:r w:rsidRPr="00C413BA">
              <w:rPr>
                <w:rFonts w:eastAsia="Times New Roman" w:cs="Times New Roman"/>
                <w:color w:val="000000"/>
                <w:sz w:val="16"/>
                <w:szCs w:val="16"/>
                <w:vertAlign w:val="subscript"/>
              </w:rPr>
              <w:t>18</w:t>
            </w:r>
            <w:r w:rsidRPr="00C413BA">
              <w:rPr>
                <w:rFonts w:eastAsia="Times New Roman" w:cs="Times New Roman"/>
                <w:color w:val="000000"/>
                <w:sz w:val="16"/>
                <w:szCs w:val="16"/>
              </w:rPr>
              <w:t xml:space="preserve"> (cordierite)</w:t>
            </w:r>
          </w:p>
        </w:tc>
        <w:tc>
          <w:tcPr>
            <w:tcW w:w="716" w:type="dxa"/>
            <w:tcBorders>
              <w:top w:val="nil"/>
              <w:left w:val="nil"/>
              <w:bottom w:val="nil"/>
              <w:right w:val="nil"/>
            </w:tcBorders>
            <w:noWrap/>
            <w:vAlign w:val="bottom"/>
            <w:hideMark/>
          </w:tcPr>
          <w:p w:rsidR="003A6954" w:rsidRPr="00C413BA" w:rsidRDefault="003A6954" w:rsidP="009610A8">
            <w:pPr>
              <w:spacing w:after="0"/>
              <w:rPr>
                <w:rFonts w:eastAsia="Times New Roman" w:cs="Times New Roman"/>
                <w:color w:val="000000"/>
                <w:sz w:val="16"/>
                <w:szCs w:val="16"/>
              </w:rPr>
            </w:pPr>
          </w:p>
        </w:tc>
        <w:tc>
          <w:tcPr>
            <w:tcW w:w="716" w:type="dxa"/>
            <w:tcBorders>
              <w:top w:val="nil"/>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c>
          <w:tcPr>
            <w:tcW w:w="716" w:type="dxa"/>
            <w:tcBorders>
              <w:top w:val="nil"/>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c>
          <w:tcPr>
            <w:tcW w:w="740" w:type="dxa"/>
            <w:tcBorders>
              <w:top w:val="nil"/>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c>
          <w:tcPr>
            <w:tcW w:w="724" w:type="dxa"/>
            <w:tcBorders>
              <w:top w:val="single" w:sz="4" w:space="0" w:color="auto"/>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c>
          <w:tcPr>
            <w:tcW w:w="723" w:type="dxa"/>
            <w:tcBorders>
              <w:top w:val="single" w:sz="4" w:space="0" w:color="auto"/>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c>
          <w:tcPr>
            <w:tcW w:w="720" w:type="dxa"/>
            <w:tcBorders>
              <w:top w:val="single" w:sz="4" w:space="0" w:color="auto"/>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c>
          <w:tcPr>
            <w:tcW w:w="720" w:type="dxa"/>
            <w:tcBorders>
              <w:top w:val="single" w:sz="4" w:space="0" w:color="auto"/>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c>
          <w:tcPr>
            <w:tcW w:w="720" w:type="dxa"/>
            <w:tcBorders>
              <w:top w:val="single" w:sz="4" w:space="0" w:color="auto"/>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c>
          <w:tcPr>
            <w:tcW w:w="720" w:type="dxa"/>
            <w:tcBorders>
              <w:top w:val="single" w:sz="4" w:space="0" w:color="auto"/>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c>
          <w:tcPr>
            <w:tcW w:w="720" w:type="dxa"/>
            <w:tcBorders>
              <w:top w:val="single" w:sz="4" w:space="0" w:color="auto"/>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c>
          <w:tcPr>
            <w:tcW w:w="540" w:type="dxa"/>
            <w:tcBorders>
              <w:top w:val="single" w:sz="4" w:space="0" w:color="auto"/>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r>
      <w:tr w:rsidR="003A6954" w:rsidRPr="00C413BA" w:rsidTr="003A6954">
        <w:trPr>
          <w:trHeight w:val="130"/>
          <w:jc w:val="center"/>
        </w:trPr>
        <w:tc>
          <w:tcPr>
            <w:tcW w:w="912" w:type="dxa"/>
            <w:tcBorders>
              <w:top w:val="nil"/>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c>
          <w:tcPr>
            <w:tcW w:w="2853" w:type="dxa"/>
            <w:gridSpan w:val="4"/>
            <w:tcBorders>
              <w:top w:val="nil"/>
              <w:left w:val="nil"/>
              <w:bottom w:val="nil"/>
              <w:right w:val="nil"/>
            </w:tcBorders>
            <w:noWrap/>
            <w:vAlign w:val="bottom"/>
            <w:hideMark/>
          </w:tcPr>
          <w:p w:rsidR="003A6954" w:rsidRPr="00C413BA" w:rsidRDefault="003A6954" w:rsidP="009610A8">
            <w:pPr>
              <w:spacing w:after="0"/>
              <w:rPr>
                <w:rFonts w:eastAsia="Times New Roman" w:cs="Times New Roman"/>
                <w:color w:val="000000"/>
                <w:sz w:val="16"/>
                <w:szCs w:val="16"/>
              </w:rPr>
            </w:pPr>
            <w:r w:rsidRPr="00C413BA">
              <w:rPr>
                <w:rFonts w:eastAsia="Times New Roman" w:cs="Times New Roman"/>
                <w:color w:val="000000"/>
                <w:sz w:val="16"/>
                <w:szCs w:val="16"/>
              </w:rPr>
              <w:t>Sek: Fe</w:t>
            </w:r>
            <w:r w:rsidRPr="00C413BA">
              <w:rPr>
                <w:rFonts w:eastAsia="Times New Roman" w:cs="Times New Roman"/>
                <w:color w:val="000000"/>
                <w:sz w:val="16"/>
                <w:szCs w:val="16"/>
                <w:vertAlign w:val="subscript"/>
              </w:rPr>
              <w:t>2</w:t>
            </w:r>
            <w:r w:rsidRPr="00C413BA">
              <w:rPr>
                <w:rFonts w:eastAsia="Times New Roman" w:cs="Times New Roman"/>
                <w:color w:val="000000"/>
                <w:sz w:val="16"/>
                <w:szCs w:val="16"/>
              </w:rPr>
              <w:t>Al</w:t>
            </w:r>
            <w:r w:rsidRPr="00C413BA">
              <w:rPr>
                <w:rFonts w:eastAsia="Times New Roman" w:cs="Times New Roman"/>
                <w:color w:val="000000"/>
                <w:sz w:val="16"/>
                <w:szCs w:val="16"/>
                <w:vertAlign w:val="subscript"/>
              </w:rPr>
              <w:t>4</w:t>
            </w:r>
            <w:r w:rsidRPr="00C413BA">
              <w:rPr>
                <w:rFonts w:eastAsia="Times New Roman" w:cs="Times New Roman"/>
                <w:color w:val="000000"/>
                <w:sz w:val="16"/>
                <w:szCs w:val="16"/>
              </w:rPr>
              <w:t>Si</w:t>
            </w:r>
            <w:r w:rsidRPr="00C413BA">
              <w:rPr>
                <w:rFonts w:eastAsia="Times New Roman" w:cs="Times New Roman"/>
                <w:color w:val="000000"/>
                <w:sz w:val="16"/>
                <w:szCs w:val="16"/>
                <w:vertAlign w:val="subscript"/>
              </w:rPr>
              <w:t>5</w:t>
            </w:r>
            <w:r w:rsidRPr="00C413BA">
              <w:rPr>
                <w:rFonts w:eastAsia="Times New Roman" w:cs="Times New Roman"/>
                <w:color w:val="000000"/>
                <w:sz w:val="16"/>
                <w:szCs w:val="16"/>
              </w:rPr>
              <w:t>O</w:t>
            </w:r>
            <w:r w:rsidRPr="00C413BA">
              <w:rPr>
                <w:rFonts w:eastAsia="Times New Roman" w:cs="Times New Roman"/>
                <w:color w:val="000000"/>
                <w:sz w:val="16"/>
                <w:szCs w:val="16"/>
                <w:vertAlign w:val="subscript"/>
              </w:rPr>
              <w:t>18</w:t>
            </w:r>
            <w:r w:rsidRPr="00C413BA">
              <w:rPr>
                <w:rFonts w:eastAsia="Times New Roman" w:cs="Times New Roman"/>
                <w:color w:val="000000"/>
                <w:sz w:val="16"/>
                <w:szCs w:val="16"/>
              </w:rPr>
              <w:t xml:space="preserve"> (sekaninaite)</w:t>
            </w:r>
          </w:p>
        </w:tc>
        <w:tc>
          <w:tcPr>
            <w:tcW w:w="716" w:type="dxa"/>
            <w:tcBorders>
              <w:top w:val="nil"/>
              <w:left w:val="nil"/>
              <w:bottom w:val="nil"/>
              <w:right w:val="nil"/>
            </w:tcBorders>
            <w:noWrap/>
            <w:vAlign w:val="bottom"/>
            <w:hideMark/>
          </w:tcPr>
          <w:p w:rsidR="003A6954" w:rsidRPr="00C413BA" w:rsidRDefault="003A6954" w:rsidP="009610A8">
            <w:pPr>
              <w:spacing w:after="0"/>
              <w:rPr>
                <w:rFonts w:eastAsia="Times New Roman" w:cs="Times New Roman"/>
                <w:color w:val="000000"/>
                <w:sz w:val="16"/>
                <w:szCs w:val="16"/>
              </w:rPr>
            </w:pPr>
          </w:p>
        </w:tc>
        <w:tc>
          <w:tcPr>
            <w:tcW w:w="716" w:type="dxa"/>
            <w:tcBorders>
              <w:top w:val="nil"/>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c>
          <w:tcPr>
            <w:tcW w:w="716" w:type="dxa"/>
            <w:tcBorders>
              <w:top w:val="nil"/>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c>
          <w:tcPr>
            <w:tcW w:w="740" w:type="dxa"/>
            <w:tcBorders>
              <w:top w:val="nil"/>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c>
          <w:tcPr>
            <w:tcW w:w="724" w:type="dxa"/>
            <w:tcBorders>
              <w:top w:val="nil"/>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c>
          <w:tcPr>
            <w:tcW w:w="723" w:type="dxa"/>
            <w:tcBorders>
              <w:top w:val="nil"/>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c>
          <w:tcPr>
            <w:tcW w:w="720" w:type="dxa"/>
            <w:tcBorders>
              <w:top w:val="nil"/>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c>
          <w:tcPr>
            <w:tcW w:w="720" w:type="dxa"/>
            <w:tcBorders>
              <w:top w:val="nil"/>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c>
          <w:tcPr>
            <w:tcW w:w="720" w:type="dxa"/>
            <w:tcBorders>
              <w:top w:val="nil"/>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c>
          <w:tcPr>
            <w:tcW w:w="720" w:type="dxa"/>
            <w:tcBorders>
              <w:top w:val="nil"/>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c>
          <w:tcPr>
            <w:tcW w:w="720" w:type="dxa"/>
            <w:tcBorders>
              <w:top w:val="nil"/>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c>
          <w:tcPr>
            <w:tcW w:w="540" w:type="dxa"/>
            <w:tcBorders>
              <w:top w:val="nil"/>
              <w:left w:val="nil"/>
              <w:bottom w:val="nil"/>
              <w:right w:val="nil"/>
            </w:tcBorders>
            <w:noWrap/>
            <w:vAlign w:val="bottom"/>
            <w:hideMark/>
          </w:tcPr>
          <w:p w:rsidR="003A6954" w:rsidRPr="00C413BA" w:rsidRDefault="003A6954" w:rsidP="009610A8">
            <w:pPr>
              <w:spacing w:after="0"/>
              <w:rPr>
                <w:rFonts w:eastAsia="Times New Roman" w:cs="Times New Roman"/>
                <w:sz w:val="16"/>
                <w:szCs w:val="16"/>
              </w:rPr>
            </w:pPr>
          </w:p>
        </w:tc>
      </w:tr>
    </w:tbl>
    <w:p w:rsidR="009610A8" w:rsidRDefault="009610A8" w:rsidP="00665C0F">
      <w:pPr>
        <w:spacing w:line="480" w:lineRule="auto"/>
        <w:rPr>
          <w:rFonts w:cs="Times New Roman"/>
        </w:rPr>
      </w:pPr>
    </w:p>
    <w:p w:rsidR="009610A8" w:rsidRDefault="006D3B9B" w:rsidP="009610A8">
      <w:r>
        <w:rPr>
          <w:b/>
          <w:noProof/>
        </w:rPr>
        <mc:AlternateContent>
          <mc:Choice Requires="wps">
            <w:drawing>
              <wp:anchor distT="0" distB="0" distL="114300" distR="114300" simplePos="0" relativeHeight="251813888" behindDoc="0" locked="0" layoutInCell="1" allowOverlap="1" wp14:anchorId="7A446610" wp14:editId="2D0C5A8A">
                <wp:simplePos x="0" y="0"/>
                <wp:positionH relativeFrom="margin">
                  <wp:posOffset>-914400</wp:posOffset>
                </wp:positionH>
                <wp:positionV relativeFrom="margin">
                  <wp:posOffset>1965960</wp:posOffset>
                </wp:positionV>
                <wp:extent cx="914400" cy="914400"/>
                <wp:effectExtent l="0" t="0" r="0" b="0"/>
                <wp:wrapNone/>
                <wp:docPr id="203" name="Rectangle 203"/>
                <wp:cNvGraphicFramePr/>
                <a:graphic xmlns:a="http://schemas.openxmlformats.org/drawingml/2006/main">
                  <a:graphicData uri="http://schemas.microsoft.com/office/word/2010/wordprocessingShape">
                    <wps:wsp>
                      <wps:cNvSpPr/>
                      <wps:spPr>
                        <a:xfrm rot="5400000">
                          <a:off x="0" y="0"/>
                          <a:ext cx="914400" cy="914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D3B9B" w:rsidRPr="00935830" w:rsidRDefault="006D3B9B" w:rsidP="006D3B9B">
                            <w:pPr>
                              <w:jc w:val="center"/>
                              <w:rPr>
                                <w:color w:val="000000" w:themeColor="text1"/>
                              </w:rPr>
                            </w:pPr>
                            <w:r>
                              <w:rPr>
                                <w:color w:val="000000" w:themeColor="text1"/>
                              </w:rPr>
                              <w:t>14</w:t>
                            </w:r>
                            <w:r w:rsidR="004A1A6C">
                              <w:rPr>
                                <w:color w:val="000000" w:themeColor="text1"/>
                              </w:rP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446610" id="Rectangle 203" o:spid="_x0000_s1067" style="position:absolute;margin-left:-1in;margin-top:154.8pt;width:1in;height:1in;rotation:90;z-index:2518138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" filled="f" stroked="f" strokeweight="2pt">
                <v:textbox>
                  <w:txbxContent>
                    <w:p w:rsidR="006D3B9B" w:rsidRPr="00935830" w:rsidRDefault="006D3B9B" w:rsidP="006D3B9B">
                      <w:pPr>
                        <w:jc w:val="center"/>
                        <w:rPr>
                          <w:color w:val="000000" w:themeColor="text1"/>
                        </w:rPr>
                      </w:pPr>
                      <w:r>
                        <w:rPr>
                          <w:color w:val="000000" w:themeColor="text1"/>
                        </w:rPr>
                        <w:t>14</w:t>
                      </w:r>
                      <w:r w:rsidR="004A1A6C">
                        <w:rPr>
                          <w:color w:val="000000" w:themeColor="text1"/>
                        </w:rPr>
                        <w:t>9</w:t>
                      </w:r>
                    </w:p>
                  </w:txbxContent>
                </v:textbox>
                <w10:wrap anchorx="margin" anchory="margin"/>
              </v:rect>
            </w:pict>
          </mc:Fallback>
        </mc:AlternateContent>
      </w:r>
      <w:r w:rsidR="009610A8">
        <w:br w:type="page"/>
      </w:r>
    </w:p>
    <w:p w:rsidR="009610A8" w:rsidRDefault="009610A8" w:rsidP="00665C0F">
      <w:pPr>
        <w:spacing w:line="480" w:lineRule="auto"/>
        <w:rPr>
          <w:rFonts w:cs="Times New Roman"/>
        </w:rPr>
        <w:sectPr w:rsidR="009610A8" w:rsidSect="00D7629A">
          <w:footerReference w:type="default" r:id="rId95"/>
          <w:pgSz w:w="15840" w:h="12240" w:orient="landscape"/>
          <w:pgMar w:top="2304" w:right="1440" w:bottom="1440" w:left="1440" w:header="720" w:footer="720" w:gutter="0"/>
          <w:cols w:space="720"/>
          <w:docGrid w:linePitch="360"/>
        </w:sectPr>
      </w:pPr>
    </w:p>
    <w:p w:rsidR="009610A8" w:rsidRDefault="004230D5" w:rsidP="00665C0F">
      <w:pPr>
        <w:spacing w:line="480" w:lineRule="auto"/>
        <w:rPr>
          <w:rFonts w:cs="Times New Roman"/>
        </w:rPr>
      </w:pPr>
      <w:r w:rsidRPr="004230D5">
        <w:rPr>
          <w:noProof/>
        </w:rPr>
        <w:drawing>
          <wp:anchor distT="0" distB="0" distL="114300" distR="114300" simplePos="0" relativeHeight="251767808" behindDoc="0" locked="0" layoutInCell="1" allowOverlap="1">
            <wp:simplePos x="1466850" y="1085850"/>
            <wp:positionH relativeFrom="margin">
              <wp:align>center</wp:align>
            </wp:positionH>
            <wp:positionV relativeFrom="margin">
              <wp:align>center</wp:align>
            </wp:positionV>
            <wp:extent cx="4676775" cy="7639050"/>
            <wp:effectExtent l="0" t="0" r="9525" b="0"/>
            <wp:wrapTopAndBottom/>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676775" cy="7639050"/>
                    </a:xfrm>
                    <a:prstGeom prst="rect">
                      <a:avLst/>
                    </a:prstGeom>
                    <a:noFill/>
                    <a:ln>
                      <a:noFill/>
                    </a:ln>
                  </pic:spPr>
                </pic:pic>
              </a:graphicData>
            </a:graphic>
          </wp:anchor>
        </w:drawing>
      </w:r>
      <w:r>
        <w:rPr>
          <w:noProof/>
        </w:rPr>
        <mc:AlternateContent>
          <mc:Choice Requires="wps">
            <w:drawing>
              <wp:anchor distT="0" distB="0" distL="114300" distR="114300" simplePos="0" relativeHeight="251766784" behindDoc="0" locked="0" layoutInCell="1" allowOverlap="1" wp14:anchorId="2D6C3DB7" wp14:editId="2C8854CC">
                <wp:simplePos x="0" y="0"/>
                <wp:positionH relativeFrom="column">
                  <wp:posOffset>384810</wp:posOffset>
                </wp:positionH>
                <wp:positionV relativeFrom="paragraph">
                  <wp:posOffset>0</wp:posOffset>
                </wp:positionV>
                <wp:extent cx="4619625" cy="171450"/>
                <wp:effectExtent l="0" t="0" r="9525" b="0"/>
                <wp:wrapTopAndBottom/>
                <wp:docPr id="82" name="Text Box 82"/>
                <wp:cNvGraphicFramePr/>
                <a:graphic xmlns:a="http://schemas.openxmlformats.org/drawingml/2006/main">
                  <a:graphicData uri="http://schemas.microsoft.com/office/word/2010/wordprocessingShape">
                    <wps:wsp>
                      <wps:cNvSpPr txBox="1"/>
                      <wps:spPr>
                        <a:xfrm>
                          <a:off x="0" y="0"/>
                          <a:ext cx="4619625" cy="171450"/>
                        </a:xfrm>
                        <a:prstGeom prst="rect">
                          <a:avLst/>
                        </a:prstGeom>
                        <a:solidFill>
                          <a:prstClr val="white"/>
                        </a:solidFill>
                        <a:ln>
                          <a:noFill/>
                        </a:ln>
                      </wps:spPr>
                      <wps:txbx>
                        <w:txbxContent>
                          <w:p w:rsidR="006D3B9B" w:rsidRPr="004230D5" w:rsidRDefault="006D3B9B" w:rsidP="004230D5">
                            <w:pPr>
                              <w:pStyle w:val="Caption"/>
                              <w:jc w:val="center"/>
                              <w:rPr>
                                <w:sz w:val="24"/>
                                <w:szCs w:val="24"/>
                              </w:rPr>
                            </w:pPr>
                            <w:bookmarkStart w:id="201" w:name="_Toc490131697"/>
                            <w:r w:rsidRPr="004230D5">
                              <w:rPr>
                                <w:sz w:val="24"/>
                                <w:szCs w:val="24"/>
                              </w:rPr>
                              <w:t xml:space="preserve">Table </w:t>
                            </w:r>
                            <w:r>
                              <w:rPr>
                                <w:sz w:val="24"/>
                                <w:szCs w:val="24"/>
                              </w:rPr>
                              <w:fldChar w:fldCharType="begin"/>
                            </w:r>
                            <w:r>
                              <w:rPr>
                                <w:sz w:val="24"/>
                                <w:szCs w:val="24"/>
                              </w:rPr>
                              <w:instrText xml:space="preserve"> STYLEREF 1 \s </w:instrText>
                            </w:r>
                            <w:r>
                              <w:rPr>
                                <w:sz w:val="24"/>
                                <w:szCs w:val="24"/>
                              </w:rPr>
                              <w:fldChar w:fldCharType="separate"/>
                            </w:r>
                            <w:r w:rsidR="000C5FC3">
                              <w:rPr>
                                <w:noProof/>
                                <w:sz w:val="24"/>
                                <w:szCs w:val="24"/>
                              </w:rPr>
                              <w:t>5</w:t>
                            </w:r>
                            <w:r>
                              <w:rPr>
                                <w:sz w:val="24"/>
                                <w:szCs w:val="24"/>
                              </w:rPr>
                              <w:fldChar w:fldCharType="end"/>
                            </w:r>
                            <w:r>
                              <w:rPr>
                                <w:sz w:val="24"/>
                                <w:szCs w:val="24"/>
                              </w:rPr>
                              <w:noBreakHyphen/>
                            </w:r>
                            <w:r>
                              <w:rPr>
                                <w:sz w:val="24"/>
                                <w:szCs w:val="24"/>
                              </w:rPr>
                              <w:fldChar w:fldCharType="begin"/>
                            </w:r>
                            <w:r>
                              <w:rPr>
                                <w:sz w:val="24"/>
                                <w:szCs w:val="24"/>
                              </w:rPr>
                              <w:instrText xml:space="preserve"> SEQ Table \* ARABIC \s 1 </w:instrText>
                            </w:r>
                            <w:r>
                              <w:rPr>
                                <w:sz w:val="24"/>
                                <w:szCs w:val="24"/>
                              </w:rPr>
                              <w:fldChar w:fldCharType="separate"/>
                            </w:r>
                            <w:r w:rsidR="000C5FC3">
                              <w:rPr>
                                <w:noProof/>
                                <w:sz w:val="24"/>
                                <w:szCs w:val="24"/>
                              </w:rPr>
                              <w:t>5</w:t>
                            </w:r>
                            <w:r>
                              <w:rPr>
                                <w:sz w:val="24"/>
                                <w:szCs w:val="24"/>
                              </w:rPr>
                              <w:fldChar w:fldCharType="end"/>
                            </w:r>
                            <w:r w:rsidRPr="004230D5">
                              <w:rPr>
                                <w:sz w:val="24"/>
                                <w:szCs w:val="24"/>
                              </w:rPr>
                              <w:t xml:space="preserve"> EMPA Summary of Glasses</w:t>
                            </w:r>
                            <w:bookmarkEnd w:id="20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D6C3DB7" id="Text Box 82" o:spid="_x0000_s1068" type="#_x0000_t202" style="position:absolute;margin-left:30.3pt;margin-top:0;width:363.75pt;height:13.5pt;z-index:251766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" stroked="f">
                <v:textbox inset="0,0,0,0">
                  <w:txbxContent>
                    <w:p w:rsidR="006D3B9B" w:rsidRPr="004230D5" w:rsidRDefault="006D3B9B" w:rsidP="004230D5">
                      <w:pPr>
                        <w:pStyle w:val="Caption"/>
                        <w:jc w:val="center"/>
                        <w:rPr>
                          <w:sz w:val="24"/>
                          <w:szCs w:val="24"/>
                        </w:rPr>
                      </w:pPr>
                      <w:bookmarkStart w:id="202" w:name="_Toc490131697"/>
                      <w:r w:rsidRPr="004230D5">
                        <w:rPr>
                          <w:sz w:val="24"/>
                          <w:szCs w:val="24"/>
                        </w:rPr>
                        <w:t xml:space="preserve">Table </w:t>
                      </w:r>
                      <w:r>
                        <w:rPr>
                          <w:sz w:val="24"/>
                          <w:szCs w:val="24"/>
                        </w:rPr>
                        <w:fldChar w:fldCharType="begin"/>
                      </w:r>
                      <w:r>
                        <w:rPr>
                          <w:sz w:val="24"/>
                          <w:szCs w:val="24"/>
                        </w:rPr>
                        <w:instrText xml:space="preserve"> STYLEREF 1 \s </w:instrText>
                      </w:r>
                      <w:r>
                        <w:rPr>
                          <w:sz w:val="24"/>
                          <w:szCs w:val="24"/>
                        </w:rPr>
                        <w:fldChar w:fldCharType="separate"/>
                      </w:r>
                      <w:r w:rsidR="000C5FC3">
                        <w:rPr>
                          <w:noProof/>
                          <w:sz w:val="24"/>
                          <w:szCs w:val="24"/>
                        </w:rPr>
                        <w:t>5</w:t>
                      </w:r>
                      <w:r>
                        <w:rPr>
                          <w:sz w:val="24"/>
                          <w:szCs w:val="24"/>
                        </w:rPr>
                        <w:fldChar w:fldCharType="end"/>
                      </w:r>
                      <w:r>
                        <w:rPr>
                          <w:sz w:val="24"/>
                          <w:szCs w:val="24"/>
                        </w:rPr>
                        <w:noBreakHyphen/>
                      </w:r>
                      <w:r>
                        <w:rPr>
                          <w:sz w:val="24"/>
                          <w:szCs w:val="24"/>
                        </w:rPr>
                        <w:fldChar w:fldCharType="begin"/>
                      </w:r>
                      <w:r>
                        <w:rPr>
                          <w:sz w:val="24"/>
                          <w:szCs w:val="24"/>
                        </w:rPr>
                        <w:instrText xml:space="preserve"> SEQ Table \* ARABIC \s 1 </w:instrText>
                      </w:r>
                      <w:r>
                        <w:rPr>
                          <w:sz w:val="24"/>
                          <w:szCs w:val="24"/>
                        </w:rPr>
                        <w:fldChar w:fldCharType="separate"/>
                      </w:r>
                      <w:r w:rsidR="000C5FC3">
                        <w:rPr>
                          <w:noProof/>
                          <w:sz w:val="24"/>
                          <w:szCs w:val="24"/>
                        </w:rPr>
                        <w:t>5</w:t>
                      </w:r>
                      <w:r>
                        <w:rPr>
                          <w:sz w:val="24"/>
                          <w:szCs w:val="24"/>
                        </w:rPr>
                        <w:fldChar w:fldCharType="end"/>
                      </w:r>
                      <w:r w:rsidRPr="004230D5">
                        <w:rPr>
                          <w:sz w:val="24"/>
                          <w:szCs w:val="24"/>
                        </w:rPr>
                        <w:t xml:space="preserve"> EMPA Summary of Glasses</w:t>
                      </w:r>
                      <w:bookmarkEnd w:id="202"/>
                    </w:p>
                  </w:txbxContent>
                </v:textbox>
                <w10:wrap type="topAndBottom"/>
              </v:shape>
            </w:pict>
          </mc:Fallback>
        </mc:AlternateContent>
      </w:r>
    </w:p>
    <w:p w:rsidR="009610A8" w:rsidRDefault="004230D5" w:rsidP="009610A8">
      <w:r w:rsidRPr="004230D5">
        <w:rPr>
          <w:noProof/>
        </w:rPr>
        <w:drawing>
          <wp:anchor distT="0" distB="0" distL="114300" distR="114300" simplePos="0" relativeHeight="251768832" behindDoc="0" locked="0" layoutInCell="1" allowOverlap="1">
            <wp:simplePos x="1466850" y="914400"/>
            <wp:positionH relativeFrom="margin">
              <wp:align>center</wp:align>
            </wp:positionH>
            <wp:positionV relativeFrom="margin">
              <wp:align>center</wp:align>
            </wp:positionV>
            <wp:extent cx="4714875" cy="7781925"/>
            <wp:effectExtent l="0" t="0" r="9525" b="9525"/>
            <wp:wrapTopAndBottom/>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714875" cy="7781925"/>
                    </a:xfrm>
                    <a:prstGeom prst="rect">
                      <a:avLst/>
                    </a:prstGeom>
                    <a:noFill/>
                    <a:ln>
                      <a:noFill/>
                    </a:ln>
                  </pic:spPr>
                </pic:pic>
              </a:graphicData>
            </a:graphic>
          </wp:anchor>
        </w:drawing>
      </w:r>
      <w:r w:rsidR="009610A8">
        <w:br w:type="page"/>
      </w:r>
    </w:p>
    <w:p w:rsidR="009610A8" w:rsidRDefault="004230D5" w:rsidP="00665C0F">
      <w:pPr>
        <w:spacing w:line="480" w:lineRule="auto"/>
        <w:rPr>
          <w:rFonts w:cs="Times New Roman"/>
        </w:rPr>
      </w:pPr>
      <w:r w:rsidRPr="004230D5">
        <w:rPr>
          <w:noProof/>
        </w:rPr>
        <w:drawing>
          <wp:anchor distT="0" distB="0" distL="114300" distR="114300" simplePos="0" relativeHeight="251769856" behindDoc="0" locked="0" layoutInCell="1" allowOverlap="1">
            <wp:simplePos x="1466850" y="914400"/>
            <wp:positionH relativeFrom="margin">
              <wp:align>center</wp:align>
            </wp:positionH>
            <wp:positionV relativeFrom="margin">
              <wp:align>center</wp:align>
            </wp:positionV>
            <wp:extent cx="4705350" cy="7781925"/>
            <wp:effectExtent l="0" t="0" r="0" b="9525"/>
            <wp:wrapTopAndBottom/>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705350" cy="7781925"/>
                    </a:xfrm>
                    <a:prstGeom prst="rect">
                      <a:avLst/>
                    </a:prstGeom>
                    <a:noFill/>
                    <a:ln>
                      <a:noFill/>
                    </a:ln>
                  </pic:spPr>
                </pic:pic>
              </a:graphicData>
            </a:graphic>
          </wp:anchor>
        </w:drawing>
      </w:r>
    </w:p>
    <w:p w:rsidR="009610A8" w:rsidRDefault="009610A8" w:rsidP="009610A8">
      <w:r>
        <w:br w:type="page"/>
      </w:r>
    </w:p>
    <w:p w:rsidR="009610A8" w:rsidRDefault="004230D5" w:rsidP="00665C0F">
      <w:pPr>
        <w:spacing w:line="480" w:lineRule="auto"/>
        <w:rPr>
          <w:rFonts w:cs="Times New Roman"/>
        </w:rPr>
      </w:pPr>
      <w:r w:rsidRPr="004230D5">
        <w:rPr>
          <w:noProof/>
        </w:rPr>
        <w:drawing>
          <wp:anchor distT="0" distB="0" distL="114300" distR="114300" simplePos="0" relativeHeight="251770880" behindDoc="0" locked="0" layoutInCell="1" allowOverlap="1">
            <wp:simplePos x="1466850" y="914400"/>
            <wp:positionH relativeFrom="margin">
              <wp:align>center</wp:align>
            </wp:positionH>
            <wp:positionV relativeFrom="margin">
              <wp:align>center</wp:align>
            </wp:positionV>
            <wp:extent cx="4752975" cy="7781925"/>
            <wp:effectExtent l="0" t="0" r="9525" b="9525"/>
            <wp:wrapTopAndBottom/>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752975" cy="7781925"/>
                    </a:xfrm>
                    <a:prstGeom prst="rect">
                      <a:avLst/>
                    </a:prstGeom>
                    <a:noFill/>
                    <a:ln>
                      <a:noFill/>
                    </a:ln>
                  </pic:spPr>
                </pic:pic>
              </a:graphicData>
            </a:graphic>
          </wp:anchor>
        </w:drawing>
      </w:r>
    </w:p>
    <w:p w:rsidR="009610A8" w:rsidRDefault="009610A8" w:rsidP="009610A8">
      <w:r>
        <w:br w:type="page"/>
      </w:r>
    </w:p>
    <w:p w:rsidR="009610A8" w:rsidRDefault="004230D5" w:rsidP="00665C0F">
      <w:pPr>
        <w:spacing w:line="480" w:lineRule="auto"/>
        <w:rPr>
          <w:rFonts w:cs="Times New Roman"/>
        </w:rPr>
      </w:pPr>
      <w:r w:rsidRPr="004230D5">
        <w:rPr>
          <w:noProof/>
        </w:rPr>
        <w:drawing>
          <wp:anchor distT="0" distB="0" distL="114300" distR="114300" simplePos="0" relativeHeight="251771904" behindDoc="0" locked="0" layoutInCell="1" allowOverlap="1">
            <wp:simplePos x="1466850" y="914400"/>
            <wp:positionH relativeFrom="margin">
              <wp:align>center</wp:align>
            </wp:positionH>
            <wp:positionV relativeFrom="margin">
              <wp:align>center</wp:align>
            </wp:positionV>
            <wp:extent cx="4162425" cy="7781925"/>
            <wp:effectExtent l="0" t="0" r="9525" b="9525"/>
            <wp:wrapTopAndBottom/>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162425" cy="7781925"/>
                    </a:xfrm>
                    <a:prstGeom prst="rect">
                      <a:avLst/>
                    </a:prstGeom>
                    <a:noFill/>
                    <a:ln>
                      <a:noFill/>
                    </a:ln>
                  </pic:spPr>
                </pic:pic>
              </a:graphicData>
            </a:graphic>
          </wp:anchor>
        </w:drawing>
      </w:r>
    </w:p>
    <w:p w:rsidR="009610A8" w:rsidRDefault="009610A8" w:rsidP="009610A8">
      <w:r>
        <w:br w:type="page"/>
      </w:r>
    </w:p>
    <w:p w:rsidR="009610A8" w:rsidRDefault="00B23FDA" w:rsidP="00665C0F">
      <w:pPr>
        <w:spacing w:line="480" w:lineRule="auto"/>
        <w:rPr>
          <w:rFonts w:cs="Times New Roman"/>
        </w:rPr>
      </w:pPr>
      <w:r w:rsidRPr="00B23FDA">
        <w:rPr>
          <w:noProof/>
        </w:rPr>
        <w:drawing>
          <wp:anchor distT="0" distB="0" distL="114300" distR="114300" simplePos="0" relativeHeight="251772928" behindDoc="0" locked="0" layoutInCell="1" allowOverlap="1">
            <wp:simplePos x="1466850" y="914400"/>
            <wp:positionH relativeFrom="margin">
              <wp:align>center</wp:align>
            </wp:positionH>
            <wp:positionV relativeFrom="margin">
              <wp:align>center</wp:align>
            </wp:positionV>
            <wp:extent cx="4924425" cy="7781925"/>
            <wp:effectExtent l="0" t="0" r="9525" b="9525"/>
            <wp:wrapTopAndBottom/>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924425" cy="7781925"/>
                    </a:xfrm>
                    <a:prstGeom prst="rect">
                      <a:avLst/>
                    </a:prstGeom>
                    <a:noFill/>
                    <a:ln>
                      <a:noFill/>
                    </a:ln>
                  </pic:spPr>
                </pic:pic>
              </a:graphicData>
            </a:graphic>
          </wp:anchor>
        </w:drawing>
      </w:r>
    </w:p>
    <w:p w:rsidR="009610A8" w:rsidRDefault="009610A8" w:rsidP="009610A8">
      <w:r>
        <w:br w:type="page"/>
      </w:r>
    </w:p>
    <w:p w:rsidR="009610A8" w:rsidRDefault="00B23FDA" w:rsidP="00665C0F">
      <w:pPr>
        <w:spacing w:line="480" w:lineRule="auto"/>
        <w:rPr>
          <w:rFonts w:cs="Times New Roman"/>
        </w:rPr>
      </w:pPr>
      <w:r w:rsidRPr="00B23FDA">
        <w:rPr>
          <w:noProof/>
        </w:rPr>
        <w:drawing>
          <wp:anchor distT="0" distB="0" distL="114300" distR="114300" simplePos="0" relativeHeight="251773952" behindDoc="0" locked="0" layoutInCell="1" allowOverlap="1">
            <wp:simplePos x="1466850" y="914400"/>
            <wp:positionH relativeFrom="margin">
              <wp:align>center</wp:align>
            </wp:positionH>
            <wp:positionV relativeFrom="margin">
              <wp:align>center</wp:align>
            </wp:positionV>
            <wp:extent cx="4162425" cy="7781925"/>
            <wp:effectExtent l="0" t="0" r="9525" b="9525"/>
            <wp:wrapTopAndBottom/>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162425" cy="7781925"/>
                    </a:xfrm>
                    <a:prstGeom prst="rect">
                      <a:avLst/>
                    </a:prstGeom>
                    <a:noFill/>
                    <a:ln>
                      <a:noFill/>
                    </a:ln>
                  </pic:spPr>
                </pic:pic>
              </a:graphicData>
            </a:graphic>
          </wp:anchor>
        </w:drawing>
      </w:r>
    </w:p>
    <w:p w:rsidR="009610A8" w:rsidRDefault="009610A8" w:rsidP="009610A8">
      <w:r>
        <w:br w:type="page"/>
      </w:r>
    </w:p>
    <w:p w:rsidR="00B23FDA" w:rsidRPr="00B23FDA" w:rsidRDefault="00B23FDA" w:rsidP="00B23FDA">
      <w:pPr>
        <w:pStyle w:val="Caption"/>
        <w:keepNext/>
        <w:jc w:val="center"/>
        <w:rPr>
          <w:sz w:val="24"/>
          <w:szCs w:val="24"/>
        </w:rPr>
      </w:pPr>
      <w:bookmarkStart w:id="203" w:name="_Toc490131698"/>
      <w:r w:rsidRPr="00B23FDA">
        <w:rPr>
          <w:sz w:val="24"/>
          <w:szCs w:val="24"/>
        </w:rPr>
        <w:t xml:space="preserve">Table </w:t>
      </w:r>
      <w:r w:rsidRPr="00B23FDA">
        <w:rPr>
          <w:sz w:val="24"/>
          <w:szCs w:val="24"/>
        </w:rPr>
        <w:fldChar w:fldCharType="begin"/>
      </w:r>
      <w:r w:rsidRPr="00B23FDA">
        <w:rPr>
          <w:sz w:val="24"/>
          <w:szCs w:val="24"/>
        </w:rPr>
        <w:instrText xml:space="preserve"> STYLEREF 1 \s </w:instrText>
      </w:r>
      <w:r w:rsidRPr="00B23FDA">
        <w:rPr>
          <w:sz w:val="24"/>
          <w:szCs w:val="24"/>
        </w:rPr>
        <w:fldChar w:fldCharType="separate"/>
      </w:r>
      <w:r w:rsidR="000C5FC3">
        <w:rPr>
          <w:noProof/>
          <w:sz w:val="24"/>
          <w:szCs w:val="24"/>
        </w:rPr>
        <w:t>5</w:t>
      </w:r>
      <w:r w:rsidRPr="00B23FDA">
        <w:rPr>
          <w:sz w:val="24"/>
          <w:szCs w:val="24"/>
        </w:rPr>
        <w:fldChar w:fldCharType="end"/>
      </w:r>
      <w:r w:rsidRPr="00B23FDA">
        <w:rPr>
          <w:sz w:val="24"/>
          <w:szCs w:val="24"/>
        </w:rPr>
        <w:noBreakHyphen/>
      </w:r>
      <w:r w:rsidRPr="00B23FDA">
        <w:rPr>
          <w:sz w:val="24"/>
          <w:szCs w:val="24"/>
        </w:rPr>
        <w:fldChar w:fldCharType="begin"/>
      </w:r>
      <w:r w:rsidRPr="00B23FDA">
        <w:rPr>
          <w:sz w:val="24"/>
          <w:szCs w:val="24"/>
        </w:rPr>
        <w:instrText xml:space="preserve"> SEQ Table \* ARABIC \s 1 </w:instrText>
      </w:r>
      <w:r w:rsidRPr="00B23FDA">
        <w:rPr>
          <w:sz w:val="24"/>
          <w:szCs w:val="24"/>
        </w:rPr>
        <w:fldChar w:fldCharType="separate"/>
      </w:r>
      <w:r w:rsidR="000C5FC3">
        <w:rPr>
          <w:noProof/>
          <w:sz w:val="24"/>
          <w:szCs w:val="24"/>
        </w:rPr>
        <w:t>6</w:t>
      </w:r>
      <w:r w:rsidRPr="00B23FDA">
        <w:rPr>
          <w:sz w:val="24"/>
          <w:szCs w:val="24"/>
        </w:rPr>
        <w:fldChar w:fldCharType="end"/>
      </w:r>
      <w:r w:rsidRPr="00B23FDA">
        <w:rPr>
          <w:rFonts w:eastAsia="Times New Roman" w:cs="Times New Roman"/>
          <w:bCs/>
          <w:color w:val="000000"/>
          <w:sz w:val="24"/>
          <w:szCs w:val="24"/>
        </w:rPr>
        <w:t xml:space="preserve"> Mineral-Melt Partition and Exchange Coefficients</w:t>
      </w:r>
      <w:bookmarkEnd w:id="203"/>
    </w:p>
    <w:tbl>
      <w:tblPr>
        <w:tblW w:w="8496" w:type="dxa"/>
        <w:jc w:val="center"/>
        <w:tblCellMar>
          <w:top w:w="15" w:type="dxa"/>
          <w:bottom w:w="15" w:type="dxa"/>
        </w:tblCellMar>
        <w:tblLook w:val="04A0" w:firstRow="1" w:lastRow="0" w:firstColumn="1" w:lastColumn="0" w:noHBand="0" w:noVBand="1"/>
      </w:tblPr>
      <w:tblGrid>
        <w:gridCol w:w="965"/>
        <w:gridCol w:w="1004"/>
        <w:gridCol w:w="548"/>
        <w:gridCol w:w="601"/>
        <w:gridCol w:w="621"/>
        <w:gridCol w:w="621"/>
        <w:gridCol w:w="621"/>
        <w:gridCol w:w="1073"/>
        <w:gridCol w:w="1073"/>
        <w:gridCol w:w="1369"/>
      </w:tblGrid>
      <w:tr w:rsidR="00B23FDA" w:rsidRPr="00B5308C" w:rsidTr="00B23FDA">
        <w:trPr>
          <w:trHeight w:val="270"/>
          <w:jc w:val="center"/>
        </w:trPr>
        <w:tc>
          <w:tcPr>
            <w:tcW w:w="965" w:type="dxa"/>
            <w:tcBorders>
              <w:top w:val="single" w:sz="4" w:space="0" w:color="auto"/>
              <w:left w:val="nil"/>
              <w:bottom w:val="nil"/>
              <w:right w:val="nil"/>
            </w:tcBorders>
            <w:noWrap/>
            <w:vAlign w:val="center"/>
            <w:hideMark/>
          </w:tcPr>
          <w:p w:rsidR="00B23FDA" w:rsidRPr="00B5308C" w:rsidRDefault="00B23FDA" w:rsidP="008D543B">
            <w:pPr>
              <w:spacing w:after="0"/>
              <w:rPr>
                <w:rFonts w:eastAsia="Times New Roman" w:cs="Times New Roman"/>
                <w:sz w:val="20"/>
                <w:szCs w:val="20"/>
              </w:rPr>
            </w:pPr>
          </w:p>
        </w:tc>
        <w:tc>
          <w:tcPr>
            <w:tcW w:w="1004" w:type="dxa"/>
            <w:tcBorders>
              <w:top w:val="single" w:sz="4" w:space="0" w:color="auto"/>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b/>
                <w:bCs/>
                <w:color w:val="000000"/>
                <w:sz w:val="18"/>
                <w:szCs w:val="18"/>
              </w:rPr>
            </w:pPr>
            <w:r w:rsidRPr="00B5308C">
              <w:rPr>
                <w:rFonts w:eastAsia="Times New Roman" w:cs="Times New Roman"/>
                <w:b/>
                <w:bCs/>
                <w:color w:val="000000"/>
                <w:sz w:val="18"/>
                <w:szCs w:val="18"/>
              </w:rPr>
              <w:t>Exp #</w:t>
            </w:r>
          </w:p>
        </w:tc>
        <w:tc>
          <w:tcPr>
            <w:tcW w:w="548" w:type="dxa"/>
            <w:tcBorders>
              <w:top w:val="single" w:sz="4" w:space="0" w:color="auto"/>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b/>
                <w:bCs/>
                <w:color w:val="000000"/>
                <w:sz w:val="18"/>
                <w:szCs w:val="18"/>
              </w:rPr>
            </w:pPr>
            <w:r w:rsidRPr="00B5308C">
              <w:rPr>
                <w:rFonts w:eastAsia="Times New Roman" w:cs="Times New Roman"/>
                <w:b/>
                <w:bCs/>
                <w:color w:val="000000"/>
                <w:sz w:val="18"/>
                <w:szCs w:val="18"/>
              </w:rPr>
              <w:t>BC</w:t>
            </w:r>
          </w:p>
        </w:tc>
        <w:tc>
          <w:tcPr>
            <w:tcW w:w="601" w:type="dxa"/>
            <w:tcBorders>
              <w:top w:val="single" w:sz="4" w:space="0" w:color="auto"/>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b/>
                <w:bCs/>
                <w:color w:val="000000"/>
                <w:sz w:val="18"/>
                <w:szCs w:val="18"/>
              </w:rPr>
            </w:pPr>
            <w:r w:rsidRPr="00B5308C">
              <w:rPr>
                <w:rFonts w:eastAsia="Times New Roman" w:cs="Times New Roman"/>
                <w:b/>
                <w:bCs/>
                <w:color w:val="000000"/>
                <w:sz w:val="18"/>
                <w:szCs w:val="18"/>
              </w:rPr>
              <w:t>T (°C)</w:t>
            </w:r>
          </w:p>
        </w:tc>
        <w:tc>
          <w:tcPr>
            <w:tcW w:w="621" w:type="dxa"/>
            <w:tcBorders>
              <w:top w:val="single" w:sz="4" w:space="0" w:color="auto"/>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b/>
                <w:bCs/>
                <w:color w:val="000000"/>
                <w:sz w:val="18"/>
                <w:szCs w:val="18"/>
              </w:rPr>
            </w:pPr>
            <w:r w:rsidRPr="00B5308C">
              <w:rPr>
                <w:rFonts w:eastAsia="Times New Roman" w:cs="Times New Roman"/>
                <w:b/>
                <w:bCs/>
                <w:color w:val="000000"/>
                <w:sz w:val="18"/>
                <w:szCs w:val="18"/>
              </w:rPr>
              <w:t>D</w:t>
            </w:r>
            <w:r w:rsidRPr="00B5308C">
              <w:rPr>
                <w:rFonts w:eastAsia="Times New Roman" w:cs="Times New Roman"/>
                <w:b/>
                <w:bCs/>
                <w:color w:val="000000"/>
                <w:sz w:val="18"/>
                <w:szCs w:val="18"/>
                <w:vertAlign w:val="subscript"/>
              </w:rPr>
              <w:t>FeO</w:t>
            </w:r>
          </w:p>
        </w:tc>
        <w:tc>
          <w:tcPr>
            <w:tcW w:w="621" w:type="dxa"/>
            <w:tcBorders>
              <w:top w:val="single" w:sz="4" w:space="0" w:color="auto"/>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b/>
                <w:bCs/>
                <w:color w:val="000000"/>
                <w:sz w:val="18"/>
                <w:szCs w:val="18"/>
              </w:rPr>
            </w:pPr>
            <w:r w:rsidRPr="00B5308C">
              <w:rPr>
                <w:rFonts w:eastAsia="Times New Roman" w:cs="Times New Roman"/>
                <w:b/>
                <w:bCs/>
                <w:color w:val="000000"/>
                <w:sz w:val="18"/>
                <w:szCs w:val="18"/>
              </w:rPr>
              <w:t>D</w:t>
            </w:r>
            <w:r w:rsidRPr="00B5308C">
              <w:rPr>
                <w:rFonts w:eastAsia="Times New Roman" w:cs="Times New Roman"/>
                <w:b/>
                <w:bCs/>
                <w:color w:val="000000"/>
                <w:sz w:val="18"/>
                <w:szCs w:val="18"/>
                <w:vertAlign w:val="subscript"/>
              </w:rPr>
              <w:t>MnO</w:t>
            </w:r>
          </w:p>
        </w:tc>
        <w:tc>
          <w:tcPr>
            <w:tcW w:w="621" w:type="dxa"/>
            <w:tcBorders>
              <w:top w:val="single" w:sz="4" w:space="0" w:color="auto"/>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b/>
                <w:bCs/>
                <w:color w:val="000000"/>
                <w:sz w:val="18"/>
                <w:szCs w:val="18"/>
              </w:rPr>
            </w:pPr>
            <w:r w:rsidRPr="00B5308C">
              <w:rPr>
                <w:rFonts w:eastAsia="Times New Roman" w:cs="Times New Roman"/>
                <w:b/>
                <w:bCs/>
                <w:color w:val="000000"/>
                <w:sz w:val="18"/>
                <w:szCs w:val="18"/>
              </w:rPr>
              <w:t>D</w:t>
            </w:r>
            <w:r w:rsidRPr="00B5308C">
              <w:rPr>
                <w:rFonts w:eastAsia="Times New Roman" w:cs="Times New Roman"/>
                <w:b/>
                <w:bCs/>
                <w:color w:val="000000"/>
                <w:sz w:val="18"/>
                <w:szCs w:val="18"/>
                <w:vertAlign w:val="subscript"/>
              </w:rPr>
              <w:t>MgO</w:t>
            </w:r>
          </w:p>
        </w:tc>
        <w:tc>
          <w:tcPr>
            <w:tcW w:w="1073" w:type="dxa"/>
            <w:tcBorders>
              <w:top w:val="single" w:sz="4" w:space="0" w:color="auto"/>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b/>
                <w:bCs/>
                <w:color w:val="000000"/>
                <w:sz w:val="18"/>
                <w:szCs w:val="18"/>
              </w:rPr>
            </w:pPr>
            <w:r w:rsidRPr="00B5308C">
              <w:rPr>
                <w:rFonts w:eastAsia="Times New Roman" w:cs="Times New Roman"/>
                <w:b/>
                <w:bCs/>
                <w:color w:val="000000"/>
                <w:sz w:val="18"/>
                <w:szCs w:val="18"/>
              </w:rPr>
              <w:t>*K</w:t>
            </w:r>
            <w:r w:rsidRPr="00B5308C">
              <w:rPr>
                <w:rFonts w:eastAsia="Times New Roman" w:cs="Times New Roman"/>
                <w:b/>
                <w:bCs/>
                <w:color w:val="000000"/>
                <w:sz w:val="18"/>
                <w:szCs w:val="18"/>
                <w:vertAlign w:val="subscript"/>
              </w:rPr>
              <w:t>D</w:t>
            </w:r>
            <w:r w:rsidRPr="00B5308C">
              <w:rPr>
                <w:rFonts w:eastAsia="Times New Roman" w:cs="Times New Roman"/>
                <w:b/>
                <w:bCs/>
                <w:i/>
                <w:iCs/>
                <w:color w:val="000000"/>
                <w:sz w:val="18"/>
                <w:szCs w:val="18"/>
                <w:vertAlign w:val="subscript"/>
              </w:rPr>
              <w:t>MnO/FeO</w:t>
            </w:r>
          </w:p>
        </w:tc>
        <w:tc>
          <w:tcPr>
            <w:tcW w:w="1073" w:type="dxa"/>
            <w:tcBorders>
              <w:top w:val="single" w:sz="4" w:space="0" w:color="auto"/>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b/>
                <w:bCs/>
                <w:color w:val="000000"/>
                <w:sz w:val="18"/>
                <w:szCs w:val="18"/>
              </w:rPr>
            </w:pPr>
            <w:r w:rsidRPr="00B5308C">
              <w:rPr>
                <w:rFonts w:eastAsia="Times New Roman" w:cs="Times New Roman"/>
                <w:b/>
                <w:bCs/>
                <w:color w:val="000000"/>
                <w:sz w:val="18"/>
                <w:szCs w:val="18"/>
              </w:rPr>
              <w:t>*K</w:t>
            </w:r>
            <w:r w:rsidRPr="00B5308C">
              <w:rPr>
                <w:rFonts w:eastAsia="Times New Roman" w:cs="Times New Roman"/>
                <w:b/>
                <w:bCs/>
                <w:color w:val="000000"/>
                <w:sz w:val="18"/>
                <w:szCs w:val="18"/>
                <w:vertAlign w:val="subscript"/>
              </w:rPr>
              <w:t>D</w:t>
            </w:r>
            <w:r w:rsidRPr="00B5308C">
              <w:rPr>
                <w:rFonts w:eastAsia="Times New Roman" w:cs="Times New Roman"/>
                <w:b/>
                <w:bCs/>
                <w:i/>
                <w:iCs/>
                <w:color w:val="000000"/>
                <w:sz w:val="18"/>
                <w:szCs w:val="18"/>
                <w:vertAlign w:val="subscript"/>
              </w:rPr>
              <w:t>MgO/FeO</w:t>
            </w:r>
          </w:p>
        </w:tc>
        <w:tc>
          <w:tcPr>
            <w:tcW w:w="1369" w:type="dxa"/>
            <w:tcBorders>
              <w:top w:val="single" w:sz="4" w:space="0" w:color="auto"/>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b/>
                <w:bCs/>
                <w:color w:val="000000"/>
                <w:sz w:val="18"/>
                <w:szCs w:val="18"/>
              </w:rPr>
            </w:pPr>
          </w:p>
        </w:tc>
      </w:tr>
      <w:tr w:rsidR="00B23FDA" w:rsidRPr="00B5308C" w:rsidTr="00B23FDA">
        <w:trPr>
          <w:trHeight w:val="240"/>
          <w:jc w:val="center"/>
        </w:trPr>
        <w:tc>
          <w:tcPr>
            <w:tcW w:w="965" w:type="dxa"/>
            <w:tcBorders>
              <w:top w:val="single" w:sz="4" w:space="0" w:color="auto"/>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Grt/melt</w:t>
            </w:r>
          </w:p>
        </w:tc>
        <w:tc>
          <w:tcPr>
            <w:tcW w:w="1004"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GBT-90</w:t>
            </w:r>
          </w:p>
        </w:tc>
        <w:tc>
          <w:tcPr>
            <w:tcW w:w="548"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1.3</w:t>
            </w:r>
          </w:p>
        </w:tc>
        <w:tc>
          <w:tcPr>
            <w:tcW w:w="60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850</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8.07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15.62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7.45 </w:t>
            </w: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1.87</w:t>
            </w: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0.55</w:t>
            </w:r>
          </w:p>
        </w:tc>
        <w:tc>
          <w:tcPr>
            <w:tcW w:w="1369"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w/Crd</w:t>
            </w:r>
          </w:p>
        </w:tc>
      </w:tr>
      <w:tr w:rsidR="00B23FDA" w:rsidRPr="00B5308C" w:rsidTr="00B23FDA">
        <w:trPr>
          <w:trHeight w:val="240"/>
          <w:jc w:val="center"/>
        </w:trPr>
        <w:tc>
          <w:tcPr>
            <w:tcW w:w="965"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Grt/melt</w:t>
            </w:r>
          </w:p>
        </w:tc>
        <w:tc>
          <w:tcPr>
            <w:tcW w:w="1004"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MnGT-76</w:t>
            </w:r>
          </w:p>
        </w:tc>
        <w:tc>
          <w:tcPr>
            <w:tcW w:w="548"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4.1</w:t>
            </w:r>
          </w:p>
        </w:tc>
        <w:tc>
          <w:tcPr>
            <w:tcW w:w="60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775</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9.71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21.34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7.34 </w:t>
            </w: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69"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Grt only</w:t>
            </w:r>
          </w:p>
        </w:tc>
      </w:tr>
      <w:tr w:rsidR="00B23FDA" w:rsidRPr="00B5308C" w:rsidTr="00B23FDA">
        <w:trPr>
          <w:trHeight w:val="240"/>
          <w:jc w:val="center"/>
        </w:trPr>
        <w:tc>
          <w:tcPr>
            <w:tcW w:w="965"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Grt/melt</w:t>
            </w:r>
          </w:p>
        </w:tc>
        <w:tc>
          <w:tcPr>
            <w:tcW w:w="1004"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GBT-88</w:t>
            </w:r>
          </w:p>
        </w:tc>
        <w:tc>
          <w:tcPr>
            <w:tcW w:w="548"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1.3</w:t>
            </w:r>
          </w:p>
        </w:tc>
        <w:tc>
          <w:tcPr>
            <w:tcW w:w="60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750</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11.82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20.74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8.74 </w:t>
            </w: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69"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w/Crd</w:t>
            </w:r>
          </w:p>
        </w:tc>
      </w:tr>
      <w:tr w:rsidR="00B23FDA" w:rsidRPr="00B5308C" w:rsidTr="00B23FDA">
        <w:trPr>
          <w:trHeight w:val="240"/>
          <w:jc w:val="center"/>
        </w:trPr>
        <w:tc>
          <w:tcPr>
            <w:tcW w:w="965"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Grt/melt</w:t>
            </w:r>
          </w:p>
        </w:tc>
        <w:tc>
          <w:tcPr>
            <w:tcW w:w="1004"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GBT-101</w:t>
            </w:r>
          </w:p>
        </w:tc>
        <w:tc>
          <w:tcPr>
            <w:tcW w:w="548"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1.3</w:t>
            </w:r>
          </w:p>
        </w:tc>
        <w:tc>
          <w:tcPr>
            <w:tcW w:w="60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750</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21.56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24.85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8.91 </w:t>
            </w: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69"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w/Crd</w:t>
            </w:r>
          </w:p>
        </w:tc>
      </w:tr>
      <w:tr w:rsidR="00B23FDA" w:rsidRPr="00B5308C" w:rsidTr="00B23FDA">
        <w:trPr>
          <w:trHeight w:val="240"/>
          <w:jc w:val="center"/>
        </w:trPr>
        <w:tc>
          <w:tcPr>
            <w:tcW w:w="965"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Grt/melt</w:t>
            </w:r>
          </w:p>
        </w:tc>
        <w:tc>
          <w:tcPr>
            <w:tcW w:w="1004"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MnGT-77</w:t>
            </w:r>
          </w:p>
        </w:tc>
        <w:tc>
          <w:tcPr>
            <w:tcW w:w="548"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4.1</w:t>
            </w:r>
          </w:p>
        </w:tc>
        <w:tc>
          <w:tcPr>
            <w:tcW w:w="60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750</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11.31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23.01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7.23 </w:t>
            </w: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69"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w/Tur</w:t>
            </w:r>
          </w:p>
        </w:tc>
      </w:tr>
      <w:tr w:rsidR="00B23FDA" w:rsidRPr="00B5308C" w:rsidTr="00B23FDA">
        <w:trPr>
          <w:trHeight w:val="240"/>
          <w:jc w:val="center"/>
        </w:trPr>
        <w:tc>
          <w:tcPr>
            <w:tcW w:w="965"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Grt/melt</w:t>
            </w:r>
          </w:p>
        </w:tc>
        <w:tc>
          <w:tcPr>
            <w:tcW w:w="1004"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MnGT-49</w:t>
            </w:r>
          </w:p>
        </w:tc>
        <w:tc>
          <w:tcPr>
            <w:tcW w:w="548"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4.1</w:t>
            </w:r>
          </w:p>
        </w:tc>
        <w:tc>
          <w:tcPr>
            <w:tcW w:w="60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700</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26.78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35.69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16.01 </w:t>
            </w: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73"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sz w:val="20"/>
                <w:szCs w:val="20"/>
              </w:rPr>
            </w:pPr>
          </w:p>
        </w:tc>
        <w:tc>
          <w:tcPr>
            <w:tcW w:w="1369"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w/Tur</w:t>
            </w:r>
          </w:p>
        </w:tc>
      </w:tr>
      <w:tr w:rsidR="00B23FDA" w:rsidRPr="00B5308C" w:rsidTr="00B23FDA">
        <w:trPr>
          <w:trHeight w:val="240"/>
          <w:jc w:val="center"/>
        </w:trPr>
        <w:tc>
          <w:tcPr>
            <w:tcW w:w="965"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Grt/melt</w:t>
            </w:r>
          </w:p>
        </w:tc>
        <w:tc>
          <w:tcPr>
            <w:tcW w:w="1004"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MnGT-56</w:t>
            </w:r>
          </w:p>
        </w:tc>
        <w:tc>
          <w:tcPr>
            <w:tcW w:w="548"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4.1</w:t>
            </w:r>
          </w:p>
        </w:tc>
        <w:tc>
          <w:tcPr>
            <w:tcW w:w="60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700</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19.95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36.37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14.02 </w:t>
            </w: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73"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sz w:val="20"/>
                <w:szCs w:val="20"/>
              </w:rPr>
            </w:pPr>
          </w:p>
        </w:tc>
        <w:tc>
          <w:tcPr>
            <w:tcW w:w="1369"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w/Tur</w:t>
            </w:r>
          </w:p>
        </w:tc>
      </w:tr>
      <w:tr w:rsidR="00B23FDA" w:rsidRPr="00B5308C" w:rsidTr="00B23FDA">
        <w:trPr>
          <w:trHeight w:val="240"/>
          <w:jc w:val="center"/>
        </w:trPr>
        <w:tc>
          <w:tcPr>
            <w:tcW w:w="965" w:type="dxa"/>
            <w:tcBorders>
              <w:top w:val="nil"/>
              <w:left w:val="nil"/>
              <w:bottom w:val="single" w:sz="4" w:space="0" w:color="auto"/>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Grt/melt</w:t>
            </w:r>
          </w:p>
        </w:tc>
        <w:tc>
          <w:tcPr>
            <w:tcW w:w="1004" w:type="dxa"/>
            <w:tcBorders>
              <w:top w:val="nil"/>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GBT-103</w:t>
            </w:r>
          </w:p>
        </w:tc>
        <w:tc>
          <w:tcPr>
            <w:tcW w:w="548" w:type="dxa"/>
            <w:tcBorders>
              <w:top w:val="nil"/>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1.3</w:t>
            </w:r>
          </w:p>
        </w:tc>
        <w:tc>
          <w:tcPr>
            <w:tcW w:w="601" w:type="dxa"/>
            <w:tcBorders>
              <w:top w:val="nil"/>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650</w:t>
            </w:r>
          </w:p>
        </w:tc>
        <w:tc>
          <w:tcPr>
            <w:tcW w:w="621" w:type="dxa"/>
            <w:tcBorders>
              <w:top w:val="nil"/>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22.53 </w:t>
            </w:r>
          </w:p>
        </w:tc>
        <w:tc>
          <w:tcPr>
            <w:tcW w:w="621" w:type="dxa"/>
            <w:tcBorders>
              <w:top w:val="nil"/>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38.76 </w:t>
            </w:r>
          </w:p>
        </w:tc>
        <w:tc>
          <w:tcPr>
            <w:tcW w:w="621" w:type="dxa"/>
            <w:tcBorders>
              <w:top w:val="nil"/>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7.93 </w:t>
            </w:r>
          </w:p>
        </w:tc>
        <w:tc>
          <w:tcPr>
            <w:tcW w:w="1073" w:type="dxa"/>
            <w:tcBorders>
              <w:top w:val="nil"/>
              <w:left w:val="nil"/>
              <w:bottom w:val="single" w:sz="4" w:space="0" w:color="auto"/>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73" w:type="dxa"/>
            <w:tcBorders>
              <w:top w:val="nil"/>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sz w:val="20"/>
                <w:szCs w:val="20"/>
              </w:rPr>
            </w:pPr>
          </w:p>
        </w:tc>
        <w:tc>
          <w:tcPr>
            <w:tcW w:w="1369" w:type="dxa"/>
            <w:tcBorders>
              <w:top w:val="nil"/>
              <w:left w:val="nil"/>
              <w:bottom w:val="single" w:sz="4" w:space="0" w:color="auto"/>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w/Crd&amp;Tur</w:t>
            </w:r>
          </w:p>
        </w:tc>
      </w:tr>
      <w:tr w:rsidR="00B23FDA" w:rsidRPr="00B5308C" w:rsidTr="00B23FDA">
        <w:trPr>
          <w:trHeight w:val="240"/>
          <w:jc w:val="center"/>
        </w:trPr>
        <w:tc>
          <w:tcPr>
            <w:tcW w:w="965"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p>
        </w:tc>
        <w:tc>
          <w:tcPr>
            <w:tcW w:w="1004"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sz w:val="20"/>
                <w:szCs w:val="20"/>
              </w:rPr>
            </w:pPr>
          </w:p>
        </w:tc>
        <w:tc>
          <w:tcPr>
            <w:tcW w:w="548"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sz w:val="20"/>
                <w:szCs w:val="20"/>
              </w:rPr>
            </w:pPr>
          </w:p>
        </w:tc>
        <w:tc>
          <w:tcPr>
            <w:tcW w:w="60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sz w:val="20"/>
                <w:szCs w:val="20"/>
              </w:rPr>
            </w:pP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sz w:val="20"/>
                <w:szCs w:val="20"/>
              </w:rPr>
            </w:pP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sz w:val="20"/>
                <w:szCs w:val="20"/>
              </w:rPr>
            </w:pP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sz w:val="20"/>
                <w:szCs w:val="20"/>
              </w:rPr>
            </w:pPr>
          </w:p>
        </w:tc>
        <w:tc>
          <w:tcPr>
            <w:tcW w:w="1073"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sz w:val="20"/>
                <w:szCs w:val="20"/>
              </w:rPr>
            </w:pPr>
          </w:p>
        </w:tc>
        <w:tc>
          <w:tcPr>
            <w:tcW w:w="1073"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sz w:val="20"/>
                <w:szCs w:val="20"/>
              </w:rPr>
            </w:pPr>
          </w:p>
        </w:tc>
        <w:tc>
          <w:tcPr>
            <w:tcW w:w="1369"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sz w:val="20"/>
                <w:szCs w:val="20"/>
              </w:rPr>
            </w:pPr>
          </w:p>
        </w:tc>
      </w:tr>
      <w:tr w:rsidR="00B23FDA" w:rsidRPr="00B5308C" w:rsidTr="00B23FDA">
        <w:trPr>
          <w:trHeight w:val="240"/>
          <w:jc w:val="center"/>
        </w:trPr>
        <w:tc>
          <w:tcPr>
            <w:tcW w:w="965" w:type="dxa"/>
            <w:tcBorders>
              <w:top w:val="single" w:sz="4" w:space="0" w:color="auto"/>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Crd/melt</w:t>
            </w:r>
          </w:p>
        </w:tc>
        <w:tc>
          <w:tcPr>
            <w:tcW w:w="1004"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GBT-90</w:t>
            </w:r>
          </w:p>
        </w:tc>
        <w:tc>
          <w:tcPr>
            <w:tcW w:w="548"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1.3</w:t>
            </w:r>
          </w:p>
        </w:tc>
        <w:tc>
          <w:tcPr>
            <w:tcW w:w="601"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850</w:t>
            </w:r>
          </w:p>
        </w:tc>
        <w:tc>
          <w:tcPr>
            <w:tcW w:w="621"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2.55 </w:t>
            </w:r>
          </w:p>
        </w:tc>
        <w:tc>
          <w:tcPr>
            <w:tcW w:w="621"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1.83 </w:t>
            </w:r>
          </w:p>
        </w:tc>
        <w:tc>
          <w:tcPr>
            <w:tcW w:w="621"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11.14 </w:t>
            </w:r>
          </w:p>
        </w:tc>
        <w:tc>
          <w:tcPr>
            <w:tcW w:w="1073"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0.65 </w:t>
            </w:r>
          </w:p>
        </w:tc>
        <w:tc>
          <w:tcPr>
            <w:tcW w:w="1073"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3.03 </w:t>
            </w:r>
          </w:p>
        </w:tc>
        <w:tc>
          <w:tcPr>
            <w:tcW w:w="1369" w:type="dxa"/>
            <w:tcBorders>
              <w:top w:val="single" w:sz="4" w:space="0" w:color="auto"/>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w/Grt</w:t>
            </w:r>
          </w:p>
        </w:tc>
      </w:tr>
      <w:tr w:rsidR="00B23FDA" w:rsidRPr="00B5308C" w:rsidTr="00B23FDA">
        <w:trPr>
          <w:trHeight w:val="240"/>
          <w:jc w:val="center"/>
        </w:trPr>
        <w:tc>
          <w:tcPr>
            <w:tcW w:w="965"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Crd/melt</w:t>
            </w:r>
          </w:p>
        </w:tc>
        <w:tc>
          <w:tcPr>
            <w:tcW w:w="1004"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MnGT-89</w:t>
            </w:r>
          </w:p>
        </w:tc>
        <w:tc>
          <w:tcPr>
            <w:tcW w:w="548"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w:t>
            </w:r>
          </w:p>
        </w:tc>
        <w:tc>
          <w:tcPr>
            <w:tcW w:w="60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850</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2.20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9.93 </w:t>
            </w: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69"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Crd only</w:t>
            </w:r>
          </w:p>
        </w:tc>
      </w:tr>
      <w:tr w:rsidR="00B23FDA" w:rsidRPr="00B5308C" w:rsidTr="00B23FDA">
        <w:trPr>
          <w:trHeight w:val="240"/>
          <w:jc w:val="center"/>
        </w:trPr>
        <w:tc>
          <w:tcPr>
            <w:tcW w:w="965"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Crd/melt</w:t>
            </w:r>
          </w:p>
        </w:tc>
        <w:tc>
          <w:tcPr>
            <w:tcW w:w="1004"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GBT-88</w:t>
            </w:r>
          </w:p>
        </w:tc>
        <w:tc>
          <w:tcPr>
            <w:tcW w:w="548"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1.3</w:t>
            </w:r>
          </w:p>
        </w:tc>
        <w:tc>
          <w:tcPr>
            <w:tcW w:w="60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750</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4.39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2.57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18.07 </w:t>
            </w: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69"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w/Grt</w:t>
            </w:r>
          </w:p>
        </w:tc>
      </w:tr>
      <w:tr w:rsidR="00B23FDA" w:rsidRPr="00B5308C" w:rsidTr="00B23FDA">
        <w:trPr>
          <w:trHeight w:val="240"/>
          <w:jc w:val="center"/>
        </w:trPr>
        <w:tc>
          <w:tcPr>
            <w:tcW w:w="965"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Crd/melt</w:t>
            </w:r>
          </w:p>
        </w:tc>
        <w:tc>
          <w:tcPr>
            <w:tcW w:w="1004"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GBT-101</w:t>
            </w:r>
          </w:p>
        </w:tc>
        <w:tc>
          <w:tcPr>
            <w:tcW w:w="548"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1.3</w:t>
            </w:r>
          </w:p>
        </w:tc>
        <w:tc>
          <w:tcPr>
            <w:tcW w:w="60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750</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8.01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3.54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21.84 </w:t>
            </w: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69"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w/Grt</w:t>
            </w:r>
          </w:p>
        </w:tc>
      </w:tr>
      <w:tr w:rsidR="00B23FDA" w:rsidRPr="00B5308C" w:rsidTr="00B23FDA">
        <w:trPr>
          <w:trHeight w:val="240"/>
          <w:jc w:val="center"/>
        </w:trPr>
        <w:tc>
          <w:tcPr>
            <w:tcW w:w="965"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Crd/melt</w:t>
            </w:r>
          </w:p>
        </w:tc>
        <w:tc>
          <w:tcPr>
            <w:tcW w:w="1004"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GBT-102</w:t>
            </w:r>
          </w:p>
        </w:tc>
        <w:tc>
          <w:tcPr>
            <w:tcW w:w="548"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1.3</w:t>
            </w:r>
          </w:p>
        </w:tc>
        <w:tc>
          <w:tcPr>
            <w:tcW w:w="60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700</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6.79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3.64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31.95 </w:t>
            </w: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69"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w/Grt</w:t>
            </w:r>
          </w:p>
        </w:tc>
      </w:tr>
      <w:tr w:rsidR="00B23FDA" w:rsidRPr="00B5308C" w:rsidTr="00B23FDA">
        <w:trPr>
          <w:trHeight w:val="250"/>
          <w:jc w:val="center"/>
        </w:trPr>
        <w:tc>
          <w:tcPr>
            <w:tcW w:w="965"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Crd/melt</w:t>
            </w:r>
          </w:p>
        </w:tc>
        <w:tc>
          <w:tcPr>
            <w:tcW w:w="1004"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GBT-103</w:t>
            </w:r>
          </w:p>
        </w:tc>
        <w:tc>
          <w:tcPr>
            <w:tcW w:w="548"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1.3</w:t>
            </w:r>
          </w:p>
        </w:tc>
        <w:tc>
          <w:tcPr>
            <w:tcW w:w="60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650</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16.73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7.37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49.77 </w:t>
            </w:r>
          </w:p>
        </w:tc>
        <w:tc>
          <w:tcPr>
            <w:tcW w:w="1073"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p>
        </w:tc>
        <w:tc>
          <w:tcPr>
            <w:tcW w:w="1073"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sz w:val="20"/>
                <w:szCs w:val="20"/>
              </w:rPr>
            </w:pPr>
          </w:p>
        </w:tc>
        <w:tc>
          <w:tcPr>
            <w:tcW w:w="1369"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w/Grt&amp;Tur</w:t>
            </w:r>
          </w:p>
        </w:tc>
      </w:tr>
      <w:tr w:rsidR="00B23FDA" w:rsidRPr="00B5308C" w:rsidTr="00B23FDA">
        <w:trPr>
          <w:trHeight w:val="240"/>
          <w:jc w:val="center"/>
        </w:trPr>
        <w:tc>
          <w:tcPr>
            <w:tcW w:w="965" w:type="dxa"/>
            <w:tcBorders>
              <w:top w:val="dashed" w:sz="8" w:space="0" w:color="auto"/>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Crd/melt</w:t>
            </w:r>
          </w:p>
        </w:tc>
        <w:tc>
          <w:tcPr>
            <w:tcW w:w="1004" w:type="dxa"/>
            <w:tcBorders>
              <w:top w:val="dashed" w:sz="8"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4.1-1</w:t>
            </w:r>
          </w:p>
        </w:tc>
        <w:tc>
          <w:tcPr>
            <w:tcW w:w="548" w:type="dxa"/>
            <w:tcBorders>
              <w:top w:val="dashed" w:sz="8"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p>
        </w:tc>
        <w:tc>
          <w:tcPr>
            <w:tcW w:w="601" w:type="dxa"/>
            <w:tcBorders>
              <w:top w:val="dashed" w:sz="8"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750</w:t>
            </w:r>
          </w:p>
        </w:tc>
        <w:tc>
          <w:tcPr>
            <w:tcW w:w="621" w:type="dxa"/>
            <w:tcBorders>
              <w:top w:val="dashed" w:sz="8"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11.15</w:t>
            </w:r>
          </w:p>
        </w:tc>
        <w:tc>
          <w:tcPr>
            <w:tcW w:w="621" w:type="dxa"/>
            <w:tcBorders>
              <w:top w:val="dashed" w:sz="8"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7.19</w:t>
            </w:r>
          </w:p>
        </w:tc>
        <w:tc>
          <w:tcPr>
            <w:tcW w:w="621" w:type="dxa"/>
            <w:tcBorders>
              <w:top w:val="dashed" w:sz="8"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32.56</w:t>
            </w:r>
          </w:p>
        </w:tc>
        <w:tc>
          <w:tcPr>
            <w:tcW w:w="1073" w:type="dxa"/>
            <w:tcBorders>
              <w:top w:val="dashed" w:sz="8"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p>
        </w:tc>
        <w:tc>
          <w:tcPr>
            <w:tcW w:w="1073" w:type="dxa"/>
            <w:tcBorders>
              <w:top w:val="dashed" w:sz="8"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sz w:val="20"/>
                <w:szCs w:val="20"/>
              </w:rPr>
            </w:pPr>
          </w:p>
        </w:tc>
        <w:tc>
          <w:tcPr>
            <w:tcW w:w="1369" w:type="dxa"/>
            <w:tcBorders>
              <w:top w:val="dashed" w:sz="8"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Icenhower (1995)</w:t>
            </w:r>
          </w:p>
        </w:tc>
      </w:tr>
      <w:tr w:rsidR="00B23FDA" w:rsidRPr="00B5308C" w:rsidTr="00B23FDA">
        <w:trPr>
          <w:trHeight w:val="240"/>
          <w:jc w:val="center"/>
        </w:trPr>
        <w:tc>
          <w:tcPr>
            <w:tcW w:w="965"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Crd/melt</w:t>
            </w:r>
          </w:p>
        </w:tc>
        <w:tc>
          <w:tcPr>
            <w:tcW w:w="1004"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4C-8</w:t>
            </w:r>
          </w:p>
        </w:tc>
        <w:tc>
          <w:tcPr>
            <w:tcW w:w="548"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p>
        </w:tc>
        <w:tc>
          <w:tcPr>
            <w:tcW w:w="60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750</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13.71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10.50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37.44 </w:t>
            </w: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69"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t>
            </w:r>
          </w:p>
        </w:tc>
      </w:tr>
      <w:tr w:rsidR="00B23FDA" w:rsidRPr="00B5308C" w:rsidTr="00B23FDA">
        <w:trPr>
          <w:trHeight w:val="240"/>
          <w:jc w:val="center"/>
        </w:trPr>
        <w:tc>
          <w:tcPr>
            <w:tcW w:w="965"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Crd/melt</w:t>
            </w:r>
          </w:p>
        </w:tc>
        <w:tc>
          <w:tcPr>
            <w:tcW w:w="1004"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4C-11</w:t>
            </w:r>
          </w:p>
        </w:tc>
        <w:tc>
          <w:tcPr>
            <w:tcW w:w="548"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p>
        </w:tc>
        <w:tc>
          <w:tcPr>
            <w:tcW w:w="60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750</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19.49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14.46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w:t>
            </w: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69"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t>
            </w:r>
          </w:p>
        </w:tc>
      </w:tr>
      <w:tr w:rsidR="00B23FDA" w:rsidRPr="00B5308C" w:rsidTr="00B23FDA">
        <w:trPr>
          <w:trHeight w:val="240"/>
          <w:jc w:val="center"/>
        </w:trPr>
        <w:tc>
          <w:tcPr>
            <w:tcW w:w="965"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Crd/melt</w:t>
            </w:r>
          </w:p>
        </w:tc>
        <w:tc>
          <w:tcPr>
            <w:tcW w:w="1004"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4.2-1</w:t>
            </w:r>
          </w:p>
        </w:tc>
        <w:tc>
          <w:tcPr>
            <w:tcW w:w="548"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p>
        </w:tc>
        <w:tc>
          <w:tcPr>
            <w:tcW w:w="60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750</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11.60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9.93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41.64 </w:t>
            </w: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69"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t>
            </w:r>
          </w:p>
        </w:tc>
      </w:tr>
      <w:tr w:rsidR="00B23FDA" w:rsidRPr="00B5308C" w:rsidTr="00B23FDA">
        <w:trPr>
          <w:trHeight w:val="240"/>
          <w:jc w:val="center"/>
        </w:trPr>
        <w:tc>
          <w:tcPr>
            <w:tcW w:w="965"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Crd/melt</w:t>
            </w:r>
          </w:p>
        </w:tc>
        <w:tc>
          <w:tcPr>
            <w:tcW w:w="1004"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5-17</w:t>
            </w:r>
          </w:p>
        </w:tc>
        <w:tc>
          <w:tcPr>
            <w:tcW w:w="548"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p>
        </w:tc>
        <w:tc>
          <w:tcPr>
            <w:tcW w:w="60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700</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13.98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9.33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43.68 </w:t>
            </w:r>
          </w:p>
        </w:tc>
        <w:tc>
          <w:tcPr>
            <w:tcW w:w="1073"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p>
        </w:tc>
        <w:tc>
          <w:tcPr>
            <w:tcW w:w="1073"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sz w:val="20"/>
                <w:szCs w:val="20"/>
              </w:rPr>
            </w:pPr>
          </w:p>
        </w:tc>
        <w:tc>
          <w:tcPr>
            <w:tcW w:w="1369"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t>
            </w:r>
          </w:p>
        </w:tc>
      </w:tr>
      <w:tr w:rsidR="00B23FDA" w:rsidRPr="00B5308C" w:rsidTr="00B23FDA">
        <w:trPr>
          <w:trHeight w:val="240"/>
          <w:jc w:val="center"/>
        </w:trPr>
        <w:tc>
          <w:tcPr>
            <w:tcW w:w="965"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Crd/melt</w:t>
            </w:r>
          </w:p>
        </w:tc>
        <w:tc>
          <w:tcPr>
            <w:tcW w:w="1004"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5-18</w:t>
            </w:r>
          </w:p>
        </w:tc>
        <w:tc>
          <w:tcPr>
            <w:tcW w:w="548"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p>
        </w:tc>
        <w:tc>
          <w:tcPr>
            <w:tcW w:w="60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700</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14.73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8.57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42.17 </w:t>
            </w: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69"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t>
            </w:r>
          </w:p>
        </w:tc>
      </w:tr>
      <w:tr w:rsidR="00B23FDA" w:rsidRPr="00B5308C" w:rsidTr="00B23FDA">
        <w:trPr>
          <w:trHeight w:val="240"/>
          <w:jc w:val="center"/>
        </w:trPr>
        <w:tc>
          <w:tcPr>
            <w:tcW w:w="965"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Crd/melt</w:t>
            </w:r>
          </w:p>
        </w:tc>
        <w:tc>
          <w:tcPr>
            <w:tcW w:w="1004"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5-19</w:t>
            </w:r>
          </w:p>
        </w:tc>
        <w:tc>
          <w:tcPr>
            <w:tcW w:w="548"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p>
        </w:tc>
        <w:tc>
          <w:tcPr>
            <w:tcW w:w="60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700</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16.02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8.93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43.87 </w:t>
            </w: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69"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t>
            </w:r>
          </w:p>
        </w:tc>
      </w:tr>
      <w:tr w:rsidR="00B23FDA" w:rsidRPr="00B5308C" w:rsidTr="00B23FDA">
        <w:trPr>
          <w:trHeight w:val="240"/>
          <w:jc w:val="center"/>
        </w:trPr>
        <w:tc>
          <w:tcPr>
            <w:tcW w:w="965"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Crd/melt</w:t>
            </w:r>
          </w:p>
        </w:tc>
        <w:tc>
          <w:tcPr>
            <w:tcW w:w="1004"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6M-3</w:t>
            </w:r>
          </w:p>
        </w:tc>
        <w:tc>
          <w:tcPr>
            <w:tcW w:w="548"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p>
        </w:tc>
        <w:tc>
          <w:tcPr>
            <w:tcW w:w="60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700</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14.18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8.92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32.62 </w:t>
            </w: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69"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t>
            </w:r>
          </w:p>
        </w:tc>
      </w:tr>
      <w:tr w:rsidR="00B23FDA" w:rsidRPr="00B5308C" w:rsidTr="00B23FDA">
        <w:trPr>
          <w:trHeight w:val="240"/>
          <w:jc w:val="center"/>
        </w:trPr>
        <w:tc>
          <w:tcPr>
            <w:tcW w:w="965"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Crd/melt</w:t>
            </w:r>
          </w:p>
        </w:tc>
        <w:tc>
          <w:tcPr>
            <w:tcW w:w="1004"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5+11</w:t>
            </w:r>
          </w:p>
        </w:tc>
        <w:tc>
          <w:tcPr>
            <w:tcW w:w="548"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p>
        </w:tc>
        <w:tc>
          <w:tcPr>
            <w:tcW w:w="60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700</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15.00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7.66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28.80 </w:t>
            </w: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69"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t>
            </w:r>
          </w:p>
        </w:tc>
      </w:tr>
      <w:tr w:rsidR="00B23FDA" w:rsidRPr="00B5308C" w:rsidTr="00B23FDA">
        <w:trPr>
          <w:trHeight w:val="240"/>
          <w:jc w:val="center"/>
        </w:trPr>
        <w:tc>
          <w:tcPr>
            <w:tcW w:w="965"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Crd/melt</w:t>
            </w:r>
          </w:p>
        </w:tc>
        <w:tc>
          <w:tcPr>
            <w:tcW w:w="1004"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15-10</w:t>
            </w:r>
          </w:p>
        </w:tc>
        <w:tc>
          <w:tcPr>
            <w:tcW w:w="548"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p>
        </w:tc>
        <w:tc>
          <w:tcPr>
            <w:tcW w:w="60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700</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12.65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11.92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33.60 </w:t>
            </w: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69"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t>
            </w:r>
          </w:p>
        </w:tc>
      </w:tr>
      <w:tr w:rsidR="00B23FDA" w:rsidRPr="00B5308C" w:rsidTr="00B23FDA">
        <w:trPr>
          <w:trHeight w:val="240"/>
          <w:jc w:val="center"/>
        </w:trPr>
        <w:tc>
          <w:tcPr>
            <w:tcW w:w="965"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Crd/melt</w:t>
            </w:r>
          </w:p>
        </w:tc>
        <w:tc>
          <w:tcPr>
            <w:tcW w:w="1004"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4.1-2</w:t>
            </w:r>
          </w:p>
        </w:tc>
        <w:tc>
          <w:tcPr>
            <w:tcW w:w="548"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p>
        </w:tc>
        <w:tc>
          <w:tcPr>
            <w:tcW w:w="60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650</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16.92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15.08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38.17 </w:t>
            </w: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69"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t>
            </w:r>
          </w:p>
        </w:tc>
      </w:tr>
      <w:tr w:rsidR="00B23FDA" w:rsidRPr="00B5308C" w:rsidTr="00B23FDA">
        <w:trPr>
          <w:trHeight w:val="240"/>
          <w:jc w:val="center"/>
        </w:trPr>
        <w:tc>
          <w:tcPr>
            <w:tcW w:w="965"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Crd/melt</w:t>
            </w:r>
          </w:p>
        </w:tc>
        <w:tc>
          <w:tcPr>
            <w:tcW w:w="1004"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4.2-2</w:t>
            </w:r>
          </w:p>
        </w:tc>
        <w:tc>
          <w:tcPr>
            <w:tcW w:w="548"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p>
        </w:tc>
        <w:tc>
          <w:tcPr>
            <w:tcW w:w="60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650</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18.43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8.50 </w:t>
            </w: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55.09 </w:t>
            </w: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69"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t>
            </w:r>
          </w:p>
        </w:tc>
      </w:tr>
      <w:tr w:rsidR="00B23FDA" w:rsidRPr="00B5308C" w:rsidTr="00B23FDA">
        <w:trPr>
          <w:trHeight w:val="240"/>
          <w:jc w:val="center"/>
        </w:trPr>
        <w:tc>
          <w:tcPr>
            <w:tcW w:w="965" w:type="dxa"/>
            <w:tcBorders>
              <w:top w:val="nil"/>
              <w:left w:val="nil"/>
              <w:bottom w:val="single" w:sz="4" w:space="0" w:color="auto"/>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Crd/melt</w:t>
            </w:r>
          </w:p>
        </w:tc>
        <w:tc>
          <w:tcPr>
            <w:tcW w:w="1004" w:type="dxa"/>
            <w:tcBorders>
              <w:top w:val="nil"/>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4C-13</w:t>
            </w:r>
          </w:p>
        </w:tc>
        <w:tc>
          <w:tcPr>
            <w:tcW w:w="548" w:type="dxa"/>
            <w:tcBorders>
              <w:top w:val="nil"/>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p>
        </w:tc>
        <w:tc>
          <w:tcPr>
            <w:tcW w:w="601" w:type="dxa"/>
            <w:tcBorders>
              <w:top w:val="nil"/>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650</w:t>
            </w:r>
          </w:p>
        </w:tc>
        <w:tc>
          <w:tcPr>
            <w:tcW w:w="621" w:type="dxa"/>
            <w:tcBorders>
              <w:top w:val="nil"/>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17.00 </w:t>
            </w:r>
          </w:p>
        </w:tc>
        <w:tc>
          <w:tcPr>
            <w:tcW w:w="621" w:type="dxa"/>
            <w:tcBorders>
              <w:top w:val="nil"/>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w:t>
            </w:r>
          </w:p>
        </w:tc>
        <w:tc>
          <w:tcPr>
            <w:tcW w:w="621" w:type="dxa"/>
            <w:tcBorders>
              <w:top w:val="nil"/>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61.00 </w:t>
            </w:r>
          </w:p>
        </w:tc>
        <w:tc>
          <w:tcPr>
            <w:tcW w:w="1073" w:type="dxa"/>
            <w:tcBorders>
              <w:top w:val="nil"/>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p>
        </w:tc>
        <w:tc>
          <w:tcPr>
            <w:tcW w:w="1073" w:type="dxa"/>
            <w:tcBorders>
              <w:top w:val="nil"/>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sz w:val="20"/>
                <w:szCs w:val="20"/>
              </w:rPr>
            </w:pPr>
          </w:p>
        </w:tc>
        <w:tc>
          <w:tcPr>
            <w:tcW w:w="1369" w:type="dxa"/>
            <w:tcBorders>
              <w:top w:val="nil"/>
              <w:left w:val="nil"/>
              <w:bottom w:val="single" w:sz="4" w:space="0" w:color="auto"/>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t>
            </w:r>
          </w:p>
        </w:tc>
      </w:tr>
      <w:tr w:rsidR="00B23FDA" w:rsidRPr="00B5308C" w:rsidTr="00B23FDA">
        <w:trPr>
          <w:trHeight w:val="240"/>
          <w:jc w:val="center"/>
        </w:trPr>
        <w:tc>
          <w:tcPr>
            <w:tcW w:w="1969" w:type="dxa"/>
            <w:gridSpan w:val="2"/>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BC: Bulk Composition</w:t>
            </w:r>
          </w:p>
        </w:tc>
        <w:tc>
          <w:tcPr>
            <w:tcW w:w="548"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p>
        </w:tc>
        <w:tc>
          <w:tcPr>
            <w:tcW w:w="60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sz w:val="20"/>
                <w:szCs w:val="20"/>
              </w:rPr>
            </w:pP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sz w:val="20"/>
                <w:szCs w:val="20"/>
              </w:rPr>
            </w:pP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sz w:val="20"/>
                <w:szCs w:val="20"/>
              </w:rPr>
            </w:pPr>
          </w:p>
        </w:tc>
        <w:tc>
          <w:tcPr>
            <w:tcW w:w="621"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sz w:val="20"/>
                <w:szCs w:val="20"/>
              </w:rPr>
            </w:pP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69"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sz w:val="20"/>
                <w:szCs w:val="20"/>
              </w:rPr>
            </w:pPr>
          </w:p>
        </w:tc>
      </w:tr>
      <w:tr w:rsidR="00B23FDA" w:rsidRPr="00B5308C" w:rsidTr="00B23FDA">
        <w:trPr>
          <w:trHeight w:val="240"/>
          <w:jc w:val="center"/>
        </w:trPr>
        <w:tc>
          <w:tcPr>
            <w:tcW w:w="4360" w:type="dxa"/>
            <w:gridSpan w:val="6"/>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Mineral abbreviations after Whitney and Evans (2010)</w:t>
            </w:r>
          </w:p>
        </w:tc>
        <w:tc>
          <w:tcPr>
            <w:tcW w:w="621"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073"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69"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sz w:val="20"/>
                <w:szCs w:val="20"/>
              </w:rPr>
            </w:pPr>
          </w:p>
        </w:tc>
      </w:tr>
      <w:tr w:rsidR="00B23FDA" w:rsidRPr="00B5308C" w:rsidTr="00B23FDA">
        <w:trPr>
          <w:trHeight w:val="240"/>
          <w:jc w:val="center"/>
        </w:trPr>
        <w:tc>
          <w:tcPr>
            <w:tcW w:w="6054" w:type="dxa"/>
            <w:gridSpan w:val="8"/>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*Average KD values from slope of each regression in Figures 7a-7b</w:t>
            </w:r>
          </w:p>
        </w:tc>
        <w:tc>
          <w:tcPr>
            <w:tcW w:w="1073" w:type="dxa"/>
            <w:tcBorders>
              <w:top w:val="nil"/>
              <w:left w:val="nil"/>
              <w:bottom w:val="nil"/>
              <w:right w:val="nil"/>
            </w:tcBorders>
            <w:noWrap/>
            <w:vAlign w:val="bottom"/>
            <w:hideMark/>
          </w:tcPr>
          <w:p w:rsidR="00B23FDA" w:rsidRPr="00B5308C" w:rsidRDefault="00B23FDA" w:rsidP="008D543B">
            <w:pPr>
              <w:spacing w:after="0"/>
              <w:rPr>
                <w:rFonts w:eastAsia="Times New Roman" w:cs="Times New Roman"/>
                <w:color w:val="000000"/>
                <w:sz w:val="18"/>
                <w:szCs w:val="18"/>
              </w:rPr>
            </w:pPr>
          </w:p>
        </w:tc>
        <w:tc>
          <w:tcPr>
            <w:tcW w:w="1369"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sz w:val="20"/>
                <w:szCs w:val="20"/>
              </w:rPr>
            </w:pPr>
          </w:p>
        </w:tc>
      </w:tr>
      <w:tr w:rsidR="00B23FDA" w:rsidRPr="00B5308C" w:rsidTr="00B23FDA">
        <w:trPr>
          <w:trHeight w:val="240"/>
          <w:jc w:val="center"/>
        </w:trPr>
        <w:tc>
          <w:tcPr>
            <w:tcW w:w="6054" w:type="dxa"/>
            <w:gridSpan w:val="8"/>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Errors for mean D values are less than 10% relative, and most commonly ~ 5%.</w:t>
            </w:r>
          </w:p>
        </w:tc>
        <w:tc>
          <w:tcPr>
            <w:tcW w:w="1073" w:type="dxa"/>
            <w:tcBorders>
              <w:top w:val="nil"/>
              <w:left w:val="nil"/>
              <w:bottom w:val="nil"/>
              <w:right w:val="nil"/>
            </w:tcBorders>
            <w:noWrap/>
            <w:vAlign w:val="bottom"/>
            <w:hideMark/>
          </w:tcPr>
          <w:p w:rsidR="00B23FDA" w:rsidRPr="00B5308C" w:rsidRDefault="00B23FDA" w:rsidP="008D543B">
            <w:pPr>
              <w:spacing w:after="0"/>
              <w:rPr>
                <w:rFonts w:eastAsia="Times New Roman" w:cs="Times New Roman"/>
                <w:color w:val="000000"/>
                <w:sz w:val="18"/>
                <w:szCs w:val="18"/>
              </w:rPr>
            </w:pPr>
          </w:p>
        </w:tc>
        <w:tc>
          <w:tcPr>
            <w:tcW w:w="1369"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sz w:val="20"/>
                <w:szCs w:val="20"/>
              </w:rPr>
            </w:pPr>
          </w:p>
        </w:tc>
      </w:tr>
    </w:tbl>
    <w:p w:rsidR="009610A8" w:rsidRDefault="009610A8" w:rsidP="00665C0F">
      <w:pPr>
        <w:spacing w:line="480" w:lineRule="auto"/>
        <w:rPr>
          <w:rFonts w:cs="Times New Roman"/>
        </w:rPr>
      </w:pPr>
    </w:p>
    <w:p w:rsidR="009610A8" w:rsidRDefault="009610A8" w:rsidP="009610A8">
      <w:r>
        <w:br w:type="page"/>
      </w:r>
    </w:p>
    <w:tbl>
      <w:tblPr>
        <w:tblW w:w="8730" w:type="dxa"/>
        <w:jc w:val="center"/>
        <w:tblLayout w:type="fixed"/>
        <w:tblCellMar>
          <w:top w:w="15" w:type="dxa"/>
          <w:bottom w:w="15" w:type="dxa"/>
        </w:tblCellMar>
        <w:tblLook w:val="04A0" w:firstRow="1" w:lastRow="0" w:firstColumn="1" w:lastColumn="0" w:noHBand="0" w:noVBand="1"/>
      </w:tblPr>
      <w:tblGrid>
        <w:gridCol w:w="990"/>
        <w:gridCol w:w="990"/>
        <w:gridCol w:w="630"/>
        <w:gridCol w:w="720"/>
        <w:gridCol w:w="630"/>
        <w:gridCol w:w="630"/>
        <w:gridCol w:w="635"/>
        <w:gridCol w:w="1075"/>
        <w:gridCol w:w="1080"/>
        <w:gridCol w:w="1350"/>
      </w:tblGrid>
      <w:tr w:rsidR="00B23FDA" w:rsidRPr="00B5308C" w:rsidTr="00B23FDA">
        <w:trPr>
          <w:trHeight w:val="240"/>
          <w:jc w:val="center"/>
        </w:trPr>
        <w:tc>
          <w:tcPr>
            <w:tcW w:w="6300" w:type="dxa"/>
            <w:gridSpan w:val="8"/>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Table 6 cont.: Mineral-Melt Partition and Exchange Coefficients</w:t>
            </w:r>
          </w:p>
        </w:tc>
        <w:tc>
          <w:tcPr>
            <w:tcW w:w="1080" w:type="dxa"/>
            <w:tcBorders>
              <w:top w:val="nil"/>
              <w:left w:val="nil"/>
              <w:bottom w:val="nil"/>
              <w:right w:val="nil"/>
            </w:tcBorders>
            <w:noWrap/>
            <w:vAlign w:val="bottom"/>
            <w:hideMark/>
          </w:tcPr>
          <w:p w:rsidR="00B23FDA" w:rsidRPr="00B5308C" w:rsidRDefault="00B23FDA" w:rsidP="008D543B">
            <w:pPr>
              <w:spacing w:after="0"/>
              <w:rPr>
                <w:rFonts w:eastAsia="Times New Roman" w:cs="Times New Roman"/>
                <w:b/>
                <w:bCs/>
                <w:color w:val="000000"/>
                <w:sz w:val="18"/>
                <w:szCs w:val="18"/>
              </w:rPr>
            </w:pPr>
          </w:p>
        </w:tc>
        <w:tc>
          <w:tcPr>
            <w:tcW w:w="135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sz w:val="20"/>
                <w:szCs w:val="20"/>
              </w:rPr>
            </w:pPr>
          </w:p>
        </w:tc>
      </w:tr>
      <w:tr w:rsidR="00B23FDA" w:rsidRPr="00B5308C" w:rsidTr="00B23FDA">
        <w:trPr>
          <w:trHeight w:val="270"/>
          <w:jc w:val="center"/>
        </w:trPr>
        <w:tc>
          <w:tcPr>
            <w:tcW w:w="990" w:type="dxa"/>
            <w:tcBorders>
              <w:top w:val="single" w:sz="4" w:space="0" w:color="auto"/>
              <w:left w:val="nil"/>
              <w:bottom w:val="nil"/>
              <w:right w:val="nil"/>
            </w:tcBorders>
            <w:noWrap/>
            <w:vAlign w:val="center"/>
            <w:hideMark/>
          </w:tcPr>
          <w:p w:rsidR="00B23FDA" w:rsidRPr="00B5308C" w:rsidRDefault="00B23FDA" w:rsidP="008D543B">
            <w:pPr>
              <w:spacing w:after="0"/>
              <w:rPr>
                <w:rFonts w:eastAsia="Times New Roman" w:cs="Times New Roman"/>
                <w:sz w:val="20"/>
                <w:szCs w:val="20"/>
              </w:rPr>
            </w:pPr>
          </w:p>
        </w:tc>
        <w:tc>
          <w:tcPr>
            <w:tcW w:w="990" w:type="dxa"/>
            <w:tcBorders>
              <w:top w:val="single" w:sz="4" w:space="0" w:color="auto"/>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b/>
                <w:bCs/>
                <w:color w:val="000000"/>
                <w:sz w:val="18"/>
                <w:szCs w:val="18"/>
              </w:rPr>
            </w:pPr>
            <w:r w:rsidRPr="00B5308C">
              <w:rPr>
                <w:rFonts w:eastAsia="Times New Roman" w:cs="Times New Roman"/>
                <w:b/>
                <w:bCs/>
                <w:color w:val="000000"/>
                <w:sz w:val="18"/>
                <w:szCs w:val="18"/>
              </w:rPr>
              <w:t>Exp #</w:t>
            </w:r>
          </w:p>
        </w:tc>
        <w:tc>
          <w:tcPr>
            <w:tcW w:w="630" w:type="dxa"/>
            <w:tcBorders>
              <w:top w:val="single" w:sz="4" w:space="0" w:color="auto"/>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b/>
                <w:bCs/>
                <w:color w:val="000000"/>
                <w:sz w:val="18"/>
                <w:szCs w:val="18"/>
              </w:rPr>
            </w:pPr>
            <w:r w:rsidRPr="00B5308C">
              <w:rPr>
                <w:rFonts w:eastAsia="Times New Roman" w:cs="Times New Roman"/>
                <w:b/>
                <w:bCs/>
                <w:color w:val="000000"/>
                <w:sz w:val="18"/>
                <w:szCs w:val="18"/>
              </w:rPr>
              <w:t>BC</w:t>
            </w:r>
          </w:p>
        </w:tc>
        <w:tc>
          <w:tcPr>
            <w:tcW w:w="720" w:type="dxa"/>
            <w:tcBorders>
              <w:top w:val="single" w:sz="4" w:space="0" w:color="auto"/>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b/>
                <w:bCs/>
                <w:color w:val="000000"/>
                <w:sz w:val="18"/>
                <w:szCs w:val="18"/>
              </w:rPr>
            </w:pPr>
            <w:r w:rsidRPr="00B5308C">
              <w:rPr>
                <w:rFonts w:eastAsia="Times New Roman" w:cs="Times New Roman"/>
                <w:b/>
                <w:bCs/>
                <w:color w:val="000000"/>
                <w:sz w:val="18"/>
                <w:szCs w:val="18"/>
              </w:rPr>
              <w:t>T (°C)</w:t>
            </w:r>
          </w:p>
        </w:tc>
        <w:tc>
          <w:tcPr>
            <w:tcW w:w="630" w:type="dxa"/>
            <w:tcBorders>
              <w:top w:val="single" w:sz="4" w:space="0" w:color="auto"/>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b/>
                <w:bCs/>
                <w:color w:val="000000"/>
                <w:sz w:val="18"/>
                <w:szCs w:val="18"/>
              </w:rPr>
            </w:pPr>
            <w:r w:rsidRPr="00B5308C">
              <w:rPr>
                <w:rFonts w:eastAsia="Times New Roman" w:cs="Times New Roman"/>
                <w:b/>
                <w:bCs/>
                <w:color w:val="000000"/>
                <w:sz w:val="18"/>
                <w:szCs w:val="18"/>
              </w:rPr>
              <w:t>D</w:t>
            </w:r>
            <w:r w:rsidRPr="00B5308C">
              <w:rPr>
                <w:rFonts w:eastAsia="Times New Roman" w:cs="Times New Roman"/>
                <w:b/>
                <w:bCs/>
                <w:color w:val="000000"/>
                <w:sz w:val="18"/>
                <w:szCs w:val="18"/>
                <w:vertAlign w:val="subscript"/>
              </w:rPr>
              <w:t>FeO</w:t>
            </w:r>
          </w:p>
        </w:tc>
        <w:tc>
          <w:tcPr>
            <w:tcW w:w="630" w:type="dxa"/>
            <w:tcBorders>
              <w:top w:val="single" w:sz="4" w:space="0" w:color="auto"/>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b/>
                <w:bCs/>
                <w:color w:val="000000"/>
                <w:sz w:val="18"/>
                <w:szCs w:val="18"/>
              </w:rPr>
            </w:pPr>
            <w:r w:rsidRPr="00B5308C">
              <w:rPr>
                <w:rFonts w:eastAsia="Times New Roman" w:cs="Times New Roman"/>
                <w:b/>
                <w:bCs/>
                <w:color w:val="000000"/>
                <w:sz w:val="18"/>
                <w:szCs w:val="18"/>
              </w:rPr>
              <w:t>D</w:t>
            </w:r>
            <w:r w:rsidRPr="00B5308C">
              <w:rPr>
                <w:rFonts w:eastAsia="Times New Roman" w:cs="Times New Roman"/>
                <w:b/>
                <w:bCs/>
                <w:color w:val="000000"/>
                <w:sz w:val="18"/>
                <w:szCs w:val="18"/>
                <w:vertAlign w:val="subscript"/>
              </w:rPr>
              <w:t>MnO</w:t>
            </w:r>
          </w:p>
        </w:tc>
        <w:tc>
          <w:tcPr>
            <w:tcW w:w="635" w:type="dxa"/>
            <w:tcBorders>
              <w:top w:val="single" w:sz="4" w:space="0" w:color="auto"/>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b/>
                <w:bCs/>
                <w:color w:val="000000"/>
                <w:sz w:val="18"/>
                <w:szCs w:val="18"/>
              </w:rPr>
            </w:pPr>
            <w:r w:rsidRPr="00B5308C">
              <w:rPr>
                <w:rFonts w:eastAsia="Times New Roman" w:cs="Times New Roman"/>
                <w:b/>
                <w:bCs/>
                <w:color w:val="000000"/>
                <w:sz w:val="18"/>
                <w:szCs w:val="18"/>
              </w:rPr>
              <w:t>D</w:t>
            </w:r>
            <w:r w:rsidRPr="00B5308C">
              <w:rPr>
                <w:rFonts w:eastAsia="Times New Roman" w:cs="Times New Roman"/>
                <w:b/>
                <w:bCs/>
                <w:color w:val="000000"/>
                <w:sz w:val="18"/>
                <w:szCs w:val="18"/>
                <w:vertAlign w:val="subscript"/>
              </w:rPr>
              <w:t>MgO</w:t>
            </w:r>
          </w:p>
        </w:tc>
        <w:tc>
          <w:tcPr>
            <w:tcW w:w="1075" w:type="dxa"/>
            <w:tcBorders>
              <w:top w:val="single" w:sz="4" w:space="0" w:color="auto"/>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b/>
                <w:bCs/>
                <w:color w:val="000000"/>
                <w:sz w:val="18"/>
                <w:szCs w:val="18"/>
              </w:rPr>
            </w:pPr>
            <w:r w:rsidRPr="00B5308C">
              <w:rPr>
                <w:rFonts w:eastAsia="Times New Roman" w:cs="Times New Roman"/>
                <w:b/>
                <w:bCs/>
                <w:color w:val="000000"/>
                <w:sz w:val="18"/>
                <w:szCs w:val="18"/>
              </w:rPr>
              <w:t>*K</w:t>
            </w:r>
            <w:r w:rsidRPr="00B5308C">
              <w:rPr>
                <w:rFonts w:eastAsia="Times New Roman" w:cs="Times New Roman"/>
                <w:b/>
                <w:bCs/>
                <w:color w:val="000000"/>
                <w:sz w:val="18"/>
                <w:szCs w:val="18"/>
                <w:vertAlign w:val="subscript"/>
              </w:rPr>
              <w:t>D</w:t>
            </w:r>
            <w:r w:rsidRPr="00B5308C">
              <w:rPr>
                <w:rFonts w:eastAsia="Times New Roman" w:cs="Times New Roman"/>
                <w:b/>
                <w:bCs/>
                <w:i/>
                <w:iCs/>
                <w:color w:val="000000"/>
                <w:sz w:val="18"/>
                <w:szCs w:val="18"/>
                <w:vertAlign w:val="subscript"/>
              </w:rPr>
              <w:t>MnO/FeO</w:t>
            </w:r>
          </w:p>
        </w:tc>
        <w:tc>
          <w:tcPr>
            <w:tcW w:w="1080" w:type="dxa"/>
            <w:tcBorders>
              <w:top w:val="single" w:sz="4" w:space="0" w:color="auto"/>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b/>
                <w:bCs/>
                <w:color w:val="000000"/>
                <w:sz w:val="18"/>
                <w:szCs w:val="18"/>
              </w:rPr>
            </w:pPr>
            <w:r w:rsidRPr="00B5308C">
              <w:rPr>
                <w:rFonts w:eastAsia="Times New Roman" w:cs="Times New Roman"/>
                <w:b/>
                <w:bCs/>
                <w:color w:val="000000"/>
                <w:sz w:val="18"/>
                <w:szCs w:val="18"/>
              </w:rPr>
              <w:t>*K</w:t>
            </w:r>
            <w:r w:rsidRPr="00B5308C">
              <w:rPr>
                <w:rFonts w:eastAsia="Times New Roman" w:cs="Times New Roman"/>
                <w:b/>
                <w:bCs/>
                <w:color w:val="000000"/>
                <w:sz w:val="18"/>
                <w:szCs w:val="18"/>
                <w:vertAlign w:val="subscript"/>
              </w:rPr>
              <w:t>D</w:t>
            </w:r>
            <w:r w:rsidRPr="00B5308C">
              <w:rPr>
                <w:rFonts w:eastAsia="Times New Roman" w:cs="Times New Roman"/>
                <w:b/>
                <w:bCs/>
                <w:i/>
                <w:iCs/>
                <w:color w:val="000000"/>
                <w:sz w:val="18"/>
                <w:szCs w:val="18"/>
                <w:vertAlign w:val="subscript"/>
              </w:rPr>
              <w:t>MgO/FeO</w:t>
            </w:r>
          </w:p>
        </w:tc>
        <w:tc>
          <w:tcPr>
            <w:tcW w:w="1350" w:type="dxa"/>
            <w:tcBorders>
              <w:top w:val="single" w:sz="4" w:space="0" w:color="auto"/>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b/>
                <w:bCs/>
                <w:color w:val="000000"/>
                <w:sz w:val="18"/>
                <w:szCs w:val="18"/>
              </w:rPr>
            </w:pPr>
          </w:p>
        </w:tc>
      </w:tr>
      <w:tr w:rsidR="00B23FDA" w:rsidRPr="00B5308C" w:rsidTr="00B23FDA">
        <w:trPr>
          <w:trHeight w:val="240"/>
          <w:jc w:val="center"/>
        </w:trPr>
        <w:tc>
          <w:tcPr>
            <w:tcW w:w="990" w:type="dxa"/>
            <w:tcBorders>
              <w:top w:val="single" w:sz="4" w:space="0" w:color="auto"/>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Tur/melt</w:t>
            </w:r>
          </w:p>
        </w:tc>
        <w:tc>
          <w:tcPr>
            <w:tcW w:w="990"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GBT-98</w:t>
            </w:r>
          </w:p>
        </w:tc>
        <w:tc>
          <w:tcPr>
            <w:tcW w:w="630"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1.2+</w:t>
            </w:r>
          </w:p>
        </w:tc>
        <w:tc>
          <w:tcPr>
            <w:tcW w:w="720"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750</w:t>
            </w:r>
          </w:p>
        </w:tc>
        <w:tc>
          <w:tcPr>
            <w:tcW w:w="630"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17.76 </w:t>
            </w:r>
          </w:p>
        </w:tc>
        <w:tc>
          <w:tcPr>
            <w:tcW w:w="630"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0.36 </w:t>
            </w:r>
          </w:p>
        </w:tc>
        <w:tc>
          <w:tcPr>
            <w:tcW w:w="635"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29.87 </w:t>
            </w:r>
          </w:p>
        </w:tc>
        <w:tc>
          <w:tcPr>
            <w:tcW w:w="1075" w:type="dxa"/>
            <w:tcBorders>
              <w:top w:val="single" w:sz="4" w:space="0" w:color="auto"/>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0.03</w:t>
            </w:r>
          </w:p>
        </w:tc>
        <w:tc>
          <w:tcPr>
            <w:tcW w:w="1080" w:type="dxa"/>
            <w:tcBorders>
              <w:top w:val="single" w:sz="4" w:space="0" w:color="auto"/>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1.37</w:t>
            </w:r>
          </w:p>
        </w:tc>
        <w:tc>
          <w:tcPr>
            <w:tcW w:w="1350" w:type="dxa"/>
            <w:tcBorders>
              <w:top w:val="single" w:sz="4" w:space="0" w:color="auto"/>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Tur only</w:t>
            </w:r>
          </w:p>
        </w:tc>
      </w:tr>
      <w:tr w:rsidR="00B23FDA" w:rsidRPr="00B5308C" w:rsidTr="00B23FDA">
        <w:trPr>
          <w:trHeight w:val="240"/>
          <w:jc w:val="center"/>
        </w:trPr>
        <w:tc>
          <w:tcPr>
            <w:tcW w:w="99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Tur/melt</w:t>
            </w:r>
          </w:p>
        </w:tc>
        <w:tc>
          <w:tcPr>
            <w:tcW w:w="99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GBT-79</w:t>
            </w: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1.2</w:t>
            </w:r>
          </w:p>
        </w:tc>
        <w:tc>
          <w:tcPr>
            <w:tcW w:w="72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750</w:t>
            </w: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14.57 </w:t>
            </w: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0.38 </w:t>
            </w:r>
          </w:p>
        </w:tc>
        <w:tc>
          <w:tcPr>
            <w:tcW w:w="635"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16.79 </w:t>
            </w:r>
          </w:p>
        </w:tc>
        <w:tc>
          <w:tcPr>
            <w:tcW w:w="107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8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5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Tur only</w:t>
            </w:r>
          </w:p>
        </w:tc>
      </w:tr>
      <w:tr w:rsidR="00B23FDA" w:rsidRPr="00B5308C" w:rsidTr="00B23FDA">
        <w:trPr>
          <w:trHeight w:val="240"/>
          <w:jc w:val="center"/>
        </w:trPr>
        <w:tc>
          <w:tcPr>
            <w:tcW w:w="99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Tur/melt</w:t>
            </w:r>
          </w:p>
        </w:tc>
        <w:tc>
          <w:tcPr>
            <w:tcW w:w="99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MnGT-77</w:t>
            </w: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4.1</w:t>
            </w:r>
          </w:p>
        </w:tc>
        <w:tc>
          <w:tcPr>
            <w:tcW w:w="72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750</w:t>
            </w: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14.64 </w:t>
            </w: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0.46 </w:t>
            </w:r>
          </w:p>
        </w:tc>
        <w:tc>
          <w:tcPr>
            <w:tcW w:w="635"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14.11 </w:t>
            </w:r>
          </w:p>
        </w:tc>
        <w:tc>
          <w:tcPr>
            <w:tcW w:w="107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8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5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w/Grt</w:t>
            </w:r>
          </w:p>
        </w:tc>
      </w:tr>
      <w:tr w:rsidR="00B23FDA" w:rsidRPr="00B5308C" w:rsidTr="00B23FDA">
        <w:trPr>
          <w:trHeight w:val="240"/>
          <w:jc w:val="center"/>
        </w:trPr>
        <w:tc>
          <w:tcPr>
            <w:tcW w:w="99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Tur/melt</w:t>
            </w:r>
          </w:p>
        </w:tc>
        <w:tc>
          <w:tcPr>
            <w:tcW w:w="99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MnGT-78</w:t>
            </w: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4.1</w:t>
            </w:r>
          </w:p>
        </w:tc>
        <w:tc>
          <w:tcPr>
            <w:tcW w:w="72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725</w:t>
            </w: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13.56 </w:t>
            </w: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0.44 </w:t>
            </w:r>
          </w:p>
        </w:tc>
        <w:tc>
          <w:tcPr>
            <w:tcW w:w="635"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15.91 </w:t>
            </w:r>
          </w:p>
        </w:tc>
        <w:tc>
          <w:tcPr>
            <w:tcW w:w="107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8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5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w/Grt</w:t>
            </w:r>
          </w:p>
        </w:tc>
      </w:tr>
      <w:tr w:rsidR="00B23FDA" w:rsidRPr="00B5308C" w:rsidTr="00B23FDA">
        <w:trPr>
          <w:trHeight w:val="240"/>
          <w:jc w:val="center"/>
        </w:trPr>
        <w:tc>
          <w:tcPr>
            <w:tcW w:w="99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Tur/melt</w:t>
            </w:r>
          </w:p>
        </w:tc>
        <w:tc>
          <w:tcPr>
            <w:tcW w:w="99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MnGT-49</w:t>
            </w: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4.1</w:t>
            </w:r>
          </w:p>
        </w:tc>
        <w:tc>
          <w:tcPr>
            <w:tcW w:w="72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700</w:t>
            </w: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23.52 </w:t>
            </w: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0.64 </w:t>
            </w:r>
          </w:p>
        </w:tc>
        <w:tc>
          <w:tcPr>
            <w:tcW w:w="635"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37.88 </w:t>
            </w:r>
          </w:p>
        </w:tc>
        <w:tc>
          <w:tcPr>
            <w:tcW w:w="107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8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5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w/Grt</w:t>
            </w:r>
          </w:p>
        </w:tc>
      </w:tr>
      <w:tr w:rsidR="00B23FDA" w:rsidRPr="00B5308C" w:rsidTr="00B23FDA">
        <w:trPr>
          <w:trHeight w:val="240"/>
          <w:jc w:val="center"/>
        </w:trPr>
        <w:tc>
          <w:tcPr>
            <w:tcW w:w="99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Tur/melt</w:t>
            </w:r>
          </w:p>
        </w:tc>
        <w:tc>
          <w:tcPr>
            <w:tcW w:w="99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MnGT-56</w:t>
            </w: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4.1</w:t>
            </w:r>
          </w:p>
        </w:tc>
        <w:tc>
          <w:tcPr>
            <w:tcW w:w="72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700</w:t>
            </w: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31.11 </w:t>
            </w: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0.90 </w:t>
            </w:r>
          </w:p>
        </w:tc>
        <w:tc>
          <w:tcPr>
            <w:tcW w:w="635"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w:t>
            </w:r>
          </w:p>
        </w:tc>
        <w:tc>
          <w:tcPr>
            <w:tcW w:w="107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8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5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w/Grt</w:t>
            </w:r>
          </w:p>
        </w:tc>
      </w:tr>
      <w:tr w:rsidR="00B23FDA" w:rsidRPr="00B5308C" w:rsidTr="00B23FDA">
        <w:trPr>
          <w:trHeight w:val="240"/>
          <w:jc w:val="center"/>
        </w:trPr>
        <w:tc>
          <w:tcPr>
            <w:tcW w:w="99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Tur/melt</w:t>
            </w:r>
          </w:p>
        </w:tc>
        <w:tc>
          <w:tcPr>
            <w:tcW w:w="99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MnGT-66</w:t>
            </w: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4.1</w:t>
            </w:r>
          </w:p>
        </w:tc>
        <w:tc>
          <w:tcPr>
            <w:tcW w:w="72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700</w:t>
            </w: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20.89 </w:t>
            </w: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0.64 </w:t>
            </w:r>
          </w:p>
        </w:tc>
        <w:tc>
          <w:tcPr>
            <w:tcW w:w="635"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26.14 </w:t>
            </w:r>
          </w:p>
        </w:tc>
        <w:tc>
          <w:tcPr>
            <w:tcW w:w="107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8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5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Tur only</w:t>
            </w:r>
          </w:p>
        </w:tc>
      </w:tr>
      <w:tr w:rsidR="00B23FDA" w:rsidRPr="00B5308C" w:rsidTr="00B23FDA">
        <w:trPr>
          <w:trHeight w:val="240"/>
          <w:jc w:val="center"/>
        </w:trPr>
        <w:tc>
          <w:tcPr>
            <w:tcW w:w="99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Tur/melt</w:t>
            </w:r>
          </w:p>
        </w:tc>
        <w:tc>
          <w:tcPr>
            <w:tcW w:w="99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MnGT-67</w:t>
            </w: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4.1</w:t>
            </w:r>
          </w:p>
        </w:tc>
        <w:tc>
          <w:tcPr>
            <w:tcW w:w="72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700</w:t>
            </w: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25.42 </w:t>
            </w: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0.72 </w:t>
            </w:r>
          </w:p>
        </w:tc>
        <w:tc>
          <w:tcPr>
            <w:tcW w:w="635"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33.02 </w:t>
            </w:r>
          </w:p>
        </w:tc>
        <w:tc>
          <w:tcPr>
            <w:tcW w:w="107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8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5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Tur only</w:t>
            </w:r>
          </w:p>
        </w:tc>
      </w:tr>
      <w:tr w:rsidR="00B23FDA" w:rsidRPr="00B5308C" w:rsidTr="00B23FDA">
        <w:trPr>
          <w:trHeight w:val="240"/>
          <w:jc w:val="center"/>
        </w:trPr>
        <w:tc>
          <w:tcPr>
            <w:tcW w:w="99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Tur/melt</w:t>
            </w:r>
          </w:p>
        </w:tc>
        <w:tc>
          <w:tcPr>
            <w:tcW w:w="99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GBT-83</w:t>
            </w: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1.2</w:t>
            </w:r>
          </w:p>
        </w:tc>
        <w:tc>
          <w:tcPr>
            <w:tcW w:w="72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700</w:t>
            </w: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28.77 </w:t>
            </w: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0.68 </w:t>
            </w:r>
          </w:p>
        </w:tc>
        <w:tc>
          <w:tcPr>
            <w:tcW w:w="635"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30.77 </w:t>
            </w:r>
          </w:p>
        </w:tc>
        <w:tc>
          <w:tcPr>
            <w:tcW w:w="107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8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5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Tur only</w:t>
            </w:r>
          </w:p>
        </w:tc>
      </w:tr>
      <w:tr w:rsidR="00B23FDA" w:rsidRPr="00B5308C" w:rsidTr="00B23FDA">
        <w:trPr>
          <w:trHeight w:val="240"/>
          <w:jc w:val="center"/>
        </w:trPr>
        <w:tc>
          <w:tcPr>
            <w:tcW w:w="99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Tur/melt</w:t>
            </w:r>
          </w:p>
        </w:tc>
        <w:tc>
          <w:tcPr>
            <w:tcW w:w="99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GBT-99</w:t>
            </w: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1.2+</w:t>
            </w:r>
          </w:p>
        </w:tc>
        <w:tc>
          <w:tcPr>
            <w:tcW w:w="72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700</w:t>
            </w: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30.29 </w:t>
            </w: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0.57 </w:t>
            </w:r>
          </w:p>
        </w:tc>
        <w:tc>
          <w:tcPr>
            <w:tcW w:w="635"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w:t>
            </w:r>
          </w:p>
        </w:tc>
        <w:tc>
          <w:tcPr>
            <w:tcW w:w="107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8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5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Tur only</w:t>
            </w:r>
          </w:p>
        </w:tc>
      </w:tr>
      <w:tr w:rsidR="00B23FDA" w:rsidRPr="00B5308C" w:rsidTr="00B23FDA">
        <w:trPr>
          <w:trHeight w:val="240"/>
          <w:jc w:val="center"/>
        </w:trPr>
        <w:tc>
          <w:tcPr>
            <w:tcW w:w="99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Tur/melt</w:t>
            </w:r>
          </w:p>
        </w:tc>
        <w:tc>
          <w:tcPr>
            <w:tcW w:w="99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GBT-103</w:t>
            </w: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1.3</w:t>
            </w:r>
          </w:p>
        </w:tc>
        <w:tc>
          <w:tcPr>
            <w:tcW w:w="72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650</w:t>
            </w: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30.28 </w:t>
            </w: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1.62 </w:t>
            </w:r>
          </w:p>
        </w:tc>
        <w:tc>
          <w:tcPr>
            <w:tcW w:w="635"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49.93 </w:t>
            </w:r>
          </w:p>
        </w:tc>
        <w:tc>
          <w:tcPr>
            <w:tcW w:w="107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8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5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w/Grt&amp;Crd</w:t>
            </w:r>
          </w:p>
        </w:tc>
      </w:tr>
      <w:tr w:rsidR="00B23FDA" w:rsidRPr="00B5308C" w:rsidTr="00B23FDA">
        <w:trPr>
          <w:trHeight w:val="240"/>
          <w:jc w:val="center"/>
        </w:trPr>
        <w:tc>
          <w:tcPr>
            <w:tcW w:w="990" w:type="dxa"/>
            <w:tcBorders>
              <w:top w:val="nil"/>
              <w:left w:val="nil"/>
              <w:bottom w:val="single" w:sz="4" w:space="0" w:color="auto"/>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Tur/melt</w:t>
            </w:r>
          </w:p>
        </w:tc>
        <w:tc>
          <w:tcPr>
            <w:tcW w:w="990" w:type="dxa"/>
            <w:tcBorders>
              <w:top w:val="nil"/>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GBT-85</w:t>
            </w:r>
          </w:p>
        </w:tc>
        <w:tc>
          <w:tcPr>
            <w:tcW w:w="630" w:type="dxa"/>
            <w:tcBorders>
              <w:top w:val="nil"/>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1.2+</w:t>
            </w:r>
          </w:p>
        </w:tc>
        <w:tc>
          <w:tcPr>
            <w:tcW w:w="720" w:type="dxa"/>
            <w:tcBorders>
              <w:top w:val="nil"/>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650</w:t>
            </w:r>
          </w:p>
        </w:tc>
        <w:tc>
          <w:tcPr>
            <w:tcW w:w="630" w:type="dxa"/>
            <w:tcBorders>
              <w:top w:val="nil"/>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31.36 </w:t>
            </w:r>
          </w:p>
        </w:tc>
        <w:tc>
          <w:tcPr>
            <w:tcW w:w="630" w:type="dxa"/>
            <w:tcBorders>
              <w:top w:val="nil"/>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1.01 </w:t>
            </w:r>
          </w:p>
        </w:tc>
        <w:tc>
          <w:tcPr>
            <w:tcW w:w="635" w:type="dxa"/>
            <w:tcBorders>
              <w:top w:val="nil"/>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w:t>
            </w:r>
          </w:p>
        </w:tc>
        <w:tc>
          <w:tcPr>
            <w:tcW w:w="1075" w:type="dxa"/>
            <w:tcBorders>
              <w:top w:val="nil"/>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p>
        </w:tc>
        <w:tc>
          <w:tcPr>
            <w:tcW w:w="1080" w:type="dxa"/>
            <w:tcBorders>
              <w:top w:val="nil"/>
              <w:left w:val="nil"/>
              <w:bottom w:val="single" w:sz="4" w:space="0" w:color="auto"/>
              <w:right w:val="nil"/>
            </w:tcBorders>
            <w:noWrap/>
            <w:vAlign w:val="center"/>
            <w:hideMark/>
          </w:tcPr>
          <w:p w:rsidR="00B23FDA" w:rsidRPr="00B5308C" w:rsidRDefault="00B23FDA" w:rsidP="008D543B">
            <w:pPr>
              <w:spacing w:after="0"/>
              <w:jc w:val="center"/>
              <w:rPr>
                <w:rFonts w:eastAsia="Times New Roman" w:cs="Times New Roman"/>
                <w:sz w:val="20"/>
                <w:szCs w:val="20"/>
              </w:rPr>
            </w:pPr>
          </w:p>
        </w:tc>
        <w:tc>
          <w:tcPr>
            <w:tcW w:w="1350" w:type="dxa"/>
            <w:tcBorders>
              <w:top w:val="nil"/>
              <w:left w:val="nil"/>
              <w:bottom w:val="single" w:sz="4" w:space="0" w:color="auto"/>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Tur only</w:t>
            </w:r>
          </w:p>
        </w:tc>
      </w:tr>
      <w:tr w:rsidR="00B23FDA" w:rsidRPr="00B5308C" w:rsidTr="00B23FDA">
        <w:trPr>
          <w:trHeight w:val="240"/>
          <w:jc w:val="center"/>
        </w:trPr>
        <w:tc>
          <w:tcPr>
            <w:tcW w:w="99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p>
        </w:tc>
        <w:tc>
          <w:tcPr>
            <w:tcW w:w="99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sz w:val="20"/>
                <w:szCs w:val="20"/>
              </w:rPr>
            </w:pP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sz w:val="20"/>
                <w:szCs w:val="20"/>
              </w:rPr>
            </w:pPr>
          </w:p>
        </w:tc>
        <w:tc>
          <w:tcPr>
            <w:tcW w:w="72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sz w:val="20"/>
                <w:szCs w:val="20"/>
              </w:rPr>
            </w:pP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sz w:val="20"/>
                <w:szCs w:val="20"/>
              </w:rPr>
            </w:pPr>
          </w:p>
        </w:tc>
        <w:tc>
          <w:tcPr>
            <w:tcW w:w="63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sz w:val="20"/>
                <w:szCs w:val="20"/>
              </w:rPr>
            </w:pPr>
          </w:p>
        </w:tc>
        <w:tc>
          <w:tcPr>
            <w:tcW w:w="635"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sz w:val="20"/>
                <w:szCs w:val="20"/>
              </w:rPr>
            </w:pPr>
          </w:p>
        </w:tc>
        <w:tc>
          <w:tcPr>
            <w:tcW w:w="1075"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sz w:val="20"/>
                <w:szCs w:val="20"/>
              </w:rPr>
            </w:pPr>
          </w:p>
        </w:tc>
        <w:tc>
          <w:tcPr>
            <w:tcW w:w="108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sz w:val="20"/>
                <w:szCs w:val="20"/>
              </w:rPr>
            </w:pPr>
          </w:p>
        </w:tc>
        <w:tc>
          <w:tcPr>
            <w:tcW w:w="1350"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sz w:val="20"/>
                <w:szCs w:val="20"/>
              </w:rPr>
            </w:pPr>
          </w:p>
        </w:tc>
      </w:tr>
      <w:tr w:rsidR="00B23FDA" w:rsidRPr="00B5308C" w:rsidTr="00B23FDA">
        <w:trPr>
          <w:trHeight w:val="240"/>
          <w:jc w:val="center"/>
        </w:trPr>
        <w:tc>
          <w:tcPr>
            <w:tcW w:w="990" w:type="dxa"/>
            <w:tcBorders>
              <w:top w:val="single" w:sz="4" w:space="0" w:color="auto"/>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Bt/melt</w:t>
            </w:r>
          </w:p>
        </w:tc>
        <w:tc>
          <w:tcPr>
            <w:tcW w:w="990"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6+4</w:t>
            </w:r>
          </w:p>
        </w:tc>
        <w:tc>
          <w:tcPr>
            <w:tcW w:w="630"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p>
        </w:tc>
        <w:tc>
          <w:tcPr>
            <w:tcW w:w="720"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750</w:t>
            </w:r>
          </w:p>
        </w:tc>
        <w:tc>
          <w:tcPr>
            <w:tcW w:w="630"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18.42</w:t>
            </w:r>
          </w:p>
        </w:tc>
        <w:tc>
          <w:tcPr>
            <w:tcW w:w="630"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3.71</w:t>
            </w:r>
          </w:p>
        </w:tc>
        <w:tc>
          <w:tcPr>
            <w:tcW w:w="635"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67.33</w:t>
            </w:r>
          </w:p>
        </w:tc>
        <w:tc>
          <w:tcPr>
            <w:tcW w:w="1075"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0.21</w:t>
            </w:r>
          </w:p>
        </w:tc>
        <w:tc>
          <w:tcPr>
            <w:tcW w:w="1080"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3.03</w:t>
            </w:r>
          </w:p>
        </w:tc>
        <w:tc>
          <w:tcPr>
            <w:tcW w:w="1350"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Icenhower </w:t>
            </w:r>
            <w:r>
              <w:rPr>
                <w:rFonts w:eastAsia="Times New Roman" w:cs="Times New Roman"/>
                <w:color w:val="000000"/>
                <w:sz w:val="18"/>
                <w:szCs w:val="18"/>
              </w:rPr>
              <w:br/>
            </w:r>
            <w:r w:rsidRPr="00B5308C">
              <w:rPr>
                <w:rFonts w:eastAsia="Times New Roman" w:cs="Times New Roman"/>
                <w:color w:val="000000"/>
                <w:sz w:val="18"/>
                <w:szCs w:val="18"/>
              </w:rPr>
              <w:t>and London (1995)</w:t>
            </w:r>
          </w:p>
        </w:tc>
      </w:tr>
      <w:tr w:rsidR="00B23FDA" w:rsidRPr="00B5308C" w:rsidTr="00B23FDA">
        <w:trPr>
          <w:trHeight w:val="250"/>
          <w:jc w:val="center"/>
        </w:trPr>
        <w:tc>
          <w:tcPr>
            <w:tcW w:w="99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Bt/melt</w:t>
            </w:r>
          </w:p>
        </w:tc>
        <w:tc>
          <w:tcPr>
            <w:tcW w:w="99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7+4</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72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750</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17.83 </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3.78 </w:t>
            </w:r>
          </w:p>
        </w:tc>
        <w:tc>
          <w:tcPr>
            <w:tcW w:w="63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72.40 </w:t>
            </w:r>
          </w:p>
        </w:tc>
        <w:tc>
          <w:tcPr>
            <w:tcW w:w="107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8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50" w:type="dxa"/>
            <w:tcBorders>
              <w:top w:val="nil"/>
              <w:left w:val="nil"/>
              <w:bottom w:val="nil"/>
              <w:right w:val="nil"/>
            </w:tcBorders>
            <w:noWrap/>
            <w:vAlign w:val="bottom"/>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t>
            </w:r>
          </w:p>
        </w:tc>
      </w:tr>
      <w:tr w:rsidR="00B23FDA" w:rsidRPr="00B5308C" w:rsidTr="00B23FDA">
        <w:trPr>
          <w:trHeight w:val="240"/>
          <w:jc w:val="center"/>
        </w:trPr>
        <w:tc>
          <w:tcPr>
            <w:tcW w:w="99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Bt/melt</w:t>
            </w:r>
          </w:p>
        </w:tc>
        <w:tc>
          <w:tcPr>
            <w:tcW w:w="99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5+6</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72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750</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16.80 </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3.50 </w:t>
            </w:r>
          </w:p>
        </w:tc>
        <w:tc>
          <w:tcPr>
            <w:tcW w:w="63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76.00 </w:t>
            </w:r>
          </w:p>
        </w:tc>
        <w:tc>
          <w:tcPr>
            <w:tcW w:w="107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8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50" w:type="dxa"/>
            <w:tcBorders>
              <w:top w:val="nil"/>
              <w:left w:val="nil"/>
              <w:bottom w:val="nil"/>
              <w:right w:val="nil"/>
            </w:tcBorders>
            <w:noWrap/>
            <w:vAlign w:val="bottom"/>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t>
            </w:r>
          </w:p>
        </w:tc>
      </w:tr>
      <w:tr w:rsidR="00B23FDA" w:rsidRPr="00B5308C" w:rsidTr="00B23FDA">
        <w:trPr>
          <w:trHeight w:val="240"/>
          <w:jc w:val="center"/>
        </w:trPr>
        <w:tc>
          <w:tcPr>
            <w:tcW w:w="99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Bt/melt</w:t>
            </w:r>
          </w:p>
        </w:tc>
        <w:tc>
          <w:tcPr>
            <w:tcW w:w="99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5+9</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72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700</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20.49 </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3.25 </w:t>
            </w:r>
          </w:p>
        </w:tc>
        <w:tc>
          <w:tcPr>
            <w:tcW w:w="63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68.78 </w:t>
            </w:r>
          </w:p>
        </w:tc>
        <w:tc>
          <w:tcPr>
            <w:tcW w:w="107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8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50" w:type="dxa"/>
            <w:tcBorders>
              <w:top w:val="nil"/>
              <w:left w:val="nil"/>
              <w:bottom w:val="nil"/>
              <w:right w:val="nil"/>
            </w:tcBorders>
            <w:noWrap/>
            <w:vAlign w:val="bottom"/>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t>
            </w:r>
          </w:p>
        </w:tc>
      </w:tr>
      <w:tr w:rsidR="00B23FDA" w:rsidRPr="00B5308C" w:rsidTr="00B23FDA">
        <w:trPr>
          <w:trHeight w:val="240"/>
          <w:jc w:val="center"/>
        </w:trPr>
        <w:tc>
          <w:tcPr>
            <w:tcW w:w="99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Bt/melt</w:t>
            </w:r>
          </w:p>
        </w:tc>
        <w:tc>
          <w:tcPr>
            <w:tcW w:w="99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5+7</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72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700</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19.60 </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5.00 </w:t>
            </w:r>
          </w:p>
        </w:tc>
        <w:tc>
          <w:tcPr>
            <w:tcW w:w="63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49.54 </w:t>
            </w:r>
          </w:p>
        </w:tc>
        <w:tc>
          <w:tcPr>
            <w:tcW w:w="107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8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50" w:type="dxa"/>
            <w:tcBorders>
              <w:top w:val="nil"/>
              <w:left w:val="nil"/>
              <w:bottom w:val="nil"/>
              <w:right w:val="nil"/>
            </w:tcBorders>
            <w:noWrap/>
            <w:vAlign w:val="bottom"/>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t>
            </w:r>
          </w:p>
        </w:tc>
      </w:tr>
      <w:tr w:rsidR="00B23FDA" w:rsidRPr="00B5308C" w:rsidTr="00B23FDA">
        <w:trPr>
          <w:trHeight w:val="240"/>
          <w:jc w:val="center"/>
        </w:trPr>
        <w:tc>
          <w:tcPr>
            <w:tcW w:w="99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Bt/melt</w:t>
            </w:r>
          </w:p>
        </w:tc>
        <w:tc>
          <w:tcPr>
            <w:tcW w:w="99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6+7</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72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700</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22.19 </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4.50 </w:t>
            </w:r>
          </w:p>
        </w:tc>
        <w:tc>
          <w:tcPr>
            <w:tcW w:w="63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85.71 </w:t>
            </w:r>
          </w:p>
        </w:tc>
        <w:tc>
          <w:tcPr>
            <w:tcW w:w="107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8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50" w:type="dxa"/>
            <w:tcBorders>
              <w:top w:val="nil"/>
              <w:left w:val="nil"/>
              <w:bottom w:val="nil"/>
              <w:right w:val="nil"/>
            </w:tcBorders>
            <w:noWrap/>
            <w:vAlign w:val="bottom"/>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t>
            </w:r>
          </w:p>
        </w:tc>
      </w:tr>
      <w:tr w:rsidR="00B23FDA" w:rsidRPr="00B5308C" w:rsidTr="00B23FDA">
        <w:trPr>
          <w:trHeight w:val="240"/>
          <w:jc w:val="center"/>
        </w:trPr>
        <w:tc>
          <w:tcPr>
            <w:tcW w:w="99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Bt/melt</w:t>
            </w:r>
          </w:p>
        </w:tc>
        <w:tc>
          <w:tcPr>
            <w:tcW w:w="99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6+5</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72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700</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27.96 </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5.50 </w:t>
            </w:r>
          </w:p>
        </w:tc>
        <w:tc>
          <w:tcPr>
            <w:tcW w:w="63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84.29 </w:t>
            </w:r>
          </w:p>
        </w:tc>
        <w:tc>
          <w:tcPr>
            <w:tcW w:w="107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8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50" w:type="dxa"/>
            <w:tcBorders>
              <w:top w:val="nil"/>
              <w:left w:val="nil"/>
              <w:bottom w:val="nil"/>
              <w:right w:val="nil"/>
            </w:tcBorders>
            <w:noWrap/>
            <w:vAlign w:val="bottom"/>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t>
            </w:r>
          </w:p>
        </w:tc>
      </w:tr>
      <w:tr w:rsidR="00B23FDA" w:rsidRPr="00B5308C" w:rsidTr="00B23FDA">
        <w:trPr>
          <w:trHeight w:val="240"/>
          <w:jc w:val="center"/>
        </w:trPr>
        <w:tc>
          <w:tcPr>
            <w:tcW w:w="99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Bt/melt</w:t>
            </w:r>
          </w:p>
        </w:tc>
        <w:tc>
          <w:tcPr>
            <w:tcW w:w="99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7+7</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72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700</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20.75 </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3.75 </w:t>
            </w:r>
          </w:p>
        </w:tc>
        <w:tc>
          <w:tcPr>
            <w:tcW w:w="63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74.00 </w:t>
            </w:r>
          </w:p>
        </w:tc>
        <w:tc>
          <w:tcPr>
            <w:tcW w:w="107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8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50" w:type="dxa"/>
            <w:tcBorders>
              <w:top w:val="nil"/>
              <w:left w:val="nil"/>
              <w:bottom w:val="nil"/>
              <w:right w:val="nil"/>
            </w:tcBorders>
            <w:noWrap/>
            <w:vAlign w:val="bottom"/>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t>
            </w:r>
          </w:p>
        </w:tc>
      </w:tr>
      <w:tr w:rsidR="00B23FDA" w:rsidRPr="00B5308C" w:rsidTr="00B23FDA">
        <w:trPr>
          <w:trHeight w:val="240"/>
          <w:jc w:val="center"/>
        </w:trPr>
        <w:tc>
          <w:tcPr>
            <w:tcW w:w="99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Bt/melt</w:t>
            </w:r>
          </w:p>
        </w:tc>
        <w:tc>
          <w:tcPr>
            <w:tcW w:w="99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7+5</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72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700</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21.03 </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4.63 </w:t>
            </w:r>
          </w:p>
        </w:tc>
        <w:tc>
          <w:tcPr>
            <w:tcW w:w="63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54.91 </w:t>
            </w:r>
          </w:p>
        </w:tc>
        <w:tc>
          <w:tcPr>
            <w:tcW w:w="107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8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50" w:type="dxa"/>
            <w:tcBorders>
              <w:top w:val="nil"/>
              <w:left w:val="nil"/>
              <w:bottom w:val="nil"/>
              <w:right w:val="nil"/>
            </w:tcBorders>
            <w:noWrap/>
            <w:vAlign w:val="bottom"/>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t>
            </w:r>
          </w:p>
        </w:tc>
      </w:tr>
      <w:tr w:rsidR="00B23FDA" w:rsidRPr="00B5308C" w:rsidTr="00B23FDA">
        <w:trPr>
          <w:trHeight w:val="240"/>
          <w:jc w:val="center"/>
        </w:trPr>
        <w:tc>
          <w:tcPr>
            <w:tcW w:w="99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Bt/melt</w:t>
            </w:r>
          </w:p>
        </w:tc>
        <w:tc>
          <w:tcPr>
            <w:tcW w:w="99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7+10</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72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650</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28.45 </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6.83 </w:t>
            </w:r>
          </w:p>
        </w:tc>
        <w:tc>
          <w:tcPr>
            <w:tcW w:w="63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73.63 </w:t>
            </w:r>
          </w:p>
        </w:tc>
        <w:tc>
          <w:tcPr>
            <w:tcW w:w="107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8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50" w:type="dxa"/>
            <w:tcBorders>
              <w:top w:val="nil"/>
              <w:left w:val="nil"/>
              <w:bottom w:val="nil"/>
              <w:right w:val="nil"/>
            </w:tcBorders>
            <w:noWrap/>
            <w:vAlign w:val="bottom"/>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t>
            </w:r>
          </w:p>
        </w:tc>
      </w:tr>
      <w:tr w:rsidR="00B23FDA" w:rsidRPr="00B5308C" w:rsidTr="00B23FDA">
        <w:trPr>
          <w:trHeight w:val="240"/>
          <w:jc w:val="center"/>
        </w:trPr>
        <w:tc>
          <w:tcPr>
            <w:tcW w:w="99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Bt/melt</w:t>
            </w:r>
          </w:p>
        </w:tc>
        <w:tc>
          <w:tcPr>
            <w:tcW w:w="99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7+6</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72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650</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27.89 </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5.57 </w:t>
            </w:r>
          </w:p>
        </w:tc>
        <w:tc>
          <w:tcPr>
            <w:tcW w:w="63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76.25 </w:t>
            </w:r>
          </w:p>
        </w:tc>
        <w:tc>
          <w:tcPr>
            <w:tcW w:w="107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8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50" w:type="dxa"/>
            <w:tcBorders>
              <w:top w:val="nil"/>
              <w:left w:val="nil"/>
              <w:bottom w:val="nil"/>
              <w:right w:val="nil"/>
            </w:tcBorders>
            <w:noWrap/>
            <w:vAlign w:val="bottom"/>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t>
            </w:r>
          </w:p>
        </w:tc>
      </w:tr>
      <w:tr w:rsidR="00B23FDA" w:rsidRPr="00B5308C" w:rsidTr="00B23FDA">
        <w:trPr>
          <w:trHeight w:val="240"/>
          <w:jc w:val="center"/>
        </w:trPr>
        <w:tc>
          <w:tcPr>
            <w:tcW w:w="99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Bt/melt</w:t>
            </w:r>
          </w:p>
        </w:tc>
        <w:tc>
          <w:tcPr>
            <w:tcW w:w="99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5+14</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72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650</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23.38 </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4.86 </w:t>
            </w:r>
          </w:p>
        </w:tc>
        <w:tc>
          <w:tcPr>
            <w:tcW w:w="63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54.55 </w:t>
            </w:r>
          </w:p>
        </w:tc>
        <w:tc>
          <w:tcPr>
            <w:tcW w:w="107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8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50" w:type="dxa"/>
            <w:tcBorders>
              <w:top w:val="nil"/>
              <w:left w:val="nil"/>
              <w:bottom w:val="nil"/>
              <w:right w:val="nil"/>
            </w:tcBorders>
            <w:noWrap/>
            <w:vAlign w:val="bottom"/>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t>
            </w:r>
          </w:p>
        </w:tc>
      </w:tr>
      <w:tr w:rsidR="00B23FDA" w:rsidRPr="00B5308C" w:rsidTr="00B23FDA">
        <w:trPr>
          <w:trHeight w:val="240"/>
          <w:jc w:val="center"/>
        </w:trPr>
        <w:tc>
          <w:tcPr>
            <w:tcW w:w="99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Bt/melt</w:t>
            </w:r>
          </w:p>
        </w:tc>
        <w:tc>
          <w:tcPr>
            <w:tcW w:w="99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5+15</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72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650</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20.19 </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5.43 </w:t>
            </w:r>
          </w:p>
        </w:tc>
        <w:tc>
          <w:tcPr>
            <w:tcW w:w="63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37.63 </w:t>
            </w:r>
          </w:p>
        </w:tc>
        <w:tc>
          <w:tcPr>
            <w:tcW w:w="107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8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50" w:type="dxa"/>
            <w:tcBorders>
              <w:top w:val="nil"/>
              <w:left w:val="nil"/>
              <w:bottom w:val="nil"/>
              <w:right w:val="nil"/>
            </w:tcBorders>
            <w:noWrap/>
            <w:vAlign w:val="bottom"/>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t>
            </w:r>
          </w:p>
        </w:tc>
      </w:tr>
      <w:tr w:rsidR="00B23FDA" w:rsidRPr="00B5308C" w:rsidTr="00B23FDA">
        <w:trPr>
          <w:trHeight w:val="240"/>
          <w:jc w:val="center"/>
        </w:trPr>
        <w:tc>
          <w:tcPr>
            <w:tcW w:w="990" w:type="dxa"/>
            <w:tcBorders>
              <w:top w:val="nil"/>
              <w:left w:val="nil"/>
              <w:bottom w:val="single" w:sz="4" w:space="0" w:color="auto"/>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Bt/melt</w:t>
            </w:r>
          </w:p>
        </w:tc>
        <w:tc>
          <w:tcPr>
            <w:tcW w:w="990" w:type="dxa"/>
            <w:tcBorders>
              <w:top w:val="nil"/>
              <w:left w:val="nil"/>
              <w:bottom w:val="single" w:sz="4" w:space="0" w:color="auto"/>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5+8</w:t>
            </w:r>
          </w:p>
        </w:tc>
        <w:tc>
          <w:tcPr>
            <w:tcW w:w="630" w:type="dxa"/>
            <w:tcBorders>
              <w:top w:val="nil"/>
              <w:left w:val="nil"/>
              <w:bottom w:val="single" w:sz="4" w:space="0" w:color="auto"/>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720" w:type="dxa"/>
            <w:tcBorders>
              <w:top w:val="nil"/>
              <w:left w:val="nil"/>
              <w:bottom w:val="single" w:sz="4" w:space="0" w:color="auto"/>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650</w:t>
            </w:r>
          </w:p>
        </w:tc>
        <w:tc>
          <w:tcPr>
            <w:tcW w:w="630" w:type="dxa"/>
            <w:tcBorders>
              <w:top w:val="nil"/>
              <w:left w:val="nil"/>
              <w:bottom w:val="single" w:sz="4" w:space="0" w:color="auto"/>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23.69 </w:t>
            </w:r>
          </w:p>
        </w:tc>
        <w:tc>
          <w:tcPr>
            <w:tcW w:w="630" w:type="dxa"/>
            <w:tcBorders>
              <w:top w:val="nil"/>
              <w:left w:val="nil"/>
              <w:bottom w:val="single" w:sz="4" w:space="0" w:color="auto"/>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4.25 </w:t>
            </w:r>
          </w:p>
        </w:tc>
        <w:tc>
          <w:tcPr>
            <w:tcW w:w="635" w:type="dxa"/>
            <w:tcBorders>
              <w:top w:val="nil"/>
              <w:left w:val="nil"/>
              <w:bottom w:val="single" w:sz="4" w:space="0" w:color="auto"/>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 xml:space="preserve">50.42 </w:t>
            </w:r>
          </w:p>
        </w:tc>
        <w:tc>
          <w:tcPr>
            <w:tcW w:w="1075" w:type="dxa"/>
            <w:tcBorders>
              <w:top w:val="nil"/>
              <w:left w:val="nil"/>
              <w:bottom w:val="single" w:sz="4" w:space="0" w:color="auto"/>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80" w:type="dxa"/>
            <w:tcBorders>
              <w:top w:val="nil"/>
              <w:left w:val="nil"/>
              <w:bottom w:val="single" w:sz="4" w:space="0" w:color="auto"/>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50" w:type="dxa"/>
            <w:tcBorders>
              <w:top w:val="nil"/>
              <w:left w:val="nil"/>
              <w:bottom w:val="single" w:sz="4" w:space="0" w:color="auto"/>
              <w:right w:val="nil"/>
            </w:tcBorders>
            <w:noWrap/>
            <w:vAlign w:val="bottom"/>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t>
            </w:r>
          </w:p>
        </w:tc>
      </w:tr>
      <w:tr w:rsidR="00B23FDA" w:rsidRPr="00B5308C" w:rsidTr="00B23FDA">
        <w:trPr>
          <w:trHeight w:val="240"/>
          <w:jc w:val="center"/>
        </w:trPr>
        <w:tc>
          <w:tcPr>
            <w:tcW w:w="990" w:type="dxa"/>
            <w:tcBorders>
              <w:top w:val="nil"/>
              <w:left w:val="nil"/>
              <w:bottom w:val="nil"/>
              <w:right w:val="nil"/>
            </w:tcBorders>
            <w:noWrap/>
            <w:vAlign w:val="bottom"/>
            <w:hideMark/>
          </w:tcPr>
          <w:p w:rsidR="00B23FDA" w:rsidRPr="00B5308C" w:rsidRDefault="00B23FDA" w:rsidP="008D543B">
            <w:pPr>
              <w:spacing w:after="0"/>
              <w:rPr>
                <w:rFonts w:eastAsia="Times New Roman" w:cs="Times New Roman"/>
                <w:color w:val="000000"/>
                <w:sz w:val="18"/>
                <w:szCs w:val="18"/>
              </w:rPr>
            </w:pPr>
          </w:p>
        </w:tc>
        <w:tc>
          <w:tcPr>
            <w:tcW w:w="990" w:type="dxa"/>
            <w:tcBorders>
              <w:top w:val="nil"/>
              <w:left w:val="nil"/>
              <w:bottom w:val="nil"/>
              <w:right w:val="nil"/>
            </w:tcBorders>
            <w:noWrap/>
            <w:vAlign w:val="bottom"/>
            <w:hideMark/>
          </w:tcPr>
          <w:p w:rsidR="00B23FDA" w:rsidRPr="00B5308C" w:rsidRDefault="00B23FDA" w:rsidP="008D543B">
            <w:pPr>
              <w:spacing w:after="0"/>
              <w:rPr>
                <w:rFonts w:eastAsia="Times New Roman" w:cs="Times New Roman"/>
                <w:sz w:val="20"/>
                <w:szCs w:val="20"/>
              </w:rPr>
            </w:pP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72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63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07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08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5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r>
      <w:tr w:rsidR="00B23FDA" w:rsidRPr="00B5308C" w:rsidTr="00B23FDA">
        <w:trPr>
          <w:trHeight w:val="240"/>
          <w:jc w:val="center"/>
        </w:trPr>
        <w:tc>
          <w:tcPr>
            <w:tcW w:w="990" w:type="dxa"/>
            <w:tcBorders>
              <w:top w:val="single" w:sz="4" w:space="0" w:color="auto"/>
              <w:left w:val="nil"/>
              <w:bottom w:val="nil"/>
              <w:right w:val="nil"/>
            </w:tcBorders>
            <w:noWrap/>
            <w:vAlign w:val="center"/>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Ms/Melt</w:t>
            </w:r>
          </w:p>
        </w:tc>
        <w:tc>
          <w:tcPr>
            <w:tcW w:w="990"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5+14</w:t>
            </w:r>
          </w:p>
        </w:tc>
        <w:tc>
          <w:tcPr>
            <w:tcW w:w="630"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p>
        </w:tc>
        <w:tc>
          <w:tcPr>
            <w:tcW w:w="720"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650</w:t>
            </w:r>
          </w:p>
        </w:tc>
        <w:tc>
          <w:tcPr>
            <w:tcW w:w="630"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5.17</w:t>
            </w:r>
          </w:p>
        </w:tc>
        <w:tc>
          <w:tcPr>
            <w:tcW w:w="630"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1</w:t>
            </w:r>
          </w:p>
        </w:tc>
        <w:tc>
          <w:tcPr>
            <w:tcW w:w="635"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16</w:t>
            </w:r>
          </w:p>
        </w:tc>
        <w:tc>
          <w:tcPr>
            <w:tcW w:w="1075"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0.21</w:t>
            </w:r>
          </w:p>
        </w:tc>
        <w:tc>
          <w:tcPr>
            <w:tcW w:w="1080"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3.03</w:t>
            </w:r>
          </w:p>
        </w:tc>
        <w:tc>
          <w:tcPr>
            <w:tcW w:w="1350" w:type="dxa"/>
            <w:tcBorders>
              <w:top w:val="single" w:sz="4" w:space="0" w:color="auto"/>
              <w:left w:val="nil"/>
              <w:bottom w:val="nil"/>
              <w:right w:val="nil"/>
            </w:tcBorders>
            <w:noWrap/>
            <w:vAlign w:val="center"/>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Icenhower and London (1995)</w:t>
            </w:r>
          </w:p>
        </w:tc>
      </w:tr>
      <w:tr w:rsidR="00B23FDA" w:rsidRPr="00B5308C" w:rsidTr="00B23FDA">
        <w:trPr>
          <w:trHeight w:val="240"/>
          <w:jc w:val="center"/>
        </w:trPr>
        <w:tc>
          <w:tcPr>
            <w:tcW w:w="990" w:type="dxa"/>
            <w:tcBorders>
              <w:top w:val="nil"/>
              <w:left w:val="nil"/>
              <w:bottom w:val="nil"/>
              <w:right w:val="nil"/>
            </w:tcBorders>
            <w:noWrap/>
            <w:vAlign w:val="bottom"/>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Ms/Melt</w:t>
            </w:r>
          </w:p>
        </w:tc>
        <w:tc>
          <w:tcPr>
            <w:tcW w:w="99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5+15</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72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650</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4.28</w:t>
            </w: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1</w:t>
            </w:r>
          </w:p>
        </w:tc>
        <w:tc>
          <w:tcPr>
            <w:tcW w:w="63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10.75</w:t>
            </w:r>
          </w:p>
        </w:tc>
        <w:tc>
          <w:tcPr>
            <w:tcW w:w="107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8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50" w:type="dxa"/>
            <w:tcBorders>
              <w:top w:val="nil"/>
              <w:left w:val="nil"/>
              <w:bottom w:val="nil"/>
              <w:right w:val="nil"/>
            </w:tcBorders>
            <w:noWrap/>
            <w:vAlign w:val="bottom"/>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t>
            </w:r>
          </w:p>
        </w:tc>
      </w:tr>
      <w:tr w:rsidR="00B23FDA" w:rsidRPr="00B5308C" w:rsidTr="00B23FDA">
        <w:trPr>
          <w:trHeight w:val="240"/>
          <w:jc w:val="center"/>
        </w:trPr>
        <w:tc>
          <w:tcPr>
            <w:tcW w:w="990" w:type="dxa"/>
            <w:tcBorders>
              <w:top w:val="nil"/>
              <w:left w:val="nil"/>
              <w:bottom w:val="single" w:sz="4" w:space="0" w:color="auto"/>
              <w:right w:val="nil"/>
            </w:tcBorders>
            <w:noWrap/>
            <w:vAlign w:val="bottom"/>
            <w:hideMark/>
          </w:tcPr>
          <w:p w:rsidR="00B23FDA" w:rsidRPr="00B5308C" w:rsidRDefault="00B23FDA" w:rsidP="008D543B">
            <w:pPr>
              <w:spacing w:after="0"/>
              <w:rPr>
                <w:rFonts w:eastAsia="Times New Roman" w:cs="Times New Roman"/>
                <w:b/>
                <w:bCs/>
                <w:color w:val="000000"/>
                <w:sz w:val="18"/>
                <w:szCs w:val="18"/>
              </w:rPr>
            </w:pPr>
            <w:r w:rsidRPr="00B5308C">
              <w:rPr>
                <w:rFonts w:eastAsia="Times New Roman" w:cs="Times New Roman"/>
                <w:b/>
                <w:bCs/>
                <w:color w:val="000000"/>
                <w:sz w:val="18"/>
                <w:szCs w:val="18"/>
              </w:rPr>
              <w:t>Ms/Melt</w:t>
            </w:r>
          </w:p>
        </w:tc>
        <w:tc>
          <w:tcPr>
            <w:tcW w:w="990" w:type="dxa"/>
            <w:tcBorders>
              <w:top w:val="nil"/>
              <w:left w:val="nil"/>
              <w:bottom w:val="single" w:sz="4" w:space="0" w:color="auto"/>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7+10</w:t>
            </w:r>
          </w:p>
        </w:tc>
        <w:tc>
          <w:tcPr>
            <w:tcW w:w="630" w:type="dxa"/>
            <w:tcBorders>
              <w:top w:val="nil"/>
              <w:left w:val="nil"/>
              <w:bottom w:val="single" w:sz="4" w:space="0" w:color="auto"/>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720" w:type="dxa"/>
            <w:tcBorders>
              <w:top w:val="nil"/>
              <w:left w:val="nil"/>
              <w:bottom w:val="single" w:sz="4" w:space="0" w:color="auto"/>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650</w:t>
            </w:r>
          </w:p>
        </w:tc>
        <w:tc>
          <w:tcPr>
            <w:tcW w:w="630" w:type="dxa"/>
            <w:tcBorders>
              <w:top w:val="nil"/>
              <w:left w:val="nil"/>
              <w:bottom w:val="single" w:sz="4" w:space="0" w:color="auto"/>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6.91</w:t>
            </w:r>
          </w:p>
        </w:tc>
        <w:tc>
          <w:tcPr>
            <w:tcW w:w="630" w:type="dxa"/>
            <w:tcBorders>
              <w:top w:val="nil"/>
              <w:left w:val="nil"/>
              <w:bottom w:val="single" w:sz="4" w:space="0" w:color="auto"/>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1.5</w:t>
            </w:r>
          </w:p>
        </w:tc>
        <w:tc>
          <w:tcPr>
            <w:tcW w:w="635" w:type="dxa"/>
            <w:tcBorders>
              <w:top w:val="nil"/>
              <w:left w:val="nil"/>
              <w:bottom w:val="single" w:sz="4" w:space="0" w:color="auto"/>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r w:rsidRPr="00B5308C">
              <w:rPr>
                <w:rFonts w:eastAsia="Times New Roman" w:cs="Times New Roman"/>
                <w:color w:val="000000"/>
                <w:sz w:val="18"/>
                <w:szCs w:val="18"/>
              </w:rPr>
              <w:t>20.75</w:t>
            </w:r>
          </w:p>
        </w:tc>
        <w:tc>
          <w:tcPr>
            <w:tcW w:w="1075" w:type="dxa"/>
            <w:tcBorders>
              <w:top w:val="nil"/>
              <w:left w:val="nil"/>
              <w:bottom w:val="single" w:sz="4" w:space="0" w:color="auto"/>
              <w:right w:val="nil"/>
            </w:tcBorders>
            <w:noWrap/>
            <w:vAlign w:val="bottom"/>
            <w:hideMark/>
          </w:tcPr>
          <w:p w:rsidR="00B23FDA" w:rsidRPr="00B5308C" w:rsidRDefault="00B23FDA" w:rsidP="008D543B">
            <w:pPr>
              <w:spacing w:after="0"/>
              <w:jc w:val="center"/>
              <w:rPr>
                <w:rFonts w:eastAsia="Times New Roman" w:cs="Times New Roman"/>
                <w:color w:val="000000"/>
                <w:sz w:val="18"/>
                <w:szCs w:val="18"/>
              </w:rPr>
            </w:pPr>
          </w:p>
        </w:tc>
        <w:tc>
          <w:tcPr>
            <w:tcW w:w="1080" w:type="dxa"/>
            <w:tcBorders>
              <w:top w:val="nil"/>
              <w:left w:val="nil"/>
              <w:bottom w:val="single" w:sz="4" w:space="0" w:color="auto"/>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50" w:type="dxa"/>
            <w:tcBorders>
              <w:top w:val="nil"/>
              <w:left w:val="nil"/>
              <w:bottom w:val="single" w:sz="4" w:space="0" w:color="auto"/>
              <w:right w:val="nil"/>
            </w:tcBorders>
            <w:noWrap/>
            <w:vAlign w:val="bottom"/>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w:t>
            </w:r>
          </w:p>
        </w:tc>
      </w:tr>
      <w:tr w:rsidR="00B23FDA" w:rsidRPr="00B5308C" w:rsidTr="00B23FDA">
        <w:trPr>
          <w:trHeight w:val="240"/>
          <w:jc w:val="center"/>
        </w:trPr>
        <w:tc>
          <w:tcPr>
            <w:tcW w:w="1980" w:type="dxa"/>
            <w:gridSpan w:val="2"/>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BC: Bulk Composition</w:t>
            </w:r>
          </w:p>
        </w:tc>
        <w:tc>
          <w:tcPr>
            <w:tcW w:w="63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p>
        </w:tc>
        <w:tc>
          <w:tcPr>
            <w:tcW w:w="720" w:type="dxa"/>
            <w:tcBorders>
              <w:top w:val="nil"/>
              <w:left w:val="nil"/>
              <w:bottom w:val="nil"/>
              <w:right w:val="nil"/>
            </w:tcBorders>
            <w:noWrap/>
            <w:vAlign w:val="bottom"/>
            <w:hideMark/>
          </w:tcPr>
          <w:p w:rsidR="00B23FDA" w:rsidRPr="00B5308C" w:rsidRDefault="00B23FDA" w:rsidP="008D543B">
            <w:pPr>
              <w:spacing w:after="0"/>
              <w:rPr>
                <w:rFonts w:eastAsia="Times New Roman" w:cs="Times New Roman"/>
                <w:sz w:val="20"/>
                <w:szCs w:val="20"/>
              </w:rPr>
            </w:pPr>
          </w:p>
        </w:tc>
        <w:tc>
          <w:tcPr>
            <w:tcW w:w="630" w:type="dxa"/>
            <w:tcBorders>
              <w:top w:val="nil"/>
              <w:left w:val="nil"/>
              <w:bottom w:val="nil"/>
              <w:right w:val="nil"/>
            </w:tcBorders>
            <w:noWrap/>
            <w:vAlign w:val="bottom"/>
            <w:hideMark/>
          </w:tcPr>
          <w:p w:rsidR="00B23FDA" w:rsidRPr="00B5308C" w:rsidRDefault="00B23FDA" w:rsidP="008D543B">
            <w:pPr>
              <w:spacing w:after="0"/>
              <w:rPr>
                <w:rFonts w:eastAsia="Times New Roman" w:cs="Times New Roman"/>
                <w:sz w:val="20"/>
                <w:szCs w:val="20"/>
              </w:rPr>
            </w:pPr>
          </w:p>
        </w:tc>
        <w:tc>
          <w:tcPr>
            <w:tcW w:w="63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63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075" w:type="dxa"/>
            <w:tcBorders>
              <w:top w:val="nil"/>
              <w:left w:val="nil"/>
              <w:bottom w:val="nil"/>
              <w:right w:val="nil"/>
            </w:tcBorders>
            <w:noWrap/>
            <w:vAlign w:val="center"/>
            <w:hideMark/>
          </w:tcPr>
          <w:p w:rsidR="00B23FDA" w:rsidRPr="00B5308C" w:rsidRDefault="00B23FDA" w:rsidP="008D543B">
            <w:pPr>
              <w:spacing w:after="0"/>
              <w:jc w:val="center"/>
              <w:rPr>
                <w:rFonts w:eastAsia="Times New Roman" w:cs="Times New Roman"/>
                <w:sz w:val="20"/>
                <w:szCs w:val="20"/>
              </w:rPr>
            </w:pPr>
          </w:p>
        </w:tc>
        <w:tc>
          <w:tcPr>
            <w:tcW w:w="1080" w:type="dxa"/>
            <w:tcBorders>
              <w:top w:val="nil"/>
              <w:left w:val="nil"/>
              <w:bottom w:val="nil"/>
              <w:right w:val="nil"/>
            </w:tcBorders>
            <w:noWrap/>
            <w:vAlign w:val="center"/>
            <w:hideMark/>
          </w:tcPr>
          <w:p w:rsidR="00B23FDA" w:rsidRPr="00B5308C" w:rsidRDefault="00B23FDA" w:rsidP="008D543B">
            <w:pPr>
              <w:spacing w:after="0"/>
              <w:rPr>
                <w:rFonts w:eastAsia="Times New Roman" w:cs="Times New Roman"/>
                <w:sz w:val="20"/>
                <w:szCs w:val="20"/>
              </w:rPr>
            </w:pPr>
          </w:p>
        </w:tc>
        <w:tc>
          <w:tcPr>
            <w:tcW w:w="1350" w:type="dxa"/>
            <w:tcBorders>
              <w:top w:val="nil"/>
              <w:left w:val="nil"/>
              <w:bottom w:val="nil"/>
              <w:right w:val="nil"/>
            </w:tcBorders>
            <w:noWrap/>
            <w:vAlign w:val="bottom"/>
            <w:hideMark/>
          </w:tcPr>
          <w:p w:rsidR="00B23FDA" w:rsidRPr="00B5308C" w:rsidRDefault="00B23FDA" w:rsidP="008D543B">
            <w:pPr>
              <w:spacing w:after="0"/>
              <w:rPr>
                <w:rFonts w:eastAsia="Times New Roman" w:cs="Times New Roman"/>
                <w:sz w:val="20"/>
                <w:szCs w:val="20"/>
              </w:rPr>
            </w:pPr>
          </w:p>
        </w:tc>
      </w:tr>
      <w:tr w:rsidR="00B23FDA" w:rsidRPr="00B5308C" w:rsidTr="00B23FDA">
        <w:trPr>
          <w:trHeight w:val="240"/>
          <w:jc w:val="center"/>
        </w:trPr>
        <w:tc>
          <w:tcPr>
            <w:tcW w:w="4590" w:type="dxa"/>
            <w:gridSpan w:val="6"/>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Mineral abbreviations after Whitney and Evans (2010)</w:t>
            </w:r>
          </w:p>
        </w:tc>
        <w:tc>
          <w:tcPr>
            <w:tcW w:w="635" w:type="dxa"/>
            <w:tcBorders>
              <w:top w:val="nil"/>
              <w:left w:val="nil"/>
              <w:bottom w:val="nil"/>
              <w:right w:val="nil"/>
            </w:tcBorders>
            <w:noWrap/>
            <w:vAlign w:val="bottom"/>
            <w:hideMark/>
          </w:tcPr>
          <w:p w:rsidR="00B23FDA" w:rsidRPr="00B5308C" w:rsidRDefault="00B23FDA" w:rsidP="008D543B">
            <w:pPr>
              <w:spacing w:after="0"/>
              <w:rPr>
                <w:rFonts w:eastAsia="Times New Roman" w:cs="Times New Roman"/>
                <w:color w:val="000000"/>
                <w:sz w:val="18"/>
                <w:szCs w:val="18"/>
              </w:rPr>
            </w:pPr>
          </w:p>
        </w:tc>
        <w:tc>
          <w:tcPr>
            <w:tcW w:w="1075"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08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5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r>
      <w:tr w:rsidR="00B23FDA" w:rsidRPr="00B5308C" w:rsidTr="00B23FDA">
        <w:trPr>
          <w:trHeight w:val="240"/>
          <w:jc w:val="center"/>
        </w:trPr>
        <w:tc>
          <w:tcPr>
            <w:tcW w:w="5225" w:type="dxa"/>
            <w:gridSpan w:val="7"/>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*Average KD values from slope of each regression in Figures 7a-7b</w:t>
            </w:r>
          </w:p>
        </w:tc>
        <w:tc>
          <w:tcPr>
            <w:tcW w:w="1075" w:type="dxa"/>
            <w:tcBorders>
              <w:top w:val="nil"/>
              <w:left w:val="nil"/>
              <w:bottom w:val="nil"/>
              <w:right w:val="nil"/>
            </w:tcBorders>
            <w:noWrap/>
            <w:vAlign w:val="bottom"/>
            <w:hideMark/>
          </w:tcPr>
          <w:p w:rsidR="00B23FDA" w:rsidRPr="00B5308C" w:rsidRDefault="00B23FDA" w:rsidP="008D543B">
            <w:pPr>
              <w:spacing w:after="0"/>
              <w:rPr>
                <w:rFonts w:eastAsia="Times New Roman" w:cs="Times New Roman"/>
                <w:color w:val="000000"/>
                <w:sz w:val="18"/>
                <w:szCs w:val="18"/>
              </w:rPr>
            </w:pPr>
          </w:p>
        </w:tc>
        <w:tc>
          <w:tcPr>
            <w:tcW w:w="108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c>
          <w:tcPr>
            <w:tcW w:w="135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r>
      <w:tr w:rsidR="00B23FDA" w:rsidRPr="00B5308C" w:rsidTr="00B23FDA">
        <w:trPr>
          <w:trHeight w:val="240"/>
          <w:jc w:val="center"/>
        </w:trPr>
        <w:tc>
          <w:tcPr>
            <w:tcW w:w="6300" w:type="dxa"/>
            <w:gridSpan w:val="8"/>
            <w:tcBorders>
              <w:top w:val="nil"/>
              <w:left w:val="nil"/>
              <w:bottom w:val="nil"/>
              <w:right w:val="nil"/>
            </w:tcBorders>
            <w:noWrap/>
            <w:vAlign w:val="center"/>
            <w:hideMark/>
          </w:tcPr>
          <w:p w:rsidR="00B23FDA" w:rsidRPr="00B5308C" w:rsidRDefault="00B23FDA" w:rsidP="008D543B">
            <w:pPr>
              <w:spacing w:after="0"/>
              <w:rPr>
                <w:rFonts w:eastAsia="Times New Roman" w:cs="Times New Roman"/>
                <w:color w:val="000000"/>
                <w:sz w:val="18"/>
                <w:szCs w:val="18"/>
              </w:rPr>
            </w:pPr>
            <w:r w:rsidRPr="00B5308C">
              <w:rPr>
                <w:rFonts w:eastAsia="Times New Roman" w:cs="Times New Roman"/>
                <w:color w:val="000000"/>
                <w:sz w:val="18"/>
                <w:szCs w:val="18"/>
              </w:rPr>
              <w:t>Errors for mean D values are less than 10% relative, and most commonly ~ 5%.</w:t>
            </w:r>
          </w:p>
        </w:tc>
        <w:tc>
          <w:tcPr>
            <w:tcW w:w="1080" w:type="dxa"/>
            <w:tcBorders>
              <w:top w:val="nil"/>
              <w:left w:val="nil"/>
              <w:bottom w:val="nil"/>
              <w:right w:val="nil"/>
            </w:tcBorders>
            <w:noWrap/>
            <w:vAlign w:val="bottom"/>
            <w:hideMark/>
          </w:tcPr>
          <w:p w:rsidR="00B23FDA" w:rsidRPr="00B5308C" w:rsidRDefault="00B23FDA" w:rsidP="008D543B">
            <w:pPr>
              <w:spacing w:after="0"/>
              <w:rPr>
                <w:rFonts w:eastAsia="Times New Roman" w:cs="Times New Roman"/>
                <w:color w:val="000000"/>
                <w:sz w:val="18"/>
                <w:szCs w:val="18"/>
              </w:rPr>
            </w:pPr>
          </w:p>
        </w:tc>
        <w:tc>
          <w:tcPr>
            <w:tcW w:w="1350" w:type="dxa"/>
            <w:tcBorders>
              <w:top w:val="nil"/>
              <w:left w:val="nil"/>
              <w:bottom w:val="nil"/>
              <w:right w:val="nil"/>
            </w:tcBorders>
            <w:noWrap/>
            <w:vAlign w:val="bottom"/>
            <w:hideMark/>
          </w:tcPr>
          <w:p w:rsidR="00B23FDA" w:rsidRPr="00B5308C" w:rsidRDefault="00B23FDA" w:rsidP="008D543B">
            <w:pPr>
              <w:spacing w:after="0"/>
              <w:jc w:val="center"/>
              <w:rPr>
                <w:rFonts w:eastAsia="Times New Roman" w:cs="Times New Roman"/>
                <w:sz w:val="20"/>
                <w:szCs w:val="20"/>
              </w:rPr>
            </w:pPr>
          </w:p>
        </w:tc>
      </w:tr>
    </w:tbl>
    <w:p w:rsidR="009610A8" w:rsidRDefault="009610A8" w:rsidP="00665C0F">
      <w:pPr>
        <w:spacing w:line="480" w:lineRule="auto"/>
        <w:rPr>
          <w:rFonts w:cs="Times New Roman"/>
        </w:rPr>
      </w:pPr>
    </w:p>
    <w:p w:rsidR="009610A8" w:rsidRDefault="009610A8" w:rsidP="009610A8">
      <w:r>
        <w:br w:type="page"/>
      </w:r>
    </w:p>
    <w:p w:rsidR="009F5DE0" w:rsidRDefault="009F5DE0" w:rsidP="0086033D">
      <w:pPr>
        <w:pStyle w:val="Heading1"/>
        <w:numPr>
          <w:ilvl w:val="0"/>
          <w:numId w:val="0"/>
        </w:numPr>
        <w:jc w:val="center"/>
        <w:rPr>
          <w:rFonts w:asciiTheme="minorHAnsi" w:hAnsiTheme="minorHAnsi" w:cstheme="minorHAnsi"/>
        </w:rPr>
      </w:pPr>
      <w:bookmarkStart w:id="204" w:name="_Toc491246079"/>
      <w:r w:rsidRPr="0086033D">
        <w:rPr>
          <w:rFonts w:asciiTheme="minorHAnsi" w:hAnsiTheme="minorHAnsi" w:cstheme="minorHAnsi"/>
        </w:rPr>
        <w:t>References</w:t>
      </w:r>
      <w:bookmarkEnd w:id="204"/>
    </w:p>
    <w:p w:rsidR="0086033D" w:rsidRPr="0086033D" w:rsidRDefault="0086033D" w:rsidP="0086033D"/>
    <w:p w:rsidR="00266290" w:rsidRPr="00266290" w:rsidRDefault="007E12D3" w:rsidP="00F630D0">
      <w:pPr>
        <w:widowControl w:val="0"/>
        <w:autoSpaceDE w:val="0"/>
        <w:autoSpaceDN w:val="0"/>
        <w:adjustRightInd w:val="0"/>
        <w:ind w:left="480" w:hanging="480"/>
        <w:rPr>
          <w:rFonts w:cs="Times New Roman"/>
          <w:noProof/>
        </w:rPr>
      </w:pPr>
      <w:r>
        <w:rPr>
          <w:rFonts w:asciiTheme="minorHAnsi" w:hAnsiTheme="minorHAnsi" w:cstheme="minorHAnsi"/>
        </w:rPr>
        <w:fldChar w:fldCharType="begin" w:fldLock="1"/>
      </w:r>
      <w:r>
        <w:rPr>
          <w:rFonts w:asciiTheme="minorHAnsi" w:hAnsiTheme="minorHAnsi" w:cstheme="minorHAnsi"/>
        </w:rPr>
        <w:instrText xml:space="preserve">ADDIN Mendeley Bibliography CSL_BIBLIOGRAPHY </w:instrText>
      </w:r>
      <w:r>
        <w:rPr>
          <w:rFonts w:asciiTheme="minorHAnsi" w:hAnsiTheme="minorHAnsi" w:cstheme="minorHAnsi"/>
        </w:rPr>
        <w:fldChar w:fldCharType="separate"/>
      </w:r>
      <w:r w:rsidR="00266290" w:rsidRPr="00266290">
        <w:rPr>
          <w:rFonts w:cs="Times New Roman"/>
          <w:noProof/>
        </w:rPr>
        <w:t>Acosta-Vigil, A., Buick, I.S., Hermann, J., Cesare, B., Rubatto, D., London, D., Morgan, G.B., 2010. Mechanisms of crustal anatexis: a geochemical study of partially melted metapelitic enclaves and host dacite, SE Spain. J. Petrol. 51, 785–821.</w:t>
      </w:r>
    </w:p>
    <w:p w:rsidR="00266290" w:rsidRPr="00266290" w:rsidRDefault="00266290" w:rsidP="00F630D0">
      <w:pPr>
        <w:widowControl w:val="0"/>
        <w:autoSpaceDE w:val="0"/>
        <w:autoSpaceDN w:val="0"/>
        <w:adjustRightInd w:val="0"/>
        <w:spacing w:after="240"/>
        <w:ind w:left="475" w:hanging="475"/>
        <w:rPr>
          <w:rFonts w:cs="Times New Roman"/>
          <w:noProof/>
        </w:rPr>
      </w:pPr>
      <w:r w:rsidRPr="00266290">
        <w:rPr>
          <w:rFonts w:cs="Times New Roman"/>
          <w:noProof/>
        </w:rPr>
        <w:t>Acosta-Vigil, A., Cesare, B., London, D., Morgan, G.B., 2007. Microstructures and composition of melt inclusions in a crustal anatectic environment, represented by metapelitic enclaves within El Hoyazo dacits, SE Spain. Chem. Geol. 237, 450–465.</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Acosta-Vigil, A., London, D., Dewers, T.A., Morgan, G.B., 2002. Dissolution of Corundum and Andalusite in H2O-Saturated Haplogranitic Melts at 800°C and 200 MPa: Constraints on Diffusivities and the Generation of Peraluminous Melts. J. Petrol. 43, 1885–1908. doi:10.1093/petrology/43.10.1885</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Acosta-Vigil, A., London, D., Morgan IV, G.B., Dewers, T.A., 2003. Solubility of excess alumina in hydrous granitic melts in equilibrium with peraluminous minerals at 700-800 °C and 200 MPa, and applications of the aluminum saturation index. Contrib. to Mineral. Petrol. 146, 100–119. doi:10.1007/s00410-003-0486-6</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Baker, D.R., 1996. Granitic melt viscosities: Empirical and configurational entropy models for their calculation. Am. Mineral. 81, 126–134.</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Baker, D.R., 1992. Tracer diffusion of network formers and multicomponent diffusion in dacitic and rhyolitic melts. Geochim. Cosmochim. Acta 56, 617–631.</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Baker, L.R., Rutherford, M.J., 1996. The effect of dissolved water on the oxidation state of silicic melts. Geochim. Cosmochim. Acta 60, 2179–2187.</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Bartels, A., Vetere, F., Holtz, F., Behrens, H., Linnen, R.L., 2011. Viscosity of flux-rich pegmatitic melts. Contrib. to Mineral. Petrol. 162, 51–60. doi:10.1007/s00410-010-0582-3</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Bea, F., 1996. Controls on the trace element composition of crustal melts, in: Brown, M., Candela, P.A., Peck, D.L., Stephens, W.E., Walker, R.J., Zen, E.-A. (Eds.), The Third Hutton Symposium on the Origin of Granites and Related Rocks. Geological Society of America Special Paper, pp. 33–41.</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Beattie, P., Drake, M., Jones, J., Leeman, W., Longhi, J., McKay, G., Nielsen, R., Palme, H., Shaw, D., Takahashi, E., Watson, B., 1993. Terminology for trace-element partitioning. Geochim. Cosmochim. Acta 57, 1605–1606. doi:10.1016/0016-7037(93)90015-O</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Beurlen, H., Trumbull, R.B., Wiedenbeck, M., Soares, D.R., 2011. Boron-isotope variations in tourmaline from granitic pegmatites of the Borborema pegmatite province, NE-Brazil. PEG 2011 14, 37–39.</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Brenan, J.M., Neroda, E., Lundstrom, C.C., Shaw, H.F., Ryerson, F.J., Phinney, D.L., 1998. Behaviour of boron, beryllium, and lithium during melting and crystallization: Constraints from mineral-melt partitioning experiments. Geochim. Cosmochim. Acta 62, 2129–2141.</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Cameron, E.N., Jahns, R.H., McNair, A.H., Page, L.R., 1949. Internal structure of granitic pegmatites. Econ. Geol. Monogr. 2.</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Catanzaro, E.J., Champion, C.E., Garner, E.L., Marinenko, G., Sappenfield, K.M., Shields, W.R., 1970. Standard Reference Materials: Boric Acid; Isotopic, and Assay Standard Reference Materials. NBS Spec. Publ. 260, 1–70.</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Černý, P., Ercit, T.S., 2005. The classification of granitic pegmatites revisited. Can. Mineral. 43, 2005–2026.</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Černý, P., London, D., Novak, M., 2012. Granitic pegmatites as reflections of their sources. Elements 8, 289–294.</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Černý, P., Meintzer, R.E., Anderson, A.J., 1985. Extreme fractionation in rare-element granitic pegmatites: Selected examples of data and mechanisms. Can. Mineral. 23, 381–421.</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Chakraborty, S., Dingwell, D.B., Chaussidon, M., 1993. Chemical diffusivity of boron in melts of haplogranitic composition. Geochim. Cosmochim. Acta 57, 1741–1751.</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Chappell, B.W., White, A.J.R., 2001. Two contrasting granite types: 25 years later. Aust. J. Earth Sci. 48, 489–499.</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Christiansen, E.H., Bikun, J. V., Sheridan, M.F., Burt, D.M., 1984. Geochemical evolution of topaz rhyolites from the Thomas Range and Spor Mountain, Utah. Am. Mineral. 69, 223–236.</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Clemens, J.D., Wall, V.J., 1981. Origin and crystallization of some peraluminous (S-type) granitic magmas. Can. Mineral. 19, 111–131.</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Crank, J., 1975. The Mathematics of Diffusion. Oxford University Press.</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da Costa, I.R., Mourao, C., Recio, C., Guimaraes, F., Antunes, I.M., Ramos, J.F., Barriga, F.J.A.S., Palmer, M.R., Milton, J.A., 2014. Tourmaline occurrences within the Penamacor-Monsanto granitic pluton and host-rocks (Central Portugal): genetic implications of crystal-chemical and isotopic features. Contrib. to Mineral. Petrol. 167, 1–23. doi:10.1007/s00410-014-0993-7</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De Vito, C., Aurisicchio, C., Ferrini, V., Pezzotta, F., 2002. Chemical composition and B, O and H isotopes of tourmaline from Anjanabonoina pegmatite. Int. Mineral. Assoc. Abstr. 208.</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Dingwell, D.B., Pichavant, M., Holtz, F., 1996. Experimental studies of boron in granitic melts. Rev. Mineral. Geochemistry 33, 331–386.</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Dini, A., Tonarini, S., 2002. Boron isotope geochemistry: new insights from the study of borates and boro-silicates in granite-pegmatite systems. Int. Mineral. Assoc. Abstr. 205.</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Dini, A., Tonarini, S., Pezzotta, F., De Vito, C., 2002. Boron isotopes study of borates and boro-silicates from Anjanabonoina and Tetezantsio pegmatites (Central Madagascar). Int. Mineral. Assoc. Abstr. 210.</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Drivenes, K., Larsen, R.B., Müller, A., Sørensen, B.E., Wiedenbeck, M., Raanes, M.P., 2015. Late-magmatic immiscibility during batholith formation : assessment of B isotopes and trace elements in tourmaline from the Land ’ s End granite , SW England. Contrib. to Mineral. Petrol. 169, 1–27. doi:10.1007/s00410-015-1151-6</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Dwivedi, S.B., Mohan, A., Lal, R.K., 1998. Recalibration of the Fe-Mg exchange reaction between garnet and cordierite as a thermometer. Eur. J. Mineral. 10, 281–289.</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Dyar, M.D., Wiedenbeck, M., Robertson, D., Cross, L.R., Delaney, J.S., Ferguson, K., Francis, C.A., Grew, E.S., Guidotti, C. V., Hervig, R.L., Hughes, J.M., Husler, J., Leeman, W.P., McGuire, A.V., Rhede, D., Rothe, H., Paul, R.L., Richards, I., Yates, M.G., 2001. Reference minerals for the microanalysis of light elements. Geostand. Newsl. 25, 441–463.</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Fisher, J., 2002. Gem and rare element pegmatites of southern California. Mineral. Rec. 33, 363–407.</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Foord, E.E., 1982. Bismuthian stibiocolumbite-tantalite and other minerals form the Little Three min, Ramona, California. Am. Mineral. 67, 181–182.</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Foord, E.E., London, D., Kampf, A.R., Shigley, J.E., Snee, L.W., 1991a. Gem-bearing pegmatites of San Diego County, California. Geol. Excursions South. Calif. Mex. 128–146.</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Foord, E.E., Martin, R.F., Fitzpatrick, J.J., Taggart, J.E., Crock, J.G.J., 1991b. Boromuscovite, a new member of the mica group, from the Little Three min pegmatite, Ramona district, San Diego County, California. Am. Mineral. 76, 1998–2002.</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Foord, E.E., Spaulding, L.B., Martin, R.F., Mason, R.A., 1989. Mineralogy and paragenesis of the Little Three mine pegmatites, Ramona district, San Diego County, California 20, 101–127.</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Foord, E.E., Starkey, H.C., Taggart, J.E., 1986. Mineralogy and paragenesis of “pocket” clays and associated minerals in complex pegmatites. Am. Mineral. 71, 428–439.</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Frost, B.R., Barnes, C.G., Collins, W.J., Arculus, R.J., Ellis, D.J., Frost, C.D., 2001. A geochemical classification for granitic rocks. J. Petrol. 42, 2033–2048.</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Geisinger, K.L., Oestrike, R., Navrotsky, A., Turner, G.L., Kirkpatrick, R.J., 1988. Thermochemistry and structure of glasses along the join NaAlSi3O8-NaBSi3O8. Geochim. Cosmochim. Acta 52, 2405–2414. doi:10.1016/0016-7037(88)90297-9</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Giordano, D., Romano, C., Dingwell, D.B., Poe, B., Behrens, H., 2004. The combined effects of water and fluorine on the viscosity of silicic magmas. Geochim. Cosmochim. Acta 68, 5159–5168. doi:10.1016/j.gca.2004.08.012</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Grew, E.S., 1996. Borosilicates (exclusive of tourmaline) and Boron in rock-forming minerals in metamorphic environments. Rev. Mineral. Geochemistry 33, 387–502.</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Grew, E.S., Locock, A.J., Mills, S.J., Galuskina, I.O., Galuskin, E. V., Hålenius, U., 2013. IMA report: Nomenclature of the garnet supergroup. Am. Mineral. 98, 785–811. doi:10.2138/am.2013.4201</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Hawthorne, F.C., Burns, P.C., Grice, J.D., 1996. The Crystal Chemistry of Boron. Rev. Mineral. Geochemistry 33, 41–116.</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Henry, D.J., Novák, M., Hawthorne, F.C., Ertl, A., Dutrow, B.L., Uher, P., Pezzotta, F., 2011. Nomenclature of the tourmaline-supergroup minerals. Am. Mineral. 96, 895–913. doi:10.2138/am.2011.3636</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Hervig, R.L., 1996. Analyses of geological materials for boron by secondary ion mass spectrometry. Rev. Mineral. Geochemistry 33, 789–804.</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Hervig, R.L., Moore, G.M., Williams, L.B., Peacock, S.M., Holloway, J.R., Roggensack, K., 2002. Isotopic and elemental partitioning of boron between hydrous fluid and silicate melt. Am. Mineral. 87, 769–774. doi:10.2138/am-2002-5-620</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Holdaway, M.J., 2004. Optimization of some key geothermobarometers for pelitic metamorphic rocks. Mineral. Mag. 68, 1–14.</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Holtz, F., Dingwell, D.B., Behrens, H., 1993. Effects of F, B2O3, and P2O5 on the solubility of water in haplogranite melts compared to natural silicate melts. Contrib. to Mineral. Petrol. 113, 492–501.</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Huebner, J.S., Sato, M., 1970. The oxygen fugacity-temperature relationships of manganese oxide and nickel oxide buffers. Am. Mineral. 55, 934–952.</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Icenhower, J.P., 1995. Experimental determination of element behavior in silicic systems during hydrous partial fusion. University of Oklahoma.</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Icenhower, J.P., London, D., 1995. An experimental study of element partitioning among biotite, muscovite, and coexisting peraluminous silicic melt at 200 MPa (H2O). Am. Mineral. 80, 1229–1251.</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Ildefonse, J.P., Jambon, A., Carron, J.P., Delbove, F., Gabis, V., 1979. La diffusion chimique dans les solutions hydrothermales et dans les verres et magmas silicates. Sci. Geol. Mem 53, 81–85.</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Jahns, R.H., Burnham, C.W., 1969. Experimental studies of pegmatite genesis: I. A model for the derivation and crystallization of granitic pegmatites. Econ. Geol. 64, 843–864. doi:10.2113/gsecongeo.64.8.843</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Jambon, A., 1980. Isotopic fractionation: a kinetic model for crystals growing from magmatic melts. Geochim. Cosmochim. Acta 44, 1373–1380.</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Jiang, S.-Y., Palmer, M.R., 1998. Boron isotope systematics of tourmaline from granites and pegmatites; a synthesis. Eur. J. Mineral. 10, 1253–1265.</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Jiang, S.Y., Radvanec, M., Nakamura, E., Palmer, M., Kobayashi, K., Zhao, H.X., Zhao, K.D., 2008. Chemical and boron isotopic variations of tourmaline in the Hnilec granite-related hydrothermal system, Slovakia: Constraints on magmatic and metamorphic fluid evolution. Lithos 106, 1–11. doi:10.1016/j.lithos.2008.04.004</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Jiang, S.Y., Yang, J.H., Novák, M., Selway, J., 2003. Chemical and boron isotopic compositions of tourmaline from the Lavicky leucogranite, Czech Republic. Geochem. J. 37, 545–556. doi:10.2343/geochemj.37.545</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Kakihana, H., Kotaka, M., Satoh, S., Nomura, M., Okamoto, M., 1977. Fundamental Studies on the Ion-Exchange Separation of Boron Isotopes. Bull. Chem. Soc. Jpn. doi:10.1246/bcsj.50.158</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Kasemann, S., Erzinger, J., Franz, G., 2000. Boron recycling in the continental crust of the central Andes from the Palaeozoic to Mesozoic, NW Argentina. Contrib. to Mineral. Petrol. 140, 328–343. doi:10.1007/s004100000189</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Koga, K.., Rose-Koga, E.F., Laporte, D., Cluzel, N., Shimizu, N., Deloule, E., 2011. Lithium-Boron isotope fractionation during degassing of rhyolitic melt. Goldscmidt Conf. Abstr. 1211.</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Kordela, D.G., 1990. Little Three mine. Rocks Gems 20, 70–72.</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Kowalski, P.M., Wunder, B., Jahn, S., 2013. Ab initio prediction of equilibrium boron isotope fractionation between minerals and aqueous fluids at high P and T. Geochim. Cosmochim. Acta 101, 285–301. doi:10.1016/j.gca.2012.10.007</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Laurs, B.M., Knox, K., 2001. Spessartine garnet from Ramona, San Diego County, California. Gems Gemol. 37, 278–295.</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Leeman, W.P., Sisson, V.B., 1996. Geochemistry of Boron and its implications for crustal and mantle processes. Rev. Mineral. Geochemistry 33, 645–708.</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Leeman, W.P., Tonarini, S., 2001. Boron isotopic analysis of proposed borosilicate mineral reference samples. Geostand. Newsl. 25, 399–403.</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London, D., 2014. Subsolidus isothermal fractional crystallization. Am. Mineral. 99, 543–546. doi:10.1515/am.2014.4693</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London, D., 2013. Crystal-Filled Cavities in Granitic Pegmatites: Bursting the Bubble. Rocks Miner. 88, 527–538. doi:10.1080/00357529.2013.826090</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London, D., 2009. The origin of primary textures in granitic pegmatites. Can. Mineral. 47, 697–724. doi:10.3749/canmin.47.4.697</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London, D., 2008. Pegmatites, Canadian Mineralogist.</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London, D., 1992. The application of experimental petrology to the genesis and crystallization of granitic pegmatites. Can. Mineral. 30, 499–540.</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London, D., Burt, D.M., 1982. Alteration of spodumene, montebrasite and lithiophilite in pegmatites of the White Picacho district, Arizona. Am. Mineral. 67, 97–113.</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London, D., Evensen, J.M., Fritz, E.A., Icenhower, J.P., Morgan, G.B., Wolf, M.B., 2001. Enrichment and accomodation of manganese in granite-pegmatite systems, in: Eleventh Annual V.M. Goldscmidt Conference. Hot Springs, VA, p. abstract no.3369.</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London, D., Hervig, R.L., Morgan VI, G.B., 1988. Melt-vapor solubilities and elemental partitioning in peraluminous granite-pegmatite systems: experimental results with Macusani glass at 200 MPa. Contrib. to Mineral. Petrol. 99, 360–373. doi:10.1007/BF00375368</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London, D., Morgan, G.B., 2017. Experimental crystallization of the Macusani obsidian, with applications to lithium-rich pegmatites. J. Petrol. accepted.</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London, D., Morgan VI, G.B., Wolf, M.B., 1996. Boron in granitic rocks and their contact aureoles. Rev. Mineral. Geochemistry 33, 299–330.</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London, D., Morganvi, G.B., Paul, K.A., Guttery, B.M., 2012. Internal evolution of miarolitic granitic pegmatites at the little three Mine, Ramona, California, USA. Can. Mineral. 50, 1025–1054. doi:10.3749/canmin.50.4.1025</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London, D., Wolf, M.B., Morgan Vi, G.B., Garrido, M.G., 1999. Experimental Silicate–Phosphate Equilibria in Peraluminous Granitic Magmas, with a Case Study of the Alburquerque Batholith at Tres Arroyos, Badajoz, Spain. J. Petrol. 40, 215–240.</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Ludwig, T., Marschall, H.R., Von Strandmann, P.A.E.P., Shabaga, B.M., Fayek, M., Hawthorne, F.C., 2011. A secondary ion mass spectrometry (SIMS) re-evaluation of B and Li isotopic compositions of Cu-bearing elbaite from three global localities. Mineral. Mag. 75, 2485–2494. doi:10.1180/minmag.2011.075.4.2485</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Maner, J.L., London, D., 2017. The boron isotopic evolution of the Little Three pegmatites, Ramona, CA. Chem. Geol. 460, 70–83.</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Maner, J.L., London, D., Morgan, G.B., 2014. Elemental partioning and zoning in tourmalien: An experimental investigation, in: Goldscmidt Conference Abstracts. Sacramento, California.</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Maner, J.L., London, D., Morgan, G.B., 2013. Toward an experimentally calibrated garnet-tourmaline geothermometer, in: Geological Society of America Abstracts with Programs. Austin, TX, p. 17.</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Marschall, H.R., Ludwig, T., 2006. Re-examination of the boron isotopic composition of tourmaline from the Lavicky granite, Czech Republic, by secondary ion mass spectrometry: Back to normal. Geochem. J. 40, 631–638. doi:10.2343/geochemj.40.631</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Marschall, H.R., Ludwig, T., Altherr, R., Kalt, A., Tonarini, S., 2006. Syros metasomatic tourmaline: Evidence for very high-δ11 B fluids in subduction zones. J. Petrol. 47, 1915–1942. doi:10.1093/petrology/egl031</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Marschall, H.R., Meyer, C., Wunder, B., Ludwig, T., Heinrich, W., 2009. Experimental boron isotope fractionation between tourmaline and fluid: Confirmation from in situ analyses by secondary ion mass spectrometry and from Rayleigh fractionation modelling. Contrib. to Mineral. Petrol. 158, 675–681. doi:10.1007/s00410-009-0403-8</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Marschall, H.R., Wanless, V.D., Shimizu, N., Pogge von Strandmann, P.A.E., Elliott, T., Monteleone, B.D., 2017. The boron and lithium isotopic composition of mid-ocean ridge basalts and the mantle. Geochim. Cosmochim. Acta 207, 102–138.</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Maya, L., 1976. Identification of polyborate and fluoropolyborate ions in solution by Raman spectroscopy. Inorg. Chem. 15, 2179–2184. doi:10.1021/ic50163a036</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Meyer, C., Wunder, B., Meixner, A., Romer, R.L., Heinrich, W., 2008. Boron-isotope fractionation between tourmaline and fluid: An experimental re-investigation. Contrib. to Mineral. Petrol. 156, 259–267. doi:10.1007/s00410-008-0285-1</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Moore, G., Righter, K., Carmichael, I.S.E., 1995. The effect of dissolved water on the oxidation state of iron in natural silicate liquids. Contrib. to Mineral. Petrol. 120.</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 xml:space="preserve">Morgan, G.B., 2016. A spreadsheet for calculating normative mole fractions of end-member species for Na-Ca-Li-Fe </w:t>
      </w:r>
      <w:r w:rsidRPr="00266290">
        <w:rPr>
          <w:rFonts w:cs="Times New Roman"/>
          <w:noProof/>
          <w:vertAlign w:val="superscript"/>
        </w:rPr>
        <w:t>2+</w:t>
      </w:r>
      <w:r w:rsidRPr="00266290">
        <w:rPr>
          <w:rFonts w:cs="Times New Roman"/>
          <w:noProof/>
        </w:rPr>
        <w:t xml:space="preserve"> -Mg-Al tourmalines from electron microprobe data. Am. Mineral. 101, 111–119. doi:10.2138/am-2016-5392</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Morgan, G.B., London, D., 2005. Effect of current density on the electron microprobe analysis of alkali aluminosilicate glasses. Am. Mineral. 90, 1131–1138.</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Morgan, G.B., London, D., 1999. Crystallization of the Little Three layered pegmatite-aplite dike, Ramona District, California. Contrib. to Mineral. Petrol. 136, 310–330. doi:10.1007/s004100050541</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Morgan, G.B., London, D., Kirkpatrick, R.J., 1990. Reconnaissance spectroscopic study of hydrous sodium aluminum borosilicate glasses. Geol. Soc. Am. Abstr. with Programs 22, A167.</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Morgan VI, G.B., London, D., 1996. Optimizing the electron microprobe analysis of hydrous alkali aluminosilicate glasses. Am. Mineral. 81, 1176–1185. doi:10.2138/am.2005.1769</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Mukhopadhyay, B., Holdaway, M.J., 1994. Cordierite-garnet-sillimanite-quartz equilibrium: I. New experimental calibration in the system FeO-Al2O3-SiO2-H2O and certain P-T-XH2O relations. Contrib. to Mineral. Petrol. 116, 462–472.</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Müller, A., Kearsley, A., Spratt, J., Seltmann, R., 2012. Petrogenetic implications of magmatic garnet in granitic pegmatites from Southern Norway. Can. Mineral. 50, 1095–1115. doi:10.3749/canmin.50.4.1095</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Müller, A., Seltmann, R., Halls, C., Siebel, W., Dulksi, P., Jeffries, T., Spratt, J., Kronz, A., 2006. The magmatic evolution of the Land’s End Pluton, Cornwall, and associated pre-enrichment of metals. Ore Geol. Rev. 28, 329–367.</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Mungall, J.E., 2002. Empircal models relating viscosity and tracer diffusion in magmatic silicate melts. Geochim. Cosmochim. Acta 66, 125–143.</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Mungall, J.E., Dingwell, D.B., Chaussidon, M., 1999. Chemical diffusivites of 18 trace elements in granitoid melts. Geochim. Cosmochim. Acta 63, 2599–2610.</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Novak, M., Burns, P.C., Morgan, G.B., 1998. Fluorine variations in hambergite from granitic pegmatites. Can. Mineral. 36, 441–446.</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Palmer, M., London, D., Morgan VI, G., Babb, H., 1992. Experimental determination of fractionation of 11B/10B between tourmaline and aqueous vapor: A temperature- and pressure-dependent isotopic system. Chem. Geol. 101, 123–129. doi:http://dx.doi.org/10.1016/0009-2541(92)90209-N</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Palmer, M.R., Swihart, G.H., 1996. Boron isotope geochemistry: An overview. Rev. Mineral. Geochemistry 33, 709–744.</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Pereira, M.D., Bea, F., 1994. Cordierite-producing reactions in the Pena Negra complex, Avila batholith, central Spain: The key role of cordierite in low-pressure anatexis. Can. Mineral. 31, 763–780.</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Pesquera, A., Torres-Ruiz, J., Gil-Crespo, P.P., Jiang, S.Y., 2005. Petrographic, chemical and B-isotopic insights into the origin of Tourmaline-Rich rocks and boron recycling in the Martinamor Antiform (Central Iberian Zone, Salamanca, Spain). J. Petrol. 46, 1013–1044. doi:10.1093/petrology/egi009</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Phillips, G.N., Wall, V.J., Clemens, J.D., 1981. Petrology of the Strathbogie batholith: a cordierite-bearing granite. Can. Mineral. 19, 47–63.</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Pichavant, M., 1981. An experimental study of the effect of boron on a water saturated haplogranite at 1 Kbar vapour pressure - Geological applications. Contrib. to Mineral. Petrol. 76, 430–439. doi:10.1007/BF00371485</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Pouchou, J.L., Pichoir, F., 1985. “PAP” (ɸ-ρ-z) correction procedure for improved quantitative microanalysis, in: Microbeam Analysis. San Francisco Press, California, pp. 104–106.</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Richter, F.M., Davis, A.M., DePaolo, D.J., Watson, E.B., 2003. Isotopic fractionation by chemical diffusion between molten basalt and rhyolite. Geochim. Cosmochim. Acta 20, 3905–3923.</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Richter, F.M., Liang, Y., Davis, A.M., 1999. Isotope fractionation by diffusion in molten oxides. Geochim. Cosmochim. Acta 63, 2853–2861.</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Romer, R.L., Kirsch, M., Kroner, U., 2011. Geochemical signature of Ordovician Mn-rich sedimentary rocks on the Avalonian shelf. Can. J. Earth Sci. 48, 703–718.</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Romer, R.L., Meixner, A., 2014a. Lithium and boron in late-orogenic granites – Isotopic fingerprints for the source of crustal melts? 131, 98–114. doi:10.1016/j.gca.2014.01.018</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Romer, R.L., Meixner, A., 2014b. Lithium and boron isotopic fractionation in sedimentary rocks during metamorphism – The role of rock composition and protolith mineralogy. Geochim. Cosmochim. Acta 128, 158–177. doi:10.1016/j.gca.2013.11.032</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Rosner, M., Erzinger, J., Franz, G., Trumbull, R.B., 2003. Slab-derived boron isotope signatures in arc volcanic rocks from the Central Andes and evidence for boron isotope fractionation during progressive slab dehydration. Geochemistry, Geophys. Geosystems 4. doi:10.1029/2002GC000438</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Roy, S., 1997. Genetic diversity of manganese deposition in the terrestrial geological record, Special Pu. ed. Geological Society, London.</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Sanchez-Valle, C., Reynard, B., Daniel, I., Lecuyer, C., Martinez, I., Chervin, J.C., 2005. Boron isotopic fractionation between minerals and fluids: New insights from in situ high pressure-high temperature vibrational spectroscopic data. Geochim. Cosmochim. Acta 69, 4301–4313. doi:10.1016/j.gca.2005.03.054</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Schmidt, B.C., Zotov, N., Dupree, R., 2004. Structural implications of water and boron dissolution in albite glass. J. Non. Cryst. Solids 337, 207–219. doi:10.1016/j.jnoncrysol.2004.04.007</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Schmidt, C., Thomas, R., Heinrich, W., 2005. Boron speciation in aqueous fluids at 22 to 600??C and 0.1 MPa to 2 GPa. Geochim. Cosmochim. Acta 69, 275–281. doi:10.1016/j.gca.2004.06.018</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Shearer, C.K., Papike, J.J., Jolliff, B.L., 1992. Petrogenetic links among granites and pegmatites in the Harney Peak rare-element granite-pegmatite system, Black Hills, South Dakota. Can. Mineral. 30, 785–809.</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Siegel, K., Wagner, T., Trumbull, R.B., Jonsson, E., Matalin, G., Wälle, M., Heinrich, C.A., 2016. Stable isotope (B, H, O) and mineral-chemistry constraints on the magmatic to hydrothermal evolution of the Varuträsk rare-element pegmatite (Northern Sweden). Chem. Geol. 421, 1–16. doi:10.1016/j.chemgeo.2015.11.025</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Simmons, W.B., Foord, E.E., Falster, A.U., King, V.T., 1996. Evidence for an anatectic origin of granitic pegmatites, western Maine, USA, in: Geological Society of America Abstracts with Programs. p. 27:411.</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Simmons, W.B., Pezzotta, F., Shigley, J.E., Beurlen, H., 2012. Granitic pegmatites: Storehouses of colored gemstones. Elements 8, 281–287.</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Simpson, D.R., 1965. Geology of the central part of the Ramona pegmatite district. Calif. Div. Mines Geol., Spec. Rep. 86, 3–23.</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Sinkankas, J., 1967. Notes on some minerals from San Diego County, California. Gems Gemol. 363, 34–35.</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Sinkankas, J., 1956. Recent gem mining at Ramona, San Diego County, California. Gems Gemol. 8, 367–373.</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Smith, M.P., Yardley, B.W.D., 1996. The boron isotopic composition of tourmaline as a guide to fluid processes in the southwestern England orefield: An ion microprobe study. Geochim. Cosmochim. Acta 60, 1415–1427. doi:10.1016/0016-7037(96)00007-5</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Stern, L.A., Brown, G.E., Bird, D.K., Jahns, R.H., Foord, E.E., Shigley, J.E., Spaulding, L.B., J., 1986. Mineralogy and geochemical evolution of the little three pegmatite-aplite layered intrusive, Ramona, California. Am. Mineral. 71, 406–427.</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Stevens, G., Villaros, A., Moyen, J.F., 2007. Selective peritectic garnet entertainment as the origin of geochemical diversity in S-type granites. Geology 35, 9–12. doi:10.1130/G22959A.1</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Stewart, D.B., 1978. Petrogenesis of lithium-rich pegmatites. Am. Mineral. 63, 970–980.</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Strong, D.F., Hammer, S.K., 1981. The leucogranites of southern Brittany: origin by faulting, frictional heating, fluid flux and fractional melting. Can. Mineral. 19, 163–176.</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Symons, D.T.A., Smith, T.E., Kawasaki, K., Walawender, M.J., 2009. Paleomagnetism of the mid-Cretaceous gem-bearing pegmatite dikes of San Diego County, California, USA. Can. J. Earth Sci. 46, 675–687. doi:10.1139/E09-035</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Symons, D.T.A., Wlawender, M.J., Smith, T.E., Molnar, S.E., Harris, M.J., Blackburn, W.H., 2003. Paleomagnetism and geobarometry of the La Posta pluton, California. Geol. Soc. Am. Special Pa, 135–155. doi:10.1130/0-8137-2374-4.135</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Taylor, J.F., Wall, V.J., 1992. The behavior of tin in granitoid magmas. Econ. Geol. 87, 403–420.</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Todd, V.R., Shaw, S.E., Hammerstrom, J.M., 2003. Cretaceous plutons of the Peninsular Ranges batholith, San Diego and westernmost Imperial Counties, California: Intrusion across a Lake Jurassic continental margin. Geol. Soc. Am. Special Pa, 185–235. doi:10.1130/0-8137-2374-4.185</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Tonarini, S., Dini, A., Pezzotta, F., Leeman, W.P., 1998. Boron isotopic composition of zoned (schorl-elbaite) tourmalines, Mt. Capanne Li-Cs pegmatites, Elba (Italy). Eur. J. Mineral. 10, 941–951.</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Tonarini, S., Forte, C., Petrini, R., Ferrara, G., 2003. Melt/biotite 11B/10B isotopic fractionation and the boron local environment in the structure of volcanic glasses. Geochim. Cosmochim. Acta 67, 1863–1873. doi:10.1016/S0016-7037(02)00987-0</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Trumbull, R.B., Beurlen, H., Wiedenbeck, M., Soares, D.R., 2013. The diversity of B-isotope variations in tourmaline from rare-element pegmatites in the Borborema Province of Brazil. Chem. Geol. 352, 47–62. doi:10.1016/j.chemgeo.2013.05.021</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Trumbull, R.B., Chaussidon, M., 1999. Chemical and boron isotopic composition of magmatic and hydrothermal tourmalines from the Sinceni granite-pegmatite system in Swaziland. Chem. Geol. 153, 125–137. doi:10.1016/S0009-2541(98)00155-7</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Trumbull, R.B., Krienitz, M.S., Gottesmann, B., Wiedenbeck, M., 2008. Chemical and boron-isotope variations in tourmalines from an S-type granite and its source rocks: The Erongo granite and tourmalinites in the Damara Belt, Namibia. Contrib. to Mineral. Petrol. 155, 1–18. doi:10.1007/s00410-007-0227-3</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Trumbull, R.B., Krienitz, M.S., Grundmann, G., Wiedenbeck, M., 2009. Tourmaline geochemistry and δ11B variations as a guide to fluid-rock interaction in the Habachtal emerald deposit, Tauern Window, Austria. Contrib. to Mineral. Petrol. 157, 411–427. doi:10.1007/s00410-008-0342-9</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Tuttle, O.F., Bowen, N.L., 1958. Origin of granite in light of experimental studies in the system NaAlSi3O8-KAlSi3O8-SiO2-H2O. Geol. Soc. Am. Mem. 74.</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van Hinsberg, V.J., Marschall, H.R., 2007. Boron isotope and light element sector zoning in tourmaline: Implications for the formation of B-isotopic signatures. Chem. Geol. 238, 141–148. doi:10.1016/j.chemgeo.2006.11.002</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van Hinsberg, V.J., Schumacher, J.C., 2009. The geothermobarometric potential of tourmaline, based on experimental and natural data. Am. Mineral. 94, 761–770. doi:10.2138/am.2009.3022</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Villaseca, C., Barbero, L., Rogers, G., 1998. Crustal origin of Hercynian peraluminous granitic batholiths of Central Spain: petrological, geochemical amd isotopes (Sr, Nd) contsraints. Lithos 43, 55–79.</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Visonà, D., Lombardo, B., 2002. Two-mica and tourmaline leucogranites from the Everest-Makalu region (Nepal - Tibet). Himalayan leucogranite genesis by isobaric heating? Lithos. doi:10.1016/S0024-4937(02)00112-3</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Walawender, M.J., Gastil, R.G., Clinkenbeard, J.P., Mccormick, W. V, Eastman, B.G., Wernicke, R.S., Wardlaw, M.S., Gunn, S.H., Smith, B.M., 1990. Origin and evolution of the zoned La Posta-type plutons, easter Peninsular Ranges batholith, southern and Baja California. Geol. North Am. Mem. 174 1–18.</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Watson, E.B., Müller, T., 2009. Non-equilibrium isotopic and elemental fractionation during diffusion-controlled crystal growth under static and dynamic conditions. Chem. Geol. 267, 111–124.</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White, A.J.R., Allen, C.M., Beams, S.D., Carr, P.F., Champion, D.C., Chappell, B.W., Wyborn, D., Wyborn, L.A.I., 2001. Granite suites and supersuites of Eastern Australia. Aust. J. Earth Sci. 48, 515–530. doi:10.1046/j.1440-0952.2001.00874.x</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White, W.M., 2013. Geochemistry. Wiley-Blackwell.</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Whitney, D.L., Evans, B.W., 2010. Abbreviations for names of rock-forming minerals. Am. Mineral. 95, 185–187.</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Williams, L.B., Hervig, R.L., Holloway, J.R., Hutcheon, I., 2001a. Boron isotope geochemistry during diagenesis. Part I. Experimental determination of fractionation during illitization of smectite. Geochim. Cosmochim. Acta 65, 1769–1782. doi:10.1016/S0016-7037(01)00557-9</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Williams, L.B., Hervig, R.L., Hutcheon, I., 2001b. Boron isotope geochemistry during diagenesis. Part II. Applications to organic-rich sediments. Geochim. Cosmochim. Acta 65, 1783–1794. doi:10.1016/S0016-7037(01)00558-0</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Wohletz, K., 2013. KWare HEAT3D software. Los Alamos Nat. Lab., Open File Progr. LA-CC 99-2.</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Wolf, M.B., London, D., 1997. Boron in granitic magmas: stability of tourmaline in equilibrium with biotite and cordierite. Contrib. to Mineral. Petrol. 130, 12–30. doi:10.1007/s004100050346</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Wolf, M.B., London, D., Morgan, G.B., 1994. Effects of boron on the solubility of cassiterite and tantalite in granitic liquids, in: Geological Society of America Abstracts with Programs.</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Wu, J., Potuzak, M., Stebbins, J.F., 2011. High-temperature in situ 11B NMR study of network dynamics in boron-containing glass-forming liquids. J. Non. Cryst. Solids 357, 3944–3951. doi:10.1016/j.jnoncrysol.2011.08.013</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Wu, J., Stebbins, J.F., 2013. Temperature and modifier cation field strength effects on aluminoborosilicate glass network structure. J. Non. Cryst. Solids 362, 73–81. doi:10.1016/j.jnoncrysol.2012.11.005</w:t>
      </w:r>
    </w:p>
    <w:p w:rsidR="00266290" w:rsidRPr="00266290" w:rsidRDefault="00266290" w:rsidP="00F630D0">
      <w:pPr>
        <w:widowControl w:val="0"/>
        <w:autoSpaceDE w:val="0"/>
        <w:autoSpaceDN w:val="0"/>
        <w:adjustRightInd w:val="0"/>
        <w:ind w:left="480" w:hanging="480"/>
        <w:rPr>
          <w:rFonts w:cs="Times New Roman"/>
          <w:noProof/>
        </w:rPr>
      </w:pPr>
      <w:r w:rsidRPr="00266290">
        <w:rPr>
          <w:rFonts w:cs="Times New Roman"/>
          <w:noProof/>
        </w:rPr>
        <w:t>Wu, J., Stebbins, J.F., 2010. Quench rate and temperature effects on boron coordination in aluminoborosilicate melts. J. Non. Cryst. Solids 356, 2097–2108. doi:10.1016/j.jnoncrysol.2010.08.015</w:t>
      </w:r>
    </w:p>
    <w:p w:rsidR="00266290" w:rsidRPr="00266290" w:rsidRDefault="00266290" w:rsidP="00F630D0">
      <w:pPr>
        <w:widowControl w:val="0"/>
        <w:autoSpaceDE w:val="0"/>
        <w:autoSpaceDN w:val="0"/>
        <w:adjustRightInd w:val="0"/>
        <w:ind w:left="475" w:hanging="475"/>
        <w:rPr>
          <w:rFonts w:cs="Times New Roman"/>
          <w:noProof/>
        </w:rPr>
      </w:pPr>
      <w:r w:rsidRPr="00266290">
        <w:rPr>
          <w:rFonts w:cs="Times New Roman"/>
          <w:noProof/>
        </w:rPr>
        <w:t>Wu, J., Stebbins, J.F., 2009. Effects of cation field strength on the structure of aluminoborosilicate glasses: High-resolution 11B, 27Al and 23Na MAS NMR. J. Non. Cryst. Solids 355, 556–562. doi:10.1016/j.jnoncrysol.2009.01.025</w:t>
      </w:r>
    </w:p>
    <w:p w:rsidR="00266290" w:rsidRPr="00266290" w:rsidRDefault="00266290" w:rsidP="00F630D0">
      <w:pPr>
        <w:widowControl w:val="0"/>
        <w:autoSpaceDE w:val="0"/>
        <w:autoSpaceDN w:val="0"/>
        <w:adjustRightInd w:val="0"/>
        <w:ind w:left="475" w:hanging="475"/>
        <w:rPr>
          <w:rFonts w:cs="Times New Roman"/>
          <w:noProof/>
        </w:rPr>
      </w:pPr>
      <w:r w:rsidRPr="00266290">
        <w:rPr>
          <w:rFonts w:cs="Times New Roman"/>
          <w:noProof/>
        </w:rPr>
        <w:t>Wunder, B., Meixner, A., Romer, R.L., Wirth, R., Heinrich, W., 2005. The geochemical cycle of boron: Constraints from boron isotope partitioning experiments between mica and fluid. Lithos 84, 206–216. doi:10.1016/j.lithos.2005.02.003</w:t>
      </w:r>
    </w:p>
    <w:p w:rsidR="00266290" w:rsidRPr="00266290" w:rsidRDefault="00266290" w:rsidP="00F630D0">
      <w:pPr>
        <w:widowControl w:val="0"/>
        <w:autoSpaceDE w:val="0"/>
        <w:autoSpaceDN w:val="0"/>
        <w:adjustRightInd w:val="0"/>
        <w:ind w:left="475" w:hanging="475"/>
        <w:rPr>
          <w:rFonts w:cs="Times New Roman"/>
          <w:noProof/>
        </w:rPr>
      </w:pPr>
      <w:r w:rsidRPr="00266290">
        <w:rPr>
          <w:rFonts w:cs="Times New Roman"/>
          <w:noProof/>
        </w:rPr>
        <w:t>Xiao, J., Xiao, Y., Jin, Z., He, M., Liu, C., Xiao, Y., Jin, Z., Liu, C., 2013. Boron isotope variations and its geochemical application in nature. Aust. J. Earth Sci. An Int. Geosci. J. Geol. Soc. Aust. 604. doi:10.1080/08120099.2013.813585</w:t>
      </w:r>
    </w:p>
    <w:p w:rsidR="00266290" w:rsidRPr="00266290" w:rsidRDefault="00266290" w:rsidP="00F630D0">
      <w:pPr>
        <w:widowControl w:val="0"/>
        <w:autoSpaceDE w:val="0"/>
        <w:autoSpaceDN w:val="0"/>
        <w:adjustRightInd w:val="0"/>
        <w:ind w:left="475" w:hanging="475"/>
        <w:rPr>
          <w:rFonts w:cs="Times New Roman"/>
          <w:noProof/>
        </w:rPr>
      </w:pPr>
      <w:r w:rsidRPr="00266290">
        <w:rPr>
          <w:rFonts w:cs="Times New Roman"/>
          <w:noProof/>
        </w:rPr>
        <w:t>Xue, X., Kanzaki, M., 2007. Al coordination and water speciation in hydrous aluminosilicate glasses: Direct evidence from high-resolution heteronuclear 1H-27Al correlation NMR. Solid State Nucl. Magn. Reson. 31, 10–27. doi:10.1016/j.ssnmr.2006.11.001</w:t>
      </w:r>
    </w:p>
    <w:p w:rsidR="00266290" w:rsidRPr="00266290" w:rsidRDefault="00266290" w:rsidP="00F630D0">
      <w:pPr>
        <w:widowControl w:val="0"/>
        <w:autoSpaceDE w:val="0"/>
        <w:autoSpaceDN w:val="0"/>
        <w:adjustRightInd w:val="0"/>
        <w:ind w:left="475" w:hanging="475"/>
        <w:rPr>
          <w:rFonts w:cs="Times New Roman"/>
          <w:noProof/>
        </w:rPr>
      </w:pPr>
      <w:r w:rsidRPr="00266290">
        <w:rPr>
          <w:rFonts w:cs="Times New Roman"/>
          <w:noProof/>
        </w:rPr>
        <w:t>Yang, S.Y., Jiang, S.Y., Palmer, M.R., 2015. Chemical and boron isotopic compositions of tourmaline from the Nyalam leucogranites, South Tibetan Himalaya: Implication for their formation from B-rich melt to hydrothermal fluids. Chem. Geol. 419, 102–113. doi:10.1016/j.chemgeo.2015.10.026</w:t>
      </w:r>
    </w:p>
    <w:p w:rsidR="00907F64" w:rsidRDefault="007E12D3" w:rsidP="00F630D0">
      <w:pPr>
        <w:spacing w:line="480" w:lineRule="auto"/>
        <w:rPr>
          <w:rFonts w:asciiTheme="minorHAnsi" w:hAnsiTheme="minorHAnsi" w:cstheme="minorHAnsi"/>
        </w:rPr>
      </w:pPr>
      <w:r>
        <w:rPr>
          <w:rFonts w:asciiTheme="minorHAnsi" w:hAnsiTheme="minorHAnsi" w:cstheme="minorHAnsi"/>
        </w:rPr>
        <w:fldChar w:fldCharType="end"/>
      </w:r>
    </w:p>
    <w:p w:rsidR="00907F64" w:rsidRDefault="00907F64" w:rsidP="00907F64">
      <w:r>
        <w:br w:type="page"/>
      </w:r>
    </w:p>
    <w:p w:rsidR="0086033D" w:rsidRDefault="0086033D" w:rsidP="000A0A9D">
      <w:pPr>
        <w:pStyle w:val="Heading1"/>
        <w:numPr>
          <w:ilvl w:val="0"/>
          <w:numId w:val="0"/>
        </w:numPr>
        <w:jc w:val="center"/>
        <w:rPr>
          <w:rFonts w:asciiTheme="minorHAnsi" w:hAnsiTheme="minorHAnsi" w:cstheme="minorHAnsi"/>
        </w:rPr>
      </w:pPr>
    </w:p>
    <w:p w:rsidR="0086033D" w:rsidRDefault="0086033D" w:rsidP="000A0A9D">
      <w:pPr>
        <w:pStyle w:val="Heading1"/>
        <w:numPr>
          <w:ilvl w:val="0"/>
          <w:numId w:val="0"/>
        </w:numPr>
        <w:jc w:val="center"/>
        <w:rPr>
          <w:rFonts w:asciiTheme="minorHAnsi" w:hAnsiTheme="minorHAnsi" w:cstheme="minorHAnsi"/>
        </w:rPr>
      </w:pPr>
    </w:p>
    <w:p w:rsidR="0086033D" w:rsidRDefault="0086033D" w:rsidP="000A0A9D">
      <w:pPr>
        <w:pStyle w:val="Heading1"/>
        <w:numPr>
          <w:ilvl w:val="0"/>
          <w:numId w:val="0"/>
        </w:numPr>
        <w:jc w:val="center"/>
        <w:rPr>
          <w:rFonts w:asciiTheme="minorHAnsi" w:hAnsiTheme="minorHAnsi" w:cstheme="minorHAnsi"/>
        </w:rPr>
      </w:pPr>
    </w:p>
    <w:p w:rsidR="0086033D" w:rsidRDefault="0086033D" w:rsidP="000A0A9D">
      <w:pPr>
        <w:pStyle w:val="Heading1"/>
        <w:numPr>
          <w:ilvl w:val="0"/>
          <w:numId w:val="0"/>
        </w:numPr>
        <w:jc w:val="center"/>
        <w:rPr>
          <w:rFonts w:asciiTheme="minorHAnsi" w:hAnsiTheme="minorHAnsi" w:cstheme="minorHAnsi"/>
        </w:rPr>
      </w:pPr>
    </w:p>
    <w:p w:rsidR="0086033D" w:rsidRDefault="0086033D" w:rsidP="000A0A9D">
      <w:pPr>
        <w:pStyle w:val="Heading1"/>
        <w:numPr>
          <w:ilvl w:val="0"/>
          <w:numId w:val="0"/>
        </w:numPr>
        <w:jc w:val="center"/>
        <w:rPr>
          <w:rFonts w:asciiTheme="minorHAnsi" w:hAnsiTheme="minorHAnsi" w:cstheme="minorHAnsi"/>
        </w:rPr>
      </w:pPr>
    </w:p>
    <w:p w:rsidR="0086033D" w:rsidRDefault="0086033D" w:rsidP="000A0A9D">
      <w:pPr>
        <w:pStyle w:val="Heading1"/>
        <w:numPr>
          <w:ilvl w:val="0"/>
          <w:numId w:val="0"/>
        </w:numPr>
        <w:jc w:val="center"/>
        <w:rPr>
          <w:rFonts w:asciiTheme="minorHAnsi" w:hAnsiTheme="minorHAnsi" w:cstheme="minorHAnsi"/>
        </w:rPr>
      </w:pPr>
    </w:p>
    <w:p w:rsidR="0086033D" w:rsidRDefault="0086033D" w:rsidP="000A0A9D">
      <w:pPr>
        <w:pStyle w:val="Heading1"/>
        <w:numPr>
          <w:ilvl w:val="0"/>
          <w:numId w:val="0"/>
        </w:numPr>
        <w:jc w:val="center"/>
        <w:rPr>
          <w:rFonts w:asciiTheme="minorHAnsi" w:hAnsiTheme="minorHAnsi" w:cstheme="minorHAnsi"/>
        </w:rPr>
      </w:pPr>
    </w:p>
    <w:p w:rsidR="0086033D" w:rsidRDefault="0086033D" w:rsidP="000A0A9D">
      <w:pPr>
        <w:pStyle w:val="Heading1"/>
        <w:numPr>
          <w:ilvl w:val="0"/>
          <w:numId w:val="0"/>
        </w:numPr>
        <w:jc w:val="center"/>
        <w:rPr>
          <w:rFonts w:asciiTheme="minorHAnsi" w:hAnsiTheme="minorHAnsi" w:cstheme="minorHAnsi"/>
        </w:rPr>
      </w:pPr>
    </w:p>
    <w:p w:rsidR="0086033D" w:rsidRDefault="0086033D" w:rsidP="000A0A9D">
      <w:pPr>
        <w:pStyle w:val="Heading1"/>
        <w:numPr>
          <w:ilvl w:val="0"/>
          <w:numId w:val="0"/>
        </w:numPr>
        <w:jc w:val="center"/>
        <w:rPr>
          <w:rFonts w:asciiTheme="minorHAnsi" w:hAnsiTheme="minorHAnsi" w:cstheme="minorHAnsi"/>
        </w:rPr>
      </w:pPr>
    </w:p>
    <w:p w:rsidR="00665C0F" w:rsidRPr="000A0A9D" w:rsidRDefault="00907F64" w:rsidP="000A0A9D">
      <w:pPr>
        <w:pStyle w:val="Heading1"/>
        <w:numPr>
          <w:ilvl w:val="0"/>
          <w:numId w:val="0"/>
        </w:numPr>
        <w:jc w:val="center"/>
        <w:rPr>
          <w:rFonts w:asciiTheme="minorHAnsi" w:hAnsiTheme="minorHAnsi" w:cstheme="minorHAnsi"/>
        </w:rPr>
      </w:pPr>
      <w:bookmarkStart w:id="205" w:name="_Toc491246080"/>
      <w:r w:rsidRPr="000A0A9D">
        <w:rPr>
          <w:rFonts w:asciiTheme="minorHAnsi" w:hAnsiTheme="minorHAnsi" w:cstheme="minorHAnsi"/>
        </w:rPr>
        <w:t xml:space="preserve">Appendix </w:t>
      </w:r>
      <w:r w:rsidR="0086033D">
        <w:rPr>
          <w:rFonts w:asciiTheme="minorHAnsi" w:hAnsiTheme="minorHAnsi" w:cstheme="minorHAnsi"/>
        </w:rPr>
        <w:t>1: Chemical and boron isotopic compositions of tourmaline, and other minerals, from the Main, Swamp, and Spessartine dikes of the Little Three pegmatite mine</w:t>
      </w:r>
      <w:bookmarkEnd w:id="205"/>
    </w:p>
    <w:p w:rsidR="00836E88" w:rsidRDefault="00836E88" w:rsidP="000A0A9D">
      <w:pPr>
        <w:spacing w:line="480" w:lineRule="auto"/>
        <w:rPr>
          <w:rFonts w:asciiTheme="minorHAnsi" w:hAnsiTheme="minorHAnsi" w:cstheme="minorHAnsi"/>
        </w:rPr>
      </w:pPr>
    </w:p>
    <w:p w:rsidR="0086033D" w:rsidRDefault="0086033D" w:rsidP="000A0A9D">
      <w:pPr>
        <w:spacing w:line="480" w:lineRule="auto"/>
        <w:rPr>
          <w:rFonts w:asciiTheme="minorHAnsi" w:hAnsiTheme="minorHAnsi" w:cstheme="minorHAnsi"/>
        </w:rPr>
      </w:pPr>
    </w:p>
    <w:p w:rsidR="0086033D" w:rsidRDefault="0086033D">
      <w:pPr>
        <w:rPr>
          <w:rFonts w:asciiTheme="minorHAnsi" w:hAnsiTheme="minorHAnsi" w:cstheme="minorHAnsi"/>
        </w:rPr>
      </w:pPr>
      <w:r>
        <w:rPr>
          <w:rFonts w:asciiTheme="minorHAnsi" w:hAnsiTheme="minorHAnsi" w:cstheme="minorHAnsi"/>
        </w:rPr>
        <w:br w:type="page"/>
      </w:r>
    </w:p>
    <w:p w:rsidR="0086033D" w:rsidRDefault="0086033D" w:rsidP="000A0A9D">
      <w:pPr>
        <w:spacing w:line="480" w:lineRule="auto"/>
        <w:rPr>
          <w:rFonts w:asciiTheme="minorHAnsi" w:hAnsiTheme="minorHAnsi" w:cstheme="minorHAnsi"/>
        </w:rPr>
      </w:pPr>
      <w:r w:rsidRPr="0086033D">
        <w:rPr>
          <w:noProof/>
        </w:rPr>
        <w:drawing>
          <wp:anchor distT="0" distB="0" distL="114300" distR="114300" simplePos="0" relativeHeight="251774976" behindDoc="0" locked="0" layoutInCell="1" allowOverlap="1">
            <wp:simplePos x="1466850" y="914400"/>
            <wp:positionH relativeFrom="margin">
              <wp:align>center</wp:align>
            </wp:positionH>
            <wp:positionV relativeFrom="margin">
              <wp:align>top</wp:align>
            </wp:positionV>
            <wp:extent cx="4324350" cy="8077200"/>
            <wp:effectExtent l="0" t="0" r="0" b="0"/>
            <wp:wrapTopAndBottom/>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324350" cy="8077200"/>
                    </a:xfrm>
                    <a:prstGeom prst="rect">
                      <a:avLst/>
                    </a:prstGeom>
                    <a:noFill/>
                    <a:ln>
                      <a:noFill/>
                    </a:ln>
                  </pic:spPr>
                </pic:pic>
              </a:graphicData>
            </a:graphic>
          </wp:anchor>
        </w:drawing>
      </w:r>
    </w:p>
    <w:p w:rsidR="00836E88" w:rsidRDefault="0086033D" w:rsidP="00836E88">
      <w:r w:rsidRPr="0086033D">
        <w:rPr>
          <w:noProof/>
        </w:rPr>
        <w:drawing>
          <wp:anchor distT="0" distB="0" distL="114300" distR="114300" simplePos="0" relativeHeight="251776000" behindDoc="0" locked="0" layoutInCell="1" allowOverlap="1">
            <wp:simplePos x="1466850" y="914400"/>
            <wp:positionH relativeFrom="margin">
              <wp:align>center</wp:align>
            </wp:positionH>
            <wp:positionV relativeFrom="margin">
              <wp:align>top</wp:align>
            </wp:positionV>
            <wp:extent cx="4933950" cy="8077200"/>
            <wp:effectExtent l="0" t="0" r="0" b="0"/>
            <wp:wrapTopAndBottom/>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933950" cy="8077200"/>
                    </a:xfrm>
                    <a:prstGeom prst="rect">
                      <a:avLst/>
                    </a:prstGeom>
                    <a:noFill/>
                    <a:ln>
                      <a:noFill/>
                    </a:ln>
                  </pic:spPr>
                </pic:pic>
              </a:graphicData>
            </a:graphic>
          </wp:anchor>
        </w:drawing>
      </w:r>
    </w:p>
    <w:p w:rsidR="00836E88" w:rsidRDefault="0086033D" w:rsidP="000A0A9D">
      <w:pPr>
        <w:spacing w:line="480" w:lineRule="auto"/>
        <w:rPr>
          <w:rFonts w:asciiTheme="minorHAnsi" w:hAnsiTheme="minorHAnsi" w:cstheme="minorHAnsi"/>
        </w:rPr>
      </w:pPr>
      <w:r w:rsidRPr="0086033D">
        <w:rPr>
          <w:noProof/>
        </w:rPr>
        <w:drawing>
          <wp:anchor distT="0" distB="0" distL="114300" distR="114300" simplePos="0" relativeHeight="251777024" behindDoc="0" locked="0" layoutInCell="1" allowOverlap="1">
            <wp:simplePos x="1466850" y="914400"/>
            <wp:positionH relativeFrom="margin">
              <wp:align>center</wp:align>
            </wp:positionH>
            <wp:positionV relativeFrom="margin">
              <wp:align>top</wp:align>
            </wp:positionV>
            <wp:extent cx="4933950" cy="8077200"/>
            <wp:effectExtent l="0" t="0" r="0" b="0"/>
            <wp:wrapTopAndBottom/>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933950" cy="8077200"/>
                    </a:xfrm>
                    <a:prstGeom prst="rect">
                      <a:avLst/>
                    </a:prstGeom>
                    <a:noFill/>
                    <a:ln>
                      <a:noFill/>
                    </a:ln>
                  </pic:spPr>
                </pic:pic>
              </a:graphicData>
            </a:graphic>
          </wp:anchor>
        </w:drawing>
      </w:r>
    </w:p>
    <w:p w:rsidR="00836E88" w:rsidRDefault="0086033D" w:rsidP="000A0A9D">
      <w:pPr>
        <w:spacing w:line="480" w:lineRule="auto"/>
        <w:rPr>
          <w:rFonts w:asciiTheme="minorHAnsi" w:hAnsiTheme="minorHAnsi" w:cstheme="minorHAnsi"/>
        </w:rPr>
      </w:pPr>
      <w:r w:rsidRPr="0086033D">
        <w:rPr>
          <w:noProof/>
        </w:rPr>
        <w:drawing>
          <wp:anchor distT="0" distB="0" distL="114300" distR="114300" simplePos="0" relativeHeight="251778048" behindDoc="0" locked="0" layoutInCell="1" allowOverlap="1">
            <wp:simplePos x="1466850" y="914400"/>
            <wp:positionH relativeFrom="margin">
              <wp:align>center</wp:align>
            </wp:positionH>
            <wp:positionV relativeFrom="margin">
              <wp:align>top</wp:align>
            </wp:positionV>
            <wp:extent cx="4914900" cy="8077200"/>
            <wp:effectExtent l="0" t="0" r="0" b="0"/>
            <wp:wrapTopAndBottom/>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914900" cy="8077200"/>
                    </a:xfrm>
                    <a:prstGeom prst="rect">
                      <a:avLst/>
                    </a:prstGeom>
                    <a:noFill/>
                    <a:ln>
                      <a:noFill/>
                    </a:ln>
                  </pic:spPr>
                </pic:pic>
              </a:graphicData>
            </a:graphic>
          </wp:anchor>
        </w:drawing>
      </w:r>
    </w:p>
    <w:p w:rsidR="00836E88" w:rsidRDefault="0086033D" w:rsidP="000A0A9D">
      <w:pPr>
        <w:spacing w:line="480" w:lineRule="auto"/>
        <w:rPr>
          <w:rFonts w:asciiTheme="minorHAnsi" w:hAnsiTheme="minorHAnsi" w:cstheme="minorHAnsi"/>
        </w:rPr>
      </w:pPr>
      <w:r w:rsidRPr="0086033D">
        <w:rPr>
          <w:noProof/>
        </w:rPr>
        <w:drawing>
          <wp:anchor distT="0" distB="0" distL="114300" distR="114300" simplePos="0" relativeHeight="251779072" behindDoc="0" locked="0" layoutInCell="1" allowOverlap="1">
            <wp:simplePos x="1466850" y="914400"/>
            <wp:positionH relativeFrom="margin">
              <wp:align>center</wp:align>
            </wp:positionH>
            <wp:positionV relativeFrom="margin">
              <wp:align>top</wp:align>
            </wp:positionV>
            <wp:extent cx="4914900" cy="8077200"/>
            <wp:effectExtent l="0" t="0" r="0" b="0"/>
            <wp:wrapTopAndBottom/>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914900" cy="8077200"/>
                    </a:xfrm>
                    <a:prstGeom prst="rect">
                      <a:avLst/>
                    </a:prstGeom>
                    <a:noFill/>
                    <a:ln>
                      <a:noFill/>
                    </a:ln>
                  </pic:spPr>
                </pic:pic>
              </a:graphicData>
            </a:graphic>
          </wp:anchor>
        </w:drawing>
      </w:r>
    </w:p>
    <w:p w:rsidR="00836E88" w:rsidRDefault="0086033D" w:rsidP="000A0A9D">
      <w:pPr>
        <w:spacing w:line="480" w:lineRule="auto"/>
        <w:rPr>
          <w:rFonts w:asciiTheme="minorHAnsi" w:hAnsiTheme="minorHAnsi" w:cstheme="minorHAnsi"/>
        </w:rPr>
      </w:pPr>
      <w:r w:rsidRPr="0086033D">
        <w:rPr>
          <w:noProof/>
        </w:rPr>
        <w:drawing>
          <wp:anchor distT="0" distB="0" distL="114300" distR="114300" simplePos="0" relativeHeight="251780096" behindDoc="0" locked="0" layoutInCell="1" allowOverlap="1">
            <wp:simplePos x="1466850" y="914400"/>
            <wp:positionH relativeFrom="margin">
              <wp:align>center</wp:align>
            </wp:positionH>
            <wp:positionV relativeFrom="margin">
              <wp:align>top</wp:align>
            </wp:positionV>
            <wp:extent cx="4953000" cy="8077200"/>
            <wp:effectExtent l="0" t="0" r="0" b="0"/>
            <wp:wrapTopAndBottom/>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953000" cy="8077200"/>
                    </a:xfrm>
                    <a:prstGeom prst="rect">
                      <a:avLst/>
                    </a:prstGeom>
                    <a:noFill/>
                    <a:ln>
                      <a:noFill/>
                    </a:ln>
                  </pic:spPr>
                </pic:pic>
              </a:graphicData>
            </a:graphic>
          </wp:anchor>
        </w:drawing>
      </w:r>
    </w:p>
    <w:p w:rsidR="00836E88" w:rsidRDefault="0086033D" w:rsidP="000A0A9D">
      <w:pPr>
        <w:spacing w:line="480" w:lineRule="auto"/>
        <w:rPr>
          <w:rFonts w:asciiTheme="minorHAnsi" w:hAnsiTheme="minorHAnsi" w:cstheme="minorHAnsi"/>
        </w:rPr>
      </w:pPr>
      <w:r w:rsidRPr="0086033D">
        <w:rPr>
          <w:noProof/>
        </w:rPr>
        <w:drawing>
          <wp:anchor distT="0" distB="0" distL="114300" distR="114300" simplePos="0" relativeHeight="251781120" behindDoc="0" locked="0" layoutInCell="1" allowOverlap="1">
            <wp:simplePos x="1466850" y="914400"/>
            <wp:positionH relativeFrom="margin">
              <wp:align>center</wp:align>
            </wp:positionH>
            <wp:positionV relativeFrom="margin">
              <wp:align>top</wp:align>
            </wp:positionV>
            <wp:extent cx="4495800" cy="8077200"/>
            <wp:effectExtent l="0" t="0" r="0" b="0"/>
            <wp:wrapTopAndBottom/>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495800" cy="8077200"/>
                    </a:xfrm>
                    <a:prstGeom prst="rect">
                      <a:avLst/>
                    </a:prstGeom>
                    <a:noFill/>
                    <a:ln>
                      <a:noFill/>
                    </a:ln>
                  </pic:spPr>
                </pic:pic>
              </a:graphicData>
            </a:graphic>
          </wp:anchor>
        </w:drawing>
      </w:r>
    </w:p>
    <w:p w:rsidR="00836E88" w:rsidRDefault="0086033D" w:rsidP="000A0A9D">
      <w:pPr>
        <w:spacing w:line="480" w:lineRule="auto"/>
        <w:rPr>
          <w:rFonts w:asciiTheme="minorHAnsi" w:hAnsiTheme="minorHAnsi" w:cstheme="minorHAnsi"/>
        </w:rPr>
      </w:pPr>
      <w:r w:rsidRPr="0086033D">
        <w:rPr>
          <w:noProof/>
        </w:rPr>
        <w:drawing>
          <wp:anchor distT="0" distB="0" distL="114300" distR="114300" simplePos="0" relativeHeight="251782144" behindDoc="0" locked="0" layoutInCell="1" allowOverlap="1">
            <wp:simplePos x="1466850" y="914400"/>
            <wp:positionH relativeFrom="margin">
              <wp:align>center</wp:align>
            </wp:positionH>
            <wp:positionV relativeFrom="margin">
              <wp:align>top</wp:align>
            </wp:positionV>
            <wp:extent cx="4552950" cy="8077200"/>
            <wp:effectExtent l="0" t="0" r="0" b="0"/>
            <wp:wrapTopAndBottom/>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552950" cy="8077200"/>
                    </a:xfrm>
                    <a:prstGeom prst="rect">
                      <a:avLst/>
                    </a:prstGeom>
                    <a:noFill/>
                    <a:ln>
                      <a:noFill/>
                    </a:ln>
                  </pic:spPr>
                </pic:pic>
              </a:graphicData>
            </a:graphic>
          </wp:anchor>
        </w:drawing>
      </w:r>
    </w:p>
    <w:p w:rsidR="00836E88" w:rsidRDefault="0086033D" w:rsidP="000A0A9D">
      <w:pPr>
        <w:spacing w:line="480" w:lineRule="auto"/>
        <w:rPr>
          <w:rFonts w:asciiTheme="minorHAnsi" w:hAnsiTheme="minorHAnsi" w:cstheme="minorHAnsi"/>
        </w:rPr>
      </w:pPr>
      <w:r w:rsidRPr="0086033D">
        <w:rPr>
          <w:noProof/>
        </w:rPr>
        <w:drawing>
          <wp:anchor distT="0" distB="0" distL="114300" distR="114300" simplePos="0" relativeHeight="251783168" behindDoc="0" locked="0" layoutInCell="1" allowOverlap="1">
            <wp:simplePos x="1466850" y="914400"/>
            <wp:positionH relativeFrom="margin">
              <wp:align>center</wp:align>
            </wp:positionH>
            <wp:positionV relativeFrom="margin">
              <wp:align>top</wp:align>
            </wp:positionV>
            <wp:extent cx="4933950" cy="8077200"/>
            <wp:effectExtent l="0" t="0" r="0" b="0"/>
            <wp:wrapTopAndBottom/>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933950" cy="8077200"/>
                    </a:xfrm>
                    <a:prstGeom prst="rect">
                      <a:avLst/>
                    </a:prstGeom>
                    <a:noFill/>
                    <a:ln>
                      <a:noFill/>
                    </a:ln>
                  </pic:spPr>
                </pic:pic>
              </a:graphicData>
            </a:graphic>
          </wp:anchor>
        </w:drawing>
      </w:r>
    </w:p>
    <w:p w:rsidR="00836E88" w:rsidRDefault="0086033D" w:rsidP="000A0A9D">
      <w:pPr>
        <w:spacing w:line="480" w:lineRule="auto"/>
        <w:rPr>
          <w:rFonts w:asciiTheme="minorHAnsi" w:hAnsiTheme="minorHAnsi" w:cstheme="minorHAnsi"/>
        </w:rPr>
      </w:pPr>
      <w:r w:rsidRPr="0086033D">
        <w:rPr>
          <w:noProof/>
        </w:rPr>
        <w:drawing>
          <wp:anchor distT="0" distB="0" distL="114300" distR="114300" simplePos="0" relativeHeight="251784192" behindDoc="0" locked="0" layoutInCell="1" allowOverlap="1">
            <wp:simplePos x="1466850" y="914400"/>
            <wp:positionH relativeFrom="margin">
              <wp:align>center</wp:align>
            </wp:positionH>
            <wp:positionV relativeFrom="margin">
              <wp:align>top</wp:align>
            </wp:positionV>
            <wp:extent cx="4991100" cy="8077200"/>
            <wp:effectExtent l="0" t="0" r="0" b="0"/>
            <wp:wrapTopAndBottom/>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991100" cy="8077200"/>
                    </a:xfrm>
                    <a:prstGeom prst="rect">
                      <a:avLst/>
                    </a:prstGeom>
                    <a:noFill/>
                    <a:ln>
                      <a:noFill/>
                    </a:ln>
                  </pic:spPr>
                </pic:pic>
              </a:graphicData>
            </a:graphic>
          </wp:anchor>
        </w:drawing>
      </w:r>
    </w:p>
    <w:p w:rsidR="00836E88" w:rsidRDefault="0086033D" w:rsidP="000A0A9D">
      <w:pPr>
        <w:spacing w:line="480" w:lineRule="auto"/>
        <w:rPr>
          <w:rFonts w:asciiTheme="minorHAnsi" w:hAnsiTheme="minorHAnsi" w:cstheme="minorHAnsi"/>
        </w:rPr>
      </w:pPr>
      <w:r w:rsidRPr="0086033D">
        <w:rPr>
          <w:noProof/>
        </w:rPr>
        <w:drawing>
          <wp:anchor distT="0" distB="0" distL="114300" distR="114300" simplePos="0" relativeHeight="251785216" behindDoc="0" locked="0" layoutInCell="1" allowOverlap="1">
            <wp:simplePos x="1466850" y="914400"/>
            <wp:positionH relativeFrom="margin">
              <wp:align>center</wp:align>
            </wp:positionH>
            <wp:positionV relativeFrom="margin">
              <wp:align>top</wp:align>
            </wp:positionV>
            <wp:extent cx="4933950" cy="8077200"/>
            <wp:effectExtent l="0" t="0" r="0" b="0"/>
            <wp:wrapTopAndBottom/>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933950" cy="8077200"/>
                    </a:xfrm>
                    <a:prstGeom prst="rect">
                      <a:avLst/>
                    </a:prstGeom>
                    <a:noFill/>
                    <a:ln>
                      <a:noFill/>
                    </a:ln>
                  </pic:spPr>
                </pic:pic>
              </a:graphicData>
            </a:graphic>
          </wp:anchor>
        </w:drawing>
      </w:r>
    </w:p>
    <w:p w:rsidR="00836E88" w:rsidRDefault="0086033D" w:rsidP="000A0A9D">
      <w:pPr>
        <w:spacing w:line="480" w:lineRule="auto"/>
        <w:rPr>
          <w:rFonts w:asciiTheme="minorHAnsi" w:hAnsiTheme="minorHAnsi" w:cstheme="minorHAnsi"/>
        </w:rPr>
      </w:pPr>
      <w:r w:rsidRPr="0086033D">
        <w:rPr>
          <w:noProof/>
        </w:rPr>
        <w:drawing>
          <wp:anchor distT="0" distB="0" distL="114300" distR="114300" simplePos="0" relativeHeight="251786240" behindDoc="0" locked="0" layoutInCell="1" allowOverlap="1">
            <wp:simplePos x="1466850" y="914400"/>
            <wp:positionH relativeFrom="margin">
              <wp:align>center</wp:align>
            </wp:positionH>
            <wp:positionV relativeFrom="margin">
              <wp:align>top</wp:align>
            </wp:positionV>
            <wp:extent cx="4838700" cy="8077200"/>
            <wp:effectExtent l="0" t="0" r="0" b="0"/>
            <wp:wrapTopAndBottom/>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838700" cy="8077200"/>
                    </a:xfrm>
                    <a:prstGeom prst="rect">
                      <a:avLst/>
                    </a:prstGeom>
                    <a:noFill/>
                    <a:ln>
                      <a:noFill/>
                    </a:ln>
                  </pic:spPr>
                </pic:pic>
              </a:graphicData>
            </a:graphic>
          </wp:anchor>
        </w:drawing>
      </w:r>
    </w:p>
    <w:p w:rsidR="000A0A9D" w:rsidRDefault="0086033D" w:rsidP="000A0A9D">
      <w:pPr>
        <w:spacing w:line="480" w:lineRule="auto"/>
        <w:rPr>
          <w:rFonts w:asciiTheme="minorHAnsi" w:hAnsiTheme="minorHAnsi" w:cstheme="minorHAnsi"/>
        </w:rPr>
      </w:pPr>
      <w:r w:rsidRPr="0086033D">
        <w:rPr>
          <w:noProof/>
        </w:rPr>
        <w:drawing>
          <wp:anchor distT="0" distB="0" distL="114300" distR="114300" simplePos="0" relativeHeight="251787264" behindDoc="0" locked="0" layoutInCell="1" allowOverlap="1">
            <wp:simplePos x="1466850" y="914400"/>
            <wp:positionH relativeFrom="margin">
              <wp:align>center</wp:align>
            </wp:positionH>
            <wp:positionV relativeFrom="margin">
              <wp:align>top</wp:align>
            </wp:positionV>
            <wp:extent cx="4343400" cy="8077200"/>
            <wp:effectExtent l="0" t="0" r="0" b="0"/>
            <wp:wrapTopAndBottom/>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343400" cy="8077200"/>
                    </a:xfrm>
                    <a:prstGeom prst="rect">
                      <a:avLst/>
                    </a:prstGeom>
                    <a:noFill/>
                    <a:ln>
                      <a:noFill/>
                    </a:ln>
                  </pic:spPr>
                </pic:pic>
              </a:graphicData>
            </a:graphic>
          </wp:anchor>
        </w:drawing>
      </w:r>
    </w:p>
    <w:p w:rsidR="0086033D" w:rsidRDefault="0086033D" w:rsidP="000A0A9D">
      <w:pPr>
        <w:pStyle w:val="Heading1"/>
        <w:numPr>
          <w:ilvl w:val="0"/>
          <w:numId w:val="0"/>
        </w:numPr>
        <w:jc w:val="center"/>
        <w:rPr>
          <w:rFonts w:asciiTheme="minorHAnsi" w:hAnsiTheme="minorHAnsi" w:cstheme="minorHAnsi"/>
        </w:rPr>
      </w:pPr>
    </w:p>
    <w:p w:rsidR="0086033D" w:rsidRDefault="0086033D" w:rsidP="000A0A9D">
      <w:pPr>
        <w:pStyle w:val="Heading1"/>
        <w:numPr>
          <w:ilvl w:val="0"/>
          <w:numId w:val="0"/>
        </w:numPr>
        <w:jc w:val="center"/>
        <w:rPr>
          <w:rFonts w:asciiTheme="minorHAnsi" w:hAnsiTheme="minorHAnsi" w:cstheme="minorHAnsi"/>
        </w:rPr>
      </w:pPr>
    </w:p>
    <w:p w:rsidR="0086033D" w:rsidRPr="0086033D" w:rsidRDefault="0086033D" w:rsidP="0086033D"/>
    <w:p w:rsidR="0086033D" w:rsidRDefault="0086033D" w:rsidP="000A0A9D">
      <w:pPr>
        <w:pStyle w:val="Heading1"/>
        <w:numPr>
          <w:ilvl w:val="0"/>
          <w:numId w:val="0"/>
        </w:numPr>
        <w:jc w:val="center"/>
        <w:rPr>
          <w:rFonts w:asciiTheme="minorHAnsi" w:hAnsiTheme="minorHAnsi" w:cstheme="minorHAnsi"/>
        </w:rPr>
      </w:pPr>
    </w:p>
    <w:p w:rsidR="0086033D" w:rsidRDefault="0086033D" w:rsidP="000A0A9D">
      <w:pPr>
        <w:pStyle w:val="Heading1"/>
        <w:numPr>
          <w:ilvl w:val="0"/>
          <w:numId w:val="0"/>
        </w:numPr>
        <w:jc w:val="center"/>
        <w:rPr>
          <w:rFonts w:asciiTheme="minorHAnsi" w:hAnsiTheme="minorHAnsi" w:cstheme="minorHAnsi"/>
        </w:rPr>
      </w:pPr>
    </w:p>
    <w:p w:rsidR="0086033D" w:rsidRDefault="0086033D" w:rsidP="000A0A9D">
      <w:pPr>
        <w:pStyle w:val="Heading1"/>
        <w:numPr>
          <w:ilvl w:val="0"/>
          <w:numId w:val="0"/>
        </w:numPr>
        <w:jc w:val="center"/>
        <w:rPr>
          <w:rFonts w:asciiTheme="minorHAnsi" w:hAnsiTheme="minorHAnsi" w:cstheme="minorHAnsi"/>
        </w:rPr>
      </w:pPr>
    </w:p>
    <w:p w:rsidR="0086033D" w:rsidRDefault="0086033D" w:rsidP="000A0A9D">
      <w:pPr>
        <w:pStyle w:val="Heading1"/>
        <w:numPr>
          <w:ilvl w:val="0"/>
          <w:numId w:val="0"/>
        </w:numPr>
        <w:jc w:val="center"/>
        <w:rPr>
          <w:rFonts w:asciiTheme="minorHAnsi" w:hAnsiTheme="minorHAnsi" w:cstheme="minorHAnsi"/>
        </w:rPr>
      </w:pPr>
    </w:p>
    <w:p w:rsidR="0086033D" w:rsidRDefault="0086033D" w:rsidP="000A0A9D">
      <w:pPr>
        <w:pStyle w:val="Heading1"/>
        <w:numPr>
          <w:ilvl w:val="0"/>
          <w:numId w:val="0"/>
        </w:numPr>
        <w:jc w:val="center"/>
        <w:rPr>
          <w:rFonts w:asciiTheme="minorHAnsi" w:hAnsiTheme="minorHAnsi" w:cstheme="minorHAnsi"/>
        </w:rPr>
      </w:pPr>
    </w:p>
    <w:p w:rsidR="0086033D" w:rsidRDefault="0086033D" w:rsidP="000A0A9D">
      <w:pPr>
        <w:pStyle w:val="Heading1"/>
        <w:numPr>
          <w:ilvl w:val="0"/>
          <w:numId w:val="0"/>
        </w:numPr>
        <w:jc w:val="center"/>
        <w:rPr>
          <w:rFonts w:asciiTheme="minorHAnsi" w:hAnsiTheme="minorHAnsi" w:cstheme="minorHAnsi"/>
        </w:rPr>
      </w:pPr>
    </w:p>
    <w:p w:rsidR="0086033D" w:rsidRDefault="0086033D" w:rsidP="000A0A9D">
      <w:pPr>
        <w:pStyle w:val="Heading1"/>
        <w:numPr>
          <w:ilvl w:val="0"/>
          <w:numId w:val="0"/>
        </w:numPr>
        <w:jc w:val="center"/>
        <w:rPr>
          <w:rFonts w:asciiTheme="minorHAnsi" w:hAnsiTheme="minorHAnsi" w:cstheme="minorHAnsi"/>
        </w:rPr>
      </w:pPr>
    </w:p>
    <w:p w:rsidR="000A0A9D" w:rsidRDefault="000A0A9D" w:rsidP="000A0A9D">
      <w:pPr>
        <w:pStyle w:val="Heading1"/>
        <w:numPr>
          <w:ilvl w:val="0"/>
          <w:numId w:val="0"/>
        </w:numPr>
        <w:jc w:val="center"/>
        <w:rPr>
          <w:rFonts w:asciiTheme="minorHAnsi" w:hAnsiTheme="minorHAnsi" w:cstheme="minorHAnsi"/>
        </w:rPr>
      </w:pPr>
      <w:bookmarkStart w:id="206" w:name="_Toc491246081"/>
      <w:r>
        <w:rPr>
          <w:rFonts w:asciiTheme="minorHAnsi" w:hAnsiTheme="minorHAnsi" w:cstheme="minorHAnsi"/>
        </w:rPr>
        <w:t>Appendix 2</w:t>
      </w:r>
      <w:r w:rsidR="0086033D">
        <w:rPr>
          <w:rFonts w:asciiTheme="minorHAnsi" w:hAnsiTheme="minorHAnsi" w:cstheme="minorHAnsi"/>
        </w:rPr>
        <w:t>: Methodology for preparation of starting materials for experiments and details of Rayleigh model</w:t>
      </w:r>
      <w:bookmarkEnd w:id="206"/>
    </w:p>
    <w:p w:rsidR="000A0A9D" w:rsidRDefault="000A0A9D" w:rsidP="000A0A9D"/>
    <w:p w:rsidR="0086033D" w:rsidRDefault="0086033D" w:rsidP="0086033D">
      <w:pPr>
        <w:spacing w:line="480" w:lineRule="auto"/>
        <w:jc w:val="center"/>
        <w:rPr>
          <w:rFonts w:cs="Times New Roman"/>
          <w:b/>
        </w:rPr>
      </w:pPr>
    </w:p>
    <w:p w:rsidR="0086033D" w:rsidRDefault="0086033D">
      <w:pPr>
        <w:rPr>
          <w:rFonts w:cs="Times New Roman"/>
          <w:b/>
        </w:rPr>
      </w:pPr>
      <w:r>
        <w:rPr>
          <w:rFonts w:cs="Times New Roman"/>
          <w:b/>
        </w:rPr>
        <w:br w:type="page"/>
      </w:r>
    </w:p>
    <w:p w:rsidR="000A0A9D" w:rsidRPr="0086033D" w:rsidRDefault="000A0A9D" w:rsidP="0086033D">
      <w:pPr>
        <w:spacing w:line="480" w:lineRule="auto"/>
        <w:jc w:val="center"/>
      </w:pPr>
      <w:r w:rsidRPr="00CE5FB5">
        <w:rPr>
          <w:rFonts w:cs="Times New Roman"/>
          <w:b/>
        </w:rPr>
        <w:t>Preparation of starting materials for experiments</w:t>
      </w:r>
    </w:p>
    <w:p w:rsidR="000A0A9D" w:rsidRDefault="000A0A9D" w:rsidP="000A0A9D">
      <w:pPr>
        <w:spacing w:after="120" w:line="480" w:lineRule="auto"/>
        <w:rPr>
          <w:rFonts w:cs="Times New Roman"/>
        </w:rPr>
      </w:pPr>
      <w:r w:rsidRPr="00EB6BF7">
        <w:rPr>
          <w:rFonts w:cs="Times New Roman"/>
        </w:rPr>
        <w:t>The sources of Fe, Mn, and Mg in each starting material mixture are as follows: mixtures GT1.2 and GT1.2+ contained Fe metal and MnO, mixture GT1.3 contained rhodonite (source of Mn), Mn-Fayalite (source of Fe and Mn), and forsterite (source of Mg), and mixture MnGT-BC-4.1 contained almandine (source of Fe and Mg) and spessartine (source of Mn). Mixture GT1.2+ was made by adding 5% quartz, 0.5% MnO, and 2% Al(OH)</w:t>
      </w:r>
      <w:r w:rsidRPr="00EB6BF7">
        <w:rPr>
          <w:rFonts w:cs="Times New Roman"/>
          <w:vertAlign w:val="subscript"/>
        </w:rPr>
        <w:t>3</w:t>
      </w:r>
      <w:r w:rsidRPr="00EB6BF7">
        <w:rPr>
          <w:rFonts w:cs="Times New Roman"/>
        </w:rPr>
        <w:t>, by relative weight, to mixture GT1.2.</w:t>
      </w:r>
      <w:r>
        <w:rPr>
          <w:rFonts w:cs="Times New Roman"/>
        </w:rPr>
        <w:t xml:space="preserve"> </w:t>
      </w:r>
      <w:r w:rsidRPr="00EB6BF7">
        <w:rPr>
          <w:rFonts w:cs="Times New Roman"/>
        </w:rPr>
        <w:t>Each mixture was created by crushing natural minerals in a mortar and pestle and then milling in an agate mortar and pestle in alcohol to a fine powder. Milled powders were placed in an oven at ~120°C for ~15 minutes to dry. Final preparation of each individual mixture involved weighing individual components to attain the target composition, dry milling the combination in an agate mortar and pestle, and storing mixtures in glass vials in a desiccator.</w:t>
      </w:r>
    </w:p>
    <w:p w:rsidR="000A0A9D" w:rsidRPr="00CE5FB5" w:rsidRDefault="000A0A9D" w:rsidP="000A0A9D">
      <w:pPr>
        <w:spacing w:after="120" w:line="480" w:lineRule="auto"/>
        <w:rPr>
          <w:rFonts w:cs="Times New Roman"/>
          <w:b/>
        </w:rPr>
      </w:pPr>
      <w:r w:rsidRPr="00CE5FB5">
        <w:rPr>
          <w:rFonts w:cs="Times New Roman"/>
          <w:b/>
        </w:rPr>
        <w:t>Parameters for Rayleigh model</w:t>
      </w:r>
    </w:p>
    <w:p w:rsidR="000A0A9D" w:rsidRPr="003A6C5A" w:rsidRDefault="000A0A9D" w:rsidP="000A0A9D">
      <w:pPr>
        <w:spacing w:after="120" w:line="480" w:lineRule="auto"/>
        <w:ind w:firstLine="720"/>
      </w:pPr>
      <w:r>
        <w:rPr>
          <w:b/>
        </w:rPr>
        <w:t>Calculation of normative m</w:t>
      </w:r>
      <w:r w:rsidRPr="00CE5FB5">
        <w:rPr>
          <w:b/>
        </w:rPr>
        <w:t>ineralogy.</w:t>
      </w:r>
      <w:r>
        <w:t xml:space="preserve"> </w:t>
      </w:r>
      <w:r w:rsidRPr="003A6C5A">
        <w:t>Three different normative mineral assemblages were calculated based on the initial composition of the melt inclusions. The normative assemblages are similar in that they all include quartz, orthoclase, and plagioclase, for which the partition coefficients for Mg, Fe, and Mn have been set to zero. The assemblages differ in that the first contains cordierite and biotite, the second contains biotite, and the third contains biotite and muscovite. Biotite is considered a solid-solution of phlogopite-annite in the model. Normative cordierite and biotite for the first assemblage were calculated iteratively by assigning some MnO, FeO, and MgO, and stoichiometric proportions of Al</w:t>
      </w:r>
      <w:r w:rsidRPr="003A6C5A">
        <w:rPr>
          <w:vertAlign w:val="subscript"/>
        </w:rPr>
        <w:t>2</w:t>
      </w:r>
      <w:r w:rsidRPr="003A6C5A">
        <w:t>O</w:t>
      </w:r>
      <w:r w:rsidRPr="003A6C5A">
        <w:rPr>
          <w:vertAlign w:val="subscript"/>
        </w:rPr>
        <w:t>3</w:t>
      </w:r>
      <w:r w:rsidRPr="003A6C5A">
        <w:t>, SiO</w:t>
      </w:r>
      <w:r w:rsidRPr="003A6C5A">
        <w:rPr>
          <w:vertAlign w:val="subscript"/>
        </w:rPr>
        <w:t>2</w:t>
      </w:r>
      <w:r w:rsidRPr="003A6C5A">
        <w:t>, and K</w:t>
      </w:r>
      <w:r w:rsidRPr="003A6C5A">
        <w:rPr>
          <w:vertAlign w:val="subscript"/>
        </w:rPr>
        <w:t>2</w:t>
      </w:r>
      <w:r w:rsidRPr="003A6C5A">
        <w:t>O, to biotite and the remainder of the mafic oxides, Al</w:t>
      </w:r>
      <w:r w:rsidRPr="003A6C5A">
        <w:rPr>
          <w:vertAlign w:val="subscript"/>
        </w:rPr>
        <w:t>2</w:t>
      </w:r>
      <w:r w:rsidRPr="003A6C5A">
        <w:t>O</w:t>
      </w:r>
      <w:r w:rsidRPr="003A6C5A">
        <w:rPr>
          <w:vertAlign w:val="subscript"/>
        </w:rPr>
        <w:t>3</w:t>
      </w:r>
      <w:r w:rsidRPr="003A6C5A">
        <w:t>, and SiO</w:t>
      </w:r>
      <w:r w:rsidRPr="003A6C5A">
        <w:rPr>
          <w:vertAlign w:val="subscript"/>
        </w:rPr>
        <w:t>2</w:t>
      </w:r>
      <w:r w:rsidRPr="003A6C5A">
        <w:t xml:space="preserve"> to cordierite; by this process, the residual normative corundum component approached zero. Normative biotite for the second assemblage was calculated by taking all FeO, MnO, and MgO, plus stoichiometric amounts of K</w:t>
      </w:r>
      <w:r w:rsidRPr="003A6C5A">
        <w:rPr>
          <w:vertAlign w:val="subscript"/>
        </w:rPr>
        <w:t>2</w:t>
      </w:r>
      <w:r w:rsidRPr="003A6C5A">
        <w:t>O, SiO</w:t>
      </w:r>
      <w:r w:rsidRPr="003A6C5A">
        <w:rPr>
          <w:vertAlign w:val="subscript"/>
        </w:rPr>
        <w:t>2</w:t>
      </w:r>
      <w:r w:rsidRPr="003A6C5A">
        <w:t>, and Al</w:t>
      </w:r>
      <w:r w:rsidRPr="003A6C5A">
        <w:rPr>
          <w:vertAlign w:val="subscript"/>
        </w:rPr>
        <w:t>2</w:t>
      </w:r>
      <w:r w:rsidRPr="003A6C5A">
        <w:t>O</w:t>
      </w:r>
      <w:r w:rsidRPr="003A6C5A">
        <w:rPr>
          <w:vertAlign w:val="subscript"/>
        </w:rPr>
        <w:t>3</w:t>
      </w:r>
      <w:r w:rsidRPr="003A6C5A">
        <w:t>. Since biotite is a phlogopite-annite solid-solution, excess Al</w:t>
      </w:r>
      <w:r w:rsidRPr="003A6C5A">
        <w:rPr>
          <w:vertAlign w:val="subscript"/>
        </w:rPr>
        <w:t>2</w:t>
      </w:r>
      <w:r w:rsidRPr="003A6C5A">
        <w:t>O</w:t>
      </w:r>
      <w:r w:rsidRPr="003A6C5A">
        <w:rPr>
          <w:vertAlign w:val="subscript"/>
        </w:rPr>
        <w:t xml:space="preserve">3 </w:t>
      </w:r>
      <w:r w:rsidRPr="003A6C5A">
        <w:t>is apportioned to aluminosilicate. Normative muscovite and biotite for the third assemblage were calculated by apportioning all MnO, FeO, and MgO, and stoichiometric proportions of K</w:t>
      </w:r>
      <w:r w:rsidRPr="003A6C5A">
        <w:rPr>
          <w:vertAlign w:val="subscript"/>
        </w:rPr>
        <w:t>2</w:t>
      </w:r>
      <w:r w:rsidRPr="003A6C5A">
        <w:t>O, Al</w:t>
      </w:r>
      <w:r w:rsidRPr="003A6C5A">
        <w:rPr>
          <w:vertAlign w:val="subscript"/>
        </w:rPr>
        <w:t>2</w:t>
      </w:r>
      <w:r w:rsidRPr="003A6C5A">
        <w:t>O</w:t>
      </w:r>
      <w:r w:rsidRPr="003A6C5A">
        <w:rPr>
          <w:vertAlign w:val="subscript"/>
        </w:rPr>
        <w:t>3</w:t>
      </w:r>
      <w:r w:rsidRPr="003A6C5A">
        <w:t>, and SiO</w:t>
      </w:r>
      <w:r w:rsidRPr="003A6C5A">
        <w:rPr>
          <w:vertAlign w:val="subscript"/>
        </w:rPr>
        <w:t>2</w:t>
      </w:r>
      <w:r w:rsidRPr="003A6C5A">
        <w:t>, to biotite; the remaining balance of Al</w:t>
      </w:r>
      <w:r w:rsidRPr="003A6C5A">
        <w:rPr>
          <w:vertAlign w:val="subscript"/>
        </w:rPr>
        <w:t>2</w:t>
      </w:r>
      <w:r w:rsidRPr="003A6C5A">
        <w:t>O</w:t>
      </w:r>
      <w:r w:rsidRPr="003A6C5A">
        <w:rPr>
          <w:vertAlign w:val="subscript"/>
        </w:rPr>
        <w:t>3</w:t>
      </w:r>
      <w:r w:rsidRPr="003A6C5A">
        <w:t xml:space="preserve"> and part of the orthoclase component were converted to form muscovite. </w:t>
      </w:r>
    </w:p>
    <w:p w:rsidR="000A0A9D" w:rsidRDefault="000A0A9D" w:rsidP="000A0A9D">
      <w:pPr>
        <w:spacing w:line="480" w:lineRule="auto"/>
        <w:ind w:firstLine="720"/>
      </w:pPr>
      <w:r>
        <w:rPr>
          <w:b/>
        </w:rPr>
        <w:t xml:space="preserve">Temperature, bulk distribution coefficients, and crystallization sequence. </w:t>
      </w:r>
      <w:r w:rsidRPr="003A6C5A">
        <w:t>The ferromagnesian and mica assemblages used in the model change with decreasing temperature. Crystallization of a cordierite-biotite is modeled between 800° and 750°C, referred to as the 1</w:t>
      </w:r>
      <w:r w:rsidRPr="003A6C5A">
        <w:rPr>
          <w:vertAlign w:val="superscript"/>
        </w:rPr>
        <w:t>st</w:t>
      </w:r>
      <w:r w:rsidRPr="003A6C5A">
        <w:t xml:space="preserve"> iteration, a biotite granite between 750° and 700°C, referred to as the 2</w:t>
      </w:r>
      <w:r w:rsidRPr="003A6C5A">
        <w:rPr>
          <w:vertAlign w:val="superscript"/>
        </w:rPr>
        <w:t>nd</w:t>
      </w:r>
      <w:r w:rsidRPr="003A6C5A">
        <w:t xml:space="preserve"> iteration, and a muscovite-biotite granite between 700° and 650°C, referred to as the 3</w:t>
      </w:r>
      <w:r w:rsidRPr="003A6C5A">
        <w:rPr>
          <w:vertAlign w:val="superscript"/>
        </w:rPr>
        <w:t>rd</w:t>
      </w:r>
      <w:r w:rsidRPr="003A6C5A">
        <w:t xml:space="preserve"> iteration. The 1</w:t>
      </w:r>
      <w:r w:rsidRPr="003A6C5A">
        <w:rPr>
          <w:vertAlign w:val="superscript"/>
        </w:rPr>
        <w:t>st</w:t>
      </w:r>
      <w:r w:rsidRPr="003A6C5A">
        <w:t xml:space="preserve"> iteration is modeled between F=1.0 and F=0.8. The resultant concentrations of FeO, MnO, and MgO from the 1</w:t>
      </w:r>
      <w:r w:rsidRPr="003A6C5A">
        <w:rPr>
          <w:vertAlign w:val="superscript"/>
        </w:rPr>
        <w:t>st</w:t>
      </w:r>
      <w:r w:rsidRPr="003A6C5A">
        <w:t xml:space="preserve"> iteration are used as the initial concentrations in the 2</w:t>
      </w:r>
      <w:r w:rsidRPr="003A6C5A">
        <w:rPr>
          <w:vertAlign w:val="superscript"/>
        </w:rPr>
        <w:t>nd</w:t>
      </w:r>
      <w:r w:rsidRPr="003A6C5A">
        <w:t xml:space="preserve"> iteration and to calculate mineral modes. The 2</w:t>
      </w:r>
      <w:r w:rsidRPr="003A6C5A">
        <w:rPr>
          <w:vertAlign w:val="superscript"/>
        </w:rPr>
        <w:t>nd</w:t>
      </w:r>
      <w:r w:rsidRPr="003A6C5A">
        <w:t xml:space="preserve"> and 3</w:t>
      </w:r>
      <w:r w:rsidRPr="003A6C5A">
        <w:rPr>
          <w:vertAlign w:val="superscript"/>
        </w:rPr>
        <w:t>rd</w:t>
      </w:r>
      <w:r w:rsidRPr="003A6C5A">
        <w:t xml:space="preserve"> iterations were modeled from F=1.0 to F=0.375 and from F=1.0 to F=0.0, respectively. The results of the 2</w:t>
      </w:r>
      <w:r w:rsidRPr="003A6C5A">
        <w:rPr>
          <w:vertAlign w:val="superscript"/>
        </w:rPr>
        <w:t>nd</w:t>
      </w:r>
      <w:r w:rsidRPr="003A6C5A">
        <w:t xml:space="preserve"> and 3</w:t>
      </w:r>
      <w:r w:rsidRPr="003A6C5A">
        <w:rPr>
          <w:vertAlign w:val="superscript"/>
        </w:rPr>
        <w:t>rd</w:t>
      </w:r>
      <w:r w:rsidRPr="003A6C5A">
        <w:t xml:space="preserve"> iterations are plotted from F=0.8 to F=0.3 and from F=0.3 to F=0.0, respectively, in Figure </w:t>
      </w:r>
      <w:r w:rsidR="00815F07">
        <w:t>5-</w:t>
      </w:r>
      <w:r w:rsidRPr="003A6C5A">
        <w:t>9. The composition of the liquid at F=0.375 in the 2</w:t>
      </w:r>
      <w:r w:rsidRPr="003A6C5A">
        <w:rPr>
          <w:vertAlign w:val="superscript"/>
        </w:rPr>
        <w:t>nd</w:t>
      </w:r>
      <w:r w:rsidRPr="003A6C5A">
        <w:t xml:space="preserve"> iteration was used as the starting composition and as the basis for calculating mineral modes for the 3</w:t>
      </w:r>
      <w:r w:rsidRPr="003A6C5A">
        <w:rPr>
          <w:vertAlign w:val="superscript"/>
        </w:rPr>
        <w:t>rd</w:t>
      </w:r>
      <w:r w:rsidRPr="003A6C5A">
        <w:t xml:space="preserve"> iteration. Liquid fractions (F values) for each iteration were chosen such as to increase the effects of micas relative to cordierite, consistent with field observations </w:t>
      </w:r>
      <w:r w:rsidRPr="003A6C5A">
        <w:fldChar w:fldCharType="begin" w:fldLock="1"/>
      </w:r>
      <w:r w:rsidR="00266290">
        <w:instrText>ADDIN CSL_CITATION { "citationItems" : [ { "id" : "ITEM-1", "itemData" : { "author" : [ { "dropping-particle" : "", "family" : "Villaseca", "given" : "C.", "non-dropping-particle" : "", "parse-names" : false, "suffix" : "" }, { "dropping-particle" : "", "family" : "Barbero", "given" : "L.", "non-dropping-particle" : "", "parse-names" : false, "suffix" : "" }, { "dropping-particle" : "", "family" : "Rogers", "given" : "G.", "non-dropping-particle" : "", "parse-names" : false, "suffix" : "" } ], "container-title" : "Lithos", "id" : "ITEM-1", "issued" : { "date-parts" : [ [ "1998" ] ] }, "page" : "55-79", "title" : "Crustal origin of Hercynian peraluminous granitic batholiths of Central Spain: petrological, geochemical amd isotopes (Sr, Nd) contsraints", "type" : "article-journal", "volume" : "43" }, "uris" : [ "http://www.mendeley.com/documents/?uuid=075df9ca-573b-4a9e-a3b3-f9a8379f479f" ] } ], "mendeley" : { "formattedCitation" : "(Villaseca et al., 1998)", "manualFormatting" : "(e.g. Villaseca et al. 1998)", "plainTextFormattedCitation" : "(Villaseca et al., 1998)", "previouslyFormattedCitation" : "(Villaseca et al. 1998)" }, "properties" : { "noteIndex" : 0 }, "schema" : "https://github.com/citation-style-language/schema/raw/master/csl-citation.json" }</w:instrText>
      </w:r>
      <w:r w:rsidRPr="003A6C5A">
        <w:fldChar w:fldCharType="separate"/>
      </w:r>
      <w:r w:rsidRPr="003A6C5A">
        <w:rPr>
          <w:noProof/>
        </w:rPr>
        <w:t>(e.g. Villaseca et al. 1998)</w:t>
      </w:r>
      <w:r w:rsidRPr="003A6C5A">
        <w:fldChar w:fldCharType="end"/>
      </w:r>
      <w:r w:rsidRPr="003A6C5A">
        <w:t>. Lastly, the partition coefficients were varied continuously and linearly over the temperature interval, as determined by the experiments in this study (refer to Table 7 for a list of Rayleigh parameters).</w:t>
      </w:r>
    </w:p>
    <w:p w:rsidR="000A0A9D" w:rsidRDefault="000A0A9D" w:rsidP="000A0A9D">
      <w:pPr>
        <w:spacing w:after="120" w:line="480" w:lineRule="auto"/>
      </w:pPr>
    </w:p>
    <w:p w:rsidR="000A0A9D" w:rsidRPr="00CE5FB5" w:rsidRDefault="000A0A9D" w:rsidP="000A0A9D">
      <w:pPr>
        <w:spacing w:after="120" w:line="480" w:lineRule="auto"/>
        <w:rPr>
          <w:b/>
        </w:rPr>
      </w:pPr>
      <w:r w:rsidRPr="00CE5FB5">
        <w:rPr>
          <w:b/>
        </w:rPr>
        <w:t>Caveats</w:t>
      </w:r>
      <w:r>
        <w:rPr>
          <w:b/>
        </w:rPr>
        <w:t xml:space="preserve"> regarding the results of the</w:t>
      </w:r>
      <w:r w:rsidRPr="00CE5FB5">
        <w:rPr>
          <w:b/>
        </w:rPr>
        <w:t xml:space="preserve"> Rayleigh model</w:t>
      </w:r>
    </w:p>
    <w:p w:rsidR="000A0A9D" w:rsidRPr="003A6C5A" w:rsidRDefault="000A0A9D" w:rsidP="000A0A9D">
      <w:pPr>
        <w:spacing w:after="120" w:line="480" w:lineRule="auto"/>
        <w:ind w:firstLine="720"/>
      </w:pPr>
      <w:r>
        <w:rPr>
          <w:b/>
        </w:rPr>
        <w:t xml:space="preserve">Composition of initial melt. </w:t>
      </w:r>
      <w:r w:rsidRPr="003A6C5A">
        <w:t xml:space="preserve">There are an unlimited number of scenarios involving subtle changes in the concentrations of the mafic components and the modal mineralogy as calculated from the initial melt composition, and these would lead to slight differences in the temperature and extent of crystallization that are necessary to reach saturation in spessartine-rich garnet. However, the bulk composition and mineral modes used here are typical of holocrystalline S-type granites (e.g., </w:t>
      </w:r>
      <w:r w:rsidRPr="003A6C5A">
        <w:fldChar w:fldCharType="begin" w:fldLock="1"/>
      </w:r>
      <w:r w:rsidR="00266290">
        <w:instrText>ADDIN CSL_CITATION { "citationItems" : [ { "id" : "ITEM-1", "itemData" : { "DOI" : "10.1016/S0024-4937(02)00112-3", "ISBN" : "0024-4937", "ISSN" : "00244937", "PMID" : "37", "abstract" : "In the Higher Himalaya of the region from Cho Oyu to the Arun valley northeast of Makalu, the Miocene leucogranites are not hosted only in the upper High Himalayan Crystallines (HHC); a network of dykes also cuts the lower HHC and the Lesser Himalayan Crystallines (LHC). The plutons and dykes are mainly composed of two-mica (muscovite+biotite\u00b1 tourmaline\u00b1cordierite\u00b1andalusite\u00b1sillimanite) leucogranite, with tourmaline\u22642.6% and biotite&gt;1.5% modal, and tourmaline (muscovite+tourmaline\u00b1biotite\u00b1sillimanite\u00b1 garnet\u00b1kyanite\u00b1andalusite\u00b1spinel\u00b1corundum) leucogranite, with tourmaline&gt;2.2% and biotite&lt;1.5% modal. Both leucogranite types were produced by partial melting in the andalusite-sillimanite facies series, under LP/HT conditions constrained by the occurrence of peritectic andalusite and cordierite. The geochemical features of the leucogranites suggest that tourmaline leucogranite was produced by muscovite dehydration melting in muscovite-rich metapelites at P \u223c 350 MPa and T\u2265640\u00b0C, whereas two-mica leucogranite was produced by biotite dehydration melting in biotite-rich metapelites at P \u223c 300 MPa and T\u2265660-710 \u00b0C. Melting in fertile muscovite-rich metapelites of the top of both the HHC and LHC produced magmas which were emplaced at the same structural level in which they had been generated. Melting in the biotite-rich gneiss of both the HHC and LHC produced hotter magmas which were transported upwards by dyking and eventually coalesced in the plutons of the upper HHC. A similar process also produced a network of two-mica granite at the top of the LHC in the Ama Drime-Ny\u00f6nno Ri Range northeast of Makalu. The prograde character of leucogranite melt-producing reactions in the Everest-Makalu area suggests that, here, the generation of Miocene leucogranites took place in a regime of nearly isobaric heating following nearly adiabatic decompression. \u00a9 2002 Elsevier Science B.V. All rights reserved.", "author" : [ { "dropping-particle" : "", "family" : "Vison\u00e0", "given" : "Dario", "non-dropping-particle" : "", "parse-names" : false, "suffix" : "" }, { "dropping-particle" : "", "family" : "Lombardo", "given" : "Bruno", "non-dropping-particle" : "", "parse-names" : false, "suffix" : "" } ], "container-title" : "Lithos", "id" : "ITEM-1", "issued" : { "date-parts" : [ [ "2002" ] ] }, "title" : "Two-mica and tourmaline leucogranites from the Everest-Makalu region (Nepal - Tibet). Himalayan leucogranite genesis by isobaric heating?", "type" : "article-journal" }, "uris" : [ "http://www.mendeley.com/documents/?uuid=ac348f7a-4481-3e08-b8d7-a96049b0624a" ] }, { "id" : "ITEM-2", "itemData" : { "author" : [ { "dropping-particle" : "", "family" : "Pereira", "given" : "Maria D.", "non-dropping-particle" : "", "parse-names" : false, "suffix" : "" }, { "dropping-particle" : "", "family" : "Bea", "given" : "Fernando", "non-dropping-particle" : "", "parse-names" : false, "suffix" : "" } ], "container-title" : "Canadian Mineralogist", "id" : "ITEM-2", "issued" : { "date-parts" : [ [ "1994" ] ] }, "page" : "763-780", "title" : "Cordierite-producing reactions in the Pena Negra complex, Avila batholith, central Spain: The key role of cordierite in low-pressure anatexis", "type" : "article-journal", "volume" : "31" }, "uris" : [ "http://www.mendeley.com/documents/?uuid=62f3c5a7-2061-4656-ab98-bd68282cf1d3" ] } ], "mendeley" : { "formattedCitation" : "(Pereira and Bea, 1994; Vison\u00e0 and Lombardo, 2002)", "manualFormatting" : " cordierite-biotite granite, Avila batholith, Central Spain: Pereira and Bea 1994; two-mica and biotite granites, Nepal-Tibet: Vison\u00e0 and Lombardo 2002)", "plainTextFormattedCitation" : "(Pereira and Bea, 1994; Vison\u00e0 and Lombardo, 2002)", "previouslyFormattedCitation" : "(Pereira and Bea 1994; Vison\u00e0 and Lombardo 2002)" }, "properties" : { "noteIndex" : 0 }, "schema" : "https://github.com/citation-style-language/schema/raw/master/csl-citation.json" }</w:instrText>
      </w:r>
      <w:r w:rsidRPr="003A6C5A">
        <w:fldChar w:fldCharType="separate"/>
      </w:r>
      <w:r w:rsidRPr="003A6C5A">
        <w:rPr>
          <w:noProof/>
        </w:rPr>
        <w:t xml:space="preserve"> cordierite-biotite granite, Avila batholith, Central Spain: Pereira and Bea 1994; two-mica and biotite granites, Nepal-Tibet: Visonà and Lombardo 2002)</w:t>
      </w:r>
      <w:r w:rsidRPr="003A6C5A">
        <w:fldChar w:fldCharType="end"/>
      </w:r>
      <w:r w:rsidRPr="003A6C5A">
        <w:t xml:space="preserve">. Moreover, the modeled change in mineralogy (as a function of F) is similar to reported percentages of different granite facies in natural fractionation sequences. For example, in a study of the Hercynian cordierite-biotite granites of Central Spain, </w:t>
      </w:r>
      <w:r w:rsidRPr="003A6C5A">
        <w:fldChar w:fldCharType="begin" w:fldLock="1"/>
      </w:r>
      <w:r w:rsidR="00266290">
        <w:instrText>ADDIN CSL_CITATION { "citationItems" : [ { "id" : "ITEM-1", "itemData" : { "author" : [ { "dropping-particle" : "", "family" : "Villaseca", "given" : "C.", "non-dropping-particle" : "", "parse-names" : false, "suffix" : "" }, { "dropping-particle" : "", "family" : "Barbero", "given" : "L.", "non-dropping-particle" : "", "parse-names" : false, "suffix" : "" }, { "dropping-particle" : "", "family" : "Rogers", "given" : "G.", "non-dropping-particle" : "", "parse-names" : false, "suffix" : "" } ], "container-title" : "Lithos", "id" : "ITEM-1", "issued" : { "date-parts" : [ [ "1998" ] ] }, "page" : "55-79", "title" : "Crustal origin of Hercynian peraluminous granitic batholiths of Central Spain: petrological, geochemical amd isotopes (Sr, Nd) contsraints", "type" : "article-journal", "volume" : "43" }, "uris" : [ "http://www.mendeley.com/documents/?uuid=075df9ca-573b-4a9e-a3b3-f9a8379f479f" ] } ], "mendeley" : { "formattedCitation" : "(Villaseca et al., 1998)", "manualFormatting" : "Villaseca et al. (1998)", "plainTextFormattedCitation" : "(Villaseca et al., 1998)", "previouslyFormattedCitation" : "(Villaseca et al. 1998)" }, "properties" : { "noteIndex" : 0 }, "schema" : "https://github.com/citation-style-language/schema/raw/master/csl-citation.json" }</w:instrText>
      </w:r>
      <w:r w:rsidRPr="003A6C5A">
        <w:fldChar w:fldCharType="separate"/>
      </w:r>
      <w:r w:rsidRPr="003A6C5A">
        <w:rPr>
          <w:noProof/>
        </w:rPr>
        <w:t>Villaseca et al. (1998)</w:t>
      </w:r>
      <w:r w:rsidRPr="003A6C5A">
        <w:fldChar w:fldCharType="end"/>
      </w:r>
      <w:r w:rsidRPr="003A6C5A">
        <w:t xml:space="preserve"> used field relationships and geochemical evidence to show that the most differentiated leucogranites represent, at minimum, the last ~30% of the initial melt.</w:t>
      </w:r>
    </w:p>
    <w:p w:rsidR="000A0A9D" w:rsidRDefault="000A0A9D" w:rsidP="000A0A9D">
      <w:pPr>
        <w:spacing w:line="480" w:lineRule="auto"/>
      </w:pPr>
      <w:r>
        <w:rPr>
          <w:b/>
        </w:rPr>
        <w:t xml:space="preserve">Solubility data for garnet. </w:t>
      </w:r>
      <w:r>
        <w:t xml:space="preserve">The degree of fractional crystallization required to achieve garnet saturation depends on the saturation surface for garnet in granitic melt. However, the solubility of garnet in granitic melt, in terms of MnO content of melt, has not been systematically studied. </w:t>
      </w:r>
      <w:r w:rsidRPr="003A6C5A">
        <w:t>The solubility data for garnet presented in this study</w:t>
      </w:r>
      <w:r w:rsidRPr="003A6C5A" w:rsidDel="000D6156">
        <w:t xml:space="preserve"> </w:t>
      </w:r>
      <w:r w:rsidRPr="003A6C5A">
        <w:t xml:space="preserve">stems from the dissolution of Mn-rich garnet in B-bearing, hydrous granitic melt. </w:t>
      </w:r>
      <w:r>
        <w:t>We</w:t>
      </w:r>
      <w:r w:rsidRPr="003A6C5A">
        <w:t xml:space="preserve"> hypothesize that the concentration of MnO in melt at garnet saturation would be lower in a hydrous but B-free melt of the same composition. </w:t>
      </w:r>
      <w:r>
        <w:t xml:space="preserve">Figure </w:t>
      </w:r>
      <w:r w:rsidR="00815F07">
        <w:t>5-</w:t>
      </w:r>
      <w:r>
        <w:t xml:space="preserve">4b shows the concentration of MnO at garnet saturation for B-rich melt (this study), F-rich melt (~ 1 wt% F: Icenhower, 1995), and hydrous, but B- and F-free, granitic melt (London et al., 2012). It is clear from the data presented in Figure </w:t>
      </w:r>
      <w:r w:rsidR="00815F07">
        <w:t>5-</w:t>
      </w:r>
      <w:r>
        <w:t xml:space="preserve">4b that the solubility of MnO, at garnet saturation, is much lower in B- and F-free granitic melt. In addition, </w:t>
      </w:r>
      <w:r w:rsidRPr="003A6C5A">
        <w:t xml:space="preserve">it has been shown that a decrease in the concentration of water in melt results in an increase of the activity of alumina in melt, thereby promoting the crystallization of aluminous phases at lower ASI values of the melt </w:t>
      </w:r>
      <w:r w:rsidRPr="003A6C5A">
        <w:fldChar w:fldCharType="begin" w:fldLock="1"/>
      </w:r>
      <w:r w:rsidR="00266290">
        <w:instrText>ADDIN CSL_CITATION { "citationItems" : [ { "id" : "ITEM-1", "itemData" : { "DOI" : "10.1007/s00410-003-0486-6", "ISBN" : "0041000304866", "ISSN" : "00107999", "abstract" : "We have studied the controls on the Aluminum Saturation Index (ASI = molec. Al2O3/[(CaO)+(Na2O)+(K2O)]) and the concentration of normative corundum of granitic liquids saturated in alumina by equilibrating peraluminous minerals with initially metaluminous haplogranitic minimum composition liquids at 700-800 degreesC and 200 MPa, at, and below H2O saturation. The ASI and normative corundum increase with increasing H2O concentration in the melt (approximate to0.04 to 0.10 moles excess Al2O3 per mole of H2O), temperature, and with addition of the non-haplogranitic components Fe, Mg, and B. The ASI parameter and concentration of normative corundum cannot be used to monitor aAl(2)O(3) between different mineral assemblages and melt because other components that affect the solubility of alumina, including H2O, Fe, Mg, and B, do not appear in their formulations. ASI and normative corundum, however, provide petrogenetic information about magmas generated by partial melting of strongly peraluminous protoliths by virtue of their regular and predictable variation with melt composition (e.g., H2O concentration) and temperature. For the application of these data to natural rocks it is necessary to choose as an analogue system the ASI-solubility or normative corundum-solubility relations of the most chemically complex peraluminous mineral present in the rock. Comparison of ASI values of anatectic leucosomes and allochthonous leucogranites with experimentally predicted values suggests low H2O concentrations in melt during crustal partial melting. Rapid melt segregation before equilibration with restitic peraluminous phases is also suggested in some cases.", "author" : [ { "dropping-particle" : "", "family" : "Acosta-Vigil", "given" : "Antonio", "non-dropping-particle" : "", "parse-names" : false, "suffix" : "" }, { "dropping-particle" : "", "family" : "London", "given" : "David", "non-dropping-particle" : "", "parse-names" : false, "suffix" : "" }, { "dropping-particle" : "", "family" : "Morgan IV", "given" : "George B.", "non-dropping-particle" : "", "parse-names" : false, "suffix" : "" }, { "dropping-particle" : "", "family" : "Dewers", "given" : "Thomas A.", "non-dropping-particle" : "", "parse-names" : false, "suffix" : "" } ], "container-title" : "Contributions to Mineralogy and Petrology", "id" : "ITEM-1", "issue" : "1", "issued" : { "date-parts" : [ [ "2003" ] ] }, "page" : "100-119", "title" : "Solubility of excess alumina in hydrous granitic melts in equilibrium with peraluminous minerals at 700-800 \u00b0C and 200 MPa, and applications of the aluminum saturation index", "type" : "article-journal", "volume" : "146" }, "uris" : [ "http://www.mendeley.com/documents/?uuid=cd3b82ff-95a9-4487-8b3e-94e3ae28491e" ] } ], "mendeley" : { "formattedCitation" : "(Acosta-Vigil et al., 2003)", "plainTextFormattedCitation" : "(Acosta-Vigil et al., 2003)", "previouslyFormattedCitation" : "(Acosta-Vigil et al. 2003)" }, "properties" : { "noteIndex" : 0 }, "schema" : "https://github.com/citation-style-language/schema/raw/master/csl-citation.json" }</w:instrText>
      </w:r>
      <w:r w:rsidRPr="003A6C5A">
        <w:fldChar w:fldCharType="separate"/>
      </w:r>
      <w:r w:rsidR="00266290" w:rsidRPr="00266290">
        <w:rPr>
          <w:noProof/>
        </w:rPr>
        <w:t>(Acosta-Vigil et al., 2003)</w:t>
      </w:r>
      <w:r w:rsidRPr="003A6C5A">
        <w:fldChar w:fldCharType="end"/>
      </w:r>
      <w:r w:rsidRPr="003A6C5A">
        <w:t xml:space="preserve">. </w:t>
      </w:r>
      <w:r>
        <w:t>W</w:t>
      </w:r>
      <w:r w:rsidRPr="003A6C5A">
        <w:t xml:space="preserve">e expect that the crystallization of a B-free and less hydrous melt would be to promote garnet crystallization at an F value closer to 1.0 in Figure </w:t>
      </w:r>
      <w:r w:rsidR="00815F07">
        <w:t>5-</w:t>
      </w:r>
      <w:r w:rsidRPr="003A6C5A">
        <w:t>9.</w:t>
      </w:r>
    </w:p>
    <w:p w:rsidR="000A0A9D" w:rsidRDefault="000A0A9D" w:rsidP="000A0A9D">
      <w:r>
        <w:br w:type="page"/>
      </w:r>
    </w:p>
    <w:tbl>
      <w:tblPr>
        <w:tblW w:w="6980" w:type="dxa"/>
        <w:tblCellMar>
          <w:top w:w="15" w:type="dxa"/>
          <w:bottom w:w="15" w:type="dxa"/>
        </w:tblCellMar>
        <w:tblLook w:val="04A0" w:firstRow="1" w:lastRow="0" w:firstColumn="1" w:lastColumn="0" w:noHBand="0" w:noVBand="1"/>
      </w:tblPr>
      <w:tblGrid>
        <w:gridCol w:w="2120"/>
        <w:gridCol w:w="1803"/>
        <w:gridCol w:w="1437"/>
        <w:gridCol w:w="1620"/>
      </w:tblGrid>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rPr>
                <w:rFonts w:eastAsia="Times New Roman" w:cs="Times New Roman"/>
                <w:sz w:val="18"/>
                <w:szCs w:val="18"/>
              </w:rPr>
            </w:pPr>
          </w:p>
        </w:tc>
        <w:tc>
          <w:tcPr>
            <w:tcW w:w="4860" w:type="dxa"/>
            <w:gridSpan w:val="3"/>
            <w:tcBorders>
              <w:top w:val="nil"/>
              <w:left w:val="nil"/>
              <w:bottom w:val="nil"/>
              <w:right w:val="nil"/>
            </w:tcBorders>
            <w:vAlign w:val="bottom"/>
            <w:hideMark/>
          </w:tcPr>
          <w:p w:rsidR="000A0A9D" w:rsidRPr="000A0A9D" w:rsidRDefault="000A0A9D" w:rsidP="000A0A9D">
            <w:pPr>
              <w:spacing w:after="0"/>
              <w:rPr>
                <w:rFonts w:eastAsia="Times New Roman" w:cs="Times New Roman"/>
                <w:color w:val="000000"/>
                <w:sz w:val="18"/>
                <w:szCs w:val="18"/>
              </w:rPr>
            </w:pPr>
            <w:r w:rsidRPr="000A0A9D">
              <w:rPr>
                <w:rFonts w:eastAsia="Times New Roman" w:cs="Times New Roman"/>
                <w:color w:val="000000"/>
                <w:sz w:val="18"/>
                <w:szCs w:val="18"/>
              </w:rPr>
              <w:t>Table 7: Parameters and results for Rayleigh fractional crystallization model</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rPr>
                <w:rFonts w:eastAsia="Times New Roman" w:cs="Times New Roman"/>
                <w:color w:val="000000"/>
                <w:sz w:val="18"/>
                <w:szCs w:val="18"/>
              </w:rPr>
            </w:pPr>
          </w:p>
        </w:tc>
        <w:tc>
          <w:tcPr>
            <w:tcW w:w="3240" w:type="dxa"/>
            <w:gridSpan w:val="2"/>
            <w:tcBorders>
              <w:top w:val="nil"/>
              <w:left w:val="nil"/>
              <w:bottom w:val="single" w:sz="4" w:space="0" w:color="auto"/>
              <w:right w:val="nil"/>
            </w:tcBorders>
            <w:noWrap/>
            <w:vAlign w:val="bottom"/>
            <w:hideMark/>
          </w:tcPr>
          <w:p w:rsidR="000A0A9D" w:rsidRPr="000A0A9D" w:rsidRDefault="000A0A9D" w:rsidP="000A0A9D">
            <w:pPr>
              <w:spacing w:after="0"/>
              <w:rPr>
                <w:rFonts w:eastAsia="Times New Roman" w:cs="Times New Roman"/>
                <w:color w:val="000000"/>
                <w:sz w:val="18"/>
                <w:szCs w:val="18"/>
              </w:rPr>
            </w:pPr>
            <w:r w:rsidRPr="000A0A9D">
              <w:rPr>
                <w:rFonts w:eastAsia="Times New Roman" w:cs="Times New Roman"/>
                <w:color w:val="000000"/>
                <w:sz w:val="18"/>
                <w:szCs w:val="18"/>
              </w:rPr>
              <w:t>Partition Coefficients (D)</w:t>
            </w:r>
          </w:p>
        </w:tc>
        <w:tc>
          <w:tcPr>
            <w:tcW w:w="1620" w:type="dxa"/>
            <w:tcBorders>
              <w:top w:val="nil"/>
              <w:left w:val="nil"/>
              <w:bottom w:val="single" w:sz="4" w:space="0" w:color="auto"/>
              <w:right w:val="nil"/>
            </w:tcBorders>
            <w:noWrap/>
            <w:vAlign w:val="bottom"/>
            <w:hideMark/>
          </w:tcPr>
          <w:p w:rsidR="000A0A9D" w:rsidRPr="000A0A9D" w:rsidRDefault="000A0A9D" w:rsidP="000A0A9D">
            <w:pPr>
              <w:spacing w:after="0"/>
              <w:rPr>
                <w:rFonts w:eastAsia="Times New Roman" w:cs="Times New Roman"/>
                <w:color w:val="000000"/>
                <w:sz w:val="18"/>
                <w:szCs w:val="18"/>
              </w:rPr>
            </w:pP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rPr>
                <w:rFonts w:eastAsia="Times New Roman" w:cs="Times New Roman"/>
                <w:sz w:val="18"/>
                <w:szCs w:val="18"/>
              </w:rPr>
            </w:pPr>
          </w:p>
        </w:tc>
        <w:tc>
          <w:tcPr>
            <w:tcW w:w="1803" w:type="dxa"/>
            <w:tcBorders>
              <w:top w:val="single" w:sz="4" w:space="0" w:color="auto"/>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FeO</w:t>
            </w:r>
          </w:p>
        </w:tc>
        <w:tc>
          <w:tcPr>
            <w:tcW w:w="1437" w:type="dxa"/>
            <w:tcBorders>
              <w:top w:val="single" w:sz="4" w:space="0" w:color="auto"/>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MnO</w:t>
            </w:r>
          </w:p>
        </w:tc>
        <w:tc>
          <w:tcPr>
            <w:tcW w:w="1620" w:type="dxa"/>
            <w:tcBorders>
              <w:top w:val="single" w:sz="4" w:space="0" w:color="auto"/>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MgO</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T (°C)</w:t>
            </w:r>
          </w:p>
        </w:tc>
        <w:tc>
          <w:tcPr>
            <w:tcW w:w="1803" w:type="dxa"/>
            <w:tcBorders>
              <w:top w:val="single" w:sz="4" w:space="0" w:color="auto"/>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Crd/melt</w:t>
            </w:r>
          </w:p>
        </w:tc>
        <w:tc>
          <w:tcPr>
            <w:tcW w:w="1437" w:type="dxa"/>
            <w:tcBorders>
              <w:top w:val="single" w:sz="4" w:space="0" w:color="auto"/>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Crd/melt</w:t>
            </w:r>
          </w:p>
        </w:tc>
        <w:tc>
          <w:tcPr>
            <w:tcW w:w="1620" w:type="dxa"/>
            <w:tcBorders>
              <w:top w:val="single" w:sz="4" w:space="0" w:color="auto"/>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Crd/melt</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800</w:t>
            </w:r>
          </w:p>
        </w:tc>
        <w:tc>
          <w:tcPr>
            <w:tcW w:w="1803"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3.47</w:t>
            </w:r>
          </w:p>
        </w:tc>
        <w:tc>
          <w:tcPr>
            <w:tcW w:w="1437"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1.83</w:t>
            </w:r>
          </w:p>
        </w:tc>
        <w:tc>
          <w:tcPr>
            <w:tcW w:w="16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9.82</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750</w:t>
            </w:r>
          </w:p>
        </w:tc>
        <w:tc>
          <w:tcPr>
            <w:tcW w:w="1803" w:type="dxa"/>
            <w:tcBorders>
              <w:top w:val="nil"/>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13.89</w:t>
            </w:r>
          </w:p>
        </w:tc>
        <w:tc>
          <w:tcPr>
            <w:tcW w:w="1437" w:type="dxa"/>
            <w:tcBorders>
              <w:top w:val="nil"/>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3.06</w:t>
            </w:r>
          </w:p>
        </w:tc>
        <w:tc>
          <w:tcPr>
            <w:tcW w:w="1620" w:type="dxa"/>
            <w:tcBorders>
              <w:top w:val="nil"/>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38.93</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T (°C)</w:t>
            </w:r>
          </w:p>
        </w:tc>
        <w:tc>
          <w:tcPr>
            <w:tcW w:w="1803" w:type="dxa"/>
            <w:tcBorders>
              <w:top w:val="single" w:sz="4" w:space="0" w:color="auto"/>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Bt/melt</w:t>
            </w:r>
          </w:p>
        </w:tc>
        <w:tc>
          <w:tcPr>
            <w:tcW w:w="1437" w:type="dxa"/>
            <w:tcBorders>
              <w:top w:val="single" w:sz="4" w:space="0" w:color="auto"/>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Bt/melt</w:t>
            </w:r>
          </w:p>
        </w:tc>
        <w:tc>
          <w:tcPr>
            <w:tcW w:w="1620" w:type="dxa"/>
            <w:tcBorders>
              <w:top w:val="single" w:sz="4" w:space="0" w:color="auto"/>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Bt/melt</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800</w:t>
            </w:r>
          </w:p>
        </w:tc>
        <w:tc>
          <w:tcPr>
            <w:tcW w:w="1803"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22.05</w:t>
            </w:r>
          </w:p>
        </w:tc>
        <w:tc>
          <w:tcPr>
            <w:tcW w:w="1437"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4.61</w:t>
            </w:r>
          </w:p>
        </w:tc>
        <w:tc>
          <w:tcPr>
            <w:tcW w:w="16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66.10</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750</w:t>
            </w:r>
          </w:p>
        </w:tc>
        <w:tc>
          <w:tcPr>
            <w:tcW w:w="1803"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22.05</w:t>
            </w:r>
          </w:p>
        </w:tc>
        <w:tc>
          <w:tcPr>
            <w:tcW w:w="1437"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4.61</w:t>
            </w:r>
          </w:p>
        </w:tc>
        <w:tc>
          <w:tcPr>
            <w:tcW w:w="16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66.10</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700</w:t>
            </w:r>
          </w:p>
        </w:tc>
        <w:tc>
          <w:tcPr>
            <w:tcW w:w="1803" w:type="dxa"/>
            <w:tcBorders>
              <w:top w:val="nil"/>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22.05</w:t>
            </w:r>
          </w:p>
        </w:tc>
        <w:tc>
          <w:tcPr>
            <w:tcW w:w="1437" w:type="dxa"/>
            <w:tcBorders>
              <w:top w:val="nil"/>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4.61</w:t>
            </w:r>
          </w:p>
        </w:tc>
        <w:tc>
          <w:tcPr>
            <w:tcW w:w="1620" w:type="dxa"/>
            <w:tcBorders>
              <w:top w:val="nil"/>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66.10</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T (°C)</w:t>
            </w:r>
          </w:p>
        </w:tc>
        <w:tc>
          <w:tcPr>
            <w:tcW w:w="1803" w:type="dxa"/>
            <w:tcBorders>
              <w:top w:val="single" w:sz="4" w:space="0" w:color="auto"/>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Ms/melt</w:t>
            </w:r>
          </w:p>
        </w:tc>
        <w:tc>
          <w:tcPr>
            <w:tcW w:w="1437" w:type="dxa"/>
            <w:tcBorders>
              <w:top w:val="single" w:sz="4" w:space="0" w:color="auto"/>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Ms/melt</w:t>
            </w:r>
          </w:p>
        </w:tc>
        <w:tc>
          <w:tcPr>
            <w:tcW w:w="1620" w:type="dxa"/>
            <w:tcBorders>
              <w:top w:val="single" w:sz="4" w:space="0" w:color="auto"/>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Ms/melt</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700</w:t>
            </w:r>
          </w:p>
        </w:tc>
        <w:tc>
          <w:tcPr>
            <w:tcW w:w="1803"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5.45</w:t>
            </w:r>
          </w:p>
        </w:tc>
        <w:tc>
          <w:tcPr>
            <w:tcW w:w="1437"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1.17</w:t>
            </w:r>
          </w:p>
        </w:tc>
        <w:tc>
          <w:tcPr>
            <w:tcW w:w="16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15.83</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650</w:t>
            </w:r>
          </w:p>
        </w:tc>
        <w:tc>
          <w:tcPr>
            <w:tcW w:w="1803" w:type="dxa"/>
            <w:tcBorders>
              <w:top w:val="nil"/>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5.45</w:t>
            </w:r>
          </w:p>
        </w:tc>
        <w:tc>
          <w:tcPr>
            <w:tcW w:w="1437" w:type="dxa"/>
            <w:tcBorders>
              <w:top w:val="nil"/>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1.17</w:t>
            </w:r>
          </w:p>
        </w:tc>
        <w:tc>
          <w:tcPr>
            <w:tcW w:w="1620" w:type="dxa"/>
            <w:tcBorders>
              <w:top w:val="nil"/>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15.83</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p>
        </w:tc>
        <w:tc>
          <w:tcPr>
            <w:tcW w:w="1803"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sz w:val="18"/>
                <w:szCs w:val="18"/>
              </w:rPr>
            </w:pPr>
          </w:p>
        </w:tc>
        <w:tc>
          <w:tcPr>
            <w:tcW w:w="1437"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sz w:val="18"/>
                <w:szCs w:val="18"/>
              </w:rPr>
            </w:pPr>
          </w:p>
        </w:tc>
        <w:tc>
          <w:tcPr>
            <w:tcW w:w="16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sz w:val="18"/>
                <w:szCs w:val="18"/>
              </w:rPr>
            </w:pP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sz w:val="18"/>
                <w:szCs w:val="18"/>
              </w:rPr>
            </w:pPr>
          </w:p>
        </w:tc>
        <w:tc>
          <w:tcPr>
            <w:tcW w:w="3240" w:type="dxa"/>
            <w:gridSpan w:val="2"/>
            <w:tcBorders>
              <w:top w:val="nil"/>
              <w:left w:val="nil"/>
              <w:bottom w:val="nil"/>
              <w:right w:val="nil"/>
            </w:tcBorders>
            <w:noWrap/>
            <w:vAlign w:val="bottom"/>
            <w:hideMark/>
          </w:tcPr>
          <w:p w:rsidR="000A0A9D" w:rsidRPr="000A0A9D" w:rsidRDefault="000A0A9D" w:rsidP="000A0A9D">
            <w:pPr>
              <w:spacing w:after="0"/>
              <w:rPr>
                <w:rFonts w:eastAsia="Times New Roman" w:cs="Times New Roman"/>
                <w:color w:val="000000"/>
                <w:sz w:val="18"/>
                <w:szCs w:val="18"/>
              </w:rPr>
            </w:pPr>
            <w:r w:rsidRPr="000A0A9D">
              <w:rPr>
                <w:rFonts w:eastAsia="Times New Roman" w:cs="Times New Roman"/>
                <w:color w:val="000000"/>
                <w:sz w:val="18"/>
                <w:szCs w:val="18"/>
              </w:rPr>
              <w:t>Bulk partition coefficients (</w:t>
            </w:r>
            <w:r w:rsidRPr="000A0A9D">
              <w:rPr>
                <w:rFonts w:eastAsia="Times New Roman" w:cs="Times New Roman"/>
                <w:i/>
                <w:iCs/>
                <w:color w:val="000000"/>
                <w:sz w:val="18"/>
                <w:szCs w:val="18"/>
              </w:rPr>
              <w:t>W</w:t>
            </w:r>
            <w:r w:rsidRPr="000A0A9D">
              <w:rPr>
                <w:rFonts w:eastAsia="Times New Roman" w:cs="Times New Roman"/>
                <w:color w:val="000000"/>
                <w:sz w:val="18"/>
                <w:szCs w:val="18"/>
              </w:rPr>
              <w:t>D)</w:t>
            </w:r>
          </w:p>
        </w:tc>
        <w:tc>
          <w:tcPr>
            <w:tcW w:w="1620" w:type="dxa"/>
            <w:tcBorders>
              <w:top w:val="nil"/>
              <w:left w:val="nil"/>
              <w:bottom w:val="nil"/>
              <w:right w:val="nil"/>
            </w:tcBorders>
            <w:noWrap/>
            <w:hideMark/>
          </w:tcPr>
          <w:p w:rsidR="000A0A9D" w:rsidRPr="000A0A9D" w:rsidRDefault="000A0A9D" w:rsidP="000A0A9D">
            <w:pPr>
              <w:spacing w:after="0"/>
              <w:rPr>
                <w:rFonts w:eastAsia="Times New Roman" w:cs="Times New Roman"/>
                <w:color w:val="000000"/>
                <w:sz w:val="18"/>
                <w:szCs w:val="18"/>
              </w:rPr>
            </w:pP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T (°C)</w:t>
            </w:r>
          </w:p>
        </w:tc>
        <w:tc>
          <w:tcPr>
            <w:tcW w:w="1803" w:type="dxa"/>
            <w:tcBorders>
              <w:top w:val="single" w:sz="4" w:space="0" w:color="auto"/>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FeO</w:t>
            </w:r>
          </w:p>
        </w:tc>
        <w:tc>
          <w:tcPr>
            <w:tcW w:w="1437" w:type="dxa"/>
            <w:tcBorders>
              <w:top w:val="single" w:sz="4" w:space="0" w:color="auto"/>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MnO</w:t>
            </w:r>
          </w:p>
        </w:tc>
        <w:tc>
          <w:tcPr>
            <w:tcW w:w="1620" w:type="dxa"/>
            <w:tcBorders>
              <w:top w:val="single" w:sz="4" w:space="0" w:color="auto"/>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MgO</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800</w:t>
            </w:r>
          </w:p>
        </w:tc>
        <w:tc>
          <w:tcPr>
            <w:tcW w:w="1803"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0.46</w:t>
            </w:r>
          </w:p>
        </w:tc>
        <w:tc>
          <w:tcPr>
            <w:tcW w:w="1437"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0.16</w:t>
            </w:r>
          </w:p>
        </w:tc>
        <w:tc>
          <w:tcPr>
            <w:tcW w:w="16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1.35</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750</w:t>
            </w:r>
          </w:p>
        </w:tc>
        <w:tc>
          <w:tcPr>
            <w:tcW w:w="1803"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1.07</w:t>
            </w:r>
          </w:p>
        </w:tc>
        <w:tc>
          <w:tcPr>
            <w:tcW w:w="1437"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0.23</w:t>
            </w:r>
          </w:p>
        </w:tc>
        <w:tc>
          <w:tcPr>
            <w:tcW w:w="16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3.04</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700</w:t>
            </w:r>
          </w:p>
        </w:tc>
        <w:tc>
          <w:tcPr>
            <w:tcW w:w="1803"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1.39</w:t>
            </w:r>
          </w:p>
        </w:tc>
        <w:tc>
          <w:tcPr>
            <w:tcW w:w="1437"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0.29</w:t>
            </w:r>
          </w:p>
        </w:tc>
        <w:tc>
          <w:tcPr>
            <w:tcW w:w="16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4.12</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650</w:t>
            </w:r>
          </w:p>
        </w:tc>
        <w:tc>
          <w:tcPr>
            <w:tcW w:w="1803" w:type="dxa"/>
            <w:tcBorders>
              <w:top w:val="nil"/>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1.39</w:t>
            </w:r>
          </w:p>
        </w:tc>
        <w:tc>
          <w:tcPr>
            <w:tcW w:w="1437" w:type="dxa"/>
            <w:tcBorders>
              <w:top w:val="nil"/>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0.29</w:t>
            </w:r>
          </w:p>
        </w:tc>
        <w:tc>
          <w:tcPr>
            <w:tcW w:w="1620" w:type="dxa"/>
            <w:tcBorders>
              <w:top w:val="nil"/>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4.12</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p>
        </w:tc>
        <w:tc>
          <w:tcPr>
            <w:tcW w:w="1803"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sz w:val="18"/>
                <w:szCs w:val="18"/>
              </w:rPr>
            </w:pPr>
          </w:p>
        </w:tc>
        <w:tc>
          <w:tcPr>
            <w:tcW w:w="1437" w:type="dxa"/>
            <w:tcBorders>
              <w:top w:val="nil"/>
              <w:left w:val="nil"/>
              <w:bottom w:val="nil"/>
              <w:right w:val="nil"/>
            </w:tcBorders>
            <w:noWrap/>
            <w:vAlign w:val="bottom"/>
            <w:hideMark/>
          </w:tcPr>
          <w:p w:rsidR="000A0A9D" w:rsidRPr="000A0A9D" w:rsidRDefault="000A0A9D" w:rsidP="000A0A9D">
            <w:pPr>
              <w:spacing w:after="0"/>
              <w:rPr>
                <w:rFonts w:eastAsia="Times New Roman" w:cs="Times New Roman"/>
                <w:sz w:val="18"/>
                <w:szCs w:val="18"/>
              </w:rPr>
            </w:pPr>
          </w:p>
        </w:tc>
        <w:tc>
          <w:tcPr>
            <w:tcW w:w="1620" w:type="dxa"/>
            <w:tcBorders>
              <w:top w:val="nil"/>
              <w:left w:val="nil"/>
              <w:bottom w:val="nil"/>
              <w:right w:val="nil"/>
            </w:tcBorders>
            <w:noWrap/>
            <w:vAlign w:val="bottom"/>
            <w:hideMark/>
          </w:tcPr>
          <w:p w:rsidR="000A0A9D" w:rsidRPr="000A0A9D" w:rsidRDefault="000A0A9D" w:rsidP="000A0A9D">
            <w:pPr>
              <w:spacing w:after="0"/>
              <w:rPr>
                <w:rFonts w:eastAsia="Times New Roman" w:cs="Times New Roman"/>
                <w:sz w:val="18"/>
                <w:szCs w:val="18"/>
              </w:rPr>
            </w:pP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rPr>
                <w:rFonts w:eastAsia="Times New Roman" w:cs="Times New Roman"/>
                <w:sz w:val="18"/>
                <w:szCs w:val="18"/>
              </w:rPr>
            </w:pPr>
          </w:p>
        </w:tc>
        <w:tc>
          <w:tcPr>
            <w:tcW w:w="3240" w:type="dxa"/>
            <w:gridSpan w:val="2"/>
            <w:tcBorders>
              <w:top w:val="nil"/>
              <w:left w:val="nil"/>
              <w:bottom w:val="single" w:sz="4" w:space="0" w:color="auto"/>
              <w:right w:val="nil"/>
            </w:tcBorders>
            <w:noWrap/>
            <w:vAlign w:val="bottom"/>
            <w:hideMark/>
          </w:tcPr>
          <w:p w:rsidR="000A0A9D" w:rsidRPr="000A0A9D" w:rsidRDefault="000A0A9D" w:rsidP="000A0A9D">
            <w:pPr>
              <w:spacing w:after="0"/>
              <w:rPr>
                <w:rFonts w:eastAsia="Times New Roman" w:cs="Times New Roman"/>
                <w:color w:val="000000"/>
                <w:sz w:val="18"/>
                <w:szCs w:val="18"/>
              </w:rPr>
            </w:pPr>
            <w:r w:rsidRPr="000A0A9D">
              <w:rPr>
                <w:rFonts w:eastAsia="Times New Roman" w:cs="Times New Roman"/>
                <w:color w:val="000000"/>
                <w:sz w:val="18"/>
                <w:szCs w:val="18"/>
              </w:rPr>
              <w:t>Normative Mineralogy</w:t>
            </w:r>
          </w:p>
        </w:tc>
        <w:tc>
          <w:tcPr>
            <w:tcW w:w="1620" w:type="dxa"/>
            <w:tcBorders>
              <w:top w:val="nil"/>
              <w:left w:val="nil"/>
              <w:bottom w:val="single" w:sz="4" w:space="0" w:color="auto"/>
              <w:right w:val="nil"/>
            </w:tcBorders>
            <w:noWrap/>
            <w:vAlign w:val="bottom"/>
            <w:hideMark/>
          </w:tcPr>
          <w:p w:rsidR="000A0A9D" w:rsidRPr="000A0A9D" w:rsidRDefault="000A0A9D" w:rsidP="000A0A9D">
            <w:pPr>
              <w:spacing w:after="0"/>
              <w:rPr>
                <w:rFonts w:eastAsia="Times New Roman" w:cs="Times New Roman"/>
                <w:color w:val="000000"/>
                <w:sz w:val="18"/>
                <w:szCs w:val="18"/>
              </w:rPr>
            </w:pP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Granite type</w:t>
            </w:r>
          </w:p>
        </w:tc>
        <w:tc>
          <w:tcPr>
            <w:tcW w:w="1803" w:type="dxa"/>
            <w:tcBorders>
              <w:top w:val="single" w:sz="4" w:space="0" w:color="auto"/>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Crd, Bt granite</w:t>
            </w:r>
          </w:p>
        </w:tc>
        <w:tc>
          <w:tcPr>
            <w:tcW w:w="1437" w:type="dxa"/>
            <w:tcBorders>
              <w:top w:val="single" w:sz="4" w:space="0" w:color="auto"/>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Bt granite</w:t>
            </w:r>
          </w:p>
        </w:tc>
        <w:tc>
          <w:tcPr>
            <w:tcW w:w="1620" w:type="dxa"/>
            <w:tcBorders>
              <w:top w:val="single" w:sz="4" w:space="0" w:color="auto"/>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Bt, Ms granite</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Qtz</w:t>
            </w:r>
          </w:p>
        </w:tc>
        <w:tc>
          <w:tcPr>
            <w:tcW w:w="1803"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28.27</w:t>
            </w:r>
          </w:p>
        </w:tc>
        <w:tc>
          <w:tcPr>
            <w:tcW w:w="1437"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30.99</w:t>
            </w:r>
          </w:p>
        </w:tc>
        <w:tc>
          <w:tcPr>
            <w:tcW w:w="16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31.36</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Kfs</w:t>
            </w:r>
          </w:p>
        </w:tc>
        <w:tc>
          <w:tcPr>
            <w:tcW w:w="1803"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28.94</w:t>
            </w:r>
          </w:p>
        </w:tc>
        <w:tc>
          <w:tcPr>
            <w:tcW w:w="1437"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25.47</w:t>
            </w:r>
          </w:p>
        </w:tc>
        <w:tc>
          <w:tcPr>
            <w:tcW w:w="16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21.17</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Pl</w:t>
            </w:r>
          </w:p>
        </w:tc>
        <w:tc>
          <w:tcPr>
            <w:tcW w:w="1803"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34.56</w:t>
            </w:r>
          </w:p>
        </w:tc>
        <w:tc>
          <w:tcPr>
            <w:tcW w:w="1437"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34.38</w:t>
            </w:r>
          </w:p>
        </w:tc>
        <w:tc>
          <w:tcPr>
            <w:tcW w:w="16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35.11</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Bt</w:t>
            </w:r>
          </w:p>
        </w:tc>
        <w:tc>
          <w:tcPr>
            <w:tcW w:w="1803"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1.67</w:t>
            </w:r>
          </w:p>
        </w:tc>
        <w:tc>
          <w:tcPr>
            <w:tcW w:w="1437"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5.85</w:t>
            </w:r>
          </w:p>
        </w:tc>
        <w:tc>
          <w:tcPr>
            <w:tcW w:w="16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4.79</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Crd</w:t>
            </w:r>
          </w:p>
        </w:tc>
        <w:tc>
          <w:tcPr>
            <w:tcW w:w="1803"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6.46</w:t>
            </w:r>
          </w:p>
        </w:tc>
        <w:tc>
          <w:tcPr>
            <w:tcW w:w="1437"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w:t>
            </w:r>
          </w:p>
        </w:tc>
        <w:tc>
          <w:tcPr>
            <w:tcW w:w="16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Ms</w:t>
            </w:r>
          </w:p>
        </w:tc>
        <w:tc>
          <w:tcPr>
            <w:tcW w:w="1803"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w:t>
            </w:r>
          </w:p>
        </w:tc>
        <w:tc>
          <w:tcPr>
            <w:tcW w:w="1437"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w:t>
            </w:r>
          </w:p>
        </w:tc>
        <w:tc>
          <w:tcPr>
            <w:tcW w:w="16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7.57</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Als</w:t>
            </w:r>
          </w:p>
        </w:tc>
        <w:tc>
          <w:tcPr>
            <w:tcW w:w="1803" w:type="dxa"/>
            <w:tcBorders>
              <w:top w:val="nil"/>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w:t>
            </w:r>
          </w:p>
        </w:tc>
        <w:tc>
          <w:tcPr>
            <w:tcW w:w="1437" w:type="dxa"/>
            <w:tcBorders>
              <w:top w:val="nil"/>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3.31</w:t>
            </w:r>
          </w:p>
        </w:tc>
        <w:tc>
          <w:tcPr>
            <w:tcW w:w="1620" w:type="dxa"/>
            <w:tcBorders>
              <w:top w:val="nil"/>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p>
        </w:tc>
        <w:tc>
          <w:tcPr>
            <w:tcW w:w="1803"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sz w:val="18"/>
                <w:szCs w:val="18"/>
              </w:rPr>
            </w:pPr>
          </w:p>
        </w:tc>
        <w:tc>
          <w:tcPr>
            <w:tcW w:w="1437"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sz w:val="18"/>
                <w:szCs w:val="18"/>
              </w:rPr>
            </w:pPr>
          </w:p>
        </w:tc>
        <w:tc>
          <w:tcPr>
            <w:tcW w:w="16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sz w:val="18"/>
                <w:szCs w:val="18"/>
              </w:rPr>
            </w:pP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sz w:val="18"/>
                <w:szCs w:val="18"/>
              </w:rPr>
            </w:pPr>
          </w:p>
        </w:tc>
        <w:tc>
          <w:tcPr>
            <w:tcW w:w="3240" w:type="dxa"/>
            <w:gridSpan w:val="2"/>
            <w:tcBorders>
              <w:top w:val="nil"/>
              <w:left w:val="nil"/>
              <w:bottom w:val="single" w:sz="4" w:space="0" w:color="auto"/>
              <w:right w:val="nil"/>
            </w:tcBorders>
            <w:noWrap/>
            <w:vAlign w:val="bottom"/>
            <w:hideMark/>
          </w:tcPr>
          <w:p w:rsidR="000A0A9D" w:rsidRPr="000A0A9D" w:rsidRDefault="000A0A9D" w:rsidP="000A0A9D">
            <w:pPr>
              <w:spacing w:after="0"/>
              <w:rPr>
                <w:rFonts w:eastAsia="Times New Roman" w:cs="Times New Roman"/>
                <w:color w:val="000000"/>
                <w:sz w:val="18"/>
                <w:szCs w:val="18"/>
              </w:rPr>
            </w:pPr>
            <w:r w:rsidRPr="000A0A9D">
              <w:rPr>
                <w:rFonts w:eastAsia="Times New Roman" w:cs="Times New Roman"/>
                <w:color w:val="000000"/>
                <w:sz w:val="18"/>
                <w:szCs w:val="18"/>
              </w:rPr>
              <w:t>Initial concentrations (C</w:t>
            </w:r>
            <w:r w:rsidRPr="000A0A9D">
              <w:rPr>
                <w:rFonts w:eastAsia="Times New Roman" w:cs="Times New Roman"/>
                <w:color w:val="000000"/>
                <w:sz w:val="18"/>
                <w:szCs w:val="18"/>
                <w:vertAlign w:val="subscript"/>
              </w:rPr>
              <w:t>o</w:t>
            </w:r>
            <w:r w:rsidRPr="000A0A9D">
              <w:rPr>
                <w:rFonts w:eastAsia="Times New Roman" w:cs="Times New Roman"/>
                <w:color w:val="000000"/>
                <w:sz w:val="18"/>
                <w:szCs w:val="18"/>
              </w:rPr>
              <w:t>)</w:t>
            </w:r>
          </w:p>
        </w:tc>
        <w:tc>
          <w:tcPr>
            <w:tcW w:w="1620" w:type="dxa"/>
            <w:tcBorders>
              <w:top w:val="nil"/>
              <w:left w:val="nil"/>
              <w:bottom w:val="single" w:sz="4" w:space="0" w:color="auto"/>
              <w:right w:val="nil"/>
            </w:tcBorders>
            <w:noWrap/>
            <w:vAlign w:val="bottom"/>
            <w:hideMark/>
          </w:tcPr>
          <w:p w:rsidR="000A0A9D" w:rsidRPr="000A0A9D" w:rsidRDefault="000A0A9D" w:rsidP="000A0A9D">
            <w:pPr>
              <w:spacing w:after="0"/>
              <w:rPr>
                <w:rFonts w:eastAsia="Times New Roman" w:cs="Times New Roman"/>
                <w:color w:val="000000"/>
                <w:sz w:val="18"/>
                <w:szCs w:val="18"/>
              </w:rPr>
            </w:pP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Granite type</w:t>
            </w:r>
          </w:p>
        </w:tc>
        <w:tc>
          <w:tcPr>
            <w:tcW w:w="1803" w:type="dxa"/>
            <w:tcBorders>
              <w:top w:val="single" w:sz="4" w:space="0" w:color="auto"/>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Crd, Bt granite</w:t>
            </w:r>
          </w:p>
        </w:tc>
        <w:tc>
          <w:tcPr>
            <w:tcW w:w="1437" w:type="dxa"/>
            <w:tcBorders>
              <w:top w:val="single" w:sz="4" w:space="0" w:color="auto"/>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Bt granite</w:t>
            </w:r>
          </w:p>
        </w:tc>
        <w:tc>
          <w:tcPr>
            <w:tcW w:w="1620" w:type="dxa"/>
            <w:tcBorders>
              <w:top w:val="single" w:sz="4" w:space="0" w:color="auto"/>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Bt, Ms granite</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FeO</w:t>
            </w:r>
          </w:p>
        </w:tc>
        <w:tc>
          <w:tcPr>
            <w:tcW w:w="1803"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1.72</w:t>
            </w:r>
          </w:p>
        </w:tc>
        <w:tc>
          <w:tcPr>
            <w:tcW w:w="1437"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1.61</w:t>
            </w:r>
          </w:p>
        </w:tc>
        <w:tc>
          <w:tcPr>
            <w:tcW w:w="16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1.21</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MnO</w:t>
            </w:r>
          </w:p>
        </w:tc>
        <w:tc>
          <w:tcPr>
            <w:tcW w:w="1803"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0.08</w:t>
            </w:r>
          </w:p>
        </w:tc>
        <w:tc>
          <w:tcPr>
            <w:tcW w:w="1437"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0.09</w:t>
            </w:r>
          </w:p>
        </w:tc>
        <w:tc>
          <w:tcPr>
            <w:tcW w:w="16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0.20</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MgO</w:t>
            </w:r>
          </w:p>
        </w:tc>
        <w:tc>
          <w:tcPr>
            <w:tcW w:w="1803" w:type="dxa"/>
            <w:tcBorders>
              <w:top w:val="nil"/>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0.05</w:t>
            </w:r>
          </w:p>
        </w:tc>
        <w:tc>
          <w:tcPr>
            <w:tcW w:w="1437" w:type="dxa"/>
            <w:tcBorders>
              <w:top w:val="nil"/>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0.03</w:t>
            </w:r>
          </w:p>
        </w:tc>
        <w:tc>
          <w:tcPr>
            <w:tcW w:w="1620" w:type="dxa"/>
            <w:tcBorders>
              <w:top w:val="nil"/>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0.00</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p>
        </w:tc>
        <w:tc>
          <w:tcPr>
            <w:tcW w:w="1803"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sz w:val="18"/>
                <w:szCs w:val="18"/>
              </w:rPr>
            </w:pPr>
          </w:p>
        </w:tc>
        <w:tc>
          <w:tcPr>
            <w:tcW w:w="1437"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sz w:val="18"/>
                <w:szCs w:val="18"/>
              </w:rPr>
            </w:pPr>
          </w:p>
        </w:tc>
        <w:tc>
          <w:tcPr>
            <w:tcW w:w="16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sz w:val="18"/>
                <w:szCs w:val="18"/>
              </w:rPr>
            </w:pP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sz w:val="18"/>
                <w:szCs w:val="18"/>
              </w:rPr>
            </w:pPr>
          </w:p>
        </w:tc>
        <w:tc>
          <w:tcPr>
            <w:tcW w:w="3240" w:type="dxa"/>
            <w:gridSpan w:val="2"/>
            <w:tcBorders>
              <w:top w:val="nil"/>
              <w:left w:val="nil"/>
              <w:bottom w:val="single" w:sz="4" w:space="0" w:color="auto"/>
              <w:right w:val="nil"/>
            </w:tcBorders>
            <w:noWrap/>
            <w:vAlign w:val="bottom"/>
            <w:hideMark/>
          </w:tcPr>
          <w:p w:rsidR="000A0A9D" w:rsidRPr="000A0A9D" w:rsidRDefault="000A0A9D" w:rsidP="000A0A9D">
            <w:pPr>
              <w:spacing w:after="0"/>
              <w:rPr>
                <w:rFonts w:eastAsia="Times New Roman" w:cs="Times New Roman"/>
                <w:color w:val="000000"/>
                <w:sz w:val="18"/>
                <w:szCs w:val="18"/>
              </w:rPr>
            </w:pPr>
            <w:r w:rsidRPr="000A0A9D">
              <w:rPr>
                <w:rFonts w:eastAsia="Times New Roman" w:cs="Times New Roman"/>
                <w:color w:val="000000"/>
                <w:sz w:val="18"/>
                <w:szCs w:val="18"/>
              </w:rPr>
              <w:t>Rayleigh parameters (T&amp;F)</w:t>
            </w:r>
          </w:p>
        </w:tc>
        <w:tc>
          <w:tcPr>
            <w:tcW w:w="1620" w:type="dxa"/>
            <w:tcBorders>
              <w:top w:val="nil"/>
              <w:left w:val="nil"/>
              <w:bottom w:val="single" w:sz="4" w:space="0" w:color="auto"/>
              <w:right w:val="nil"/>
            </w:tcBorders>
            <w:noWrap/>
            <w:vAlign w:val="bottom"/>
            <w:hideMark/>
          </w:tcPr>
          <w:p w:rsidR="000A0A9D" w:rsidRPr="000A0A9D" w:rsidRDefault="000A0A9D" w:rsidP="000A0A9D">
            <w:pPr>
              <w:spacing w:after="0"/>
              <w:rPr>
                <w:rFonts w:eastAsia="Times New Roman" w:cs="Times New Roman"/>
                <w:color w:val="000000"/>
                <w:sz w:val="18"/>
                <w:szCs w:val="18"/>
              </w:rPr>
            </w:pP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Granite type</w:t>
            </w:r>
          </w:p>
        </w:tc>
        <w:tc>
          <w:tcPr>
            <w:tcW w:w="1803" w:type="dxa"/>
            <w:tcBorders>
              <w:top w:val="single" w:sz="4" w:space="0" w:color="auto"/>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Crd, Bt granite</w:t>
            </w:r>
          </w:p>
        </w:tc>
        <w:tc>
          <w:tcPr>
            <w:tcW w:w="1437" w:type="dxa"/>
            <w:tcBorders>
              <w:top w:val="single" w:sz="4" w:space="0" w:color="auto"/>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Bt granite</w:t>
            </w:r>
          </w:p>
        </w:tc>
        <w:tc>
          <w:tcPr>
            <w:tcW w:w="1620" w:type="dxa"/>
            <w:tcBorders>
              <w:top w:val="single" w:sz="4" w:space="0" w:color="auto"/>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Bt, Ms granite</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T range (°C)</w:t>
            </w:r>
          </w:p>
        </w:tc>
        <w:tc>
          <w:tcPr>
            <w:tcW w:w="1803"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800 --&gt; 750</w:t>
            </w:r>
          </w:p>
        </w:tc>
        <w:tc>
          <w:tcPr>
            <w:tcW w:w="1437"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750 --&gt; 700</w:t>
            </w:r>
          </w:p>
        </w:tc>
        <w:tc>
          <w:tcPr>
            <w:tcW w:w="16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700 --&gt; 650</w:t>
            </w:r>
          </w:p>
        </w:tc>
      </w:tr>
      <w:tr w:rsidR="000A0A9D" w:rsidRPr="000A0A9D" w:rsidTr="008D543B">
        <w:trPr>
          <w:trHeight w:val="144"/>
        </w:trPr>
        <w:tc>
          <w:tcPr>
            <w:tcW w:w="2120" w:type="dxa"/>
            <w:tcBorders>
              <w:top w:val="nil"/>
              <w:left w:val="nil"/>
              <w:bottom w:val="nil"/>
              <w:right w:val="nil"/>
            </w:tcBorders>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F (liquid fraction)</w:t>
            </w:r>
          </w:p>
        </w:tc>
        <w:tc>
          <w:tcPr>
            <w:tcW w:w="1803"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1.0 --&gt; 0.8</w:t>
            </w:r>
          </w:p>
        </w:tc>
        <w:tc>
          <w:tcPr>
            <w:tcW w:w="1437"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0.8 --&gt; 0.3</w:t>
            </w:r>
          </w:p>
        </w:tc>
        <w:tc>
          <w:tcPr>
            <w:tcW w:w="16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0.3 --&gt; 0.0</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 of total crystallization</w:t>
            </w:r>
          </w:p>
        </w:tc>
        <w:tc>
          <w:tcPr>
            <w:tcW w:w="1803" w:type="dxa"/>
            <w:tcBorders>
              <w:top w:val="nil"/>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20</w:t>
            </w:r>
          </w:p>
        </w:tc>
        <w:tc>
          <w:tcPr>
            <w:tcW w:w="1437" w:type="dxa"/>
            <w:tcBorders>
              <w:top w:val="nil"/>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50</w:t>
            </w:r>
          </w:p>
        </w:tc>
        <w:tc>
          <w:tcPr>
            <w:tcW w:w="1620" w:type="dxa"/>
            <w:tcBorders>
              <w:top w:val="nil"/>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30</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p>
        </w:tc>
        <w:tc>
          <w:tcPr>
            <w:tcW w:w="1803"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sz w:val="18"/>
                <w:szCs w:val="18"/>
              </w:rPr>
            </w:pPr>
          </w:p>
        </w:tc>
        <w:tc>
          <w:tcPr>
            <w:tcW w:w="1437"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sz w:val="18"/>
                <w:szCs w:val="18"/>
              </w:rPr>
            </w:pPr>
          </w:p>
        </w:tc>
        <w:tc>
          <w:tcPr>
            <w:tcW w:w="16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sz w:val="18"/>
                <w:szCs w:val="18"/>
              </w:rPr>
            </w:pP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sz w:val="18"/>
                <w:szCs w:val="18"/>
              </w:rPr>
            </w:pPr>
          </w:p>
        </w:tc>
        <w:tc>
          <w:tcPr>
            <w:tcW w:w="3240" w:type="dxa"/>
            <w:gridSpan w:val="2"/>
            <w:tcBorders>
              <w:top w:val="nil"/>
              <w:left w:val="nil"/>
              <w:bottom w:val="single" w:sz="4" w:space="0" w:color="auto"/>
              <w:right w:val="nil"/>
            </w:tcBorders>
            <w:noWrap/>
            <w:vAlign w:val="bottom"/>
            <w:hideMark/>
          </w:tcPr>
          <w:p w:rsidR="000A0A9D" w:rsidRPr="000A0A9D" w:rsidRDefault="000A0A9D" w:rsidP="000A0A9D">
            <w:pPr>
              <w:spacing w:after="0"/>
              <w:rPr>
                <w:rFonts w:eastAsia="Times New Roman" w:cs="Times New Roman"/>
                <w:color w:val="000000"/>
                <w:sz w:val="18"/>
                <w:szCs w:val="18"/>
              </w:rPr>
            </w:pPr>
            <w:r w:rsidRPr="000A0A9D">
              <w:rPr>
                <w:rFonts w:eastAsia="Times New Roman" w:cs="Times New Roman"/>
                <w:color w:val="000000"/>
                <w:sz w:val="18"/>
                <w:szCs w:val="18"/>
              </w:rPr>
              <w:t xml:space="preserve"> Final conentrations (C)</w:t>
            </w:r>
          </w:p>
        </w:tc>
        <w:tc>
          <w:tcPr>
            <w:tcW w:w="1620" w:type="dxa"/>
            <w:tcBorders>
              <w:top w:val="nil"/>
              <w:left w:val="nil"/>
              <w:bottom w:val="single" w:sz="4" w:space="0" w:color="auto"/>
              <w:right w:val="nil"/>
            </w:tcBorders>
            <w:noWrap/>
            <w:vAlign w:val="bottom"/>
            <w:hideMark/>
          </w:tcPr>
          <w:p w:rsidR="000A0A9D" w:rsidRPr="000A0A9D" w:rsidRDefault="000A0A9D" w:rsidP="000A0A9D">
            <w:pPr>
              <w:spacing w:after="0"/>
              <w:rPr>
                <w:rFonts w:eastAsia="Times New Roman" w:cs="Times New Roman"/>
                <w:color w:val="000000"/>
                <w:sz w:val="18"/>
                <w:szCs w:val="18"/>
              </w:rPr>
            </w:pP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Granite type</w:t>
            </w:r>
          </w:p>
        </w:tc>
        <w:tc>
          <w:tcPr>
            <w:tcW w:w="1803" w:type="dxa"/>
            <w:tcBorders>
              <w:top w:val="single" w:sz="4" w:space="0" w:color="auto"/>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Crd, Bt granite</w:t>
            </w:r>
          </w:p>
        </w:tc>
        <w:tc>
          <w:tcPr>
            <w:tcW w:w="1437" w:type="dxa"/>
            <w:tcBorders>
              <w:top w:val="single" w:sz="4" w:space="0" w:color="auto"/>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Bt granite</w:t>
            </w:r>
          </w:p>
        </w:tc>
        <w:tc>
          <w:tcPr>
            <w:tcW w:w="1620" w:type="dxa"/>
            <w:tcBorders>
              <w:top w:val="single" w:sz="4" w:space="0" w:color="auto"/>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Bt, Ms granite</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FeO</w:t>
            </w:r>
          </w:p>
        </w:tc>
        <w:tc>
          <w:tcPr>
            <w:tcW w:w="1803"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1.61</w:t>
            </w:r>
          </w:p>
        </w:tc>
        <w:tc>
          <w:tcPr>
            <w:tcW w:w="1437"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1.21</w:t>
            </w:r>
          </w:p>
        </w:tc>
        <w:tc>
          <w:tcPr>
            <w:tcW w:w="16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0.03</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MnO</w:t>
            </w:r>
          </w:p>
        </w:tc>
        <w:tc>
          <w:tcPr>
            <w:tcW w:w="1803"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0.09</w:t>
            </w:r>
          </w:p>
        </w:tc>
        <w:tc>
          <w:tcPr>
            <w:tcW w:w="1437"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0.20</w:t>
            </w:r>
          </w:p>
        </w:tc>
        <w:tc>
          <w:tcPr>
            <w:tcW w:w="1620" w:type="dxa"/>
            <w:tcBorders>
              <w:top w:val="nil"/>
              <w:left w:val="nil"/>
              <w:bottom w:val="nil"/>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2.45</w:t>
            </w:r>
          </w:p>
        </w:tc>
      </w:tr>
      <w:tr w:rsidR="000A0A9D" w:rsidRPr="000A0A9D" w:rsidTr="008D543B">
        <w:trPr>
          <w:trHeight w:val="144"/>
        </w:trPr>
        <w:tc>
          <w:tcPr>
            <w:tcW w:w="2120" w:type="dxa"/>
            <w:tcBorders>
              <w:top w:val="nil"/>
              <w:left w:val="nil"/>
              <w:bottom w:val="nil"/>
              <w:right w:val="nil"/>
            </w:tcBorders>
            <w:noWrap/>
            <w:vAlign w:val="bottom"/>
            <w:hideMark/>
          </w:tcPr>
          <w:p w:rsidR="000A0A9D" w:rsidRPr="000A0A9D" w:rsidRDefault="000A0A9D" w:rsidP="000A0A9D">
            <w:pPr>
              <w:spacing w:after="0"/>
              <w:jc w:val="right"/>
              <w:rPr>
                <w:rFonts w:eastAsia="Times New Roman" w:cs="Times New Roman"/>
                <w:color w:val="000000"/>
                <w:sz w:val="18"/>
                <w:szCs w:val="18"/>
              </w:rPr>
            </w:pPr>
            <w:r w:rsidRPr="000A0A9D">
              <w:rPr>
                <w:rFonts w:eastAsia="Times New Roman" w:cs="Times New Roman"/>
                <w:color w:val="000000"/>
                <w:sz w:val="18"/>
                <w:szCs w:val="18"/>
              </w:rPr>
              <w:t>MgO</w:t>
            </w:r>
          </w:p>
        </w:tc>
        <w:tc>
          <w:tcPr>
            <w:tcW w:w="1803" w:type="dxa"/>
            <w:tcBorders>
              <w:top w:val="nil"/>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0.03</w:t>
            </w:r>
          </w:p>
        </w:tc>
        <w:tc>
          <w:tcPr>
            <w:tcW w:w="1437" w:type="dxa"/>
            <w:tcBorders>
              <w:top w:val="nil"/>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0.00</w:t>
            </w:r>
          </w:p>
        </w:tc>
        <w:tc>
          <w:tcPr>
            <w:tcW w:w="1620" w:type="dxa"/>
            <w:tcBorders>
              <w:top w:val="nil"/>
              <w:left w:val="nil"/>
              <w:bottom w:val="single" w:sz="4" w:space="0" w:color="auto"/>
              <w:right w:val="nil"/>
            </w:tcBorders>
            <w:noWrap/>
            <w:vAlign w:val="bottom"/>
            <w:hideMark/>
          </w:tcPr>
          <w:p w:rsidR="000A0A9D" w:rsidRPr="000A0A9D" w:rsidRDefault="000A0A9D" w:rsidP="000A0A9D">
            <w:pPr>
              <w:spacing w:after="0"/>
              <w:jc w:val="center"/>
              <w:rPr>
                <w:rFonts w:eastAsia="Times New Roman" w:cs="Times New Roman"/>
                <w:color w:val="000000"/>
                <w:sz w:val="18"/>
                <w:szCs w:val="18"/>
              </w:rPr>
            </w:pPr>
            <w:r w:rsidRPr="000A0A9D">
              <w:rPr>
                <w:rFonts w:eastAsia="Times New Roman" w:cs="Times New Roman"/>
                <w:color w:val="000000"/>
                <w:sz w:val="18"/>
                <w:szCs w:val="18"/>
              </w:rPr>
              <w:t>0.00</w:t>
            </w:r>
          </w:p>
        </w:tc>
      </w:tr>
    </w:tbl>
    <w:p w:rsidR="000A0A9D" w:rsidRPr="00665C0F" w:rsidRDefault="000A0A9D" w:rsidP="000A0A9D">
      <w:pPr>
        <w:spacing w:line="480" w:lineRule="auto"/>
        <w:rPr>
          <w:rFonts w:asciiTheme="minorHAnsi" w:hAnsiTheme="minorHAnsi" w:cstheme="minorHAnsi"/>
        </w:rPr>
      </w:pPr>
    </w:p>
    <w:sectPr w:rsidR="000A0A9D" w:rsidRPr="00665C0F" w:rsidSect="009610A8">
      <w:footerReference w:type="default" r:id="rId116"/>
      <w:pgSz w:w="12240" w:h="15840"/>
      <w:pgMar w:top="1440" w:right="1440" w:bottom="1440" w:left="2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20BD" w:rsidRDefault="00B920BD" w:rsidP="00BA2F37">
      <w:pPr>
        <w:spacing w:after="0"/>
      </w:pPr>
      <w:r>
        <w:separator/>
      </w:r>
    </w:p>
  </w:endnote>
  <w:endnote w:type="continuationSeparator" w:id="0">
    <w:p w:rsidR="00B920BD" w:rsidRDefault="00B920BD" w:rsidP="00BA2F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9785910"/>
      <w:docPartObj>
        <w:docPartGallery w:val="Page Numbers (Bottom of Page)"/>
        <w:docPartUnique/>
      </w:docPartObj>
    </w:sdtPr>
    <w:sdtEndPr/>
    <w:sdtContent>
      <w:p w:rsidR="006D3B9B" w:rsidRDefault="006D3B9B">
        <w:pPr>
          <w:pStyle w:val="Footer"/>
          <w:jc w:val="center"/>
        </w:pPr>
        <w:r w:rsidRPr="00E614FB">
          <w:rPr>
            <w:rFonts w:asciiTheme="minorHAnsi" w:hAnsiTheme="minorHAnsi" w:cstheme="minorHAnsi"/>
          </w:rPr>
          <w:fldChar w:fldCharType="begin"/>
        </w:r>
        <w:r w:rsidRPr="00E614FB">
          <w:rPr>
            <w:rFonts w:asciiTheme="minorHAnsi" w:hAnsiTheme="minorHAnsi" w:cstheme="minorHAnsi"/>
          </w:rPr>
          <w:instrText xml:space="preserve"> PAGE   \* MERGEFORMAT </w:instrText>
        </w:r>
        <w:r w:rsidRPr="00E614FB">
          <w:rPr>
            <w:rFonts w:asciiTheme="minorHAnsi" w:hAnsiTheme="minorHAnsi" w:cstheme="minorHAnsi"/>
          </w:rPr>
          <w:fldChar w:fldCharType="separate"/>
        </w:r>
        <w:r w:rsidR="000C5FC3">
          <w:rPr>
            <w:rFonts w:asciiTheme="minorHAnsi" w:hAnsiTheme="minorHAnsi" w:cstheme="minorHAnsi"/>
            <w:noProof/>
          </w:rPr>
          <w:t>xvi</w:t>
        </w:r>
        <w:r w:rsidRPr="00E614FB">
          <w:rPr>
            <w:rFonts w:asciiTheme="minorHAnsi" w:hAnsiTheme="minorHAnsi" w:cstheme="minorHAnsi"/>
          </w:rPr>
          <w:fldChar w:fldCharType="end"/>
        </w:r>
      </w:p>
    </w:sdtContent>
  </w:sdt>
  <w:p w:rsidR="006D3B9B" w:rsidRDefault="006D3B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0968457"/>
      <w:docPartObj>
        <w:docPartGallery w:val="Page Numbers (Bottom of Page)"/>
        <w:docPartUnique/>
      </w:docPartObj>
    </w:sdtPr>
    <w:sdtEndPr/>
    <w:sdtContent>
      <w:p w:rsidR="006D3B9B" w:rsidRDefault="006D3B9B">
        <w:pPr>
          <w:pStyle w:val="Footer"/>
          <w:jc w:val="center"/>
        </w:pPr>
        <w:r w:rsidRPr="000910D2">
          <w:rPr>
            <w:rFonts w:asciiTheme="minorHAnsi" w:hAnsiTheme="minorHAnsi" w:cstheme="minorHAnsi"/>
            <w:color w:val="000000" w:themeColor="text2"/>
          </w:rPr>
          <w:fldChar w:fldCharType="begin"/>
        </w:r>
        <w:r w:rsidRPr="000910D2">
          <w:rPr>
            <w:rFonts w:asciiTheme="minorHAnsi" w:hAnsiTheme="minorHAnsi" w:cstheme="minorHAnsi"/>
            <w:color w:val="000000" w:themeColor="text2"/>
          </w:rPr>
          <w:instrText xml:space="preserve"> PAGE   \* MERGEFORMAT </w:instrText>
        </w:r>
        <w:r w:rsidRPr="000910D2">
          <w:rPr>
            <w:rFonts w:asciiTheme="minorHAnsi" w:hAnsiTheme="minorHAnsi" w:cstheme="minorHAnsi"/>
            <w:color w:val="000000" w:themeColor="text2"/>
          </w:rPr>
          <w:fldChar w:fldCharType="separate"/>
        </w:r>
        <w:r w:rsidR="000C5FC3">
          <w:rPr>
            <w:rFonts w:asciiTheme="minorHAnsi" w:hAnsiTheme="minorHAnsi" w:cstheme="minorHAnsi"/>
            <w:noProof/>
            <w:color w:val="000000" w:themeColor="text2"/>
          </w:rPr>
          <w:t>49</w:t>
        </w:r>
        <w:r w:rsidRPr="000910D2">
          <w:rPr>
            <w:rFonts w:asciiTheme="minorHAnsi" w:hAnsiTheme="minorHAnsi" w:cstheme="minorHAnsi"/>
            <w:color w:val="000000" w:themeColor="text2"/>
          </w:rPr>
          <w:fldChar w:fldCharType="end"/>
        </w:r>
      </w:p>
    </w:sdtContent>
  </w:sdt>
  <w:p w:rsidR="006D3B9B" w:rsidRDefault="006D3B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3B9B" w:rsidRDefault="006D3B9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9580221"/>
      <w:docPartObj>
        <w:docPartGallery w:val="Page Numbers (Bottom of Page)"/>
        <w:docPartUnique/>
      </w:docPartObj>
    </w:sdtPr>
    <w:sdtEndPr/>
    <w:sdtContent>
      <w:p w:rsidR="006D3B9B" w:rsidRDefault="006D3B9B">
        <w:pPr>
          <w:pStyle w:val="Footer"/>
          <w:jc w:val="center"/>
        </w:pPr>
        <w:r w:rsidRPr="000910D2">
          <w:rPr>
            <w:rFonts w:asciiTheme="minorHAnsi" w:hAnsiTheme="minorHAnsi" w:cstheme="minorHAnsi"/>
            <w:color w:val="000000" w:themeColor="text2"/>
          </w:rPr>
          <w:fldChar w:fldCharType="begin"/>
        </w:r>
        <w:r w:rsidRPr="000910D2">
          <w:rPr>
            <w:rFonts w:asciiTheme="minorHAnsi" w:hAnsiTheme="minorHAnsi" w:cstheme="minorHAnsi"/>
            <w:color w:val="000000" w:themeColor="text2"/>
          </w:rPr>
          <w:instrText xml:space="preserve"> PAGE   \* MERGEFORMAT </w:instrText>
        </w:r>
        <w:r w:rsidRPr="000910D2">
          <w:rPr>
            <w:rFonts w:asciiTheme="minorHAnsi" w:hAnsiTheme="minorHAnsi" w:cstheme="minorHAnsi"/>
            <w:color w:val="000000" w:themeColor="text2"/>
          </w:rPr>
          <w:fldChar w:fldCharType="separate"/>
        </w:r>
        <w:r w:rsidR="000C5FC3">
          <w:rPr>
            <w:rFonts w:asciiTheme="minorHAnsi" w:hAnsiTheme="minorHAnsi" w:cstheme="minorHAnsi"/>
            <w:noProof/>
            <w:color w:val="000000" w:themeColor="text2"/>
          </w:rPr>
          <w:t>80</w:t>
        </w:r>
        <w:r w:rsidRPr="000910D2">
          <w:rPr>
            <w:rFonts w:asciiTheme="minorHAnsi" w:hAnsiTheme="minorHAnsi" w:cstheme="minorHAnsi"/>
            <w:color w:val="000000" w:themeColor="text2"/>
          </w:rPr>
          <w:fldChar w:fldCharType="end"/>
        </w:r>
      </w:p>
    </w:sdtContent>
  </w:sdt>
  <w:p w:rsidR="006D3B9B" w:rsidRDefault="006D3B9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3B9B" w:rsidRDefault="006D3B9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6599066"/>
      <w:docPartObj>
        <w:docPartGallery w:val="Page Numbers (Bottom of Page)"/>
        <w:docPartUnique/>
      </w:docPartObj>
    </w:sdtPr>
    <w:sdtEndPr>
      <w:rPr>
        <w:noProof/>
      </w:rPr>
    </w:sdtEndPr>
    <w:sdtContent>
      <w:p w:rsidR="006D3B9B" w:rsidRDefault="006D3B9B">
        <w:pPr>
          <w:pStyle w:val="Footer"/>
          <w:jc w:val="center"/>
        </w:pPr>
        <w:r>
          <w:fldChar w:fldCharType="begin"/>
        </w:r>
        <w:r>
          <w:instrText xml:space="preserve"> PAGE   \* MERGEFORMAT </w:instrText>
        </w:r>
        <w:r>
          <w:fldChar w:fldCharType="separate"/>
        </w:r>
        <w:r w:rsidR="000C5FC3">
          <w:rPr>
            <w:noProof/>
          </w:rPr>
          <w:t>109</w:t>
        </w:r>
        <w:r>
          <w:rPr>
            <w:noProof/>
          </w:rPr>
          <w:fldChar w:fldCharType="end"/>
        </w:r>
      </w:p>
    </w:sdtContent>
  </w:sdt>
  <w:p w:rsidR="006D3B9B" w:rsidRDefault="006D3B9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3B9B" w:rsidRDefault="006D3B9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2584441"/>
      <w:docPartObj>
        <w:docPartGallery w:val="Page Numbers (Bottom of Page)"/>
        <w:docPartUnique/>
      </w:docPartObj>
    </w:sdtPr>
    <w:sdtEndPr>
      <w:rPr>
        <w:noProof/>
      </w:rPr>
    </w:sdtEndPr>
    <w:sdtContent>
      <w:p w:rsidR="006D3B9B" w:rsidRDefault="006D3B9B">
        <w:pPr>
          <w:pStyle w:val="Footer"/>
          <w:jc w:val="center"/>
        </w:pPr>
        <w:r>
          <w:fldChar w:fldCharType="begin"/>
        </w:r>
        <w:r>
          <w:instrText xml:space="preserve"> PAGE   \* MERGEFORMAT </w:instrText>
        </w:r>
        <w:r>
          <w:fldChar w:fldCharType="separate"/>
        </w:r>
        <w:r w:rsidR="000C5FC3">
          <w:rPr>
            <w:noProof/>
          </w:rPr>
          <w:t>111</w:t>
        </w:r>
        <w:r>
          <w:rPr>
            <w:noProof/>
          </w:rPr>
          <w:fldChar w:fldCharType="end"/>
        </w:r>
      </w:p>
    </w:sdtContent>
  </w:sdt>
  <w:p w:rsidR="006D3B9B" w:rsidRDefault="006D3B9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3B9B" w:rsidRDefault="006D3B9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6345803"/>
      <w:docPartObj>
        <w:docPartGallery w:val="Page Numbers (Bottom of Page)"/>
        <w:docPartUnique/>
      </w:docPartObj>
    </w:sdtPr>
    <w:sdtEndPr>
      <w:rPr>
        <w:noProof/>
      </w:rPr>
    </w:sdtEndPr>
    <w:sdtContent>
      <w:p w:rsidR="006D3B9B" w:rsidRDefault="006D3B9B">
        <w:pPr>
          <w:pStyle w:val="Footer"/>
          <w:jc w:val="center"/>
        </w:pPr>
        <w:r>
          <w:fldChar w:fldCharType="begin"/>
        </w:r>
        <w:r>
          <w:instrText xml:space="preserve"> PAGE   \* MERGEFORMAT </w:instrText>
        </w:r>
        <w:r>
          <w:fldChar w:fldCharType="separate"/>
        </w:r>
        <w:r w:rsidR="000C5FC3">
          <w:rPr>
            <w:noProof/>
          </w:rPr>
          <w:t>140</w:t>
        </w:r>
        <w:r>
          <w:rPr>
            <w:noProof/>
          </w:rPr>
          <w:fldChar w:fldCharType="end"/>
        </w:r>
      </w:p>
    </w:sdtContent>
  </w:sdt>
  <w:p w:rsidR="006D3B9B" w:rsidRDefault="006D3B9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3B9B" w:rsidRDefault="006D3B9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5090189"/>
      <w:docPartObj>
        <w:docPartGallery w:val="Page Numbers (Bottom of Page)"/>
        <w:docPartUnique/>
      </w:docPartObj>
    </w:sdtPr>
    <w:sdtEndPr>
      <w:rPr>
        <w:noProof/>
      </w:rPr>
    </w:sdtEndPr>
    <w:sdtContent>
      <w:p w:rsidR="006D3B9B" w:rsidRDefault="006D3B9B">
        <w:pPr>
          <w:pStyle w:val="Footer"/>
          <w:jc w:val="center"/>
        </w:pPr>
        <w:r>
          <w:fldChar w:fldCharType="begin"/>
        </w:r>
        <w:r>
          <w:instrText xml:space="preserve"> PAGE   \* MERGEFORMAT </w:instrText>
        </w:r>
        <w:r>
          <w:fldChar w:fldCharType="separate"/>
        </w:r>
        <w:r w:rsidR="000C5FC3">
          <w:rPr>
            <w:noProof/>
          </w:rPr>
          <w:t>147</w:t>
        </w:r>
        <w:r>
          <w:rPr>
            <w:noProof/>
          </w:rPr>
          <w:fldChar w:fldCharType="end"/>
        </w:r>
      </w:p>
    </w:sdtContent>
  </w:sdt>
  <w:p w:rsidR="006D3B9B" w:rsidRDefault="006D3B9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3B9B" w:rsidRDefault="006D3B9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5866705"/>
      <w:docPartObj>
        <w:docPartGallery w:val="Page Numbers (Bottom of Page)"/>
        <w:docPartUnique/>
      </w:docPartObj>
    </w:sdtPr>
    <w:sdtEndPr>
      <w:rPr>
        <w:noProof/>
      </w:rPr>
    </w:sdtEndPr>
    <w:sdtContent>
      <w:p w:rsidR="006D3B9B" w:rsidRDefault="006D3B9B">
        <w:pPr>
          <w:pStyle w:val="Footer"/>
          <w:jc w:val="center"/>
        </w:pPr>
        <w:r>
          <w:fldChar w:fldCharType="begin"/>
        </w:r>
        <w:r>
          <w:instrText xml:space="preserve"> PAGE   \* MERGEFORMAT </w:instrText>
        </w:r>
        <w:r>
          <w:fldChar w:fldCharType="separate"/>
        </w:r>
        <w:r w:rsidR="000C5FC3">
          <w:rPr>
            <w:noProof/>
          </w:rPr>
          <w:t>191</w:t>
        </w:r>
        <w:r>
          <w:rPr>
            <w:noProof/>
          </w:rPr>
          <w:fldChar w:fldCharType="end"/>
        </w:r>
      </w:p>
    </w:sdtContent>
  </w:sdt>
  <w:p w:rsidR="006D3B9B" w:rsidRDefault="006D3B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20BD" w:rsidRDefault="00B920BD" w:rsidP="00BA2F37">
      <w:pPr>
        <w:spacing w:after="0"/>
      </w:pPr>
      <w:r>
        <w:separator/>
      </w:r>
    </w:p>
  </w:footnote>
  <w:footnote w:type="continuationSeparator" w:id="0">
    <w:p w:rsidR="00B920BD" w:rsidRDefault="00B920BD" w:rsidP="00BA2F37">
      <w:pPr>
        <w:spacing w:after="0"/>
      </w:pPr>
      <w:r>
        <w:continuationSeparator/>
      </w:r>
    </w:p>
  </w:footnote>
  <w:footnote w:id="1">
    <w:p w:rsidR="006D3B9B" w:rsidRPr="00BA461C" w:rsidRDefault="006D3B9B" w:rsidP="00BA461C">
      <w:pPr>
        <w:pStyle w:val="FootnoteText"/>
        <w:rPr>
          <w:sz w:val="18"/>
          <w:szCs w:val="18"/>
        </w:rPr>
      </w:pPr>
      <w:r w:rsidRPr="00BA461C">
        <w:rPr>
          <w:rStyle w:val="FootnoteReference"/>
          <w:sz w:val="18"/>
          <w:szCs w:val="18"/>
        </w:rPr>
        <w:footnoteRef/>
      </w:r>
      <w:r w:rsidRPr="00BA461C">
        <w:rPr>
          <w:sz w:val="18"/>
          <w:szCs w:val="18"/>
        </w:rPr>
        <w:t xml:space="preserve"> </w:t>
      </w:r>
      <w:bookmarkStart w:id="161" w:name="OLE_LINK2"/>
      <w:r w:rsidRPr="00BA461C">
        <w:rPr>
          <w:rFonts w:cs="Times New Roman"/>
          <w:sz w:val="18"/>
          <w:szCs w:val="18"/>
        </w:rPr>
        <w:t>Mineral-melt exchange coefficients are equivalent to Nernst distribution coefficients, which represent the product of a homogeneous exchange reaction. In this case, the reaction is between crystal and melt. Crystallization of minerals from melt represents the principal and only feasible means of measuring the elemental partition coefficients. A reversal of this reaction requires diffusion of the element(s) of interest out of a crystal into melt until both phases, crystal and melt, have been equilibrated. Solid-state diffusion of mafic components through a crystalline phase is impossibly slow on the time frames of experiments. Moreover, a crystal that is not in equilibrium with melt will dissolve at a rate much greater than that of the solid-state diffusi</w:t>
      </w:r>
      <w:bookmarkEnd w:id="161"/>
      <w:r w:rsidRPr="00BA461C">
        <w:rPr>
          <w:rFonts w:cs="Times New Roman"/>
          <w:sz w:val="18"/>
          <w:szCs w:val="18"/>
        </w:rPr>
        <w:t xml:space="preserve">on of ions through the crystal (e.g., </w:t>
      </w:r>
      <w:r w:rsidRPr="00BA461C">
        <w:rPr>
          <w:rFonts w:cs="Times New Roman"/>
          <w:sz w:val="18"/>
          <w:szCs w:val="18"/>
        </w:rPr>
        <w:fldChar w:fldCharType="begin" w:fldLock="1"/>
      </w:r>
      <w:r w:rsidRPr="00BA461C">
        <w:rPr>
          <w:rFonts w:cs="Times New Roman"/>
          <w:sz w:val="18"/>
          <w:szCs w:val="18"/>
        </w:rPr>
        <w:instrText>ADDIN CSL_CITATION { "citationItems" : [ { "id" : "ITEM-1", "itemData" : { "author" : [ { "dropping-particle" : "", "family" : "Bea", "given" : "Fernando", "non-dropping-particle" : "", "parse-names" : false, "suffix" : "" } ], "container-title" : "The third Hutton symposium on the origin of granites and related rocks", "edition" : "315", "editor" : [ { "dropping-particle" : "", "family" : "Brown", "given" : "M.", "non-dropping-particle" : "", "parse-names" : false, "suffix" : "" }, { "dropping-particle" : "", "family" : "Candela", "given" : "P.A.", "non-dropping-particle" : "", "parse-names" : false, "suffix" : "" }, { "dropping-particle" : "", "family" : "Peck", "given" : "D.L.", "non-dropping-particle" : "", "parse-names" : false, "suffix" : "" }, { "dropping-particle" : "", "family" : "Stephens", "given" : "W.E.", "non-dropping-particle" : "", "parse-names" : false, "suffix" : "" }, { "dropping-particle" : "", "family" : "Walker", "given" : "R.J.", "non-dropping-particle" : "", "parse-names" : false, "suffix" : "" }, { "dropping-particle" : "", "family" : "Zen", "given" : "E.-A.", "non-dropping-particle" : "", "parse-names" : false, "suffix" : "" } ], "id" : "ITEM-1", "issued" : { "date-parts" : [ [ "1996" ] ] }, "number-of-pages" : "33-41", "publisher" : "Geological Society of America Special Paper", "title" : "Controls on the trace element composition of crustal melts", "type" : "book" }, "uris" : [ "http://www.mendeley.com/documents/?uuid=d336ab7a-62d1-4ebf-b441-dd4e37ef03ae" ] } ], "mendeley" : { "formattedCitation" : "(Bea 1996)", "manualFormatting" : "Bea 1996)", "plainTextFormattedCitation" : "(Bea 1996)", "previouslyFormattedCitation" : "(Bea 1996)" }, "properties" : { "noteIndex" : 0 }, "schema" : "https://github.com/citation-style-language/schema/raw/master/csl-citation.json" }</w:instrText>
      </w:r>
      <w:r w:rsidRPr="00BA461C">
        <w:rPr>
          <w:rFonts w:cs="Times New Roman"/>
          <w:sz w:val="18"/>
          <w:szCs w:val="18"/>
        </w:rPr>
        <w:fldChar w:fldCharType="separate"/>
      </w:r>
      <w:r w:rsidRPr="00BA461C">
        <w:rPr>
          <w:rFonts w:cs="Times New Roman"/>
          <w:noProof/>
          <w:sz w:val="18"/>
          <w:szCs w:val="18"/>
        </w:rPr>
        <w:t>Bea 1996)</w:t>
      </w:r>
      <w:r w:rsidRPr="00BA461C">
        <w:rPr>
          <w:rFonts w:cs="Times New Roman"/>
          <w:sz w:val="18"/>
          <w:szCs w:val="18"/>
        </w:rP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C33E7"/>
    <w:multiLevelType w:val="hybridMultilevel"/>
    <w:tmpl w:val="A1ACE2E2"/>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 w15:restartNumberingAfterBreak="0">
    <w:nsid w:val="046F4AC7"/>
    <w:multiLevelType w:val="hybridMultilevel"/>
    <w:tmpl w:val="C29EC3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E575B1E"/>
    <w:multiLevelType w:val="hybridMultilevel"/>
    <w:tmpl w:val="5E8E0BE2"/>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AC6E90"/>
    <w:multiLevelType w:val="multilevel"/>
    <w:tmpl w:val="04090029"/>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1E014E37"/>
    <w:multiLevelType w:val="hybridMultilevel"/>
    <w:tmpl w:val="C8342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7D60AD"/>
    <w:multiLevelType w:val="hybridMultilevel"/>
    <w:tmpl w:val="2D42C97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9A561D2"/>
    <w:multiLevelType w:val="multilevel"/>
    <w:tmpl w:val="E640DF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B1468BD"/>
    <w:multiLevelType w:val="hybridMultilevel"/>
    <w:tmpl w:val="6428C0F4"/>
    <w:lvl w:ilvl="0" w:tplc="CEA415EC">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15:restartNumberingAfterBreak="0">
    <w:nsid w:val="3E434866"/>
    <w:multiLevelType w:val="hybridMultilevel"/>
    <w:tmpl w:val="D0BEC34E"/>
    <w:lvl w:ilvl="0" w:tplc="55D651BA">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44437809"/>
    <w:multiLevelType w:val="hybridMultilevel"/>
    <w:tmpl w:val="6AB29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4B1968"/>
    <w:multiLevelType w:val="hybridMultilevel"/>
    <w:tmpl w:val="0AA0F1F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EA13C7E"/>
    <w:multiLevelType w:val="hybridMultilevel"/>
    <w:tmpl w:val="C6B0E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0631DD"/>
    <w:multiLevelType w:val="multilevel"/>
    <w:tmpl w:val="04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3" w15:restartNumberingAfterBreak="0">
    <w:nsid w:val="51DE7881"/>
    <w:multiLevelType w:val="hybridMultilevel"/>
    <w:tmpl w:val="908EFFFA"/>
    <w:lvl w:ilvl="0" w:tplc="0409000F">
      <w:start w:val="1"/>
      <w:numFmt w:val="decimal"/>
      <w:lvlText w:val="%1."/>
      <w:lvlJc w:val="left"/>
      <w:pPr>
        <w:ind w:left="1152" w:hanging="360"/>
      </w:pPr>
    </w:lvl>
    <w:lvl w:ilvl="1" w:tplc="04090019">
      <w:start w:val="1"/>
      <w:numFmt w:val="lowerLetter"/>
      <w:lvlText w:val="%2."/>
      <w:lvlJc w:val="left"/>
      <w:pPr>
        <w:ind w:left="1872" w:hanging="360"/>
      </w:pPr>
    </w:lvl>
    <w:lvl w:ilvl="2" w:tplc="0409001B">
      <w:start w:val="1"/>
      <w:numFmt w:val="lowerRoman"/>
      <w:lvlText w:val="%3."/>
      <w:lvlJc w:val="right"/>
      <w:pPr>
        <w:ind w:left="2592" w:hanging="180"/>
      </w:pPr>
    </w:lvl>
    <w:lvl w:ilvl="3" w:tplc="0409000F">
      <w:start w:val="1"/>
      <w:numFmt w:val="decimal"/>
      <w:lvlText w:val="%4."/>
      <w:lvlJc w:val="left"/>
      <w:pPr>
        <w:ind w:left="3312" w:hanging="360"/>
      </w:pPr>
    </w:lvl>
    <w:lvl w:ilvl="4" w:tplc="04090019">
      <w:start w:val="1"/>
      <w:numFmt w:val="lowerLetter"/>
      <w:lvlText w:val="%5."/>
      <w:lvlJc w:val="left"/>
      <w:pPr>
        <w:ind w:left="4032" w:hanging="360"/>
      </w:pPr>
    </w:lvl>
    <w:lvl w:ilvl="5" w:tplc="0409001B">
      <w:start w:val="1"/>
      <w:numFmt w:val="lowerRoman"/>
      <w:lvlText w:val="%6."/>
      <w:lvlJc w:val="right"/>
      <w:pPr>
        <w:ind w:left="4752" w:hanging="180"/>
      </w:pPr>
    </w:lvl>
    <w:lvl w:ilvl="6" w:tplc="0409000F">
      <w:start w:val="1"/>
      <w:numFmt w:val="decimal"/>
      <w:lvlText w:val="%7."/>
      <w:lvlJc w:val="left"/>
      <w:pPr>
        <w:ind w:left="5472" w:hanging="360"/>
      </w:pPr>
    </w:lvl>
    <w:lvl w:ilvl="7" w:tplc="04090019">
      <w:start w:val="1"/>
      <w:numFmt w:val="lowerLetter"/>
      <w:lvlText w:val="%8."/>
      <w:lvlJc w:val="left"/>
      <w:pPr>
        <w:ind w:left="6192" w:hanging="360"/>
      </w:pPr>
    </w:lvl>
    <w:lvl w:ilvl="8" w:tplc="0409001B">
      <w:start w:val="1"/>
      <w:numFmt w:val="lowerRoman"/>
      <w:lvlText w:val="%9."/>
      <w:lvlJc w:val="right"/>
      <w:pPr>
        <w:ind w:left="6912" w:hanging="180"/>
      </w:pPr>
    </w:lvl>
  </w:abstractNum>
  <w:abstractNum w:abstractNumId="14" w15:restartNumberingAfterBreak="0">
    <w:nsid w:val="5F5168EF"/>
    <w:multiLevelType w:val="hybridMultilevel"/>
    <w:tmpl w:val="DBE6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211238"/>
    <w:multiLevelType w:val="hybridMultilevel"/>
    <w:tmpl w:val="94D42A54"/>
    <w:lvl w:ilvl="0" w:tplc="E61AFC38">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16" w15:restartNumberingAfterBreak="0">
    <w:nsid w:val="650547F1"/>
    <w:multiLevelType w:val="hybridMultilevel"/>
    <w:tmpl w:val="00EEE43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7FF7C94"/>
    <w:multiLevelType w:val="hybridMultilevel"/>
    <w:tmpl w:val="055AAD9E"/>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8" w15:restartNumberingAfterBreak="0">
    <w:nsid w:val="6F1B2C20"/>
    <w:multiLevelType w:val="hybridMultilevel"/>
    <w:tmpl w:val="9AD2D070"/>
    <w:lvl w:ilvl="0" w:tplc="9E6C1F22">
      <w:start w:val="1"/>
      <w:numFmt w:val="decimal"/>
      <w:lvlText w:val="(%1)"/>
      <w:lvlJc w:val="left"/>
      <w:pPr>
        <w:ind w:left="1440" w:hanging="360"/>
      </w:pPr>
      <w:rPr>
        <w:rFonts w:cs="Times New Roman" w:hint="default"/>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19" w15:restartNumberingAfterBreak="0">
    <w:nsid w:val="6FC10319"/>
    <w:multiLevelType w:val="hybridMultilevel"/>
    <w:tmpl w:val="2EDAD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9E439C"/>
    <w:multiLevelType w:val="hybridMultilevel"/>
    <w:tmpl w:val="139834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5D0037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9"/>
  </w:num>
  <w:num w:numId="2">
    <w:abstractNumId w:val="20"/>
  </w:num>
  <w:num w:numId="3">
    <w:abstractNumId w:val="11"/>
  </w:num>
  <w:num w:numId="4">
    <w:abstractNumId w:val="14"/>
  </w:num>
  <w:num w:numId="5">
    <w:abstractNumId w:val="2"/>
  </w:num>
  <w:num w:numId="6">
    <w:abstractNumId w:val="0"/>
  </w:num>
  <w:num w:numId="7">
    <w:abstractNumId w:val="5"/>
  </w:num>
  <w:num w:numId="8">
    <w:abstractNumId w:val="16"/>
  </w:num>
  <w:num w:numId="9">
    <w:abstractNumId w:val="10"/>
  </w:num>
  <w:num w:numId="10">
    <w:abstractNumId w:val="21"/>
  </w:num>
  <w:num w:numId="11">
    <w:abstractNumId w:val="13"/>
  </w:num>
  <w:num w:numId="12">
    <w:abstractNumId w:val="1"/>
  </w:num>
  <w:num w:numId="13">
    <w:abstractNumId w:val="8"/>
  </w:num>
  <w:num w:numId="14">
    <w:abstractNumId w:val="7"/>
  </w:num>
  <w:num w:numId="15">
    <w:abstractNumId w:val="17"/>
  </w:num>
  <w:num w:numId="16">
    <w:abstractNumId w:val="18"/>
  </w:num>
  <w:num w:numId="17">
    <w:abstractNumId w:val="15"/>
  </w:num>
  <w:num w:numId="18">
    <w:abstractNumId w:val="9"/>
  </w:num>
  <w:num w:numId="19">
    <w:abstractNumId w:val="6"/>
  </w:num>
  <w:num w:numId="20">
    <w:abstractNumId w:val="4"/>
  </w:num>
  <w:num w:numId="21">
    <w:abstractNumId w:val="12"/>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044"/>
    <w:rsid w:val="00001D3D"/>
    <w:rsid w:val="00005CA5"/>
    <w:rsid w:val="00006FA3"/>
    <w:rsid w:val="00010920"/>
    <w:rsid w:val="00013381"/>
    <w:rsid w:val="000255E3"/>
    <w:rsid w:val="00026F05"/>
    <w:rsid w:val="00052D97"/>
    <w:rsid w:val="00056725"/>
    <w:rsid w:val="0005700D"/>
    <w:rsid w:val="00087332"/>
    <w:rsid w:val="000910D2"/>
    <w:rsid w:val="000A0A9D"/>
    <w:rsid w:val="000A76D7"/>
    <w:rsid w:val="000C5FC3"/>
    <w:rsid w:val="000C7F8D"/>
    <w:rsid w:val="000E575D"/>
    <w:rsid w:val="000F00BF"/>
    <w:rsid w:val="000F2743"/>
    <w:rsid w:val="00120D8B"/>
    <w:rsid w:val="00121761"/>
    <w:rsid w:val="00122168"/>
    <w:rsid w:val="00123911"/>
    <w:rsid w:val="00153422"/>
    <w:rsid w:val="001600B2"/>
    <w:rsid w:val="00160678"/>
    <w:rsid w:val="0016116C"/>
    <w:rsid w:val="001661C6"/>
    <w:rsid w:val="00173522"/>
    <w:rsid w:val="001872DC"/>
    <w:rsid w:val="00192CF8"/>
    <w:rsid w:val="00194FFB"/>
    <w:rsid w:val="001D0B99"/>
    <w:rsid w:val="001D3536"/>
    <w:rsid w:val="001D7BF7"/>
    <w:rsid w:val="001E78C3"/>
    <w:rsid w:val="002018A9"/>
    <w:rsid w:val="00203251"/>
    <w:rsid w:val="0021015E"/>
    <w:rsid w:val="002152A7"/>
    <w:rsid w:val="00223F81"/>
    <w:rsid w:val="00224CAB"/>
    <w:rsid w:val="002377A5"/>
    <w:rsid w:val="0024621D"/>
    <w:rsid w:val="002534F5"/>
    <w:rsid w:val="002535B2"/>
    <w:rsid w:val="00266290"/>
    <w:rsid w:val="00267590"/>
    <w:rsid w:val="002706D0"/>
    <w:rsid w:val="00270F7D"/>
    <w:rsid w:val="0027321F"/>
    <w:rsid w:val="00286C75"/>
    <w:rsid w:val="0029062C"/>
    <w:rsid w:val="002B3FC0"/>
    <w:rsid w:val="002F0DD9"/>
    <w:rsid w:val="002F35DF"/>
    <w:rsid w:val="002F696E"/>
    <w:rsid w:val="00316912"/>
    <w:rsid w:val="0032741E"/>
    <w:rsid w:val="00345F8B"/>
    <w:rsid w:val="003658F6"/>
    <w:rsid w:val="00375273"/>
    <w:rsid w:val="00380C49"/>
    <w:rsid w:val="0038149D"/>
    <w:rsid w:val="003A423C"/>
    <w:rsid w:val="003A6954"/>
    <w:rsid w:val="003B030F"/>
    <w:rsid w:val="003B0B51"/>
    <w:rsid w:val="003B73FC"/>
    <w:rsid w:val="003D694B"/>
    <w:rsid w:val="003E2BCD"/>
    <w:rsid w:val="003F2F14"/>
    <w:rsid w:val="003F756D"/>
    <w:rsid w:val="00410044"/>
    <w:rsid w:val="00420D47"/>
    <w:rsid w:val="004230D5"/>
    <w:rsid w:val="0042799C"/>
    <w:rsid w:val="00440D0D"/>
    <w:rsid w:val="00450FC6"/>
    <w:rsid w:val="00455531"/>
    <w:rsid w:val="00455E45"/>
    <w:rsid w:val="004629E7"/>
    <w:rsid w:val="0047415D"/>
    <w:rsid w:val="00475C8F"/>
    <w:rsid w:val="004A1A6C"/>
    <w:rsid w:val="004C57C0"/>
    <w:rsid w:val="004C6A04"/>
    <w:rsid w:val="004D21DE"/>
    <w:rsid w:val="004E1D03"/>
    <w:rsid w:val="00504D5F"/>
    <w:rsid w:val="00522E3F"/>
    <w:rsid w:val="00524C6B"/>
    <w:rsid w:val="00525E86"/>
    <w:rsid w:val="005452FA"/>
    <w:rsid w:val="00560BFD"/>
    <w:rsid w:val="005878A7"/>
    <w:rsid w:val="005A7F62"/>
    <w:rsid w:val="005B1989"/>
    <w:rsid w:val="005D1BDD"/>
    <w:rsid w:val="005D7234"/>
    <w:rsid w:val="005F7A39"/>
    <w:rsid w:val="00611A89"/>
    <w:rsid w:val="00615FA4"/>
    <w:rsid w:val="00625B2D"/>
    <w:rsid w:val="00632C31"/>
    <w:rsid w:val="00633A00"/>
    <w:rsid w:val="0064244B"/>
    <w:rsid w:val="0066271A"/>
    <w:rsid w:val="006635AC"/>
    <w:rsid w:val="00665C0F"/>
    <w:rsid w:val="00677FA0"/>
    <w:rsid w:val="00682AAC"/>
    <w:rsid w:val="006859D0"/>
    <w:rsid w:val="00686694"/>
    <w:rsid w:val="0069110D"/>
    <w:rsid w:val="006A1CD6"/>
    <w:rsid w:val="006B4F96"/>
    <w:rsid w:val="006C1B6E"/>
    <w:rsid w:val="006C4F5E"/>
    <w:rsid w:val="006D02B1"/>
    <w:rsid w:val="006D3B9B"/>
    <w:rsid w:val="006E4420"/>
    <w:rsid w:val="006F1D17"/>
    <w:rsid w:val="006F2F52"/>
    <w:rsid w:val="006F6685"/>
    <w:rsid w:val="007003C3"/>
    <w:rsid w:val="0070304C"/>
    <w:rsid w:val="00711EA4"/>
    <w:rsid w:val="00713274"/>
    <w:rsid w:val="00715932"/>
    <w:rsid w:val="007168F7"/>
    <w:rsid w:val="00740B7D"/>
    <w:rsid w:val="00784892"/>
    <w:rsid w:val="00786557"/>
    <w:rsid w:val="007B0D24"/>
    <w:rsid w:val="007B1065"/>
    <w:rsid w:val="007E12D3"/>
    <w:rsid w:val="007F51F8"/>
    <w:rsid w:val="00802E76"/>
    <w:rsid w:val="00804CE4"/>
    <w:rsid w:val="00815800"/>
    <w:rsid w:val="00815F07"/>
    <w:rsid w:val="00817906"/>
    <w:rsid w:val="00822100"/>
    <w:rsid w:val="00825684"/>
    <w:rsid w:val="0083401A"/>
    <w:rsid w:val="00836E88"/>
    <w:rsid w:val="00847458"/>
    <w:rsid w:val="00847906"/>
    <w:rsid w:val="00852202"/>
    <w:rsid w:val="0085500A"/>
    <w:rsid w:val="008566DB"/>
    <w:rsid w:val="0086033D"/>
    <w:rsid w:val="00874981"/>
    <w:rsid w:val="00881DA2"/>
    <w:rsid w:val="00882366"/>
    <w:rsid w:val="00897A0B"/>
    <w:rsid w:val="00897EBE"/>
    <w:rsid w:val="008A1665"/>
    <w:rsid w:val="008B7F23"/>
    <w:rsid w:val="008C1208"/>
    <w:rsid w:val="008C1A33"/>
    <w:rsid w:val="008C2BC6"/>
    <w:rsid w:val="008D15B0"/>
    <w:rsid w:val="008D28CF"/>
    <w:rsid w:val="008D543B"/>
    <w:rsid w:val="008E4724"/>
    <w:rsid w:val="009029C9"/>
    <w:rsid w:val="00907F64"/>
    <w:rsid w:val="009126D6"/>
    <w:rsid w:val="00921163"/>
    <w:rsid w:val="00935830"/>
    <w:rsid w:val="00943323"/>
    <w:rsid w:val="0095029A"/>
    <w:rsid w:val="009610A8"/>
    <w:rsid w:val="00963503"/>
    <w:rsid w:val="0097765D"/>
    <w:rsid w:val="009810BF"/>
    <w:rsid w:val="009A4A22"/>
    <w:rsid w:val="009B5E08"/>
    <w:rsid w:val="009C53B8"/>
    <w:rsid w:val="009D0897"/>
    <w:rsid w:val="009E6D97"/>
    <w:rsid w:val="009F3B0C"/>
    <w:rsid w:val="009F5DE0"/>
    <w:rsid w:val="00A03F13"/>
    <w:rsid w:val="00A24071"/>
    <w:rsid w:val="00A27252"/>
    <w:rsid w:val="00A362D6"/>
    <w:rsid w:val="00A50007"/>
    <w:rsid w:val="00A53DC5"/>
    <w:rsid w:val="00A63B99"/>
    <w:rsid w:val="00A76046"/>
    <w:rsid w:val="00A77EC8"/>
    <w:rsid w:val="00A97FD6"/>
    <w:rsid w:val="00AA6777"/>
    <w:rsid w:val="00AC0269"/>
    <w:rsid w:val="00AC0F00"/>
    <w:rsid w:val="00AD021A"/>
    <w:rsid w:val="00AD55C1"/>
    <w:rsid w:val="00AE06FB"/>
    <w:rsid w:val="00B0051A"/>
    <w:rsid w:val="00B23FDA"/>
    <w:rsid w:val="00B27868"/>
    <w:rsid w:val="00B504D3"/>
    <w:rsid w:val="00B65E64"/>
    <w:rsid w:val="00B668C2"/>
    <w:rsid w:val="00B920BD"/>
    <w:rsid w:val="00BA2F37"/>
    <w:rsid w:val="00BA461C"/>
    <w:rsid w:val="00BB0B3D"/>
    <w:rsid w:val="00BB5A23"/>
    <w:rsid w:val="00BC3F98"/>
    <w:rsid w:val="00BC70F6"/>
    <w:rsid w:val="00BD7566"/>
    <w:rsid w:val="00BE5D1A"/>
    <w:rsid w:val="00BF5F64"/>
    <w:rsid w:val="00C0308C"/>
    <w:rsid w:val="00C106CD"/>
    <w:rsid w:val="00C17CC7"/>
    <w:rsid w:val="00C231B3"/>
    <w:rsid w:val="00C27FA5"/>
    <w:rsid w:val="00C61AD7"/>
    <w:rsid w:val="00C82BB0"/>
    <w:rsid w:val="00C8301C"/>
    <w:rsid w:val="00C868D7"/>
    <w:rsid w:val="00C91A07"/>
    <w:rsid w:val="00C97C66"/>
    <w:rsid w:val="00CB3C98"/>
    <w:rsid w:val="00CC2CA8"/>
    <w:rsid w:val="00CE01EB"/>
    <w:rsid w:val="00CE0644"/>
    <w:rsid w:val="00CE4934"/>
    <w:rsid w:val="00D104B6"/>
    <w:rsid w:val="00D175FA"/>
    <w:rsid w:val="00D37952"/>
    <w:rsid w:val="00D46295"/>
    <w:rsid w:val="00D500E4"/>
    <w:rsid w:val="00D50CD7"/>
    <w:rsid w:val="00D53ED2"/>
    <w:rsid w:val="00D60284"/>
    <w:rsid w:val="00D7629A"/>
    <w:rsid w:val="00D774A0"/>
    <w:rsid w:val="00D87CEE"/>
    <w:rsid w:val="00DB1DC6"/>
    <w:rsid w:val="00DB6C77"/>
    <w:rsid w:val="00DB79E2"/>
    <w:rsid w:val="00DC0995"/>
    <w:rsid w:val="00DC19DC"/>
    <w:rsid w:val="00DC1C38"/>
    <w:rsid w:val="00DD6BD0"/>
    <w:rsid w:val="00DD7479"/>
    <w:rsid w:val="00DE04C3"/>
    <w:rsid w:val="00DE1BDF"/>
    <w:rsid w:val="00DF0601"/>
    <w:rsid w:val="00DF0F96"/>
    <w:rsid w:val="00E036F6"/>
    <w:rsid w:val="00E06F6B"/>
    <w:rsid w:val="00E14432"/>
    <w:rsid w:val="00E168D8"/>
    <w:rsid w:val="00E2542C"/>
    <w:rsid w:val="00E46922"/>
    <w:rsid w:val="00E6071F"/>
    <w:rsid w:val="00E614FB"/>
    <w:rsid w:val="00E62119"/>
    <w:rsid w:val="00E62DB3"/>
    <w:rsid w:val="00E638FC"/>
    <w:rsid w:val="00E7097D"/>
    <w:rsid w:val="00E72982"/>
    <w:rsid w:val="00E753F4"/>
    <w:rsid w:val="00EC3F42"/>
    <w:rsid w:val="00EF3009"/>
    <w:rsid w:val="00EF65F0"/>
    <w:rsid w:val="00F024B4"/>
    <w:rsid w:val="00F25D4E"/>
    <w:rsid w:val="00F317E9"/>
    <w:rsid w:val="00F31995"/>
    <w:rsid w:val="00F35019"/>
    <w:rsid w:val="00F4059E"/>
    <w:rsid w:val="00F425CC"/>
    <w:rsid w:val="00F4597E"/>
    <w:rsid w:val="00F552ED"/>
    <w:rsid w:val="00F630D0"/>
    <w:rsid w:val="00F65F32"/>
    <w:rsid w:val="00F77B81"/>
    <w:rsid w:val="00F8310C"/>
    <w:rsid w:val="00F83320"/>
    <w:rsid w:val="00F856D8"/>
    <w:rsid w:val="00FB546A"/>
    <w:rsid w:val="00FC0330"/>
    <w:rsid w:val="00FC1DA8"/>
    <w:rsid w:val="00FF5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E77C15F-1493-438B-B2F9-BE6C7D0D1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Arial"/>
        <w:sz w:val="24"/>
        <w:szCs w:val="24"/>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0007"/>
  </w:style>
  <w:style w:type="paragraph" w:styleId="Heading1">
    <w:name w:val="heading 1"/>
    <w:basedOn w:val="Normal"/>
    <w:next w:val="Normal"/>
    <w:link w:val="Heading1Char"/>
    <w:uiPriority w:val="9"/>
    <w:qFormat/>
    <w:rsid w:val="00633A00"/>
    <w:pPr>
      <w:keepNext/>
      <w:keepLines/>
      <w:numPr>
        <w:numId w:val="21"/>
      </w:numPr>
      <w:spacing w:before="240" w:after="0"/>
      <w:outlineLvl w:val="0"/>
    </w:pPr>
    <w:rPr>
      <w:rFonts w:asciiTheme="majorHAnsi" w:eastAsiaTheme="majorEastAsia" w:hAnsiTheme="majorHAnsi" w:cstheme="majorBidi"/>
      <w:color w:val="000000" w:themeColor="accent1" w:themeShade="BF"/>
      <w:sz w:val="32"/>
      <w:szCs w:val="32"/>
    </w:rPr>
  </w:style>
  <w:style w:type="paragraph" w:styleId="Heading2">
    <w:name w:val="heading 2"/>
    <w:basedOn w:val="Normal"/>
    <w:next w:val="Normal"/>
    <w:link w:val="Heading2Char"/>
    <w:uiPriority w:val="9"/>
    <w:unhideWhenUsed/>
    <w:qFormat/>
    <w:rsid w:val="008C2BC6"/>
    <w:pPr>
      <w:keepNext/>
      <w:keepLines/>
      <w:numPr>
        <w:ilvl w:val="1"/>
        <w:numId w:val="21"/>
      </w:numPr>
      <w:spacing w:before="40" w:after="0"/>
      <w:outlineLvl w:val="1"/>
    </w:pPr>
    <w:rPr>
      <w:rFonts w:asciiTheme="majorHAnsi" w:eastAsiaTheme="majorEastAsia" w:hAnsiTheme="majorHAnsi" w:cstheme="majorBidi"/>
      <w:color w:val="000000" w:themeColor="accent1" w:themeShade="BF"/>
      <w:sz w:val="26"/>
      <w:szCs w:val="26"/>
    </w:rPr>
  </w:style>
  <w:style w:type="paragraph" w:styleId="Heading3">
    <w:name w:val="heading 3"/>
    <w:basedOn w:val="Normal"/>
    <w:next w:val="Normal"/>
    <w:link w:val="Heading3Char"/>
    <w:uiPriority w:val="9"/>
    <w:semiHidden/>
    <w:unhideWhenUsed/>
    <w:qFormat/>
    <w:rsid w:val="002018A9"/>
    <w:pPr>
      <w:keepNext/>
      <w:keepLines/>
      <w:numPr>
        <w:ilvl w:val="2"/>
        <w:numId w:val="21"/>
      </w:numPr>
      <w:spacing w:before="40" w:after="0"/>
      <w:outlineLvl w:val="2"/>
    </w:pPr>
    <w:rPr>
      <w:rFonts w:asciiTheme="majorHAnsi" w:eastAsiaTheme="majorEastAsia" w:hAnsiTheme="majorHAnsi" w:cstheme="majorBidi"/>
      <w:color w:val="000000" w:themeColor="accent1" w:themeShade="7F"/>
    </w:rPr>
  </w:style>
  <w:style w:type="paragraph" w:styleId="Heading4">
    <w:name w:val="heading 4"/>
    <w:basedOn w:val="Normal"/>
    <w:next w:val="Normal"/>
    <w:link w:val="Heading4Char"/>
    <w:uiPriority w:val="9"/>
    <w:semiHidden/>
    <w:unhideWhenUsed/>
    <w:qFormat/>
    <w:rsid w:val="00DD7479"/>
    <w:pPr>
      <w:keepNext/>
      <w:keepLines/>
      <w:numPr>
        <w:ilvl w:val="3"/>
        <w:numId w:val="21"/>
      </w:numPr>
      <w:spacing w:before="40" w:after="0"/>
      <w:outlineLvl w:val="3"/>
    </w:pPr>
    <w:rPr>
      <w:rFonts w:asciiTheme="majorHAnsi" w:eastAsiaTheme="majorEastAsia" w:hAnsiTheme="majorHAnsi" w:cstheme="majorBidi"/>
      <w:i/>
      <w:iCs/>
      <w:color w:val="000000" w:themeColor="accent1" w:themeShade="BF"/>
    </w:rPr>
  </w:style>
  <w:style w:type="paragraph" w:styleId="Heading5">
    <w:name w:val="heading 5"/>
    <w:basedOn w:val="Normal"/>
    <w:next w:val="Normal"/>
    <w:link w:val="Heading5Char"/>
    <w:uiPriority w:val="9"/>
    <w:semiHidden/>
    <w:unhideWhenUsed/>
    <w:qFormat/>
    <w:rsid w:val="00E753F4"/>
    <w:pPr>
      <w:keepNext/>
      <w:keepLines/>
      <w:numPr>
        <w:ilvl w:val="4"/>
        <w:numId w:val="21"/>
      </w:numPr>
      <w:spacing w:before="40" w:after="0"/>
      <w:outlineLvl w:val="4"/>
    </w:pPr>
    <w:rPr>
      <w:rFonts w:asciiTheme="majorHAnsi" w:eastAsiaTheme="majorEastAsia" w:hAnsiTheme="majorHAnsi" w:cstheme="majorBidi"/>
      <w:color w:val="000000" w:themeColor="accent1" w:themeShade="BF"/>
    </w:rPr>
  </w:style>
  <w:style w:type="paragraph" w:styleId="Heading6">
    <w:name w:val="heading 6"/>
    <w:basedOn w:val="Normal"/>
    <w:next w:val="Normal"/>
    <w:link w:val="Heading6Char"/>
    <w:uiPriority w:val="9"/>
    <w:semiHidden/>
    <w:unhideWhenUsed/>
    <w:qFormat/>
    <w:rsid w:val="00E753F4"/>
    <w:pPr>
      <w:keepNext/>
      <w:keepLines/>
      <w:numPr>
        <w:ilvl w:val="5"/>
        <w:numId w:val="21"/>
      </w:numPr>
      <w:spacing w:before="40" w:after="0"/>
      <w:outlineLvl w:val="5"/>
    </w:pPr>
    <w:rPr>
      <w:rFonts w:asciiTheme="majorHAnsi" w:eastAsiaTheme="majorEastAsia" w:hAnsiTheme="majorHAnsi" w:cstheme="majorBidi"/>
      <w:color w:val="000000" w:themeColor="accent1" w:themeShade="7F"/>
    </w:rPr>
  </w:style>
  <w:style w:type="paragraph" w:styleId="Heading7">
    <w:name w:val="heading 7"/>
    <w:basedOn w:val="Normal"/>
    <w:next w:val="Normal"/>
    <w:link w:val="Heading7Char"/>
    <w:uiPriority w:val="9"/>
    <w:semiHidden/>
    <w:unhideWhenUsed/>
    <w:qFormat/>
    <w:rsid w:val="00E753F4"/>
    <w:pPr>
      <w:keepNext/>
      <w:keepLines/>
      <w:numPr>
        <w:ilvl w:val="6"/>
        <w:numId w:val="21"/>
      </w:numPr>
      <w:spacing w:before="40" w:after="0"/>
      <w:outlineLvl w:val="6"/>
    </w:pPr>
    <w:rPr>
      <w:rFonts w:asciiTheme="majorHAnsi" w:eastAsiaTheme="majorEastAsia" w:hAnsiTheme="majorHAnsi" w:cstheme="majorBidi"/>
      <w:i/>
      <w:iCs/>
      <w:color w:val="000000" w:themeColor="accent1" w:themeShade="7F"/>
    </w:rPr>
  </w:style>
  <w:style w:type="paragraph" w:styleId="Heading8">
    <w:name w:val="heading 8"/>
    <w:basedOn w:val="Normal"/>
    <w:next w:val="Normal"/>
    <w:link w:val="Heading8Char"/>
    <w:uiPriority w:val="9"/>
    <w:semiHidden/>
    <w:unhideWhenUsed/>
    <w:qFormat/>
    <w:rsid w:val="00E753F4"/>
    <w:pPr>
      <w:keepNext/>
      <w:keepLines/>
      <w:numPr>
        <w:ilvl w:val="7"/>
        <w:numId w:val="2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753F4"/>
    <w:pPr>
      <w:keepNext/>
      <w:keepLines/>
      <w:numPr>
        <w:ilvl w:val="8"/>
        <w:numId w:val="2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3A00"/>
    <w:rPr>
      <w:rFonts w:asciiTheme="majorHAnsi" w:eastAsiaTheme="majorEastAsia" w:hAnsiTheme="majorHAnsi" w:cstheme="majorBidi"/>
      <w:color w:val="000000" w:themeColor="accent1" w:themeShade="BF"/>
      <w:sz w:val="32"/>
      <w:szCs w:val="32"/>
    </w:rPr>
  </w:style>
  <w:style w:type="character" w:customStyle="1" w:styleId="Heading2Char">
    <w:name w:val="Heading 2 Char"/>
    <w:basedOn w:val="DefaultParagraphFont"/>
    <w:link w:val="Heading2"/>
    <w:uiPriority w:val="9"/>
    <w:rsid w:val="008C2BC6"/>
    <w:rPr>
      <w:rFonts w:asciiTheme="majorHAnsi" w:eastAsiaTheme="majorEastAsia" w:hAnsiTheme="majorHAnsi" w:cstheme="majorBidi"/>
      <w:color w:val="000000" w:themeColor="accent1" w:themeShade="BF"/>
      <w:sz w:val="26"/>
      <w:szCs w:val="26"/>
    </w:rPr>
  </w:style>
  <w:style w:type="character" w:customStyle="1" w:styleId="Heading3Char">
    <w:name w:val="Heading 3 Char"/>
    <w:basedOn w:val="DefaultParagraphFont"/>
    <w:link w:val="Heading3"/>
    <w:uiPriority w:val="9"/>
    <w:semiHidden/>
    <w:rsid w:val="002018A9"/>
    <w:rPr>
      <w:rFonts w:asciiTheme="majorHAnsi" w:eastAsiaTheme="majorEastAsia" w:hAnsiTheme="majorHAnsi" w:cstheme="majorBidi"/>
      <w:color w:val="000000" w:themeColor="accent1" w:themeShade="7F"/>
    </w:rPr>
  </w:style>
  <w:style w:type="character" w:customStyle="1" w:styleId="Heading4Char">
    <w:name w:val="Heading 4 Char"/>
    <w:basedOn w:val="DefaultParagraphFont"/>
    <w:link w:val="Heading4"/>
    <w:uiPriority w:val="9"/>
    <w:semiHidden/>
    <w:rsid w:val="00DD7479"/>
    <w:rPr>
      <w:rFonts w:asciiTheme="majorHAnsi" w:eastAsiaTheme="majorEastAsia" w:hAnsiTheme="majorHAnsi" w:cstheme="majorBidi"/>
      <w:i/>
      <w:iCs/>
      <w:color w:val="000000" w:themeColor="accent1" w:themeShade="BF"/>
    </w:rPr>
  </w:style>
  <w:style w:type="character" w:customStyle="1" w:styleId="Heading5Char">
    <w:name w:val="Heading 5 Char"/>
    <w:basedOn w:val="DefaultParagraphFont"/>
    <w:link w:val="Heading5"/>
    <w:uiPriority w:val="9"/>
    <w:semiHidden/>
    <w:rsid w:val="00E753F4"/>
    <w:rPr>
      <w:rFonts w:asciiTheme="majorHAnsi" w:eastAsiaTheme="majorEastAsia" w:hAnsiTheme="majorHAnsi" w:cstheme="majorBidi"/>
      <w:color w:val="000000" w:themeColor="accent1" w:themeShade="BF"/>
    </w:rPr>
  </w:style>
  <w:style w:type="character" w:customStyle="1" w:styleId="Heading6Char">
    <w:name w:val="Heading 6 Char"/>
    <w:basedOn w:val="DefaultParagraphFont"/>
    <w:link w:val="Heading6"/>
    <w:uiPriority w:val="9"/>
    <w:semiHidden/>
    <w:rsid w:val="00E753F4"/>
    <w:rPr>
      <w:rFonts w:asciiTheme="majorHAnsi" w:eastAsiaTheme="majorEastAsia" w:hAnsiTheme="majorHAnsi" w:cstheme="majorBidi"/>
      <w:color w:val="000000" w:themeColor="accent1" w:themeShade="7F"/>
    </w:rPr>
  </w:style>
  <w:style w:type="character" w:customStyle="1" w:styleId="Heading7Char">
    <w:name w:val="Heading 7 Char"/>
    <w:basedOn w:val="DefaultParagraphFont"/>
    <w:link w:val="Heading7"/>
    <w:uiPriority w:val="9"/>
    <w:semiHidden/>
    <w:rsid w:val="00E753F4"/>
    <w:rPr>
      <w:rFonts w:asciiTheme="majorHAnsi" w:eastAsiaTheme="majorEastAsia" w:hAnsiTheme="majorHAnsi" w:cstheme="majorBidi"/>
      <w:i/>
      <w:iCs/>
      <w:color w:val="000000" w:themeColor="accent1" w:themeShade="7F"/>
    </w:rPr>
  </w:style>
  <w:style w:type="character" w:customStyle="1" w:styleId="Heading8Char">
    <w:name w:val="Heading 8 Char"/>
    <w:basedOn w:val="DefaultParagraphFont"/>
    <w:link w:val="Heading8"/>
    <w:uiPriority w:val="9"/>
    <w:semiHidden/>
    <w:rsid w:val="00E753F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753F4"/>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99"/>
    <w:qFormat/>
    <w:rsid w:val="00410044"/>
    <w:pPr>
      <w:ind w:left="720"/>
      <w:contextualSpacing/>
    </w:pPr>
  </w:style>
  <w:style w:type="character" w:styleId="Hyperlink">
    <w:name w:val="Hyperlink"/>
    <w:basedOn w:val="DefaultParagraphFont"/>
    <w:uiPriority w:val="99"/>
    <w:unhideWhenUsed/>
    <w:rsid w:val="00410044"/>
    <w:rPr>
      <w:color w:val="000000" w:themeColor="hyperlink"/>
      <w:u w:val="single"/>
    </w:rPr>
  </w:style>
  <w:style w:type="character" w:styleId="FollowedHyperlink">
    <w:name w:val="FollowedHyperlink"/>
    <w:basedOn w:val="DefaultParagraphFont"/>
    <w:uiPriority w:val="99"/>
    <w:semiHidden/>
    <w:unhideWhenUsed/>
    <w:rsid w:val="00410044"/>
    <w:rPr>
      <w:color w:val="000000" w:themeColor="followedHyperlink"/>
      <w:u w:val="single"/>
    </w:rPr>
  </w:style>
  <w:style w:type="paragraph" w:styleId="Header">
    <w:name w:val="header"/>
    <w:basedOn w:val="Normal"/>
    <w:link w:val="HeaderChar"/>
    <w:uiPriority w:val="99"/>
    <w:unhideWhenUsed/>
    <w:rsid w:val="00BA2F37"/>
    <w:pPr>
      <w:tabs>
        <w:tab w:val="center" w:pos="4680"/>
        <w:tab w:val="right" w:pos="9360"/>
      </w:tabs>
      <w:spacing w:after="0"/>
    </w:pPr>
  </w:style>
  <w:style w:type="character" w:customStyle="1" w:styleId="HeaderChar">
    <w:name w:val="Header Char"/>
    <w:basedOn w:val="DefaultParagraphFont"/>
    <w:link w:val="Header"/>
    <w:uiPriority w:val="99"/>
    <w:rsid w:val="00BA2F37"/>
  </w:style>
  <w:style w:type="paragraph" w:styleId="Footer">
    <w:name w:val="footer"/>
    <w:basedOn w:val="Normal"/>
    <w:link w:val="FooterChar"/>
    <w:uiPriority w:val="99"/>
    <w:unhideWhenUsed/>
    <w:rsid w:val="00BA2F37"/>
    <w:pPr>
      <w:tabs>
        <w:tab w:val="center" w:pos="4680"/>
        <w:tab w:val="right" w:pos="9360"/>
      </w:tabs>
      <w:spacing w:after="0"/>
    </w:pPr>
  </w:style>
  <w:style w:type="character" w:customStyle="1" w:styleId="FooterChar">
    <w:name w:val="Footer Char"/>
    <w:basedOn w:val="DefaultParagraphFont"/>
    <w:link w:val="Footer"/>
    <w:uiPriority w:val="99"/>
    <w:rsid w:val="00BA2F37"/>
  </w:style>
  <w:style w:type="paragraph" w:styleId="NoSpacing">
    <w:name w:val="No Spacing"/>
    <w:basedOn w:val="Normal"/>
    <w:link w:val="NoSpacingChar"/>
    <w:uiPriority w:val="1"/>
    <w:qFormat/>
    <w:rsid w:val="00BA2F37"/>
    <w:pPr>
      <w:spacing w:after="0"/>
    </w:pPr>
    <w:rPr>
      <w:rFonts w:asciiTheme="minorHAnsi" w:eastAsia="Times New Roman" w:hAnsiTheme="minorHAnsi" w:cs="Times New Roman"/>
      <w:szCs w:val="32"/>
      <w:lang w:bidi="en-US"/>
    </w:rPr>
  </w:style>
  <w:style w:type="character" w:customStyle="1" w:styleId="NoSpacingChar">
    <w:name w:val="No Spacing Char"/>
    <w:basedOn w:val="DefaultParagraphFont"/>
    <w:link w:val="NoSpacing"/>
    <w:uiPriority w:val="1"/>
    <w:rsid w:val="00BA2F37"/>
    <w:rPr>
      <w:rFonts w:asciiTheme="minorHAnsi" w:eastAsia="Times New Roman" w:hAnsiTheme="minorHAnsi" w:cs="Times New Roman"/>
      <w:szCs w:val="32"/>
      <w:lang w:bidi="en-US"/>
    </w:rPr>
  </w:style>
  <w:style w:type="paragraph" w:styleId="BalloonText">
    <w:name w:val="Balloon Text"/>
    <w:basedOn w:val="Normal"/>
    <w:link w:val="BalloonTextChar"/>
    <w:uiPriority w:val="99"/>
    <w:semiHidden/>
    <w:unhideWhenUsed/>
    <w:rsid w:val="00BA2F3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F37"/>
    <w:rPr>
      <w:rFonts w:ascii="Tahoma" w:hAnsi="Tahoma" w:cs="Tahoma"/>
      <w:sz w:val="16"/>
      <w:szCs w:val="16"/>
    </w:rPr>
  </w:style>
  <w:style w:type="character" w:styleId="PlaceholderText">
    <w:name w:val="Placeholder Text"/>
    <w:basedOn w:val="DefaultParagraphFont"/>
    <w:uiPriority w:val="99"/>
    <w:semiHidden/>
    <w:rsid w:val="00345F8B"/>
    <w:rPr>
      <w:color w:val="808080"/>
    </w:rPr>
  </w:style>
  <w:style w:type="paragraph" w:styleId="CommentText">
    <w:name w:val="annotation text"/>
    <w:basedOn w:val="Normal"/>
    <w:link w:val="CommentTextChar"/>
    <w:uiPriority w:val="99"/>
    <w:semiHidden/>
    <w:rsid w:val="00665C0F"/>
    <w:pPr>
      <w:spacing w:after="160" w:line="259"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semiHidden/>
    <w:rsid w:val="00665C0F"/>
    <w:rPr>
      <w:rFonts w:ascii="Calibri" w:eastAsia="Calibri" w:hAnsi="Calibri" w:cs="Calibri"/>
      <w:sz w:val="20"/>
      <w:szCs w:val="20"/>
    </w:rPr>
  </w:style>
  <w:style w:type="character" w:customStyle="1" w:styleId="CommentSubjectChar">
    <w:name w:val="Comment Subject Char"/>
    <w:basedOn w:val="CommentTextChar"/>
    <w:link w:val="CommentSubject"/>
    <w:uiPriority w:val="99"/>
    <w:semiHidden/>
    <w:rsid w:val="00665C0F"/>
    <w:rPr>
      <w:rFonts w:ascii="Calibri" w:eastAsia="Calibri" w:hAnsi="Calibri" w:cs="Calibri"/>
      <w:b/>
      <w:bCs/>
      <w:sz w:val="20"/>
      <w:szCs w:val="20"/>
    </w:rPr>
  </w:style>
  <w:style w:type="paragraph" w:styleId="CommentSubject">
    <w:name w:val="annotation subject"/>
    <w:basedOn w:val="CommentText"/>
    <w:next w:val="CommentText"/>
    <w:link w:val="CommentSubjectChar"/>
    <w:uiPriority w:val="99"/>
    <w:semiHidden/>
    <w:rsid w:val="00665C0F"/>
    <w:rPr>
      <w:b/>
      <w:bCs/>
    </w:rPr>
  </w:style>
  <w:style w:type="paragraph" w:styleId="TOCHeading">
    <w:name w:val="TOC Heading"/>
    <w:basedOn w:val="Heading1"/>
    <w:next w:val="Normal"/>
    <w:uiPriority w:val="39"/>
    <w:unhideWhenUsed/>
    <w:qFormat/>
    <w:rsid w:val="00633A00"/>
    <w:pPr>
      <w:spacing w:line="259" w:lineRule="auto"/>
      <w:outlineLvl w:val="9"/>
    </w:pPr>
  </w:style>
  <w:style w:type="paragraph" w:styleId="TOC1">
    <w:name w:val="toc 1"/>
    <w:basedOn w:val="Normal"/>
    <w:next w:val="Normal"/>
    <w:autoRedefine/>
    <w:uiPriority w:val="39"/>
    <w:unhideWhenUsed/>
    <w:rsid w:val="002F696E"/>
    <w:pPr>
      <w:tabs>
        <w:tab w:val="right" w:leader="dot" w:pos="8486"/>
      </w:tabs>
      <w:spacing w:after="100"/>
    </w:pPr>
  </w:style>
  <w:style w:type="paragraph" w:styleId="TOC2">
    <w:name w:val="toc 2"/>
    <w:basedOn w:val="Normal"/>
    <w:next w:val="Normal"/>
    <w:autoRedefine/>
    <w:uiPriority w:val="39"/>
    <w:unhideWhenUsed/>
    <w:rsid w:val="002018A9"/>
    <w:pPr>
      <w:spacing w:after="100"/>
      <w:ind w:left="240"/>
    </w:pPr>
  </w:style>
  <w:style w:type="paragraph" w:styleId="TOC3">
    <w:name w:val="toc 3"/>
    <w:basedOn w:val="Normal"/>
    <w:next w:val="Normal"/>
    <w:autoRedefine/>
    <w:uiPriority w:val="39"/>
    <w:unhideWhenUsed/>
    <w:rsid w:val="00E753F4"/>
    <w:pPr>
      <w:tabs>
        <w:tab w:val="right" w:leader="dot" w:pos="8486"/>
      </w:tabs>
      <w:spacing w:after="100"/>
      <w:ind w:left="480"/>
    </w:pPr>
  </w:style>
  <w:style w:type="paragraph" w:styleId="TOC4">
    <w:name w:val="toc 4"/>
    <w:basedOn w:val="Normal"/>
    <w:next w:val="Normal"/>
    <w:autoRedefine/>
    <w:uiPriority w:val="39"/>
    <w:unhideWhenUsed/>
    <w:rsid w:val="00F65F32"/>
    <w:pPr>
      <w:spacing w:after="100"/>
      <w:ind w:left="720"/>
    </w:pPr>
  </w:style>
  <w:style w:type="paragraph" w:styleId="Caption">
    <w:name w:val="caption"/>
    <w:basedOn w:val="Normal"/>
    <w:next w:val="Normal"/>
    <w:uiPriority w:val="35"/>
    <w:unhideWhenUsed/>
    <w:qFormat/>
    <w:rsid w:val="00E753F4"/>
    <w:rPr>
      <w:i/>
      <w:iCs/>
      <w:color w:val="000000" w:themeColor="text2"/>
      <w:sz w:val="18"/>
      <w:szCs w:val="18"/>
    </w:rPr>
  </w:style>
  <w:style w:type="paragraph" w:styleId="TableofFigures">
    <w:name w:val="table of figures"/>
    <w:basedOn w:val="Normal"/>
    <w:next w:val="Normal"/>
    <w:uiPriority w:val="99"/>
    <w:unhideWhenUsed/>
    <w:rsid w:val="00F35019"/>
    <w:pPr>
      <w:spacing w:after="0"/>
    </w:pPr>
  </w:style>
  <w:style w:type="table" w:styleId="TableGrid">
    <w:name w:val="Table Grid"/>
    <w:basedOn w:val="TableNormal"/>
    <w:uiPriority w:val="59"/>
    <w:rsid w:val="0071327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40B7D"/>
    <w:rPr>
      <w:sz w:val="16"/>
      <w:szCs w:val="16"/>
    </w:rPr>
  </w:style>
  <w:style w:type="character" w:customStyle="1" w:styleId="font191">
    <w:name w:val="font191"/>
    <w:basedOn w:val="DefaultParagraphFont"/>
    <w:rsid w:val="009610A8"/>
    <w:rPr>
      <w:rFonts w:ascii="Calibri" w:hAnsi="Calibri" w:hint="default"/>
      <w:b/>
      <w:bCs/>
      <w:i w:val="0"/>
      <w:iCs w:val="0"/>
      <w:strike w:val="0"/>
      <w:dstrike w:val="0"/>
      <w:color w:val="000000"/>
      <w:sz w:val="16"/>
      <w:szCs w:val="16"/>
      <w:u w:val="none"/>
      <w:effect w:val="none"/>
    </w:rPr>
  </w:style>
  <w:style w:type="character" w:customStyle="1" w:styleId="font171">
    <w:name w:val="font171"/>
    <w:basedOn w:val="DefaultParagraphFont"/>
    <w:rsid w:val="009610A8"/>
    <w:rPr>
      <w:rFonts w:ascii="Times New Roman" w:hAnsi="Times New Roman" w:cs="Times New Roman" w:hint="default"/>
      <w:b/>
      <w:bCs/>
      <w:i w:val="0"/>
      <w:iCs w:val="0"/>
      <w:strike w:val="0"/>
      <w:dstrike w:val="0"/>
      <w:color w:val="000000"/>
      <w:sz w:val="16"/>
      <w:szCs w:val="16"/>
      <w:u w:val="none"/>
      <w:effect w:val="none"/>
    </w:rPr>
  </w:style>
  <w:style w:type="character" w:customStyle="1" w:styleId="font201">
    <w:name w:val="font201"/>
    <w:basedOn w:val="DefaultParagraphFont"/>
    <w:rsid w:val="009610A8"/>
    <w:rPr>
      <w:rFonts w:ascii="Times New Roman" w:hAnsi="Times New Roman" w:cs="Times New Roman" w:hint="default"/>
      <w:b/>
      <w:bCs/>
      <w:i w:val="0"/>
      <w:iCs w:val="0"/>
      <w:strike w:val="0"/>
      <w:dstrike w:val="0"/>
      <w:color w:val="000000"/>
      <w:sz w:val="16"/>
      <w:szCs w:val="16"/>
      <w:u w:val="none"/>
      <w:effect w:val="none"/>
    </w:rPr>
  </w:style>
  <w:style w:type="character" w:customStyle="1" w:styleId="font231">
    <w:name w:val="font231"/>
    <w:basedOn w:val="DefaultParagraphFont"/>
    <w:rsid w:val="009610A8"/>
    <w:rPr>
      <w:rFonts w:ascii="Calibri" w:hAnsi="Calibri" w:hint="default"/>
      <w:b w:val="0"/>
      <w:bCs w:val="0"/>
      <w:i w:val="0"/>
      <w:iCs w:val="0"/>
      <w:strike w:val="0"/>
      <w:dstrike w:val="0"/>
      <w:color w:val="000000"/>
      <w:sz w:val="16"/>
      <w:szCs w:val="16"/>
      <w:u w:val="none"/>
      <w:effect w:val="none"/>
    </w:rPr>
  </w:style>
  <w:style w:type="character" w:customStyle="1" w:styleId="font161">
    <w:name w:val="font161"/>
    <w:basedOn w:val="DefaultParagraphFont"/>
    <w:rsid w:val="009610A8"/>
    <w:rPr>
      <w:rFonts w:ascii="Times New Roman" w:hAnsi="Times New Roman" w:cs="Times New Roman" w:hint="default"/>
      <w:b w:val="0"/>
      <w:bCs w:val="0"/>
      <w:i w:val="0"/>
      <w:iCs w:val="0"/>
      <w:strike w:val="0"/>
      <w:dstrike w:val="0"/>
      <w:color w:val="000000"/>
      <w:sz w:val="16"/>
      <w:szCs w:val="16"/>
      <w:u w:val="none"/>
      <w:effect w:val="none"/>
    </w:rPr>
  </w:style>
  <w:style w:type="character" w:customStyle="1" w:styleId="font211">
    <w:name w:val="font211"/>
    <w:basedOn w:val="DefaultParagraphFont"/>
    <w:rsid w:val="009610A8"/>
    <w:rPr>
      <w:rFonts w:ascii="Times New Roman" w:hAnsi="Times New Roman" w:cs="Times New Roman" w:hint="default"/>
      <w:b/>
      <w:bCs/>
      <w:i w:val="0"/>
      <w:iCs w:val="0"/>
      <w:strike w:val="0"/>
      <w:dstrike w:val="0"/>
      <w:color w:val="000000"/>
      <w:sz w:val="16"/>
      <w:szCs w:val="16"/>
      <w:u w:val="none"/>
      <w:effect w:val="none"/>
    </w:rPr>
  </w:style>
  <w:style w:type="character" w:customStyle="1" w:styleId="font221">
    <w:name w:val="font221"/>
    <w:basedOn w:val="DefaultParagraphFont"/>
    <w:rsid w:val="009610A8"/>
    <w:rPr>
      <w:rFonts w:ascii="Times New Roman" w:hAnsi="Times New Roman" w:cs="Times New Roman" w:hint="default"/>
      <w:b w:val="0"/>
      <w:bCs w:val="0"/>
      <w:i w:val="0"/>
      <w:iCs w:val="0"/>
      <w:strike w:val="0"/>
      <w:dstrike w:val="0"/>
      <w:color w:val="000000"/>
      <w:sz w:val="16"/>
      <w:szCs w:val="16"/>
      <w:u w:val="none"/>
      <w:effect w:val="none"/>
    </w:rPr>
  </w:style>
  <w:style w:type="paragraph" w:styleId="TOC5">
    <w:name w:val="toc 5"/>
    <w:basedOn w:val="Normal"/>
    <w:next w:val="Normal"/>
    <w:autoRedefine/>
    <w:uiPriority w:val="39"/>
    <w:unhideWhenUsed/>
    <w:rsid w:val="000A0A9D"/>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0A0A9D"/>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0A0A9D"/>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0A0A9D"/>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0A0A9D"/>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0A0A9D"/>
    <w:rPr>
      <w:color w:val="808080"/>
      <w:shd w:val="clear" w:color="auto" w:fill="E6E6E6"/>
    </w:rPr>
  </w:style>
  <w:style w:type="paragraph" w:styleId="FootnoteText">
    <w:name w:val="footnote text"/>
    <w:basedOn w:val="Normal"/>
    <w:link w:val="FootnoteTextChar"/>
    <w:uiPriority w:val="99"/>
    <w:semiHidden/>
    <w:unhideWhenUsed/>
    <w:rsid w:val="00BA461C"/>
    <w:pPr>
      <w:spacing w:after="0"/>
    </w:pPr>
    <w:rPr>
      <w:sz w:val="20"/>
      <w:szCs w:val="20"/>
    </w:rPr>
  </w:style>
  <w:style w:type="character" w:customStyle="1" w:styleId="FootnoteTextChar">
    <w:name w:val="Footnote Text Char"/>
    <w:basedOn w:val="DefaultParagraphFont"/>
    <w:link w:val="FootnoteText"/>
    <w:uiPriority w:val="99"/>
    <w:semiHidden/>
    <w:rsid w:val="00BA461C"/>
    <w:rPr>
      <w:sz w:val="20"/>
      <w:szCs w:val="20"/>
    </w:rPr>
  </w:style>
  <w:style w:type="character" w:styleId="FootnoteReference">
    <w:name w:val="footnote reference"/>
    <w:basedOn w:val="DefaultParagraphFont"/>
    <w:uiPriority w:val="99"/>
    <w:semiHidden/>
    <w:unhideWhenUsed/>
    <w:rsid w:val="00BA461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604716">
      <w:bodyDiv w:val="1"/>
      <w:marLeft w:val="0"/>
      <w:marRight w:val="0"/>
      <w:marTop w:val="0"/>
      <w:marBottom w:val="0"/>
      <w:divBdr>
        <w:top w:val="none" w:sz="0" w:space="0" w:color="auto"/>
        <w:left w:val="none" w:sz="0" w:space="0" w:color="auto"/>
        <w:bottom w:val="none" w:sz="0" w:space="0" w:color="auto"/>
        <w:right w:val="none" w:sz="0" w:space="0" w:color="auto"/>
      </w:divBdr>
    </w:div>
    <w:div w:id="541021399">
      <w:bodyDiv w:val="1"/>
      <w:marLeft w:val="0"/>
      <w:marRight w:val="0"/>
      <w:marTop w:val="0"/>
      <w:marBottom w:val="0"/>
      <w:divBdr>
        <w:top w:val="none" w:sz="0" w:space="0" w:color="auto"/>
        <w:left w:val="none" w:sz="0" w:space="0" w:color="auto"/>
        <w:bottom w:val="none" w:sz="0" w:space="0" w:color="auto"/>
        <w:right w:val="none" w:sz="0" w:space="0" w:color="auto"/>
      </w:divBdr>
    </w:div>
    <w:div w:id="709378302">
      <w:bodyDiv w:val="1"/>
      <w:marLeft w:val="0"/>
      <w:marRight w:val="0"/>
      <w:marTop w:val="0"/>
      <w:marBottom w:val="0"/>
      <w:divBdr>
        <w:top w:val="none" w:sz="0" w:space="0" w:color="auto"/>
        <w:left w:val="none" w:sz="0" w:space="0" w:color="auto"/>
        <w:bottom w:val="none" w:sz="0" w:space="0" w:color="auto"/>
        <w:right w:val="none" w:sz="0" w:space="0" w:color="auto"/>
      </w:divBdr>
    </w:div>
    <w:div w:id="2015644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F:\Dissertation%20materials\PPT%20and%20DOC\James%20Maner%20dissertation.docx" TargetMode="External"/><Relationship Id="rId117" Type="http://schemas.openxmlformats.org/officeDocument/2006/relationships/fontTable" Target="fontTable.xml"/><Relationship Id="rId21" Type="http://schemas.openxmlformats.org/officeDocument/2006/relationships/hyperlink" Target="file:///F:\Dissertation%20materials\PPT%20and%20DOC\James%20Maner%20dissertation.docx" TargetMode="External"/><Relationship Id="rId42" Type="http://schemas.openxmlformats.org/officeDocument/2006/relationships/image" Target="media/image3.tiff"/><Relationship Id="rId47" Type="http://schemas.openxmlformats.org/officeDocument/2006/relationships/image" Target="media/image8.tiff"/><Relationship Id="rId63" Type="http://schemas.openxmlformats.org/officeDocument/2006/relationships/footer" Target="footer4.xml"/><Relationship Id="rId68" Type="http://schemas.openxmlformats.org/officeDocument/2006/relationships/image" Target="media/image25.tiff"/><Relationship Id="rId84" Type="http://schemas.openxmlformats.org/officeDocument/2006/relationships/image" Target="media/image37.tiff"/><Relationship Id="rId89" Type="http://schemas.openxmlformats.org/officeDocument/2006/relationships/footer" Target="footer10.xml"/><Relationship Id="rId112" Type="http://schemas.openxmlformats.org/officeDocument/2006/relationships/image" Target="media/image61.emf"/><Relationship Id="rId16" Type="http://schemas.openxmlformats.org/officeDocument/2006/relationships/hyperlink" Target="file:///F:\Dissertation%20materials\PPT%20and%20DOC\James%20Maner%20dissertation.docx" TargetMode="External"/><Relationship Id="rId107" Type="http://schemas.openxmlformats.org/officeDocument/2006/relationships/image" Target="media/image56.emf"/><Relationship Id="rId11" Type="http://schemas.openxmlformats.org/officeDocument/2006/relationships/hyperlink" Target="file:///F:\Dissertation%20materials\PPT%20and%20DOC\James%20Maner%20dissertation.docx" TargetMode="External"/><Relationship Id="rId24" Type="http://schemas.openxmlformats.org/officeDocument/2006/relationships/hyperlink" Target="file:///F:\Dissertation%20materials\PPT%20and%20DOC\James%20Maner%20dissertation.docx" TargetMode="External"/><Relationship Id="rId32" Type="http://schemas.openxmlformats.org/officeDocument/2006/relationships/hyperlink" Target="file:///F:\Dissertation%20materials\PPT%20and%20DOC\James%20Maner%20dissertation.docx" TargetMode="External"/><Relationship Id="rId37" Type="http://schemas.openxmlformats.org/officeDocument/2006/relationships/hyperlink" Target="file:///F:\Dissertation%20materials\PPT%20and%20DOC\James%20Maner%20dissertation.docx" TargetMode="External"/><Relationship Id="rId40" Type="http://schemas.openxmlformats.org/officeDocument/2006/relationships/image" Target="media/image1.emf"/><Relationship Id="rId45" Type="http://schemas.openxmlformats.org/officeDocument/2006/relationships/image" Target="media/image6.tiff"/><Relationship Id="rId53" Type="http://schemas.openxmlformats.org/officeDocument/2006/relationships/image" Target="media/image12.tiff"/><Relationship Id="rId58" Type="http://schemas.openxmlformats.org/officeDocument/2006/relationships/image" Target="media/image17.tiff"/><Relationship Id="rId66" Type="http://schemas.openxmlformats.org/officeDocument/2006/relationships/image" Target="media/image23.tiff"/><Relationship Id="rId74" Type="http://schemas.openxmlformats.org/officeDocument/2006/relationships/image" Target="media/image27.tiff"/><Relationship Id="rId79" Type="http://schemas.openxmlformats.org/officeDocument/2006/relationships/image" Target="media/image32.tiff"/><Relationship Id="rId87" Type="http://schemas.openxmlformats.org/officeDocument/2006/relationships/image" Target="media/image40.tiff"/><Relationship Id="rId102" Type="http://schemas.openxmlformats.org/officeDocument/2006/relationships/image" Target="media/image51.emf"/><Relationship Id="rId110" Type="http://schemas.openxmlformats.org/officeDocument/2006/relationships/image" Target="media/image59.emf"/><Relationship Id="rId115" Type="http://schemas.openxmlformats.org/officeDocument/2006/relationships/image" Target="media/image64.emf"/><Relationship Id="rId5" Type="http://schemas.openxmlformats.org/officeDocument/2006/relationships/webSettings" Target="webSettings.xml"/><Relationship Id="rId61" Type="http://schemas.openxmlformats.org/officeDocument/2006/relationships/image" Target="media/image20.tiff"/><Relationship Id="rId82" Type="http://schemas.openxmlformats.org/officeDocument/2006/relationships/image" Target="media/image35.tiff"/><Relationship Id="rId90" Type="http://schemas.openxmlformats.org/officeDocument/2006/relationships/footer" Target="footer11.xml"/><Relationship Id="rId95" Type="http://schemas.openxmlformats.org/officeDocument/2006/relationships/footer" Target="footer13.xml"/><Relationship Id="rId19" Type="http://schemas.openxmlformats.org/officeDocument/2006/relationships/hyperlink" Target="file:///F:\Dissertation%20materials\PPT%20and%20DOC\James%20Maner%20dissertation.docx" TargetMode="External"/><Relationship Id="rId14" Type="http://schemas.openxmlformats.org/officeDocument/2006/relationships/hyperlink" Target="file:///F:\Dissertation%20materials\PPT%20and%20DOC\James%20Maner%20dissertation.docx" TargetMode="External"/><Relationship Id="rId22" Type="http://schemas.openxmlformats.org/officeDocument/2006/relationships/hyperlink" Target="file:///F:\Dissertation%20materials\PPT%20and%20DOC\James%20Maner%20dissertation.docx" TargetMode="External"/><Relationship Id="rId27" Type="http://schemas.openxmlformats.org/officeDocument/2006/relationships/hyperlink" Target="file:///F:\Dissertation%20materials\PPT%20and%20DOC\James%20Maner%20dissertation.docx" TargetMode="External"/><Relationship Id="rId30" Type="http://schemas.openxmlformats.org/officeDocument/2006/relationships/hyperlink" Target="file:///F:\Dissertation%20materials\PPT%20and%20DOC\James%20Maner%20dissertation.docx" TargetMode="External"/><Relationship Id="rId35" Type="http://schemas.openxmlformats.org/officeDocument/2006/relationships/hyperlink" Target="file:///F:\Dissertation%20materials\PPT%20and%20DOC\James%20Maner%20dissertation.docx" TargetMode="External"/><Relationship Id="rId43" Type="http://schemas.openxmlformats.org/officeDocument/2006/relationships/image" Target="media/image4.tiff"/><Relationship Id="rId48" Type="http://schemas.openxmlformats.org/officeDocument/2006/relationships/image" Target="media/image9.tiff"/><Relationship Id="rId56" Type="http://schemas.openxmlformats.org/officeDocument/2006/relationships/image" Target="media/image15.tiff"/><Relationship Id="rId64" Type="http://schemas.openxmlformats.org/officeDocument/2006/relationships/footer" Target="footer5.xml"/><Relationship Id="rId69" Type="http://schemas.openxmlformats.org/officeDocument/2006/relationships/footer" Target="footer6.xml"/><Relationship Id="rId77" Type="http://schemas.openxmlformats.org/officeDocument/2006/relationships/image" Target="media/image30.tiff"/><Relationship Id="rId100" Type="http://schemas.openxmlformats.org/officeDocument/2006/relationships/image" Target="media/image49.emf"/><Relationship Id="rId105" Type="http://schemas.openxmlformats.org/officeDocument/2006/relationships/image" Target="media/image54.emf"/><Relationship Id="rId113" Type="http://schemas.openxmlformats.org/officeDocument/2006/relationships/image" Target="media/image62.emf"/><Relationship Id="rId118" Type="http://schemas.openxmlformats.org/officeDocument/2006/relationships/glossaryDocument" Target="glossary/document.xml"/><Relationship Id="rId8" Type="http://schemas.openxmlformats.org/officeDocument/2006/relationships/hyperlink" Target="file:///F:\Dissertation%20materials\PPT%20and%20DOC\James%20Maner%20dissertation.docx" TargetMode="External"/><Relationship Id="rId51" Type="http://schemas.openxmlformats.org/officeDocument/2006/relationships/footer" Target="footer2.xml"/><Relationship Id="rId72" Type="http://schemas.openxmlformats.org/officeDocument/2006/relationships/footer" Target="footer9.xml"/><Relationship Id="rId80" Type="http://schemas.openxmlformats.org/officeDocument/2006/relationships/image" Target="media/image33.tiff"/><Relationship Id="rId85" Type="http://schemas.openxmlformats.org/officeDocument/2006/relationships/image" Target="media/image38.tiff"/><Relationship Id="rId93" Type="http://schemas.openxmlformats.org/officeDocument/2006/relationships/image" Target="media/image44.emf"/><Relationship Id="rId98" Type="http://schemas.openxmlformats.org/officeDocument/2006/relationships/image" Target="media/image47.emf"/><Relationship Id="rId3" Type="http://schemas.openxmlformats.org/officeDocument/2006/relationships/styles" Target="styles.xml"/><Relationship Id="rId12" Type="http://schemas.openxmlformats.org/officeDocument/2006/relationships/hyperlink" Target="file:///F:\Dissertation%20materials\PPT%20and%20DOC\James%20Maner%20dissertation.docx" TargetMode="External"/><Relationship Id="rId17" Type="http://schemas.openxmlformats.org/officeDocument/2006/relationships/hyperlink" Target="file:///F:\Dissertation%20materials\PPT%20and%20DOC\James%20Maner%20dissertation.docx" TargetMode="External"/><Relationship Id="rId25" Type="http://schemas.openxmlformats.org/officeDocument/2006/relationships/hyperlink" Target="file:///F:\Dissertation%20materials\PPT%20and%20DOC\James%20Maner%20dissertation.docx" TargetMode="External"/><Relationship Id="rId33" Type="http://schemas.openxmlformats.org/officeDocument/2006/relationships/hyperlink" Target="file:///F:\Dissertation%20materials\PPT%20and%20DOC\James%20Maner%20dissertation.docx" TargetMode="External"/><Relationship Id="rId38" Type="http://schemas.openxmlformats.org/officeDocument/2006/relationships/hyperlink" Target="file:///F:\Dissertation%20materials\PPT%20and%20DOC\James%20Maner%20dissertation.docx" TargetMode="External"/><Relationship Id="rId46" Type="http://schemas.openxmlformats.org/officeDocument/2006/relationships/image" Target="media/image7.tiff"/><Relationship Id="rId59" Type="http://schemas.openxmlformats.org/officeDocument/2006/relationships/image" Target="media/image18.tiff"/><Relationship Id="rId67" Type="http://schemas.openxmlformats.org/officeDocument/2006/relationships/image" Target="media/image24.tiff"/><Relationship Id="rId103" Type="http://schemas.openxmlformats.org/officeDocument/2006/relationships/image" Target="media/image52.emf"/><Relationship Id="rId108" Type="http://schemas.openxmlformats.org/officeDocument/2006/relationships/image" Target="media/image57.emf"/><Relationship Id="rId116" Type="http://schemas.openxmlformats.org/officeDocument/2006/relationships/footer" Target="footer14.xml"/><Relationship Id="rId20" Type="http://schemas.openxmlformats.org/officeDocument/2006/relationships/hyperlink" Target="file:///F:\Dissertation%20materials\PPT%20and%20DOC\James%20Maner%20dissertation.docx" TargetMode="External"/><Relationship Id="rId41" Type="http://schemas.openxmlformats.org/officeDocument/2006/relationships/image" Target="media/image2.tiff"/><Relationship Id="rId54" Type="http://schemas.openxmlformats.org/officeDocument/2006/relationships/image" Target="media/image13.tiff"/><Relationship Id="rId62" Type="http://schemas.openxmlformats.org/officeDocument/2006/relationships/image" Target="media/image21.tiff"/><Relationship Id="rId70" Type="http://schemas.openxmlformats.org/officeDocument/2006/relationships/footer" Target="footer7.xml"/><Relationship Id="rId75" Type="http://schemas.openxmlformats.org/officeDocument/2006/relationships/image" Target="media/image28.tiff"/><Relationship Id="rId83" Type="http://schemas.openxmlformats.org/officeDocument/2006/relationships/image" Target="media/image36.tiff"/><Relationship Id="rId88" Type="http://schemas.openxmlformats.org/officeDocument/2006/relationships/image" Target="media/image41.tiff"/><Relationship Id="rId91" Type="http://schemas.openxmlformats.org/officeDocument/2006/relationships/image" Target="media/image42.emf"/><Relationship Id="rId96" Type="http://schemas.openxmlformats.org/officeDocument/2006/relationships/image" Target="media/image45.emf"/><Relationship Id="rId111" Type="http://schemas.openxmlformats.org/officeDocument/2006/relationships/image" Target="media/image60.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F:\Dissertation%20materials\PPT%20and%20DOC\James%20Maner%20dissertation.docx" TargetMode="External"/><Relationship Id="rId23" Type="http://schemas.openxmlformats.org/officeDocument/2006/relationships/hyperlink" Target="file:///F:\Dissertation%20materials\PPT%20and%20DOC\James%20Maner%20dissertation.docx" TargetMode="External"/><Relationship Id="rId28" Type="http://schemas.openxmlformats.org/officeDocument/2006/relationships/hyperlink" Target="file:///F:\Dissertation%20materials\PPT%20and%20DOC\James%20Maner%20dissertation.docx" TargetMode="External"/><Relationship Id="rId36" Type="http://schemas.openxmlformats.org/officeDocument/2006/relationships/hyperlink" Target="file:///F:\Dissertation%20materials\PPT%20and%20DOC\James%20Maner%20dissertation.docx" TargetMode="External"/><Relationship Id="rId49" Type="http://schemas.openxmlformats.org/officeDocument/2006/relationships/image" Target="media/image10.tiff"/><Relationship Id="rId57" Type="http://schemas.openxmlformats.org/officeDocument/2006/relationships/image" Target="media/image16.tiff"/><Relationship Id="rId106" Type="http://schemas.openxmlformats.org/officeDocument/2006/relationships/image" Target="media/image55.emf"/><Relationship Id="rId114" Type="http://schemas.openxmlformats.org/officeDocument/2006/relationships/image" Target="media/image63.emf"/><Relationship Id="rId119" Type="http://schemas.openxmlformats.org/officeDocument/2006/relationships/theme" Target="theme/theme1.xml"/><Relationship Id="rId10" Type="http://schemas.openxmlformats.org/officeDocument/2006/relationships/hyperlink" Target="file:///F:\Dissertation%20materials\PPT%20and%20DOC\James%20Maner%20dissertation.docx" TargetMode="External"/><Relationship Id="rId31" Type="http://schemas.openxmlformats.org/officeDocument/2006/relationships/hyperlink" Target="file:///F:\Dissertation%20materials\PPT%20and%20DOC\James%20Maner%20dissertation.docx" TargetMode="External"/><Relationship Id="rId44" Type="http://schemas.openxmlformats.org/officeDocument/2006/relationships/image" Target="media/image5.tiff"/><Relationship Id="rId52" Type="http://schemas.openxmlformats.org/officeDocument/2006/relationships/footer" Target="footer3.xml"/><Relationship Id="rId60" Type="http://schemas.openxmlformats.org/officeDocument/2006/relationships/image" Target="media/image19.tiff"/><Relationship Id="rId65" Type="http://schemas.openxmlformats.org/officeDocument/2006/relationships/image" Target="media/image22.tiff"/><Relationship Id="rId73" Type="http://schemas.openxmlformats.org/officeDocument/2006/relationships/image" Target="media/image26.tif"/><Relationship Id="rId78" Type="http://schemas.openxmlformats.org/officeDocument/2006/relationships/image" Target="media/image31.tiff"/><Relationship Id="rId81" Type="http://schemas.openxmlformats.org/officeDocument/2006/relationships/image" Target="media/image34.tiff"/><Relationship Id="rId86" Type="http://schemas.openxmlformats.org/officeDocument/2006/relationships/image" Target="media/image39.tiff"/><Relationship Id="rId94" Type="http://schemas.openxmlformats.org/officeDocument/2006/relationships/footer" Target="footer12.xml"/><Relationship Id="rId99" Type="http://schemas.openxmlformats.org/officeDocument/2006/relationships/image" Target="media/image48.emf"/><Relationship Id="rId101" Type="http://schemas.openxmlformats.org/officeDocument/2006/relationships/image" Target="media/image50.emf"/><Relationship Id="rId4" Type="http://schemas.openxmlformats.org/officeDocument/2006/relationships/settings" Target="settings.xml"/><Relationship Id="rId9" Type="http://schemas.openxmlformats.org/officeDocument/2006/relationships/hyperlink" Target="file:///F:\Dissertation%20materials\PPT%20and%20DOC\James%20Maner%20dissertation.docx" TargetMode="External"/><Relationship Id="rId13" Type="http://schemas.openxmlformats.org/officeDocument/2006/relationships/hyperlink" Target="file:///F:\Dissertation%20materials\PPT%20and%20DOC\James%20Maner%20dissertation.docx" TargetMode="External"/><Relationship Id="rId18" Type="http://schemas.openxmlformats.org/officeDocument/2006/relationships/hyperlink" Target="file:///F:\Dissertation%20materials\PPT%20and%20DOC\James%20Maner%20dissertation.docx" TargetMode="External"/><Relationship Id="rId39" Type="http://schemas.openxmlformats.org/officeDocument/2006/relationships/footer" Target="footer1.xml"/><Relationship Id="rId109" Type="http://schemas.openxmlformats.org/officeDocument/2006/relationships/image" Target="media/image58.emf"/><Relationship Id="rId34" Type="http://schemas.openxmlformats.org/officeDocument/2006/relationships/hyperlink" Target="file:///F:\Dissertation%20materials\PPT%20and%20DOC\James%20Maner%20dissertation.docx" TargetMode="External"/><Relationship Id="rId50" Type="http://schemas.openxmlformats.org/officeDocument/2006/relationships/image" Target="media/image11.tiff"/><Relationship Id="rId55" Type="http://schemas.openxmlformats.org/officeDocument/2006/relationships/image" Target="media/image14.tiff"/><Relationship Id="rId76" Type="http://schemas.openxmlformats.org/officeDocument/2006/relationships/image" Target="media/image29.tiff"/><Relationship Id="rId97" Type="http://schemas.openxmlformats.org/officeDocument/2006/relationships/image" Target="media/image46.emf"/><Relationship Id="rId104" Type="http://schemas.openxmlformats.org/officeDocument/2006/relationships/image" Target="media/image53.emf"/><Relationship Id="rId7" Type="http://schemas.openxmlformats.org/officeDocument/2006/relationships/endnotes" Target="endnotes.xml"/><Relationship Id="rId71" Type="http://schemas.openxmlformats.org/officeDocument/2006/relationships/footer" Target="footer8.xml"/><Relationship Id="rId92" Type="http://schemas.openxmlformats.org/officeDocument/2006/relationships/image" Target="media/image43.emf"/><Relationship Id="rId2" Type="http://schemas.openxmlformats.org/officeDocument/2006/relationships/numbering" Target="numbering.xml"/><Relationship Id="rId29" Type="http://schemas.openxmlformats.org/officeDocument/2006/relationships/hyperlink" Target="file:///F:\Dissertation%20materials\PPT%20and%20DOC\James%20Maner%20dissertation.doc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FD885F9F97444AA8B23E253B03CC215"/>
        <w:category>
          <w:name w:val="General"/>
          <w:gallery w:val="placeholder"/>
        </w:category>
        <w:types>
          <w:type w:val="bbPlcHdr"/>
        </w:types>
        <w:behaviors>
          <w:behavior w:val="content"/>
        </w:behaviors>
        <w:guid w:val="{A3208D02-EAD4-439E-A27B-14480D019221}"/>
      </w:docPartPr>
      <w:docPartBody>
        <w:p w:rsidR="00076224" w:rsidRDefault="00076224" w:rsidP="00076224">
          <w:pPr>
            <w:pStyle w:val="FFD885F9F97444AA8B23E253B03CC215"/>
          </w:pPr>
          <w:r w:rsidRPr="00AC7F25">
            <w:rPr>
              <w:rStyle w:val="PlaceholderText"/>
            </w:rPr>
            <w:t>Choose an item.</w:t>
          </w:r>
        </w:p>
      </w:docPartBody>
    </w:docPart>
    <w:docPart>
      <w:docPartPr>
        <w:name w:val="DefaultPlaceholder_22675704"/>
        <w:category>
          <w:name w:val="General"/>
          <w:gallery w:val="placeholder"/>
        </w:category>
        <w:types>
          <w:type w:val="bbPlcHdr"/>
        </w:types>
        <w:behaviors>
          <w:behavior w:val="content"/>
        </w:behaviors>
        <w:guid w:val="{ADF8B485-860D-4BC5-B15C-7E5F9C12D1FB}"/>
      </w:docPartPr>
      <w:docPartBody>
        <w:p w:rsidR="00F67A05" w:rsidRDefault="00076224">
          <w:r w:rsidRPr="00C61AB6">
            <w:rPr>
              <w:rStyle w:val="PlaceholderText"/>
            </w:rPr>
            <w:t>Choose an item.</w:t>
          </w:r>
        </w:p>
      </w:docPartBody>
    </w:docPart>
    <w:docPart>
      <w:docPartPr>
        <w:name w:val="384EB1281DD84DB6A4A7221152EDBB7C"/>
        <w:category>
          <w:name w:val="General"/>
          <w:gallery w:val="placeholder"/>
        </w:category>
        <w:types>
          <w:type w:val="bbPlcHdr"/>
        </w:types>
        <w:behaviors>
          <w:behavior w:val="content"/>
        </w:behaviors>
        <w:guid w:val="{5145A507-D00D-47D8-9911-B2CB22481417}"/>
      </w:docPartPr>
      <w:docPartBody>
        <w:p w:rsidR="00F67A05" w:rsidRDefault="00076224" w:rsidP="00076224">
          <w:pPr>
            <w:pStyle w:val="384EB1281DD84DB6A4A7221152EDBB7C"/>
          </w:pPr>
          <w:r w:rsidRPr="00345F8B">
            <w:rPr>
              <w:rStyle w:val="PlaceholderText"/>
              <w:color w:val="auto"/>
            </w:rPr>
            <w:t>Choose an item.</w:t>
          </w:r>
        </w:p>
      </w:docPartBody>
    </w:docPart>
    <w:docPart>
      <w:docPartPr>
        <w:name w:val="DefaultPlaceholder_22675703"/>
        <w:category>
          <w:name w:val="General"/>
          <w:gallery w:val="placeholder"/>
        </w:category>
        <w:types>
          <w:type w:val="bbPlcHdr"/>
        </w:types>
        <w:behaviors>
          <w:behavior w:val="content"/>
        </w:behaviors>
        <w:guid w:val="{0FE8C589-8559-4DD5-A9FA-18BBBC6C3616}"/>
      </w:docPartPr>
      <w:docPartBody>
        <w:p w:rsidR="00F67A05" w:rsidRDefault="00076224">
          <w:r w:rsidRPr="00C61AB6">
            <w:rPr>
              <w:rStyle w:val="PlaceholderText"/>
            </w:rPr>
            <w:t>Click here to enter text.</w:t>
          </w:r>
        </w:p>
      </w:docPartBody>
    </w:docPart>
    <w:docPart>
      <w:docPartPr>
        <w:name w:val="5012952D2F334927B97B3ABCDDF5CA5D"/>
        <w:category>
          <w:name w:val="General"/>
          <w:gallery w:val="placeholder"/>
        </w:category>
        <w:types>
          <w:type w:val="bbPlcHdr"/>
        </w:types>
        <w:behaviors>
          <w:behavior w:val="content"/>
        </w:behaviors>
        <w:guid w:val="{5C69EEE3-DAB3-4192-87EE-DEE15F17213A}"/>
      </w:docPartPr>
      <w:docPartBody>
        <w:p w:rsidR="00F67A05" w:rsidRDefault="00076224" w:rsidP="00076224">
          <w:pPr>
            <w:pStyle w:val="5012952D2F334927B97B3ABCDDF5CA5D"/>
          </w:pPr>
          <w:r w:rsidRPr="00C61AB6">
            <w:rPr>
              <w:rStyle w:val="PlaceholderText"/>
            </w:rPr>
            <w:t>Choose an item.</w:t>
          </w:r>
        </w:p>
      </w:docPartBody>
    </w:docPart>
    <w:docPart>
      <w:docPartPr>
        <w:name w:val="5FAB1FB5E15348DABA0AA160ACC9FF74"/>
        <w:category>
          <w:name w:val="General"/>
          <w:gallery w:val="placeholder"/>
        </w:category>
        <w:types>
          <w:type w:val="bbPlcHdr"/>
        </w:types>
        <w:behaviors>
          <w:behavior w:val="content"/>
        </w:behaviors>
        <w:guid w:val="{D92D5B23-2D00-4BF9-99CF-98AB29C0EDE3}"/>
      </w:docPartPr>
      <w:docPartBody>
        <w:p w:rsidR="00F67A05" w:rsidRDefault="00076224" w:rsidP="00076224">
          <w:pPr>
            <w:pStyle w:val="5FAB1FB5E15348DABA0AA160ACC9FF74"/>
          </w:pPr>
          <w:r w:rsidRPr="00C61AB6">
            <w:rPr>
              <w:rStyle w:val="PlaceholderText"/>
            </w:rPr>
            <w:t>Click here to enter text.</w:t>
          </w:r>
        </w:p>
      </w:docPartBody>
    </w:docPart>
    <w:docPart>
      <w:docPartPr>
        <w:name w:val="2613775B354B424AB754EC5C5EDF9F93"/>
        <w:category>
          <w:name w:val="General"/>
          <w:gallery w:val="placeholder"/>
        </w:category>
        <w:types>
          <w:type w:val="bbPlcHdr"/>
        </w:types>
        <w:behaviors>
          <w:behavior w:val="content"/>
        </w:behaviors>
        <w:guid w:val="{5D2C3052-E8E4-4316-8DDF-3C2CF66717F9}"/>
      </w:docPartPr>
      <w:docPartBody>
        <w:p w:rsidR="00F67A05" w:rsidRDefault="00076224" w:rsidP="00076224">
          <w:pPr>
            <w:pStyle w:val="2613775B354B424AB754EC5C5EDF9F93"/>
          </w:pPr>
          <w:r w:rsidRPr="00C61AB6">
            <w:rPr>
              <w:rStyle w:val="PlaceholderText"/>
            </w:rPr>
            <w:t>Choose an item.</w:t>
          </w:r>
        </w:p>
      </w:docPartBody>
    </w:docPart>
    <w:docPart>
      <w:docPartPr>
        <w:name w:val="7A19CBBEBA334B5EB6066CBA073C5C45"/>
        <w:category>
          <w:name w:val="General"/>
          <w:gallery w:val="placeholder"/>
        </w:category>
        <w:types>
          <w:type w:val="bbPlcHdr"/>
        </w:types>
        <w:behaviors>
          <w:behavior w:val="content"/>
        </w:behaviors>
        <w:guid w:val="{366F8858-5468-4D35-BDFC-F7D3B8A5B185}"/>
      </w:docPartPr>
      <w:docPartBody>
        <w:p w:rsidR="00F67A05" w:rsidRDefault="00076224" w:rsidP="00076224">
          <w:pPr>
            <w:pStyle w:val="7A19CBBEBA334B5EB6066CBA073C5C45"/>
          </w:pPr>
          <w:r w:rsidRPr="00C61AB6">
            <w:rPr>
              <w:rStyle w:val="PlaceholderText"/>
            </w:rPr>
            <w:t>Click here to enter text.</w:t>
          </w:r>
        </w:p>
      </w:docPartBody>
    </w:docPart>
    <w:docPart>
      <w:docPartPr>
        <w:name w:val="40DEB334B1214EAB8BECEA2C35410828"/>
        <w:category>
          <w:name w:val="General"/>
          <w:gallery w:val="placeholder"/>
        </w:category>
        <w:types>
          <w:type w:val="bbPlcHdr"/>
        </w:types>
        <w:behaviors>
          <w:behavior w:val="content"/>
        </w:behaviors>
        <w:guid w:val="{3BE99A02-35DF-4168-B0AB-6FAA0EEF424D}"/>
      </w:docPartPr>
      <w:docPartBody>
        <w:p w:rsidR="00F67A05" w:rsidRDefault="00076224" w:rsidP="00076224">
          <w:pPr>
            <w:pStyle w:val="40DEB334B1214EAB8BECEA2C35410828"/>
          </w:pPr>
          <w:r w:rsidRPr="00C61AB6">
            <w:rPr>
              <w:rStyle w:val="PlaceholderText"/>
            </w:rPr>
            <w:t>Choose an item.</w:t>
          </w:r>
        </w:p>
      </w:docPartBody>
    </w:docPart>
    <w:docPart>
      <w:docPartPr>
        <w:name w:val="F4E1D8E92F2F42A49593A2DCA94FDE4B"/>
        <w:category>
          <w:name w:val="General"/>
          <w:gallery w:val="placeholder"/>
        </w:category>
        <w:types>
          <w:type w:val="bbPlcHdr"/>
        </w:types>
        <w:behaviors>
          <w:behavior w:val="content"/>
        </w:behaviors>
        <w:guid w:val="{D8C56505-C85C-4A51-A734-8D7C15A00B48}"/>
      </w:docPartPr>
      <w:docPartBody>
        <w:p w:rsidR="00F67A05" w:rsidRDefault="00076224" w:rsidP="00076224">
          <w:pPr>
            <w:pStyle w:val="F4E1D8E92F2F42A49593A2DCA94FDE4B"/>
          </w:pPr>
          <w:r w:rsidRPr="00C61AB6">
            <w:rPr>
              <w:rStyle w:val="PlaceholderText"/>
            </w:rPr>
            <w:t>Click here to enter text.</w:t>
          </w:r>
        </w:p>
      </w:docPartBody>
    </w:docPart>
    <w:docPart>
      <w:docPartPr>
        <w:name w:val="98B9BBF81EE548CA91B7EE26E3135AE2"/>
        <w:category>
          <w:name w:val="General"/>
          <w:gallery w:val="placeholder"/>
        </w:category>
        <w:types>
          <w:type w:val="bbPlcHdr"/>
        </w:types>
        <w:behaviors>
          <w:behavior w:val="content"/>
        </w:behaviors>
        <w:guid w:val="{07B514E2-23E0-4D91-9D87-93AC56C9D8E0}"/>
      </w:docPartPr>
      <w:docPartBody>
        <w:p w:rsidR="00AE4443" w:rsidRDefault="00AE4443" w:rsidP="00AE4443">
          <w:pPr>
            <w:pStyle w:val="98B9BBF81EE548CA91B7EE26E3135AE2"/>
          </w:pPr>
          <w:r w:rsidRPr="00C61AB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
  <w:rsids>
    <w:rsidRoot w:val="00076224"/>
    <w:rsid w:val="00013902"/>
    <w:rsid w:val="00032EE6"/>
    <w:rsid w:val="00076224"/>
    <w:rsid w:val="0008564B"/>
    <w:rsid w:val="00134452"/>
    <w:rsid w:val="0014783D"/>
    <w:rsid w:val="001D57DA"/>
    <w:rsid w:val="002A7140"/>
    <w:rsid w:val="003505C9"/>
    <w:rsid w:val="003B2E29"/>
    <w:rsid w:val="003F2B1C"/>
    <w:rsid w:val="003F5C28"/>
    <w:rsid w:val="00532752"/>
    <w:rsid w:val="005F58AE"/>
    <w:rsid w:val="0071723B"/>
    <w:rsid w:val="00780D3B"/>
    <w:rsid w:val="007F3CBC"/>
    <w:rsid w:val="008964F7"/>
    <w:rsid w:val="008A22BB"/>
    <w:rsid w:val="008B170B"/>
    <w:rsid w:val="009D7C95"/>
    <w:rsid w:val="00AE4443"/>
    <w:rsid w:val="00AF4C1C"/>
    <w:rsid w:val="00B11D39"/>
    <w:rsid w:val="00B47424"/>
    <w:rsid w:val="00BD4202"/>
    <w:rsid w:val="00C82F0E"/>
    <w:rsid w:val="00CE034D"/>
    <w:rsid w:val="00D50451"/>
    <w:rsid w:val="00DE48BA"/>
    <w:rsid w:val="00DE5122"/>
    <w:rsid w:val="00DE7984"/>
    <w:rsid w:val="00E45D3E"/>
    <w:rsid w:val="00E6070F"/>
    <w:rsid w:val="00E6650B"/>
    <w:rsid w:val="00F22C53"/>
    <w:rsid w:val="00F67A05"/>
    <w:rsid w:val="00F75F1F"/>
    <w:rsid w:val="00F829F3"/>
    <w:rsid w:val="00FA6B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7A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4443"/>
    <w:rPr>
      <w:color w:val="808080"/>
    </w:rPr>
  </w:style>
  <w:style w:type="paragraph" w:customStyle="1" w:styleId="FFD885F9F97444AA8B23E253B03CC215">
    <w:name w:val="FFD885F9F97444AA8B23E253B03CC215"/>
    <w:rsid w:val="00076224"/>
  </w:style>
  <w:style w:type="paragraph" w:customStyle="1" w:styleId="9F4A52AD0FFD451A992CFCC3D7C95423">
    <w:name w:val="9F4A52AD0FFD451A992CFCC3D7C95423"/>
    <w:rsid w:val="00076224"/>
  </w:style>
  <w:style w:type="paragraph" w:customStyle="1" w:styleId="397A584B0E194A8C8800577DCED86EFF">
    <w:name w:val="397A584B0E194A8C8800577DCED86EFF"/>
    <w:rsid w:val="00076224"/>
  </w:style>
  <w:style w:type="paragraph" w:customStyle="1" w:styleId="A4CBFF4FB6E341AC9579AE14966C5C14">
    <w:name w:val="A4CBFF4FB6E341AC9579AE14966C5C14"/>
    <w:rsid w:val="00076224"/>
  </w:style>
  <w:style w:type="paragraph" w:customStyle="1" w:styleId="384EB1281DD84DB6A4A7221152EDBB7C">
    <w:name w:val="384EB1281DD84DB6A4A7221152EDBB7C"/>
    <w:rsid w:val="00076224"/>
    <w:pPr>
      <w:spacing w:line="240" w:lineRule="auto"/>
    </w:pPr>
    <w:rPr>
      <w:rFonts w:ascii="Times New Roman" w:eastAsiaTheme="minorHAnsi" w:hAnsi="Times New Roman" w:cs="Arial"/>
      <w:sz w:val="24"/>
      <w:szCs w:val="24"/>
    </w:rPr>
  </w:style>
  <w:style w:type="paragraph" w:customStyle="1" w:styleId="3E0A1A2703B04A2DBF5724322AD0E526">
    <w:name w:val="3E0A1A2703B04A2DBF5724322AD0E526"/>
    <w:rsid w:val="00076224"/>
    <w:pPr>
      <w:spacing w:line="240" w:lineRule="auto"/>
    </w:pPr>
    <w:rPr>
      <w:rFonts w:ascii="Times New Roman" w:eastAsiaTheme="minorHAnsi" w:hAnsi="Times New Roman" w:cs="Arial"/>
      <w:sz w:val="24"/>
      <w:szCs w:val="24"/>
    </w:rPr>
  </w:style>
  <w:style w:type="paragraph" w:customStyle="1" w:styleId="D50ADD9FF2044409978DF416C4AB75E8">
    <w:name w:val="D50ADD9FF2044409978DF416C4AB75E8"/>
    <w:rsid w:val="00076224"/>
  </w:style>
  <w:style w:type="paragraph" w:customStyle="1" w:styleId="AE643F028939417791CC8CAF344F6DBE">
    <w:name w:val="AE643F028939417791CC8CAF344F6DBE"/>
    <w:rsid w:val="00076224"/>
  </w:style>
  <w:style w:type="paragraph" w:customStyle="1" w:styleId="437F5B8F32164C0482BAB883C01F5524">
    <w:name w:val="437F5B8F32164C0482BAB883C01F5524"/>
    <w:rsid w:val="00076224"/>
  </w:style>
  <w:style w:type="paragraph" w:customStyle="1" w:styleId="61F41FB5F9AE44A39921ACC40B46E786">
    <w:name w:val="61F41FB5F9AE44A39921ACC40B46E786"/>
    <w:rsid w:val="00076224"/>
  </w:style>
  <w:style w:type="paragraph" w:customStyle="1" w:styleId="5012952D2F334927B97B3ABCDDF5CA5D">
    <w:name w:val="5012952D2F334927B97B3ABCDDF5CA5D"/>
    <w:rsid w:val="00076224"/>
  </w:style>
  <w:style w:type="paragraph" w:customStyle="1" w:styleId="5FAB1FB5E15348DABA0AA160ACC9FF74">
    <w:name w:val="5FAB1FB5E15348DABA0AA160ACC9FF74"/>
    <w:rsid w:val="00076224"/>
  </w:style>
  <w:style w:type="paragraph" w:customStyle="1" w:styleId="2613775B354B424AB754EC5C5EDF9F93">
    <w:name w:val="2613775B354B424AB754EC5C5EDF9F93"/>
    <w:rsid w:val="00076224"/>
  </w:style>
  <w:style w:type="paragraph" w:customStyle="1" w:styleId="7A19CBBEBA334B5EB6066CBA073C5C45">
    <w:name w:val="7A19CBBEBA334B5EB6066CBA073C5C45"/>
    <w:rsid w:val="00076224"/>
  </w:style>
  <w:style w:type="paragraph" w:customStyle="1" w:styleId="40DEB334B1214EAB8BECEA2C35410828">
    <w:name w:val="40DEB334B1214EAB8BECEA2C35410828"/>
    <w:rsid w:val="00076224"/>
  </w:style>
  <w:style w:type="paragraph" w:customStyle="1" w:styleId="F4E1D8E92F2F42A49593A2DCA94FDE4B">
    <w:name w:val="F4E1D8E92F2F42A49593A2DCA94FDE4B"/>
    <w:rsid w:val="00076224"/>
  </w:style>
  <w:style w:type="paragraph" w:customStyle="1" w:styleId="1DE05551FD53402E9DD5BAAD24387596">
    <w:name w:val="1DE05551FD53402E9DD5BAAD24387596"/>
    <w:rsid w:val="00F67A05"/>
  </w:style>
  <w:style w:type="paragraph" w:customStyle="1" w:styleId="F3BAD3C8550949EAB1FC3F3E51465A4F">
    <w:name w:val="F3BAD3C8550949EAB1FC3F3E51465A4F"/>
    <w:rsid w:val="00F67A05"/>
  </w:style>
  <w:style w:type="paragraph" w:customStyle="1" w:styleId="80A46006C4AA4B5BB7965485123A375F">
    <w:name w:val="80A46006C4AA4B5BB7965485123A375F"/>
    <w:rsid w:val="00F67A05"/>
  </w:style>
  <w:style w:type="paragraph" w:customStyle="1" w:styleId="22AE73C5A93E47E49D0CC894723CCD72">
    <w:name w:val="22AE73C5A93E47E49D0CC894723CCD72"/>
    <w:rsid w:val="00F67A05"/>
  </w:style>
  <w:style w:type="paragraph" w:customStyle="1" w:styleId="70761EEBD4714F898EC974FAE10DE5F3">
    <w:name w:val="70761EEBD4714F898EC974FAE10DE5F3"/>
    <w:rsid w:val="00E6650B"/>
    <w:pPr>
      <w:spacing w:after="160" w:line="259" w:lineRule="auto"/>
    </w:pPr>
  </w:style>
  <w:style w:type="paragraph" w:customStyle="1" w:styleId="DFA5CDDB81EF46E1A3C8E51ED3E718B5">
    <w:name w:val="DFA5CDDB81EF46E1A3C8E51ED3E718B5"/>
    <w:rsid w:val="00E6650B"/>
    <w:pPr>
      <w:spacing w:after="160" w:line="259" w:lineRule="auto"/>
    </w:pPr>
  </w:style>
  <w:style w:type="paragraph" w:customStyle="1" w:styleId="F2951F15C6DA47D0B6A2A53AA824F41B">
    <w:name w:val="F2951F15C6DA47D0B6A2A53AA824F41B"/>
    <w:rsid w:val="00E6650B"/>
    <w:pPr>
      <w:spacing w:after="160" w:line="259" w:lineRule="auto"/>
    </w:pPr>
  </w:style>
  <w:style w:type="paragraph" w:customStyle="1" w:styleId="98B9BBF81EE548CA91B7EE26E3135AE2">
    <w:name w:val="98B9BBF81EE548CA91B7EE26E3135AE2"/>
    <w:rsid w:val="00AE4443"/>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Custom 1">
      <a:dk1>
        <a:srgbClr val="000000"/>
      </a:dk1>
      <a:lt1>
        <a:sysClr val="window" lastClr="FFFFFF"/>
      </a:lt1>
      <a:dk2>
        <a:srgbClr val="000000"/>
      </a:dk2>
      <a:lt2>
        <a:srgbClr val="FFFFFF"/>
      </a:lt2>
      <a:accent1>
        <a:srgbClr val="000000"/>
      </a:accent1>
      <a:accent2>
        <a:srgbClr val="000000"/>
      </a:accent2>
      <a:accent3>
        <a:srgbClr val="000000"/>
      </a:accent3>
      <a:accent4>
        <a:srgbClr val="000000"/>
      </a:accent4>
      <a:accent5>
        <a:srgbClr val="000000"/>
      </a:accent5>
      <a:accent6>
        <a:srgbClr val="000000"/>
      </a:accent6>
      <a:hlink>
        <a:srgbClr val="000000"/>
      </a:hlink>
      <a:folHlink>
        <a:srgbClr val="000000"/>
      </a:folHlink>
    </a:clrScheme>
    <a:fontScheme name="Dissertatio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460EF0-6A0D-4FD6-8D29-401C2FD27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3109</TotalTime>
  <Pages>1</Pages>
  <Words>171958</Words>
  <Characters>980166</Characters>
  <Application>Microsoft Office Word</Application>
  <DocSecurity>0</DocSecurity>
  <Lines>8168</Lines>
  <Paragraphs>2299</Paragraphs>
  <ScaleCrop>false</ScaleCrop>
  <HeadingPairs>
    <vt:vector size="2" baseType="variant">
      <vt:variant>
        <vt:lpstr>Title</vt:lpstr>
      </vt:variant>
      <vt:variant>
        <vt:i4>1</vt:i4>
      </vt:variant>
    </vt:vector>
  </HeadingPairs>
  <TitlesOfParts>
    <vt:vector size="1" baseType="lpstr">
      <vt:lpstr/>
    </vt:vector>
  </TitlesOfParts>
  <Company>OU</Company>
  <LinksUpToDate>false</LinksUpToDate>
  <CharactersWithSpaces>1149825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Vaughan</dc:creator>
  <cp:lastModifiedBy>James Maner</cp:lastModifiedBy>
  <cp:revision>129</cp:revision>
  <cp:lastPrinted>2017-08-28T18:04:00Z</cp:lastPrinted>
  <dcterms:created xsi:type="dcterms:W3CDTF">2017-07-17T20:29:00Z</dcterms:created>
  <dcterms:modified xsi:type="dcterms:W3CDTF">2017-08-28T18:05:00Z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http://www.zotero.org/styles/american-mineralogist</vt:lpwstr>
  </property>
  <property fmtid="{D5CDD505-2E9C-101B-9397-08002B2CF9AE}" pid="5" name="Mendeley Recent Style Name 1_1">
    <vt:lpwstr>American Mineralogist</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American Political Science Association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6th edition</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vt:lpwstr>
  </property>
  <property fmtid="{D5CDD505-2E9C-101B-9397-08002B2CF9AE}" pid="12" name="Mendeley Recent Style Id 5_1">
    <vt:lpwstr>http://www.zotero.org/styles/chemical-geology</vt:lpwstr>
  </property>
  <property fmtid="{D5CDD505-2E9C-101B-9397-08002B2CF9AE}" pid="13" name="Mendeley Recent Style Name 5_1">
    <vt:lpwstr>Chemical Geology</vt:lpwstr>
  </property>
  <property fmtid="{D5CDD505-2E9C-101B-9397-08002B2CF9AE}" pid="14" name="Mendeley Recent Style Id 6_1">
    <vt:lpwstr>http://www.zotero.org/styles/chicago-author-date</vt:lpwstr>
  </property>
  <property fmtid="{D5CDD505-2E9C-101B-9397-08002B2CF9AE}" pid="15" name="Mendeley Recent Style Name 6_1">
    <vt:lpwstr>Chicago Manual of Style 16th edition (author-date)</vt:lpwstr>
  </property>
  <property fmtid="{D5CDD505-2E9C-101B-9397-08002B2CF9AE}" pid="16" name="Mendeley Recent Style Id 7_1">
    <vt:lpwstr>http://www.zotero.org/styles/contributions-to-mineralogy-and-petrology</vt:lpwstr>
  </property>
  <property fmtid="{D5CDD505-2E9C-101B-9397-08002B2CF9AE}" pid="17" name="Mendeley Recent Style Name 7_1">
    <vt:lpwstr>Contributions to Mineralogy and Petrology</vt:lpwstr>
  </property>
  <property fmtid="{D5CDD505-2E9C-101B-9397-08002B2CF9AE}" pid="18" name="Mendeley Recent Style Id 8_1">
    <vt:lpwstr>http://www.zotero.org/styles/harvard1</vt:lpwstr>
  </property>
  <property fmtid="{D5CDD505-2E9C-101B-9397-08002B2CF9AE}" pid="19" name="Mendeley Recent Style Name 8_1">
    <vt:lpwstr>Harvard Reference format 1 (author-date)</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7th edition</vt:lpwstr>
  </property>
  <property fmtid="{D5CDD505-2E9C-101B-9397-08002B2CF9AE}" pid="22" name="Mendeley Document_1">
    <vt:lpwstr>True</vt:lpwstr>
  </property>
  <property fmtid="{D5CDD505-2E9C-101B-9397-08002B2CF9AE}" pid="23" name="Mendeley Unique User Id_1">
    <vt:lpwstr>064f9c5b-3b39-366d-a77a-0f89aab823fb</vt:lpwstr>
  </property>
  <property fmtid="{D5CDD505-2E9C-101B-9397-08002B2CF9AE}" pid="24" name="Mendeley Citation Style_1">
    <vt:lpwstr>http://www.zotero.org/styles/chemical-geology</vt:lpwstr>
  </property>
</Properties>
</file>