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496D1" w14:textId="77777777" w:rsidR="0013007D" w:rsidRDefault="00516A86" w:rsidP="00516A86">
      <w:pPr>
        <w:spacing w:after="4" w:line="394" w:lineRule="auto"/>
        <w:jc w:val="center"/>
      </w:pPr>
      <w:r>
        <w:t>UNIVERSITY OF OKLAHOMA</w:t>
      </w:r>
    </w:p>
    <w:p w14:paraId="5E2B53B1" w14:textId="180F4772" w:rsidR="00516A86" w:rsidRDefault="00516A86" w:rsidP="00516A86">
      <w:pPr>
        <w:spacing w:after="4" w:line="394" w:lineRule="auto"/>
        <w:jc w:val="center"/>
      </w:pPr>
      <w:r>
        <w:t xml:space="preserve"> GRADUATE COLLEGE </w:t>
      </w:r>
    </w:p>
    <w:p w14:paraId="2D523A91" w14:textId="4F948C9F" w:rsidR="00516A86" w:rsidRDefault="00516A86" w:rsidP="00516A86">
      <w:pPr>
        <w:spacing w:line="259" w:lineRule="auto"/>
        <w:jc w:val="center"/>
      </w:pPr>
    </w:p>
    <w:p w14:paraId="469D9103" w14:textId="77777777" w:rsidR="00516A86" w:rsidRDefault="00516A86" w:rsidP="00516A86">
      <w:pPr>
        <w:spacing w:after="156" w:line="259" w:lineRule="auto"/>
        <w:jc w:val="center"/>
      </w:pPr>
      <w:r>
        <w:t xml:space="preserve"> </w:t>
      </w:r>
    </w:p>
    <w:p w14:paraId="25D0ECBE" w14:textId="77777777" w:rsidR="00516A86" w:rsidRDefault="00516A86" w:rsidP="00516A86">
      <w:pPr>
        <w:spacing w:line="259" w:lineRule="auto"/>
        <w:jc w:val="center"/>
      </w:pPr>
      <w:r>
        <w:t xml:space="preserve"> </w:t>
      </w:r>
    </w:p>
    <w:p w14:paraId="5B1707E5" w14:textId="77777777" w:rsidR="00516A86" w:rsidRDefault="00516A86" w:rsidP="00516A86">
      <w:pPr>
        <w:spacing w:after="156" w:line="259" w:lineRule="auto"/>
        <w:jc w:val="center"/>
      </w:pPr>
      <w:r>
        <w:t xml:space="preserve"> </w:t>
      </w:r>
    </w:p>
    <w:p w14:paraId="3936E990" w14:textId="3AD3566B" w:rsidR="00516A86" w:rsidRDefault="0013007D" w:rsidP="004D247B">
      <w:pPr>
        <w:jc w:val="center"/>
      </w:pPr>
      <w:r>
        <w:t>QUANTITATIVE SEISMIC INTERPRETATION AND MACHINE LEARNING APPLICATIONS FOR SUBSURFACE CHARACTERIZATION AND MODELING</w:t>
      </w:r>
    </w:p>
    <w:p w14:paraId="5ED41ECE" w14:textId="7AAC793F" w:rsidR="00516A86" w:rsidRDefault="00516A86" w:rsidP="00516A86">
      <w:pPr>
        <w:spacing w:after="156" w:line="259" w:lineRule="auto"/>
        <w:jc w:val="center"/>
      </w:pPr>
    </w:p>
    <w:p w14:paraId="0AAEB54F" w14:textId="77777777" w:rsidR="00516A86" w:rsidRDefault="00516A86" w:rsidP="00516A86">
      <w:pPr>
        <w:spacing w:line="259" w:lineRule="auto"/>
        <w:jc w:val="center"/>
      </w:pPr>
      <w:r>
        <w:t xml:space="preserve"> </w:t>
      </w:r>
    </w:p>
    <w:p w14:paraId="6B6E3D76" w14:textId="77777777" w:rsidR="00516A86" w:rsidRDefault="00516A86" w:rsidP="00516A86">
      <w:pPr>
        <w:spacing w:after="156" w:line="259" w:lineRule="auto"/>
        <w:jc w:val="center"/>
      </w:pPr>
      <w:r>
        <w:t xml:space="preserve"> </w:t>
      </w:r>
    </w:p>
    <w:p w14:paraId="7F38C6AF" w14:textId="77777777" w:rsidR="00516A86" w:rsidRDefault="00516A86" w:rsidP="00516A86">
      <w:pPr>
        <w:spacing w:after="157" w:line="260" w:lineRule="auto"/>
        <w:ind w:left="10" w:right="64"/>
        <w:jc w:val="center"/>
      </w:pPr>
      <w:r>
        <w:t xml:space="preserve">A DISSERTATION </w:t>
      </w:r>
    </w:p>
    <w:p w14:paraId="38AD9A1A" w14:textId="77777777" w:rsidR="004D247B" w:rsidRDefault="00516A86" w:rsidP="00516A86">
      <w:pPr>
        <w:spacing w:after="0" w:line="396" w:lineRule="auto"/>
        <w:ind w:left="1893" w:right="1887"/>
        <w:jc w:val="center"/>
      </w:pPr>
      <w:r>
        <w:t xml:space="preserve">SUBMITTED TO THE GRADUATE FACULTY </w:t>
      </w:r>
    </w:p>
    <w:p w14:paraId="7BE921D0" w14:textId="77777777" w:rsidR="004D247B" w:rsidRDefault="00516A86" w:rsidP="00516A86">
      <w:pPr>
        <w:spacing w:after="0" w:line="396" w:lineRule="auto"/>
        <w:ind w:left="1893" w:right="1887"/>
        <w:jc w:val="center"/>
      </w:pPr>
      <w:r>
        <w:t xml:space="preserve">in partial fulfillment of the requirements for the </w:t>
      </w:r>
    </w:p>
    <w:p w14:paraId="402B1A4A" w14:textId="76FDA67E" w:rsidR="00516A86" w:rsidRDefault="00516A86" w:rsidP="00516A86">
      <w:pPr>
        <w:spacing w:after="0" w:line="396" w:lineRule="auto"/>
        <w:ind w:left="1893" w:right="1887"/>
        <w:jc w:val="center"/>
      </w:pPr>
      <w:r>
        <w:t xml:space="preserve">Degree of </w:t>
      </w:r>
    </w:p>
    <w:p w14:paraId="509C6651" w14:textId="77777777" w:rsidR="00516A86" w:rsidRDefault="00516A86" w:rsidP="00516A86">
      <w:pPr>
        <w:spacing w:after="157" w:line="260" w:lineRule="auto"/>
        <w:ind w:left="10" w:right="68"/>
        <w:jc w:val="center"/>
      </w:pPr>
      <w:r>
        <w:t xml:space="preserve">DOCTOR OF PHILOSOPHY </w:t>
      </w:r>
    </w:p>
    <w:p w14:paraId="1B0E1EAC" w14:textId="2F8650F0" w:rsidR="00516A86" w:rsidRDefault="00516A86" w:rsidP="00941801">
      <w:pPr>
        <w:spacing w:after="156" w:line="259" w:lineRule="auto"/>
      </w:pPr>
    </w:p>
    <w:p w14:paraId="3976B232" w14:textId="77777777" w:rsidR="004D247B" w:rsidRDefault="004D247B" w:rsidP="004E41A1">
      <w:pPr>
        <w:spacing w:line="259" w:lineRule="auto"/>
        <w:jc w:val="center"/>
      </w:pPr>
    </w:p>
    <w:p w14:paraId="2581B872" w14:textId="199EF365" w:rsidR="00516A86" w:rsidRDefault="00516A86" w:rsidP="004E41A1">
      <w:pPr>
        <w:spacing w:line="259" w:lineRule="auto"/>
        <w:jc w:val="center"/>
      </w:pPr>
      <w:r>
        <w:t xml:space="preserve">By </w:t>
      </w:r>
    </w:p>
    <w:p w14:paraId="1F7CF8D0" w14:textId="77777777" w:rsidR="004D247B" w:rsidRPr="004D247B" w:rsidRDefault="0013007D" w:rsidP="004D247B">
      <w:pPr>
        <w:pStyle w:val="NoSpacing"/>
        <w:jc w:val="center"/>
      </w:pPr>
      <w:r w:rsidRPr="004D247B">
        <w:t>ABIDIN BERK CAF</w:t>
      </w:r>
    </w:p>
    <w:p w14:paraId="1328FE64" w14:textId="28AF779E" w:rsidR="004E41A1" w:rsidRPr="004D247B" w:rsidRDefault="00516A86" w:rsidP="004D247B">
      <w:pPr>
        <w:pStyle w:val="NoSpacing"/>
        <w:jc w:val="center"/>
      </w:pPr>
      <w:r w:rsidRPr="004D247B">
        <w:t>Norman, Oklahoma</w:t>
      </w:r>
    </w:p>
    <w:p w14:paraId="0D3BDF0B" w14:textId="77777777" w:rsidR="004E41A1" w:rsidRDefault="004E41A1" w:rsidP="004D247B">
      <w:pPr>
        <w:pStyle w:val="NoSpacing"/>
        <w:jc w:val="center"/>
      </w:pPr>
      <w:r w:rsidRPr="004D247B">
        <w:t>2022</w:t>
      </w:r>
      <w:r>
        <w:br w:type="page"/>
      </w:r>
    </w:p>
    <w:p w14:paraId="585968AE" w14:textId="268E801B" w:rsidR="006A2059" w:rsidRDefault="006A2059" w:rsidP="00AB4DA5">
      <w:pPr>
        <w:jc w:val="center"/>
      </w:pPr>
      <w:r>
        <w:lastRenderedPageBreak/>
        <w:t>QUANTITATIVE SEISMIC INTERPRETATION AND MACHINE LEARNING APPLICATIONS FOR SUBSURFACE CHARACTERIZATION AND MODELING</w:t>
      </w:r>
    </w:p>
    <w:p w14:paraId="35ABCC17" w14:textId="77777777" w:rsidR="00C9020A" w:rsidRDefault="00C9020A" w:rsidP="00516A86">
      <w:pPr>
        <w:spacing w:after="156" w:line="259" w:lineRule="auto"/>
        <w:jc w:val="center"/>
      </w:pPr>
    </w:p>
    <w:p w14:paraId="064821B9" w14:textId="21BB9E12" w:rsidR="00516A86" w:rsidRDefault="00516A86" w:rsidP="00516A86">
      <w:pPr>
        <w:spacing w:after="156" w:line="259" w:lineRule="auto"/>
        <w:jc w:val="center"/>
      </w:pPr>
      <w:r>
        <w:t xml:space="preserve"> </w:t>
      </w:r>
    </w:p>
    <w:p w14:paraId="5262A3EE" w14:textId="77777777" w:rsidR="00FC4280" w:rsidRDefault="00FC4280" w:rsidP="00516A86">
      <w:pPr>
        <w:spacing w:line="259" w:lineRule="auto"/>
        <w:jc w:val="center"/>
      </w:pPr>
      <w:r>
        <w:t>A DISSERTATION APPROVED FOR THE</w:t>
      </w:r>
    </w:p>
    <w:p w14:paraId="460B59B0" w14:textId="44B4425C" w:rsidR="00516A86" w:rsidRDefault="00FC4280" w:rsidP="00516A86">
      <w:pPr>
        <w:spacing w:line="259" w:lineRule="auto"/>
        <w:jc w:val="center"/>
      </w:pPr>
      <w:r>
        <w:t xml:space="preserve"> SCHOOL OF GEOSCIENCES</w:t>
      </w:r>
    </w:p>
    <w:p w14:paraId="3C7C8842" w14:textId="77777777" w:rsidR="00516A86" w:rsidRDefault="00516A86" w:rsidP="00516A86">
      <w:pPr>
        <w:spacing w:after="156" w:line="259" w:lineRule="auto"/>
        <w:jc w:val="center"/>
      </w:pPr>
      <w:r>
        <w:t xml:space="preserve"> </w:t>
      </w:r>
    </w:p>
    <w:p w14:paraId="10842538" w14:textId="77777777" w:rsidR="00516A86" w:rsidRDefault="00516A86" w:rsidP="00516A86">
      <w:pPr>
        <w:spacing w:line="259" w:lineRule="auto"/>
        <w:jc w:val="center"/>
      </w:pPr>
      <w:r>
        <w:t xml:space="preserve"> </w:t>
      </w:r>
    </w:p>
    <w:p w14:paraId="389495A2" w14:textId="77777777" w:rsidR="00516A86" w:rsidRDefault="00516A86" w:rsidP="00516A86">
      <w:pPr>
        <w:spacing w:after="156" w:line="259" w:lineRule="auto"/>
        <w:jc w:val="center"/>
      </w:pPr>
      <w:r>
        <w:t xml:space="preserve"> </w:t>
      </w:r>
    </w:p>
    <w:p w14:paraId="373D3BD9" w14:textId="77777777" w:rsidR="00516A86" w:rsidRDefault="00516A86" w:rsidP="00516A86">
      <w:pPr>
        <w:spacing w:after="159" w:line="259" w:lineRule="auto"/>
        <w:jc w:val="center"/>
      </w:pPr>
      <w:r>
        <w:t xml:space="preserve"> </w:t>
      </w:r>
    </w:p>
    <w:p w14:paraId="432DBF0F" w14:textId="77777777" w:rsidR="00516A86" w:rsidRDefault="00516A86" w:rsidP="00516A86">
      <w:pPr>
        <w:spacing w:after="156" w:line="259" w:lineRule="auto"/>
        <w:jc w:val="center"/>
      </w:pPr>
      <w:r>
        <w:t xml:space="preserve"> </w:t>
      </w:r>
    </w:p>
    <w:p w14:paraId="4D078A60" w14:textId="77777777" w:rsidR="00516A86" w:rsidRDefault="00516A86" w:rsidP="00516A86">
      <w:pPr>
        <w:spacing w:after="157" w:line="260" w:lineRule="auto"/>
        <w:ind w:left="10" w:right="61"/>
        <w:jc w:val="center"/>
      </w:pPr>
      <w:r>
        <w:t xml:space="preserve">BY THE COMMITTEE CONSISTING OF </w:t>
      </w:r>
    </w:p>
    <w:p w14:paraId="35545C3E" w14:textId="77777777" w:rsidR="00516A86" w:rsidRDefault="00516A86" w:rsidP="00516A86">
      <w:pPr>
        <w:spacing w:line="259" w:lineRule="auto"/>
        <w:jc w:val="center"/>
      </w:pPr>
      <w:r>
        <w:t xml:space="preserve"> </w:t>
      </w:r>
    </w:p>
    <w:p w14:paraId="0063886D" w14:textId="77777777" w:rsidR="00516A86" w:rsidRDefault="00516A86" w:rsidP="00516A86">
      <w:pPr>
        <w:spacing w:after="156" w:line="259" w:lineRule="auto"/>
        <w:jc w:val="center"/>
      </w:pPr>
      <w:r>
        <w:t xml:space="preserve"> </w:t>
      </w:r>
    </w:p>
    <w:p w14:paraId="05755F2B" w14:textId="77777777" w:rsidR="00516A86" w:rsidRDefault="00516A86" w:rsidP="00516A86">
      <w:pPr>
        <w:spacing w:line="259" w:lineRule="auto"/>
        <w:jc w:val="center"/>
      </w:pPr>
      <w:r>
        <w:t xml:space="preserve"> </w:t>
      </w:r>
    </w:p>
    <w:p w14:paraId="02D0B67D" w14:textId="77777777" w:rsidR="00516A86" w:rsidRDefault="00516A86" w:rsidP="007F7570">
      <w:pPr>
        <w:spacing w:after="406"/>
        <w:ind w:left="10" w:right="56"/>
        <w:jc w:val="right"/>
      </w:pPr>
      <w:r>
        <w:t xml:space="preserve">Dr. Matthew J. Pranter, Chair </w:t>
      </w:r>
    </w:p>
    <w:p w14:paraId="1BF58E4C" w14:textId="2EA20D1B" w:rsidR="00516A86" w:rsidRDefault="00516A86" w:rsidP="007F7570">
      <w:pPr>
        <w:spacing w:after="406"/>
        <w:ind w:left="10" w:right="56"/>
        <w:jc w:val="right"/>
      </w:pPr>
      <w:r>
        <w:t xml:space="preserve">Dr. Kurt J. Marfurt </w:t>
      </w:r>
    </w:p>
    <w:p w14:paraId="3660C5B5" w14:textId="77777777" w:rsidR="00516A86" w:rsidRDefault="00516A86" w:rsidP="007F7570">
      <w:pPr>
        <w:spacing w:after="406"/>
        <w:ind w:left="10" w:right="56"/>
        <w:jc w:val="right"/>
      </w:pPr>
      <w:r>
        <w:t xml:space="preserve">Dr. Heather Bedle </w:t>
      </w:r>
    </w:p>
    <w:p w14:paraId="0D528CE4" w14:textId="2F5A102F" w:rsidR="00FC4280" w:rsidRDefault="00516A86" w:rsidP="007F7570">
      <w:pPr>
        <w:spacing w:after="406"/>
        <w:ind w:left="10" w:right="56"/>
        <w:jc w:val="right"/>
      </w:pPr>
      <w:r>
        <w:t xml:space="preserve">Dr. </w:t>
      </w:r>
      <w:r w:rsidR="00FC4280">
        <w:t xml:space="preserve">Brett </w:t>
      </w:r>
      <w:r w:rsidR="00353234">
        <w:t>M. Carpenter</w:t>
      </w:r>
    </w:p>
    <w:p w14:paraId="79CC5154" w14:textId="4F007239" w:rsidR="00C9020A" w:rsidRDefault="00FC4280" w:rsidP="00C9020A">
      <w:pPr>
        <w:spacing w:after="406"/>
        <w:ind w:left="10" w:right="56"/>
        <w:jc w:val="right"/>
      </w:pPr>
      <w:r>
        <w:t xml:space="preserve">Dr. </w:t>
      </w:r>
      <w:r w:rsidR="00240BBC">
        <w:t xml:space="preserve">Chandra Rai </w:t>
      </w:r>
      <w:r w:rsidR="00516A86">
        <w:t xml:space="preserve"> </w:t>
      </w:r>
      <w:r w:rsidR="00C9020A">
        <w:br w:type="page"/>
      </w:r>
    </w:p>
    <w:p w14:paraId="45F03705" w14:textId="645EF7A9" w:rsidR="00516A86" w:rsidRDefault="00516A86" w:rsidP="009B182B">
      <w:pPr>
        <w:spacing w:after="412" w:line="259" w:lineRule="auto"/>
        <w:jc w:val="center"/>
      </w:pPr>
    </w:p>
    <w:p w14:paraId="2B7B9C4D" w14:textId="2A5002E9" w:rsidR="00516A86" w:rsidRDefault="00516A86" w:rsidP="009B182B">
      <w:pPr>
        <w:spacing w:after="0" w:line="259" w:lineRule="auto"/>
        <w:jc w:val="center"/>
      </w:pPr>
    </w:p>
    <w:p w14:paraId="4027F583" w14:textId="5A8C696D" w:rsidR="00516A86" w:rsidRDefault="00516A86" w:rsidP="009B182B">
      <w:pPr>
        <w:spacing w:after="412" w:line="259" w:lineRule="auto"/>
        <w:jc w:val="center"/>
      </w:pPr>
    </w:p>
    <w:p w14:paraId="58027DA0" w14:textId="57B5710F" w:rsidR="00516A86" w:rsidRDefault="00516A86" w:rsidP="009B182B">
      <w:pPr>
        <w:spacing w:after="412" w:line="259" w:lineRule="auto"/>
        <w:jc w:val="center"/>
      </w:pPr>
    </w:p>
    <w:p w14:paraId="729A5790" w14:textId="66BF2CF4" w:rsidR="00516A86" w:rsidRDefault="00516A86" w:rsidP="009B182B">
      <w:pPr>
        <w:spacing w:after="412" w:line="259" w:lineRule="auto"/>
        <w:jc w:val="center"/>
      </w:pPr>
    </w:p>
    <w:p w14:paraId="261E137E" w14:textId="4F2C8B0B" w:rsidR="00516A86" w:rsidRDefault="00516A86" w:rsidP="009B182B">
      <w:pPr>
        <w:spacing w:after="412" w:line="259" w:lineRule="auto"/>
        <w:jc w:val="center"/>
      </w:pPr>
    </w:p>
    <w:p w14:paraId="6ADE9D11" w14:textId="7ADF0F3E" w:rsidR="00516A86" w:rsidRDefault="00516A86" w:rsidP="009B182B">
      <w:pPr>
        <w:spacing w:after="412" w:line="259" w:lineRule="auto"/>
        <w:jc w:val="center"/>
      </w:pPr>
    </w:p>
    <w:p w14:paraId="793C7C46" w14:textId="5A58AD17" w:rsidR="00516A86" w:rsidRDefault="00516A86" w:rsidP="009B182B">
      <w:pPr>
        <w:spacing w:after="412" w:line="259" w:lineRule="auto"/>
        <w:jc w:val="center"/>
      </w:pPr>
    </w:p>
    <w:p w14:paraId="2078873D" w14:textId="16F53708" w:rsidR="00516A86" w:rsidRDefault="00516A86" w:rsidP="009B182B">
      <w:pPr>
        <w:spacing w:after="411" w:line="259" w:lineRule="auto"/>
        <w:jc w:val="center"/>
      </w:pPr>
    </w:p>
    <w:p w14:paraId="4AE8E1BD" w14:textId="584CE20E" w:rsidR="00516A86" w:rsidRDefault="00516A86" w:rsidP="009B182B">
      <w:pPr>
        <w:spacing w:after="412" w:line="259" w:lineRule="auto"/>
        <w:jc w:val="center"/>
      </w:pPr>
    </w:p>
    <w:p w14:paraId="6328DA70" w14:textId="18891D1D" w:rsidR="00516A86" w:rsidRDefault="00516A86" w:rsidP="009B182B">
      <w:pPr>
        <w:spacing w:after="412" w:line="259" w:lineRule="auto"/>
        <w:jc w:val="center"/>
      </w:pPr>
    </w:p>
    <w:p w14:paraId="3150DF2B" w14:textId="5F2E95D5" w:rsidR="00516A86" w:rsidRDefault="00516A86" w:rsidP="009B182B">
      <w:pPr>
        <w:spacing w:after="412" w:line="259" w:lineRule="auto"/>
        <w:jc w:val="center"/>
      </w:pPr>
    </w:p>
    <w:p w14:paraId="068E3E5B" w14:textId="19370457" w:rsidR="00516A86" w:rsidRDefault="00516A86" w:rsidP="009B182B">
      <w:pPr>
        <w:spacing w:after="412" w:line="259" w:lineRule="auto"/>
        <w:jc w:val="center"/>
      </w:pPr>
    </w:p>
    <w:p w14:paraId="19FAD259" w14:textId="7F591F44" w:rsidR="00516A86" w:rsidRDefault="00516A86" w:rsidP="009B182B">
      <w:pPr>
        <w:spacing w:after="411" w:line="259" w:lineRule="auto"/>
        <w:jc w:val="center"/>
      </w:pPr>
    </w:p>
    <w:p w14:paraId="191170E9" w14:textId="4D256233" w:rsidR="001C3566" w:rsidRDefault="001C3566" w:rsidP="009B182B">
      <w:pPr>
        <w:spacing w:after="411" w:line="259" w:lineRule="auto"/>
        <w:jc w:val="center"/>
      </w:pPr>
    </w:p>
    <w:p w14:paraId="2E352A47" w14:textId="48A3A0E9" w:rsidR="001C3566" w:rsidRDefault="001C3566" w:rsidP="009B182B">
      <w:pPr>
        <w:spacing w:after="411" w:line="259" w:lineRule="auto"/>
        <w:jc w:val="center"/>
      </w:pPr>
    </w:p>
    <w:p w14:paraId="716416A1" w14:textId="77777777" w:rsidR="001C3566" w:rsidRDefault="001C3566" w:rsidP="009B182B">
      <w:pPr>
        <w:spacing w:after="411" w:line="259" w:lineRule="auto"/>
        <w:jc w:val="center"/>
      </w:pPr>
    </w:p>
    <w:p w14:paraId="42667B6F" w14:textId="77777777" w:rsidR="007F7570" w:rsidRDefault="007F7570" w:rsidP="007F7570">
      <w:pPr>
        <w:spacing w:after="411" w:line="260" w:lineRule="auto"/>
        <w:ind w:left="10" w:right="65"/>
        <w:jc w:val="center"/>
      </w:pPr>
      <w:r>
        <w:t xml:space="preserve">© Copyright by ABIDIN BERK CAF 2022 </w:t>
      </w:r>
    </w:p>
    <w:p w14:paraId="192E83CD" w14:textId="77777777" w:rsidR="00DB7299" w:rsidRDefault="007F7570" w:rsidP="001C3566">
      <w:pPr>
        <w:spacing w:after="411" w:line="260" w:lineRule="auto"/>
        <w:ind w:left="10" w:right="57"/>
        <w:jc w:val="center"/>
        <w:sectPr w:rsidR="00DB7299" w:rsidSect="00B47D9D">
          <w:footerReference w:type="first" r:id="rId8"/>
          <w:type w:val="continuous"/>
          <w:pgSz w:w="12240" w:h="15840"/>
          <w:pgMar w:top="1440" w:right="1440" w:bottom="1440" w:left="1440" w:header="720" w:footer="720" w:gutter="0"/>
          <w:pgNumType w:start="1"/>
          <w:cols w:space="720"/>
          <w:docGrid w:linePitch="360"/>
        </w:sectPr>
      </w:pPr>
      <w:r>
        <w:t>All Rights Reserved.</w:t>
      </w:r>
    </w:p>
    <w:p w14:paraId="72DC100A" w14:textId="23DCF8ED" w:rsidR="001C3566" w:rsidRDefault="001C3566" w:rsidP="001C3566">
      <w:pPr>
        <w:spacing w:after="411" w:line="260" w:lineRule="auto"/>
        <w:ind w:left="10" w:right="57"/>
        <w:jc w:val="center"/>
      </w:pPr>
    </w:p>
    <w:p w14:paraId="57F29932" w14:textId="77777777" w:rsidR="0064157F" w:rsidRDefault="001959FF" w:rsidP="0064157F">
      <w:pPr>
        <w:jc w:val="left"/>
        <w:rPr>
          <w:rStyle w:val="authorortitle"/>
        </w:rPr>
      </w:pPr>
      <w:r w:rsidRPr="008A73EC">
        <w:rPr>
          <w:sz w:val="28"/>
          <w:szCs w:val="24"/>
        </w:rPr>
        <w:t xml:space="preserve">“If one day, my words are against science, choose science.” </w:t>
      </w:r>
      <w:r>
        <w:br/>
      </w:r>
    </w:p>
    <w:p w14:paraId="175171D8" w14:textId="77777777" w:rsidR="0043776A" w:rsidRDefault="001959FF" w:rsidP="008A73EC">
      <w:pPr>
        <w:jc w:val="right"/>
        <w:rPr>
          <w:rStyle w:val="authorortitle"/>
        </w:rPr>
      </w:pPr>
      <w:r>
        <w:rPr>
          <w:rStyle w:val="authorortitle"/>
        </w:rPr>
        <w:t>Mustafa Kemal Atatürk</w:t>
      </w:r>
      <w:bookmarkStart w:id="0" w:name="_Toc115155602"/>
    </w:p>
    <w:p w14:paraId="6C017E3A" w14:textId="77777777" w:rsidR="0043776A" w:rsidRDefault="0043776A">
      <w:pPr>
        <w:spacing w:line="240" w:lineRule="auto"/>
        <w:rPr>
          <w:rStyle w:val="authorortitle"/>
        </w:rPr>
      </w:pPr>
      <w:r>
        <w:rPr>
          <w:rStyle w:val="authorortitle"/>
        </w:rPr>
        <w:br w:type="page"/>
      </w:r>
    </w:p>
    <w:p w14:paraId="2C045B52" w14:textId="2A892FF4" w:rsidR="00516A86" w:rsidRDefault="00A46393" w:rsidP="0043776A">
      <w:pPr>
        <w:pStyle w:val="Heading1"/>
      </w:pPr>
      <w:bookmarkStart w:id="1" w:name="_Toc121095922"/>
      <w:r w:rsidRPr="009D0E08">
        <w:lastRenderedPageBreak/>
        <w:t>Acknowledgments</w:t>
      </w:r>
      <w:bookmarkEnd w:id="0"/>
      <w:bookmarkEnd w:id="1"/>
    </w:p>
    <w:p w14:paraId="34191F67" w14:textId="7ABC966F" w:rsidR="00E52575" w:rsidRDefault="002877F7" w:rsidP="001133AC">
      <w:pPr>
        <w:spacing w:after="157"/>
        <w:ind w:firstLine="720"/>
      </w:pPr>
      <w:r>
        <w:t xml:space="preserve">I want to thank my committee members: Dr. Matthew Pranter, Dr. Kurt Marfurt, Dr. Heather Bedle, Dr. </w:t>
      </w:r>
      <w:r w:rsidR="00F33B33">
        <w:t>Brett Carpenter</w:t>
      </w:r>
      <w:r>
        <w:t xml:space="preserve">, and Dr. </w:t>
      </w:r>
      <w:r w:rsidR="000C6C18">
        <w:t>Chandra Rai</w:t>
      </w:r>
      <w:r>
        <w:t>, for their</w:t>
      </w:r>
      <w:r w:rsidR="00793A80">
        <w:t xml:space="preserve"> input for this work</w:t>
      </w:r>
      <w:r>
        <w:t xml:space="preserve"> and </w:t>
      </w:r>
      <w:r w:rsidR="00793A80">
        <w:t xml:space="preserve">their </w:t>
      </w:r>
      <w:r>
        <w:t xml:space="preserve">encouragement. I am very thankful for my supervisor Dr. Matthew Pranter, who </w:t>
      </w:r>
      <w:r w:rsidR="00A53589">
        <w:t>helped</w:t>
      </w:r>
      <w:r w:rsidR="00077610">
        <w:t xml:space="preserve"> me</w:t>
      </w:r>
      <w:r>
        <w:t xml:space="preserve"> to grow professionally as a</w:t>
      </w:r>
      <w:r w:rsidR="00A53589">
        <w:t xml:space="preserve">n instructor </w:t>
      </w:r>
      <w:r>
        <w:t>and</w:t>
      </w:r>
      <w:r w:rsidR="00A53589">
        <w:t xml:space="preserve"> a </w:t>
      </w:r>
      <w:r>
        <w:t xml:space="preserve">geoscientist. I am highly grateful for his support and advice. </w:t>
      </w:r>
      <w:r w:rsidR="00E52575">
        <w:t xml:space="preserve">I would also like to thank Dr. John D. Pigott </w:t>
      </w:r>
      <w:r w:rsidR="00CC064C">
        <w:t xml:space="preserve">for his guidance and support </w:t>
      </w:r>
      <w:r w:rsidR="0006272D">
        <w:t>throughout</w:t>
      </w:r>
      <w:r w:rsidR="00CC064C">
        <w:t xml:space="preserve"> my first </w:t>
      </w:r>
      <w:r w:rsidR="009F669F">
        <w:t xml:space="preserve">and second </w:t>
      </w:r>
      <w:r w:rsidR="00CC064C">
        <w:t>years in my Ph</w:t>
      </w:r>
      <w:r w:rsidR="00A53589">
        <w:t>.D.</w:t>
      </w:r>
      <w:r w:rsidR="00CC064C">
        <w:t xml:space="preserve"> </w:t>
      </w:r>
      <w:r w:rsidR="00DC60FF">
        <w:t xml:space="preserve">program. </w:t>
      </w:r>
      <w:r w:rsidR="008E3D6F">
        <w:t>Additionally,</w:t>
      </w:r>
      <w:r w:rsidR="008E3D6F" w:rsidRPr="003635B3">
        <w:t xml:space="preserve"> I</w:t>
      </w:r>
      <w:r w:rsidR="003635B3">
        <w:t xml:space="preserve"> w</w:t>
      </w:r>
      <w:r w:rsidR="00A53589">
        <w:t>ant</w:t>
      </w:r>
      <w:r w:rsidR="003635B3">
        <w:t xml:space="preserve"> to acknowledge Schlumberger (Petrel), CGG (</w:t>
      </w:r>
      <w:r w:rsidR="00184F3D">
        <w:t>Hampson Russell</w:t>
      </w:r>
      <w:r w:rsidR="003635B3">
        <w:t>), and the OU Attribute Assisted Seismic Processing and Interpretation (AASPI) Consortium for software.</w:t>
      </w:r>
    </w:p>
    <w:p w14:paraId="743DF8C3" w14:textId="70C0EB5E" w:rsidR="001133AC" w:rsidRDefault="006D02EC" w:rsidP="00897E1A">
      <w:pPr>
        <w:spacing w:after="157"/>
        <w:ind w:firstLine="720"/>
      </w:pPr>
      <w:r>
        <w:t xml:space="preserve">Another special thanks </w:t>
      </w:r>
      <w:r w:rsidR="00D3694E">
        <w:t>go</w:t>
      </w:r>
      <w:r>
        <w:t xml:space="preserve"> out t</w:t>
      </w:r>
      <w:r w:rsidR="002877F7">
        <w:t xml:space="preserve">o the </w:t>
      </w:r>
      <w:r w:rsidR="00E52575">
        <w:t>school</w:t>
      </w:r>
      <w:r w:rsidR="002877F7">
        <w:t xml:space="preserve"> of geosciences and the administrative staff, Rebecca, Ginger, Ashley, and Leah</w:t>
      </w:r>
      <w:r w:rsidR="00FB46A6">
        <w:t>. T</w:t>
      </w:r>
      <w:r w:rsidR="002877F7">
        <w:t>hank you so much for helping me whenever I needed</w:t>
      </w:r>
      <w:r w:rsidR="00FB46A6">
        <w:t xml:space="preserve"> it</w:t>
      </w:r>
      <w:r w:rsidR="00EB524B">
        <w:t>.</w:t>
      </w:r>
      <w:r w:rsidR="003E0A7D">
        <w:t xml:space="preserve"> </w:t>
      </w:r>
      <w:r w:rsidR="00897E1A">
        <w:t>I w</w:t>
      </w:r>
      <w:r w:rsidR="00FB46A6">
        <w:t>ant</w:t>
      </w:r>
      <w:r w:rsidR="00897E1A">
        <w:t xml:space="preserve"> to thank the</w:t>
      </w:r>
      <w:r w:rsidR="00596D19">
        <w:t xml:space="preserve"> students of the</w:t>
      </w:r>
      <w:r w:rsidR="00897E1A">
        <w:t xml:space="preserve"> RCML group, both past and present, a</w:t>
      </w:r>
      <w:r w:rsidR="00596D19">
        <w:t>nd</w:t>
      </w:r>
      <w:r w:rsidR="00897E1A">
        <w:t xml:space="preserve"> all of the friends I have made during my time here at OU for their support and friendship. I would</w:t>
      </w:r>
      <w:r w:rsidR="009B341D">
        <w:t xml:space="preserve"> also</w:t>
      </w:r>
      <w:r w:rsidR="00897E1A">
        <w:t xml:space="preserve"> like to thank my parents and </w:t>
      </w:r>
      <w:r w:rsidR="009B341D">
        <w:t>extended</w:t>
      </w:r>
      <w:r w:rsidR="00897E1A">
        <w:t xml:space="preserve"> family for their love and support.</w:t>
      </w:r>
    </w:p>
    <w:p w14:paraId="21D95683" w14:textId="414F31B0" w:rsidR="009D6383" w:rsidRDefault="000C7C59" w:rsidP="000C544B">
      <w:pPr>
        <w:spacing w:after="157"/>
        <w:ind w:firstLine="720"/>
      </w:pPr>
      <w:r>
        <w:t>Above all, I would like to thank you</w:t>
      </w:r>
      <w:r w:rsidR="007341F1">
        <w:t>,</w:t>
      </w:r>
      <w:r>
        <w:t xml:space="preserve"> Hannah. </w:t>
      </w:r>
      <w:r w:rsidR="000F4CBF">
        <w:t xml:space="preserve">Thanks for putting up with me during </w:t>
      </w:r>
      <w:r w:rsidR="007341F1">
        <w:t>the</w:t>
      </w:r>
      <w:r w:rsidR="00347F04">
        <w:t xml:space="preserve"> busiest and most </w:t>
      </w:r>
      <w:r w:rsidR="009B76E4">
        <w:t>stressful times</w:t>
      </w:r>
      <w:r w:rsidR="00347F04">
        <w:t xml:space="preserve"> of my life.</w:t>
      </w:r>
      <w:r w:rsidR="009B76E4">
        <w:t xml:space="preserve"> </w:t>
      </w:r>
      <w:r w:rsidR="00347F04">
        <w:t>Y</w:t>
      </w:r>
      <w:r w:rsidR="009B76E4">
        <w:t>our care and support</w:t>
      </w:r>
      <w:r w:rsidR="00AC75A8">
        <w:t xml:space="preserve"> helped me achieve this </w:t>
      </w:r>
      <w:r w:rsidR="00E3783D">
        <w:t>colossal task.</w:t>
      </w:r>
      <w:r w:rsidR="009D6383">
        <w:br w:type="page"/>
      </w:r>
    </w:p>
    <w:p w14:paraId="1F3B3D08" w14:textId="77043241" w:rsidR="000C544B" w:rsidRDefault="000C544B" w:rsidP="009D0E08">
      <w:pPr>
        <w:pStyle w:val="Heading1"/>
      </w:pPr>
      <w:bookmarkStart w:id="2" w:name="_Toc117396767"/>
      <w:bookmarkStart w:id="3" w:name="_Toc121095923"/>
      <w:r>
        <w:lastRenderedPageBreak/>
        <w:t>Table of Contents</w:t>
      </w:r>
      <w:bookmarkEnd w:id="2"/>
      <w:bookmarkEnd w:id="3"/>
    </w:p>
    <w:p w14:paraId="7A20AAF1" w14:textId="119AD3A7" w:rsidR="00CC50AB" w:rsidRDefault="000C544B">
      <w:pPr>
        <w:pStyle w:val="TOC1"/>
        <w:rPr>
          <w:rFonts w:asciiTheme="minorHAnsi" w:hAnsiTheme="minorHAnsi" w:cstheme="minorBidi"/>
          <w:b w:val="0"/>
          <w:noProof/>
          <w:sz w:val="22"/>
        </w:rPr>
      </w:pPr>
      <w:r>
        <w:fldChar w:fldCharType="begin"/>
      </w:r>
      <w:r>
        <w:instrText xml:space="preserve"> TOC \o "1-3" \h \z \u </w:instrText>
      </w:r>
      <w:r>
        <w:fldChar w:fldCharType="separate"/>
      </w:r>
      <w:hyperlink w:anchor="_Toc121095922" w:history="1">
        <w:r w:rsidR="00CC50AB" w:rsidRPr="00C40EED">
          <w:rPr>
            <w:rStyle w:val="Hyperlink"/>
            <w:noProof/>
          </w:rPr>
          <w:t>Acknowledgments</w:t>
        </w:r>
        <w:r w:rsidR="00CC50AB">
          <w:rPr>
            <w:noProof/>
            <w:webHidden/>
          </w:rPr>
          <w:tab/>
        </w:r>
        <w:r w:rsidR="00CC50AB">
          <w:rPr>
            <w:noProof/>
            <w:webHidden/>
          </w:rPr>
          <w:fldChar w:fldCharType="begin"/>
        </w:r>
        <w:r w:rsidR="00CC50AB">
          <w:rPr>
            <w:noProof/>
            <w:webHidden/>
          </w:rPr>
          <w:instrText xml:space="preserve"> PAGEREF _Toc121095922 \h </w:instrText>
        </w:r>
        <w:r w:rsidR="00CC50AB">
          <w:rPr>
            <w:noProof/>
            <w:webHidden/>
          </w:rPr>
        </w:r>
        <w:r w:rsidR="00CC50AB">
          <w:rPr>
            <w:noProof/>
            <w:webHidden/>
          </w:rPr>
          <w:fldChar w:fldCharType="separate"/>
        </w:r>
        <w:r w:rsidR="00B52D1E">
          <w:rPr>
            <w:noProof/>
            <w:webHidden/>
          </w:rPr>
          <w:t>v</w:t>
        </w:r>
        <w:r w:rsidR="00CC50AB">
          <w:rPr>
            <w:noProof/>
            <w:webHidden/>
          </w:rPr>
          <w:fldChar w:fldCharType="end"/>
        </w:r>
      </w:hyperlink>
    </w:p>
    <w:p w14:paraId="524AE5D2" w14:textId="67C609DC" w:rsidR="00CC50AB" w:rsidRDefault="00000000">
      <w:pPr>
        <w:pStyle w:val="TOC1"/>
        <w:rPr>
          <w:rFonts w:asciiTheme="minorHAnsi" w:hAnsiTheme="minorHAnsi" w:cstheme="minorBidi"/>
          <w:b w:val="0"/>
          <w:noProof/>
          <w:sz w:val="22"/>
        </w:rPr>
      </w:pPr>
      <w:hyperlink w:anchor="_Toc121095923" w:history="1">
        <w:r w:rsidR="00CC50AB" w:rsidRPr="00C40EED">
          <w:rPr>
            <w:rStyle w:val="Hyperlink"/>
            <w:noProof/>
          </w:rPr>
          <w:t>Table of Contents</w:t>
        </w:r>
        <w:r w:rsidR="00CC50AB">
          <w:rPr>
            <w:noProof/>
            <w:webHidden/>
          </w:rPr>
          <w:tab/>
        </w:r>
        <w:r w:rsidR="00CC50AB">
          <w:rPr>
            <w:noProof/>
            <w:webHidden/>
          </w:rPr>
          <w:fldChar w:fldCharType="begin"/>
        </w:r>
        <w:r w:rsidR="00CC50AB">
          <w:rPr>
            <w:noProof/>
            <w:webHidden/>
          </w:rPr>
          <w:instrText xml:space="preserve"> PAGEREF _Toc121095923 \h </w:instrText>
        </w:r>
        <w:r w:rsidR="00CC50AB">
          <w:rPr>
            <w:noProof/>
            <w:webHidden/>
          </w:rPr>
        </w:r>
        <w:r w:rsidR="00CC50AB">
          <w:rPr>
            <w:noProof/>
            <w:webHidden/>
          </w:rPr>
          <w:fldChar w:fldCharType="separate"/>
        </w:r>
        <w:r w:rsidR="00B52D1E">
          <w:rPr>
            <w:noProof/>
            <w:webHidden/>
          </w:rPr>
          <w:t>vi</w:t>
        </w:r>
        <w:r w:rsidR="00CC50AB">
          <w:rPr>
            <w:noProof/>
            <w:webHidden/>
          </w:rPr>
          <w:fldChar w:fldCharType="end"/>
        </w:r>
      </w:hyperlink>
    </w:p>
    <w:p w14:paraId="1E5F9650" w14:textId="32B9D1AE" w:rsidR="00CC50AB" w:rsidRDefault="00000000">
      <w:pPr>
        <w:pStyle w:val="TOC1"/>
        <w:rPr>
          <w:rFonts w:asciiTheme="minorHAnsi" w:hAnsiTheme="minorHAnsi" w:cstheme="minorBidi"/>
          <w:b w:val="0"/>
          <w:noProof/>
          <w:sz w:val="22"/>
        </w:rPr>
      </w:pPr>
      <w:hyperlink w:anchor="_Toc121095924" w:history="1">
        <w:r w:rsidR="00CC50AB" w:rsidRPr="00C40EED">
          <w:rPr>
            <w:rStyle w:val="Hyperlink"/>
            <w:noProof/>
          </w:rPr>
          <w:t>List of Figures</w:t>
        </w:r>
        <w:r w:rsidR="00CC50AB">
          <w:rPr>
            <w:noProof/>
            <w:webHidden/>
          </w:rPr>
          <w:tab/>
        </w:r>
        <w:r w:rsidR="00CC50AB">
          <w:rPr>
            <w:noProof/>
            <w:webHidden/>
          </w:rPr>
          <w:fldChar w:fldCharType="begin"/>
        </w:r>
        <w:r w:rsidR="00CC50AB">
          <w:rPr>
            <w:noProof/>
            <w:webHidden/>
          </w:rPr>
          <w:instrText xml:space="preserve"> PAGEREF _Toc121095924 \h </w:instrText>
        </w:r>
        <w:r w:rsidR="00CC50AB">
          <w:rPr>
            <w:noProof/>
            <w:webHidden/>
          </w:rPr>
        </w:r>
        <w:r w:rsidR="00CC50AB">
          <w:rPr>
            <w:noProof/>
            <w:webHidden/>
          </w:rPr>
          <w:fldChar w:fldCharType="separate"/>
        </w:r>
        <w:r w:rsidR="00B52D1E">
          <w:rPr>
            <w:noProof/>
            <w:webHidden/>
          </w:rPr>
          <w:t>xi</w:t>
        </w:r>
        <w:r w:rsidR="00CC50AB">
          <w:rPr>
            <w:noProof/>
            <w:webHidden/>
          </w:rPr>
          <w:fldChar w:fldCharType="end"/>
        </w:r>
      </w:hyperlink>
    </w:p>
    <w:p w14:paraId="5416398D" w14:textId="2E5CDB62" w:rsidR="00CC50AB" w:rsidRDefault="00000000">
      <w:pPr>
        <w:pStyle w:val="TOC1"/>
        <w:rPr>
          <w:rFonts w:asciiTheme="minorHAnsi" w:hAnsiTheme="minorHAnsi" w:cstheme="minorBidi"/>
          <w:b w:val="0"/>
          <w:noProof/>
          <w:sz w:val="22"/>
        </w:rPr>
      </w:pPr>
      <w:hyperlink w:anchor="_Toc121095925" w:history="1">
        <w:r w:rsidR="00CC50AB" w:rsidRPr="00C40EED">
          <w:rPr>
            <w:rStyle w:val="Hyperlink"/>
            <w:noProof/>
          </w:rPr>
          <w:t>List of Tables</w:t>
        </w:r>
        <w:r w:rsidR="00CC50AB">
          <w:rPr>
            <w:noProof/>
            <w:webHidden/>
          </w:rPr>
          <w:tab/>
        </w:r>
        <w:r w:rsidR="00CC50AB">
          <w:rPr>
            <w:noProof/>
            <w:webHidden/>
          </w:rPr>
          <w:fldChar w:fldCharType="begin"/>
        </w:r>
        <w:r w:rsidR="00CC50AB">
          <w:rPr>
            <w:noProof/>
            <w:webHidden/>
          </w:rPr>
          <w:instrText xml:space="preserve"> PAGEREF _Toc121095925 \h </w:instrText>
        </w:r>
        <w:r w:rsidR="00CC50AB">
          <w:rPr>
            <w:noProof/>
            <w:webHidden/>
          </w:rPr>
        </w:r>
        <w:r w:rsidR="00CC50AB">
          <w:rPr>
            <w:noProof/>
            <w:webHidden/>
          </w:rPr>
          <w:fldChar w:fldCharType="separate"/>
        </w:r>
        <w:r w:rsidR="00B52D1E">
          <w:rPr>
            <w:noProof/>
            <w:webHidden/>
          </w:rPr>
          <w:t>xxiv</w:t>
        </w:r>
        <w:r w:rsidR="00CC50AB">
          <w:rPr>
            <w:noProof/>
            <w:webHidden/>
          </w:rPr>
          <w:fldChar w:fldCharType="end"/>
        </w:r>
      </w:hyperlink>
    </w:p>
    <w:p w14:paraId="73AAC2CA" w14:textId="62620BDC" w:rsidR="00CC50AB" w:rsidRDefault="00000000">
      <w:pPr>
        <w:pStyle w:val="TOC1"/>
        <w:rPr>
          <w:rFonts w:asciiTheme="minorHAnsi" w:hAnsiTheme="minorHAnsi" w:cstheme="minorBidi"/>
          <w:b w:val="0"/>
          <w:noProof/>
          <w:sz w:val="22"/>
        </w:rPr>
      </w:pPr>
      <w:hyperlink w:anchor="_Toc121095926" w:history="1">
        <w:r w:rsidR="00CC50AB" w:rsidRPr="00C40EED">
          <w:rPr>
            <w:rStyle w:val="Hyperlink"/>
            <w:noProof/>
          </w:rPr>
          <w:t>Abstract</w:t>
        </w:r>
        <w:r w:rsidR="00CC50AB">
          <w:rPr>
            <w:noProof/>
            <w:webHidden/>
          </w:rPr>
          <w:tab/>
        </w:r>
        <w:r w:rsidR="00CC50AB">
          <w:rPr>
            <w:noProof/>
            <w:webHidden/>
          </w:rPr>
          <w:fldChar w:fldCharType="begin"/>
        </w:r>
        <w:r w:rsidR="00CC50AB">
          <w:rPr>
            <w:noProof/>
            <w:webHidden/>
          </w:rPr>
          <w:instrText xml:space="preserve"> PAGEREF _Toc121095926 \h </w:instrText>
        </w:r>
        <w:r w:rsidR="00CC50AB">
          <w:rPr>
            <w:noProof/>
            <w:webHidden/>
          </w:rPr>
        </w:r>
        <w:r w:rsidR="00CC50AB">
          <w:rPr>
            <w:noProof/>
            <w:webHidden/>
          </w:rPr>
          <w:fldChar w:fldCharType="separate"/>
        </w:r>
        <w:r w:rsidR="00B52D1E">
          <w:rPr>
            <w:noProof/>
            <w:webHidden/>
          </w:rPr>
          <w:t>xxvi</w:t>
        </w:r>
        <w:r w:rsidR="00CC50AB">
          <w:rPr>
            <w:noProof/>
            <w:webHidden/>
          </w:rPr>
          <w:fldChar w:fldCharType="end"/>
        </w:r>
      </w:hyperlink>
    </w:p>
    <w:p w14:paraId="78FFC726" w14:textId="23079FCD" w:rsidR="00CC50AB" w:rsidRDefault="00000000">
      <w:pPr>
        <w:pStyle w:val="TOC1"/>
        <w:rPr>
          <w:rFonts w:asciiTheme="minorHAnsi" w:hAnsiTheme="minorHAnsi" w:cstheme="minorBidi"/>
          <w:b w:val="0"/>
          <w:noProof/>
          <w:sz w:val="22"/>
        </w:rPr>
      </w:pPr>
      <w:hyperlink w:anchor="_Toc121095927" w:history="1">
        <w:r w:rsidR="00CC50AB" w:rsidRPr="00C40EED">
          <w:rPr>
            <w:rStyle w:val="Hyperlink"/>
            <w:noProof/>
          </w:rPr>
          <w:t>Introduction</w:t>
        </w:r>
        <w:r w:rsidR="00CC50AB">
          <w:rPr>
            <w:noProof/>
            <w:webHidden/>
          </w:rPr>
          <w:tab/>
        </w:r>
        <w:r w:rsidR="00CC50AB">
          <w:rPr>
            <w:noProof/>
            <w:webHidden/>
          </w:rPr>
          <w:fldChar w:fldCharType="begin"/>
        </w:r>
        <w:r w:rsidR="00CC50AB">
          <w:rPr>
            <w:noProof/>
            <w:webHidden/>
          </w:rPr>
          <w:instrText xml:space="preserve"> PAGEREF _Toc121095927 \h </w:instrText>
        </w:r>
        <w:r w:rsidR="00CC50AB">
          <w:rPr>
            <w:noProof/>
            <w:webHidden/>
          </w:rPr>
        </w:r>
        <w:r w:rsidR="00CC50AB">
          <w:rPr>
            <w:noProof/>
            <w:webHidden/>
          </w:rPr>
          <w:fldChar w:fldCharType="separate"/>
        </w:r>
        <w:r w:rsidR="00B52D1E">
          <w:rPr>
            <w:noProof/>
            <w:webHidden/>
          </w:rPr>
          <w:t>1</w:t>
        </w:r>
        <w:r w:rsidR="00CC50AB">
          <w:rPr>
            <w:noProof/>
            <w:webHidden/>
          </w:rPr>
          <w:fldChar w:fldCharType="end"/>
        </w:r>
      </w:hyperlink>
    </w:p>
    <w:p w14:paraId="0788021B" w14:textId="2F79E377" w:rsidR="00CC50AB" w:rsidRDefault="00000000">
      <w:pPr>
        <w:pStyle w:val="TOC1"/>
        <w:rPr>
          <w:rFonts w:asciiTheme="minorHAnsi" w:hAnsiTheme="minorHAnsi" w:cstheme="minorBidi"/>
          <w:b w:val="0"/>
          <w:noProof/>
          <w:sz w:val="22"/>
        </w:rPr>
      </w:pPr>
      <w:hyperlink w:anchor="_Toc121095928" w:history="1">
        <w:r w:rsidR="00CC50AB" w:rsidRPr="00C40EED">
          <w:rPr>
            <w:rStyle w:val="Hyperlink"/>
            <w:noProof/>
          </w:rPr>
          <w:t>References</w:t>
        </w:r>
        <w:r w:rsidR="00CC50AB">
          <w:rPr>
            <w:noProof/>
            <w:webHidden/>
          </w:rPr>
          <w:tab/>
        </w:r>
        <w:r w:rsidR="00CC50AB">
          <w:rPr>
            <w:noProof/>
            <w:webHidden/>
          </w:rPr>
          <w:fldChar w:fldCharType="begin"/>
        </w:r>
        <w:r w:rsidR="00CC50AB">
          <w:rPr>
            <w:noProof/>
            <w:webHidden/>
          </w:rPr>
          <w:instrText xml:space="preserve"> PAGEREF _Toc121095928 \h </w:instrText>
        </w:r>
        <w:r w:rsidR="00CC50AB">
          <w:rPr>
            <w:noProof/>
            <w:webHidden/>
          </w:rPr>
        </w:r>
        <w:r w:rsidR="00CC50AB">
          <w:rPr>
            <w:noProof/>
            <w:webHidden/>
          </w:rPr>
          <w:fldChar w:fldCharType="separate"/>
        </w:r>
        <w:r w:rsidR="00B52D1E">
          <w:rPr>
            <w:noProof/>
            <w:webHidden/>
          </w:rPr>
          <w:t>3</w:t>
        </w:r>
        <w:r w:rsidR="00CC50AB">
          <w:rPr>
            <w:noProof/>
            <w:webHidden/>
          </w:rPr>
          <w:fldChar w:fldCharType="end"/>
        </w:r>
      </w:hyperlink>
    </w:p>
    <w:p w14:paraId="07C57EAF" w14:textId="233FD4CD" w:rsidR="00CC50AB" w:rsidRDefault="00000000">
      <w:pPr>
        <w:pStyle w:val="TOC1"/>
        <w:rPr>
          <w:rFonts w:asciiTheme="minorHAnsi" w:hAnsiTheme="minorHAnsi" w:cstheme="minorBidi"/>
          <w:b w:val="0"/>
          <w:noProof/>
          <w:sz w:val="22"/>
        </w:rPr>
      </w:pPr>
      <w:hyperlink w:anchor="_Toc121095929" w:history="1">
        <w:r w:rsidR="00CC50AB" w:rsidRPr="00C40EED">
          <w:rPr>
            <w:rStyle w:val="Hyperlink"/>
            <w:noProof/>
          </w:rPr>
          <w:t>Chapter 1 : Dolomitization geometry and reservoir quality from supervised Bayesian classification and probabilistic neural network: Midland Basin Leonardian Wichita and Clearfork Formations*</w:t>
        </w:r>
        <w:r w:rsidR="00CC50AB">
          <w:rPr>
            <w:noProof/>
            <w:webHidden/>
          </w:rPr>
          <w:tab/>
        </w:r>
        <w:r w:rsidR="00CC50AB">
          <w:rPr>
            <w:noProof/>
            <w:webHidden/>
          </w:rPr>
          <w:fldChar w:fldCharType="begin"/>
        </w:r>
        <w:r w:rsidR="00CC50AB">
          <w:rPr>
            <w:noProof/>
            <w:webHidden/>
          </w:rPr>
          <w:instrText xml:space="preserve"> PAGEREF _Toc121095929 \h </w:instrText>
        </w:r>
        <w:r w:rsidR="00CC50AB">
          <w:rPr>
            <w:noProof/>
            <w:webHidden/>
          </w:rPr>
        </w:r>
        <w:r w:rsidR="00CC50AB">
          <w:rPr>
            <w:noProof/>
            <w:webHidden/>
          </w:rPr>
          <w:fldChar w:fldCharType="separate"/>
        </w:r>
        <w:r w:rsidR="00B52D1E">
          <w:rPr>
            <w:noProof/>
            <w:webHidden/>
          </w:rPr>
          <w:t>5</w:t>
        </w:r>
        <w:r w:rsidR="00CC50AB">
          <w:rPr>
            <w:noProof/>
            <w:webHidden/>
          </w:rPr>
          <w:fldChar w:fldCharType="end"/>
        </w:r>
      </w:hyperlink>
    </w:p>
    <w:p w14:paraId="3E99ADE1" w14:textId="654985A3" w:rsidR="00CC50AB" w:rsidRDefault="00000000">
      <w:pPr>
        <w:pStyle w:val="TOC2"/>
        <w:rPr>
          <w:rFonts w:asciiTheme="minorHAnsi" w:hAnsiTheme="minorHAnsi" w:cstheme="minorBidi"/>
          <w:b w:val="0"/>
          <w:noProof/>
          <w:sz w:val="22"/>
        </w:rPr>
      </w:pPr>
      <w:hyperlink w:anchor="_Toc121095930" w:history="1">
        <w:r w:rsidR="00CC50AB" w:rsidRPr="00C40EED">
          <w:rPr>
            <w:rStyle w:val="Hyperlink"/>
            <w:noProof/>
          </w:rPr>
          <w:t>Abstract</w:t>
        </w:r>
        <w:r w:rsidR="00CC50AB">
          <w:rPr>
            <w:noProof/>
            <w:webHidden/>
          </w:rPr>
          <w:tab/>
        </w:r>
        <w:r w:rsidR="00CC50AB">
          <w:rPr>
            <w:noProof/>
            <w:webHidden/>
          </w:rPr>
          <w:fldChar w:fldCharType="begin"/>
        </w:r>
        <w:r w:rsidR="00CC50AB">
          <w:rPr>
            <w:noProof/>
            <w:webHidden/>
          </w:rPr>
          <w:instrText xml:space="preserve"> PAGEREF _Toc121095930 \h </w:instrText>
        </w:r>
        <w:r w:rsidR="00CC50AB">
          <w:rPr>
            <w:noProof/>
            <w:webHidden/>
          </w:rPr>
        </w:r>
        <w:r w:rsidR="00CC50AB">
          <w:rPr>
            <w:noProof/>
            <w:webHidden/>
          </w:rPr>
          <w:fldChar w:fldCharType="separate"/>
        </w:r>
        <w:r w:rsidR="00B52D1E">
          <w:rPr>
            <w:noProof/>
            <w:webHidden/>
          </w:rPr>
          <w:t>6</w:t>
        </w:r>
        <w:r w:rsidR="00CC50AB">
          <w:rPr>
            <w:noProof/>
            <w:webHidden/>
          </w:rPr>
          <w:fldChar w:fldCharType="end"/>
        </w:r>
      </w:hyperlink>
    </w:p>
    <w:p w14:paraId="28B07452" w14:textId="0A83D1F3" w:rsidR="00CC50AB" w:rsidRDefault="00000000">
      <w:pPr>
        <w:pStyle w:val="TOC2"/>
        <w:rPr>
          <w:rFonts w:asciiTheme="minorHAnsi" w:hAnsiTheme="minorHAnsi" w:cstheme="minorBidi"/>
          <w:b w:val="0"/>
          <w:noProof/>
          <w:sz w:val="22"/>
        </w:rPr>
      </w:pPr>
      <w:hyperlink w:anchor="_Toc121095931" w:history="1">
        <w:r w:rsidR="00CC50AB" w:rsidRPr="00C40EED">
          <w:rPr>
            <w:rStyle w:val="Hyperlink"/>
            <w:noProof/>
          </w:rPr>
          <w:t>Introduction</w:t>
        </w:r>
        <w:r w:rsidR="00CC50AB">
          <w:rPr>
            <w:noProof/>
            <w:webHidden/>
          </w:rPr>
          <w:tab/>
        </w:r>
        <w:r w:rsidR="00CC50AB">
          <w:rPr>
            <w:noProof/>
            <w:webHidden/>
          </w:rPr>
          <w:fldChar w:fldCharType="begin"/>
        </w:r>
        <w:r w:rsidR="00CC50AB">
          <w:rPr>
            <w:noProof/>
            <w:webHidden/>
          </w:rPr>
          <w:instrText xml:space="preserve"> PAGEREF _Toc121095931 \h </w:instrText>
        </w:r>
        <w:r w:rsidR="00CC50AB">
          <w:rPr>
            <w:noProof/>
            <w:webHidden/>
          </w:rPr>
        </w:r>
        <w:r w:rsidR="00CC50AB">
          <w:rPr>
            <w:noProof/>
            <w:webHidden/>
          </w:rPr>
          <w:fldChar w:fldCharType="separate"/>
        </w:r>
        <w:r w:rsidR="00B52D1E">
          <w:rPr>
            <w:noProof/>
            <w:webHidden/>
          </w:rPr>
          <w:t>7</w:t>
        </w:r>
        <w:r w:rsidR="00CC50AB">
          <w:rPr>
            <w:noProof/>
            <w:webHidden/>
          </w:rPr>
          <w:fldChar w:fldCharType="end"/>
        </w:r>
      </w:hyperlink>
    </w:p>
    <w:p w14:paraId="146B30A1" w14:textId="483DDE3C" w:rsidR="00CC50AB" w:rsidRDefault="00000000">
      <w:pPr>
        <w:pStyle w:val="TOC2"/>
        <w:rPr>
          <w:rFonts w:asciiTheme="minorHAnsi" w:hAnsiTheme="minorHAnsi" w:cstheme="minorBidi"/>
          <w:b w:val="0"/>
          <w:noProof/>
          <w:sz w:val="22"/>
        </w:rPr>
      </w:pPr>
      <w:hyperlink w:anchor="_Toc121095932" w:history="1">
        <w:r w:rsidR="00CC50AB" w:rsidRPr="00C40EED">
          <w:rPr>
            <w:rStyle w:val="Hyperlink"/>
            <w:noProof/>
          </w:rPr>
          <w:t>Geologic setting</w:t>
        </w:r>
        <w:r w:rsidR="00CC50AB">
          <w:rPr>
            <w:noProof/>
            <w:webHidden/>
          </w:rPr>
          <w:tab/>
        </w:r>
        <w:r w:rsidR="00CC50AB">
          <w:rPr>
            <w:noProof/>
            <w:webHidden/>
          </w:rPr>
          <w:fldChar w:fldCharType="begin"/>
        </w:r>
        <w:r w:rsidR="00CC50AB">
          <w:rPr>
            <w:noProof/>
            <w:webHidden/>
          </w:rPr>
          <w:instrText xml:space="preserve"> PAGEREF _Toc121095932 \h </w:instrText>
        </w:r>
        <w:r w:rsidR="00CC50AB">
          <w:rPr>
            <w:noProof/>
            <w:webHidden/>
          </w:rPr>
        </w:r>
        <w:r w:rsidR="00CC50AB">
          <w:rPr>
            <w:noProof/>
            <w:webHidden/>
          </w:rPr>
          <w:fldChar w:fldCharType="separate"/>
        </w:r>
        <w:r w:rsidR="00B52D1E">
          <w:rPr>
            <w:noProof/>
            <w:webHidden/>
          </w:rPr>
          <w:t>10</w:t>
        </w:r>
        <w:r w:rsidR="00CC50AB">
          <w:rPr>
            <w:noProof/>
            <w:webHidden/>
          </w:rPr>
          <w:fldChar w:fldCharType="end"/>
        </w:r>
      </w:hyperlink>
    </w:p>
    <w:p w14:paraId="6F3544DC" w14:textId="35C2BB8C" w:rsidR="00CC50AB" w:rsidRDefault="00000000">
      <w:pPr>
        <w:pStyle w:val="TOC2"/>
        <w:rPr>
          <w:rFonts w:asciiTheme="minorHAnsi" w:hAnsiTheme="minorHAnsi" w:cstheme="minorBidi"/>
          <w:b w:val="0"/>
          <w:noProof/>
          <w:sz w:val="22"/>
        </w:rPr>
      </w:pPr>
      <w:hyperlink w:anchor="_Toc121095933" w:history="1">
        <w:r w:rsidR="00CC50AB" w:rsidRPr="00C40EED">
          <w:rPr>
            <w:rStyle w:val="Hyperlink"/>
            <w:rFonts w:eastAsia="Times New Roman"/>
            <w:noProof/>
          </w:rPr>
          <w:t>Available Data</w:t>
        </w:r>
        <w:r w:rsidR="00CC50AB">
          <w:rPr>
            <w:noProof/>
            <w:webHidden/>
          </w:rPr>
          <w:tab/>
        </w:r>
        <w:r w:rsidR="00CC50AB">
          <w:rPr>
            <w:noProof/>
            <w:webHidden/>
          </w:rPr>
          <w:fldChar w:fldCharType="begin"/>
        </w:r>
        <w:r w:rsidR="00CC50AB">
          <w:rPr>
            <w:noProof/>
            <w:webHidden/>
          </w:rPr>
          <w:instrText xml:space="preserve"> PAGEREF _Toc121095933 \h </w:instrText>
        </w:r>
        <w:r w:rsidR="00CC50AB">
          <w:rPr>
            <w:noProof/>
            <w:webHidden/>
          </w:rPr>
        </w:r>
        <w:r w:rsidR="00CC50AB">
          <w:rPr>
            <w:noProof/>
            <w:webHidden/>
          </w:rPr>
          <w:fldChar w:fldCharType="separate"/>
        </w:r>
        <w:r w:rsidR="00B52D1E">
          <w:rPr>
            <w:noProof/>
            <w:webHidden/>
          </w:rPr>
          <w:t>12</w:t>
        </w:r>
        <w:r w:rsidR="00CC50AB">
          <w:rPr>
            <w:noProof/>
            <w:webHidden/>
          </w:rPr>
          <w:fldChar w:fldCharType="end"/>
        </w:r>
      </w:hyperlink>
    </w:p>
    <w:p w14:paraId="699FAAD9" w14:textId="76EF68F6" w:rsidR="00CC50AB" w:rsidRDefault="00000000">
      <w:pPr>
        <w:pStyle w:val="TOC2"/>
        <w:rPr>
          <w:rFonts w:asciiTheme="minorHAnsi" w:hAnsiTheme="minorHAnsi" w:cstheme="minorBidi"/>
          <w:b w:val="0"/>
          <w:noProof/>
          <w:sz w:val="22"/>
        </w:rPr>
      </w:pPr>
      <w:hyperlink w:anchor="_Toc121095934" w:history="1">
        <w:r w:rsidR="00CC50AB" w:rsidRPr="00C40EED">
          <w:rPr>
            <w:rStyle w:val="Hyperlink"/>
            <w:noProof/>
          </w:rPr>
          <w:t>Methods</w:t>
        </w:r>
        <w:r w:rsidR="00CC50AB">
          <w:rPr>
            <w:noProof/>
            <w:webHidden/>
          </w:rPr>
          <w:tab/>
        </w:r>
        <w:r w:rsidR="00CC50AB">
          <w:rPr>
            <w:noProof/>
            <w:webHidden/>
          </w:rPr>
          <w:fldChar w:fldCharType="begin"/>
        </w:r>
        <w:r w:rsidR="00CC50AB">
          <w:rPr>
            <w:noProof/>
            <w:webHidden/>
          </w:rPr>
          <w:instrText xml:space="preserve"> PAGEREF _Toc121095934 \h </w:instrText>
        </w:r>
        <w:r w:rsidR="00CC50AB">
          <w:rPr>
            <w:noProof/>
            <w:webHidden/>
          </w:rPr>
        </w:r>
        <w:r w:rsidR="00CC50AB">
          <w:rPr>
            <w:noProof/>
            <w:webHidden/>
          </w:rPr>
          <w:fldChar w:fldCharType="separate"/>
        </w:r>
        <w:r w:rsidR="00B52D1E">
          <w:rPr>
            <w:noProof/>
            <w:webHidden/>
          </w:rPr>
          <w:t>13</w:t>
        </w:r>
        <w:r w:rsidR="00CC50AB">
          <w:rPr>
            <w:noProof/>
            <w:webHidden/>
          </w:rPr>
          <w:fldChar w:fldCharType="end"/>
        </w:r>
      </w:hyperlink>
    </w:p>
    <w:p w14:paraId="2D6A3BA6" w14:textId="1A6D3F35" w:rsidR="00CC50AB" w:rsidRDefault="00000000">
      <w:pPr>
        <w:pStyle w:val="TOC3"/>
        <w:tabs>
          <w:tab w:val="right" w:leader="dot" w:pos="9350"/>
        </w:tabs>
        <w:rPr>
          <w:rFonts w:asciiTheme="minorHAnsi" w:hAnsiTheme="minorHAnsi" w:cstheme="minorBidi"/>
          <w:i w:val="0"/>
          <w:noProof/>
          <w:sz w:val="22"/>
        </w:rPr>
      </w:pPr>
      <w:hyperlink w:anchor="_Toc121095935" w:history="1">
        <w:r w:rsidR="00CC50AB" w:rsidRPr="00C40EED">
          <w:rPr>
            <w:rStyle w:val="Hyperlink"/>
            <w:noProof/>
          </w:rPr>
          <w:t>Supervised Bayesian classification for lithology prediction</w:t>
        </w:r>
        <w:r w:rsidR="00CC50AB">
          <w:rPr>
            <w:noProof/>
            <w:webHidden/>
          </w:rPr>
          <w:tab/>
        </w:r>
        <w:r w:rsidR="00CC50AB">
          <w:rPr>
            <w:noProof/>
            <w:webHidden/>
          </w:rPr>
          <w:fldChar w:fldCharType="begin"/>
        </w:r>
        <w:r w:rsidR="00CC50AB">
          <w:rPr>
            <w:noProof/>
            <w:webHidden/>
          </w:rPr>
          <w:instrText xml:space="preserve"> PAGEREF _Toc121095935 \h </w:instrText>
        </w:r>
        <w:r w:rsidR="00CC50AB">
          <w:rPr>
            <w:noProof/>
            <w:webHidden/>
          </w:rPr>
        </w:r>
        <w:r w:rsidR="00CC50AB">
          <w:rPr>
            <w:noProof/>
            <w:webHidden/>
          </w:rPr>
          <w:fldChar w:fldCharType="separate"/>
        </w:r>
        <w:r w:rsidR="00B52D1E">
          <w:rPr>
            <w:noProof/>
            <w:webHidden/>
          </w:rPr>
          <w:t>13</w:t>
        </w:r>
        <w:r w:rsidR="00CC50AB">
          <w:rPr>
            <w:noProof/>
            <w:webHidden/>
          </w:rPr>
          <w:fldChar w:fldCharType="end"/>
        </w:r>
      </w:hyperlink>
    </w:p>
    <w:p w14:paraId="5F7F0999" w14:textId="69F6865B" w:rsidR="00CC50AB" w:rsidRDefault="00000000">
      <w:pPr>
        <w:pStyle w:val="TOC3"/>
        <w:tabs>
          <w:tab w:val="right" w:leader="dot" w:pos="9350"/>
        </w:tabs>
        <w:rPr>
          <w:rFonts w:asciiTheme="minorHAnsi" w:hAnsiTheme="minorHAnsi" w:cstheme="minorBidi"/>
          <w:i w:val="0"/>
          <w:noProof/>
          <w:sz w:val="22"/>
        </w:rPr>
      </w:pPr>
      <w:hyperlink w:anchor="_Toc121095936" w:history="1">
        <w:r w:rsidR="00CC50AB" w:rsidRPr="00C40EED">
          <w:rPr>
            <w:rStyle w:val="Hyperlink"/>
            <w:noProof/>
          </w:rPr>
          <w:t>Post-stack inversion for acoustic impedance</w:t>
        </w:r>
        <w:r w:rsidR="00CC50AB">
          <w:rPr>
            <w:noProof/>
            <w:webHidden/>
          </w:rPr>
          <w:tab/>
        </w:r>
        <w:r w:rsidR="00CC50AB">
          <w:rPr>
            <w:noProof/>
            <w:webHidden/>
          </w:rPr>
          <w:fldChar w:fldCharType="begin"/>
        </w:r>
        <w:r w:rsidR="00CC50AB">
          <w:rPr>
            <w:noProof/>
            <w:webHidden/>
          </w:rPr>
          <w:instrText xml:space="preserve"> PAGEREF _Toc121095936 \h </w:instrText>
        </w:r>
        <w:r w:rsidR="00CC50AB">
          <w:rPr>
            <w:noProof/>
            <w:webHidden/>
          </w:rPr>
        </w:r>
        <w:r w:rsidR="00CC50AB">
          <w:rPr>
            <w:noProof/>
            <w:webHidden/>
          </w:rPr>
          <w:fldChar w:fldCharType="separate"/>
        </w:r>
        <w:r w:rsidR="00B52D1E">
          <w:rPr>
            <w:noProof/>
            <w:webHidden/>
          </w:rPr>
          <w:t>16</w:t>
        </w:r>
        <w:r w:rsidR="00CC50AB">
          <w:rPr>
            <w:noProof/>
            <w:webHidden/>
          </w:rPr>
          <w:fldChar w:fldCharType="end"/>
        </w:r>
      </w:hyperlink>
    </w:p>
    <w:p w14:paraId="27A01890" w14:textId="104EC43F" w:rsidR="00CC50AB" w:rsidRDefault="00000000">
      <w:pPr>
        <w:pStyle w:val="TOC3"/>
        <w:tabs>
          <w:tab w:val="right" w:leader="dot" w:pos="9350"/>
        </w:tabs>
        <w:rPr>
          <w:rFonts w:asciiTheme="minorHAnsi" w:hAnsiTheme="minorHAnsi" w:cstheme="minorBidi"/>
          <w:i w:val="0"/>
          <w:noProof/>
          <w:sz w:val="22"/>
        </w:rPr>
      </w:pPr>
      <w:hyperlink w:anchor="_Toc121095937" w:history="1">
        <w:r w:rsidR="00CC50AB" w:rsidRPr="00C40EED">
          <w:rPr>
            <w:rStyle w:val="Hyperlink"/>
            <w:noProof/>
          </w:rPr>
          <w:t>PNN for NPHI and total porosity volume prediction</w:t>
        </w:r>
        <w:r w:rsidR="00CC50AB">
          <w:rPr>
            <w:noProof/>
            <w:webHidden/>
          </w:rPr>
          <w:tab/>
        </w:r>
        <w:r w:rsidR="00CC50AB">
          <w:rPr>
            <w:noProof/>
            <w:webHidden/>
          </w:rPr>
          <w:fldChar w:fldCharType="begin"/>
        </w:r>
        <w:r w:rsidR="00CC50AB">
          <w:rPr>
            <w:noProof/>
            <w:webHidden/>
          </w:rPr>
          <w:instrText xml:space="preserve"> PAGEREF _Toc121095937 \h </w:instrText>
        </w:r>
        <w:r w:rsidR="00CC50AB">
          <w:rPr>
            <w:noProof/>
            <w:webHidden/>
          </w:rPr>
        </w:r>
        <w:r w:rsidR="00CC50AB">
          <w:rPr>
            <w:noProof/>
            <w:webHidden/>
          </w:rPr>
          <w:fldChar w:fldCharType="separate"/>
        </w:r>
        <w:r w:rsidR="00B52D1E">
          <w:rPr>
            <w:noProof/>
            <w:webHidden/>
          </w:rPr>
          <w:t>17</w:t>
        </w:r>
        <w:r w:rsidR="00CC50AB">
          <w:rPr>
            <w:noProof/>
            <w:webHidden/>
          </w:rPr>
          <w:fldChar w:fldCharType="end"/>
        </w:r>
      </w:hyperlink>
    </w:p>
    <w:p w14:paraId="43DB07F5" w14:textId="6D1DAD0A" w:rsidR="00CC50AB" w:rsidRDefault="00000000">
      <w:pPr>
        <w:pStyle w:val="TOC3"/>
        <w:tabs>
          <w:tab w:val="right" w:leader="dot" w:pos="9350"/>
        </w:tabs>
        <w:rPr>
          <w:rFonts w:asciiTheme="minorHAnsi" w:hAnsiTheme="minorHAnsi" w:cstheme="minorBidi"/>
          <w:i w:val="0"/>
          <w:noProof/>
          <w:sz w:val="22"/>
        </w:rPr>
      </w:pPr>
      <w:hyperlink w:anchor="_Toc121095938" w:history="1">
        <w:r w:rsidR="00CC50AB" w:rsidRPr="00C40EED">
          <w:rPr>
            <w:rStyle w:val="Hyperlink"/>
            <w:noProof/>
          </w:rPr>
          <w:t>Application and quality control of the Bayesian lithology classification</w:t>
        </w:r>
        <w:r w:rsidR="00CC50AB">
          <w:rPr>
            <w:noProof/>
            <w:webHidden/>
          </w:rPr>
          <w:tab/>
        </w:r>
        <w:r w:rsidR="00CC50AB">
          <w:rPr>
            <w:noProof/>
            <w:webHidden/>
          </w:rPr>
          <w:fldChar w:fldCharType="begin"/>
        </w:r>
        <w:r w:rsidR="00CC50AB">
          <w:rPr>
            <w:noProof/>
            <w:webHidden/>
          </w:rPr>
          <w:instrText xml:space="preserve"> PAGEREF _Toc121095938 \h </w:instrText>
        </w:r>
        <w:r w:rsidR="00CC50AB">
          <w:rPr>
            <w:noProof/>
            <w:webHidden/>
          </w:rPr>
        </w:r>
        <w:r w:rsidR="00CC50AB">
          <w:rPr>
            <w:noProof/>
            <w:webHidden/>
          </w:rPr>
          <w:fldChar w:fldCharType="separate"/>
        </w:r>
        <w:r w:rsidR="00B52D1E">
          <w:rPr>
            <w:noProof/>
            <w:webHidden/>
          </w:rPr>
          <w:t>19</w:t>
        </w:r>
        <w:r w:rsidR="00CC50AB">
          <w:rPr>
            <w:noProof/>
            <w:webHidden/>
          </w:rPr>
          <w:fldChar w:fldCharType="end"/>
        </w:r>
      </w:hyperlink>
    </w:p>
    <w:p w14:paraId="44CD0BF5" w14:textId="3C73B0F5" w:rsidR="00CC50AB" w:rsidRDefault="00000000">
      <w:pPr>
        <w:pStyle w:val="TOC2"/>
        <w:rPr>
          <w:rFonts w:asciiTheme="minorHAnsi" w:hAnsiTheme="minorHAnsi" w:cstheme="minorBidi"/>
          <w:b w:val="0"/>
          <w:noProof/>
          <w:sz w:val="22"/>
        </w:rPr>
      </w:pPr>
      <w:hyperlink w:anchor="_Toc121095939" w:history="1">
        <w:r w:rsidR="00CC50AB" w:rsidRPr="00C40EED">
          <w:rPr>
            <w:rStyle w:val="Hyperlink"/>
            <w:noProof/>
          </w:rPr>
          <w:t>Results and discussion</w:t>
        </w:r>
        <w:r w:rsidR="00CC50AB">
          <w:rPr>
            <w:noProof/>
            <w:webHidden/>
          </w:rPr>
          <w:tab/>
        </w:r>
        <w:r w:rsidR="00CC50AB">
          <w:rPr>
            <w:noProof/>
            <w:webHidden/>
          </w:rPr>
          <w:fldChar w:fldCharType="begin"/>
        </w:r>
        <w:r w:rsidR="00CC50AB">
          <w:rPr>
            <w:noProof/>
            <w:webHidden/>
          </w:rPr>
          <w:instrText xml:space="preserve"> PAGEREF _Toc121095939 \h </w:instrText>
        </w:r>
        <w:r w:rsidR="00CC50AB">
          <w:rPr>
            <w:noProof/>
            <w:webHidden/>
          </w:rPr>
        </w:r>
        <w:r w:rsidR="00CC50AB">
          <w:rPr>
            <w:noProof/>
            <w:webHidden/>
          </w:rPr>
          <w:fldChar w:fldCharType="separate"/>
        </w:r>
        <w:r w:rsidR="00B52D1E">
          <w:rPr>
            <w:noProof/>
            <w:webHidden/>
          </w:rPr>
          <w:t>20</w:t>
        </w:r>
        <w:r w:rsidR="00CC50AB">
          <w:rPr>
            <w:noProof/>
            <w:webHidden/>
          </w:rPr>
          <w:fldChar w:fldCharType="end"/>
        </w:r>
      </w:hyperlink>
    </w:p>
    <w:p w14:paraId="09509A90" w14:textId="07569004" w:rsidR="00CC50AB" w:rsidRDefault="00000000">
      <w:pPr>
        <w:pStyle w:val="TOC2"/>
        <w:rPr>
          <w:rFonts w:asciiTheme="minorHAnsi" w:hAnsiTheme="minorHAnsi" w:cstheme="minorBidi"/>
          <w:b w:val="0"/>
          <w:noProof/>
          <w:sz w:val="22"/>
        </w:rPr>
      </w:pPr>
      <w:hyperlink w:anchor="_Toc121095940" w:history="1">
        <w:r w:rsidR="00CC50AB" w:rsidRPr="00C40EED">
          <w:rPr>
            <w:rStyle w:val="Hyperlink"/>
            <w:rFonts w:eastAsiaTheme="minorHAnsi"/>
            <w:noProof/>
          </w:rPr>
          <w:t>Conclusions</w:t>
        </w:r>
        <w:r w:rsidR="00CC50AB">
          <w:rPr>
            <w:noProof/>
            <w:webHidden/>
          </w:rPr>
          <w:tab/>
        </w:r>
        <w:r w:rsidR="00CC50AB">
          <w:rPr>
            <w:noProof/>
            <w:webHidden/>
          </w:rPr>
          <w:fldChar w:fldCharType="begin"/>
        </w:r>
        <w:r w:rsidR="00CC50AB">
          <w:rPr>
            <w:noProof/>
            <w:webHidden/>
          </w:rPr>
          <w:instrText xml:space="preserve"> PAGEREF _Toc121095940 \h </w:instrText>
        </w:r>
        <w:r w:rsidR="00CC50AB">
          <w:rPr>
            <w:noProof/>
            <w:webHidden/>
          </w:rPr>
        </w:r>
        <w:r w:rsidR="00CC50AB">
          <w:rPr>
            <w:noProof/>
            <w:webHidden/>
          </w:rPr>
          <w:fldChar w:fldCharType="separate"/>
        </w:r>
        <w:r w:rsidR="00B52D1E">
          <w:rPr>
            <w:noProof/>
            <w:webHidden/>
          </w:rPr>
          <w:t>22</w:t>
        </w:r>
        <w:r w:rsidR="00CC50AB">
          <w:rPr>
            <w:noProof/>
            <w:webHidden/>
          </w:rPr>
          <w:fldChar w:fldCharType="end"/>
        </w:r>
      </w:hyperlink>
    </w:p>
    <w:p w14:paraId="744630A5" w14:textId="02E4D007" w:rsidR="00CC50AB" w:rsidRDefault="00000000">
      <w:pPr>
        <w:pStyle w:val="TOC2"/>
        <w:rPr>
          <w:rFonts w:asciiTheme="minorHAnsi" w:hAnsiTheme="minorHAnsi" w:cstheme="minorBidi"/>
          <w:b w:val="0"/>
          <w:noProof/>
          <w:sz w:val="22"/>
        </w:rPr>
      </w:pPr>
      <w:hyperlink w:anchor="_Toc121095941" w:history="1">
        <w:r w:rsidR="00CC50AB" w:rsidRPr="00C40EED">
          <w:rPr>
            <w:rStyle w:val="Hyperlink"/>
            <w:rFonts w:eastAsiaTheme="minorHAnsi"/>
            <w:noProof/>
          </w:rPr>
          <w:t>Acknowledgments</w:t>
        </w:r>
        <w:r w:rsidR="00CC50AB">
          <w:rPr>
            <w:noProof/>
            <w:webHidden/>
          </w:rPr>
          <w:tab/>
        </w:r>
        <w:r w:rsidR="00CC50AB">
          <w:rPr>
            <w:noProof/>
            <w:webHidden/>
          </w:rPr>
          <w:fldChar w:fldCharType="begin"/>
        </w:r>
        <w:r w:rsidR="00CC50AB">
          <w:rPr>
            <w:noProof/>
            <w:webHidden/>
          </w:rPr>
          <w:instrText xml:space="preserve"> PAGEREF _Toc121095941 \h </w:instrText>
        </w:r>
        <w:r w:rsidR="00CC50AB">
          <w:rPr>
            <w:noProof/>
            <w:webHidden/>
          </w:rPr>
        </w:r>
        <w:r w:rsidR="00CC50AB">
          <w:rPr>
            <w:noProof/>
            <w:webHidden/>
          </w:rPr>
          <w:fldChar w:fldCharType="separate"/>
        </w:r>
        <w:r w:rsidR="00B52D1E">
          <w:rPr>
            <w:noProof/>
            <w:webHidden/>
          </w:rPr>
          <w:t>23</w:t>
        </w:r>
        <w:r w:rsidR="00CC50AB">
          <w:rPr>
            <w:noProof/>
            <w:webHidden/>
          </w:rPr>
          <w:fldChar w:fldCharType="end"/>
        </w:r>
      </w:hyperlink>
    </w:p>
    <w:p w14:paraId="43C51BD5" w14:textId="5A201FE2" w:rsidR="00CC50AB" w:rsidRDefault="00000000">
      <w:pPr>
        <w:pStyle w:val="TOC2"/>
        <w:rPr>
          <w:rFonts w:asciiTheme="minorHAnsi" w:hAnsiTheme="minorHAnsi" w:cstheme="minorBidi"/>
          <w:b w:val="0"/>
          <w:noProof/>
          <w:sz w:val="22"/>
        </w:rPr>
      </w:pPr>
      <w:hyperlink w:anchor="_Toc121095942" w:history="1">
        <w:r w:rsidR="00CC50AB" w:rsidRPr="00C40EED">
          <w:rPr>
            <w:rStyle w:val="Hyperlink"/>
            <w:rFonts w:eastAsiaTheme="minorHAnsi"/>
            <w:noProof/>
          </w:rPr>
          <w:t>References</w:t>
        </w:r>
        <w:r w:rsidR="00CC50AB">
          <w:rPr>
            <w:noProof/>
            <w:webHidden/>
          </w:rPr>
          <w:tab/>
        </w:r>
        <w:r w:rsidR="00CC50AB">
          <w:rPr>
            <w:noProof/>
            <w:webHidden/>
          </w:rPr>
          <w:fldChar w:fldCharType="begin"/>
        </w:r>
        <w:r w:rsidR="00CC50AB">
          <w:rPr>
            <w:noProof/>
            <w:webHidden/>
          </w:rPr>
          <w:instrText xml:space="preserve"> PAGEREF _Toc121095942 \h </w:instrText>
        </w:r>
        <w:r w:rsidR="00CC50AB">
          <w:rPr>
            <w:noProof/>
            <w:webHidden/>
          </w:rPr>
        </w:r>
        <w:r w:rsidR="00CC50AB">
          <w:rPr>
            <w:noProof/>
            <w:webHidden/>
          </w:rPr>
          <w:fldChar w:fldCharType="separate"/>
        </w:r>
        <w:r w:rsidR="00B52D1E">
          <w:rPr>
            <w:noProof/>
            <w:webHidden/>
          </w:rPr>
          <w:t>23</w:t>
        </w:r>
        <w:r w:rsidR="00CC50AB">
          <w:rPr>
            <w:noProof/>
            <w:webHidden/>
          </w:rPr>
          <w:fldChar w:fldCharType="end"/>
        </w:r>
      </w:hyperlink>
    </w:p>
    <w:p w14:paraId="7BC997D0" w14:textId="04778C59" w:rsidR="00CC50AB" w:rsidRDefault="00000000">
      <w:pPr>
        <w:pStyle w:val="TOC2"/>
        <w:rPr>
          <w:rFonts w:asciiTheme="minorHAnsi" w:hAnsiTheme="minorHAnsi" w:cstheme="minorBidi"/>
          <w:b w:val="0"/>
          <w:noProof/>
          <w:sz w:val="22"/>
        </w:rPr>
      </w:pPr>
      <w:hyperlink w:anchor="_Toc121095943" w:history="1">
        <w:r w:rsidR="00CC50AB" w:rsidRPr="00C40EED">
          <w:rPr>
            <w:rStyle w:val="Hyperlink"/>
            <w:noProof/>
          </w:rPr>
          <w:t>Chapter 1 Figures</w:t>
        </w:r>
        <w:r w:rsidR="00CC50AB">
          <w:rPr>
            <w:noProof/>
            <w:webHidden/>
          </w:rPr>
          <w:tab/>
        </w:r>
        <w:r w:rsidR="00CC50AB">
          <w:rPr>
            <w:noProof/>
            <w:webHidden/>
          </w:rPr>
          <w:fldChar w:fldCharType="begin"/>
        </w:r>
        <w:r w:rsidR="00CC50AB">
          <w:rPr>
            <w:noProof/>
            <w:webHidden/>
          </w:rPr>
          <w:instrText xml:space="preserve"> PAGEREF _Toc121095943 \h </w:instrText>
        </w:r>
        <w:r w:rsidR="00CC50AB">
          <w:rPr>
            <w:noProof/>
            <w:webHidden/>
          </w:rPr>
        </w:r>
        <w:r w:rsidR="00CC50AB">
          <w:rPr>
            <w:noProof/>
            <w:webHidden/>
          </w:rPr>
          <w:fldChar w:fldCharType="separate"/>
        </w:r>
        <w:r w:rsidR="00B52D1E">
          <w:rPr>
            <w:noProof/>
            <w:webHidden/>
          </w:rPr>
          <w:t>31</w:t>
        </w:r>
        <w:r w:rsidR="00CC50AB">
          <w:rPr>
            <w:noProof/>
            <w:webHidden/>
          </w:rPr>
          <w:fldChar w:fldCharType="end"/>
        </w:r>
      </w:hyperlink>
    </w:p>
    <w:p w14:paraId="7FD1F3CE" w14:textId="0A7D78DF" w:rsidR="00CC50AB" w:rsidRDefault="00000000">
      <w:pPr>
        <w:pStyle w:val="TOC2"/>
        <w:rPr>
          <w:rFonts w:asciiTheme="minorHAnsi" w:hAnsiTheme="minorHAnsi" w:cstheme="minorBidi"/>
          <w:b w:val="0"/>
          <w:noProof/>
          <w:sz w:val="22"/>
        </w:rPr>
      </w:pPr>
      <w:hyperlink w:anchor="_Toc121095944" w:history="1">
        <w:r w:rsidR="00CC50AB" w:rsidRPr="00C40EED">
          <w:rPr>
            <w:rStyle w:val="Hyperlink"/>
            <w:noProof/>
          </w:rPr>
          <w:t>Chapter 1 Tables</w:t>
        </w:r>
        <w:r w:rsidR="00CC50AB">
          <w:rPr>
            <w:noProof/>
            <w:webHidden/>
          </w:rPr>
          <w:tab/>
        </w:r>
        <w:r w:rsidR="00CC50AB">
          <w:rPr>
            <w:noProof/>
            <w:webHidden/>
          </w:rPr>
          <w:fldChar w:fldCharType="begin"/>
        </w:r>
        <w:r w:rsidR="00CC50AB">
          <w:rPr>
            <w:noProof/>
            <w:webHidden/>
          </w:rPr>
          <w:instrText xml:space="preserve"> PAGEREF _Toc121095944 \h </w:instrText>
        </w:r>
        <w:r w:rsidR="00CC50AB">
          <w:rPr>
            <w:noProof/>
            <w:webHidden/>
          </w:rPr>
        </w:r>
        <w:r w:rsidR="00CC50AB">
          <w:rPr>
            <w:noProof/>
            <w:webHidden/>
          </w:rPr>
          <w:fldChar w:fldCharType="separate"/>
        </w:r>
        <w:r w:rsidR="00B52D1E">
          <w:rPr>
            <w:noProof/>
            <w:webHidden/>
          </w:rPr>
          <w:t>49</w:t>
        </w:r>
        <w:r w:rsidR="00CC50AB">
          <w:rPr>
            <w:noProof/>
            <w:webHidden/>
          </w:rPr>
          <w:fldChar w:fldCharType="end"/>
        </w:r>
      </w:hyperlink>
    </w:p>
    <w:p w14:paraId="34831FBF" w14:textId="3C7D87E8" w:rsidR="00CC50AB" w:rsidRDefault="00000000">
      <w:pPr>
        <w:pStyle w:val="TOC1"/>
        <w:rPr>
          <w:rFonts w:asciiTheme="minorHAnsi" w:hAnsiTheme="minorHAnsi" w:cstheme="minorBidi"/>
          <w:b w:val="0"/>
          <w:noProof/>
          <w:sz w:val="22"/>
        </w:rPr>
      </w:pPr>
      <w:hyperlink w:anchor="_Toc121095945" w:history="1">
        <w:r w:rsidR="00CC50AB" w:rsidRPr="00C40EED">
          <w:rPr>
            <w:rStyle w:val="Hyperlink"/>
            <w:noProof/>
          </w:rPr>
          <w:t>Chapter 2 : Mapping seismic scale petrofacies variability in the Arbuckle Group for CO</w:t>
        </w:r>
        <w:r w:rsidR="00CC50AB" w:rsidRPr="00C40EED">
          <w:rPr>
            <w:rStyle w:val="Hyperlink"/>
            <w:noProof/>
            <w:vertAlign w:val="subscript"/>
          </w:rPr>
          <w:t>2</w:t>
        </w:r>
        <w:r w:rsidR="00CC50AB" w:rsidRPr="00C40EED">
          <w:rPr>
            <w:rStyle w:val="Hyperlink"/>
            <w:noProof/>
          </w:rPr>
          <w:t xml:space="preserve"> sequestration using supervised machine learning: Wellington Field, Kansas*</w:t>
        </w:r>
        <w:r w:rsidR="00CC50AB">
          <w:rPr>
            <w:noProof/>
            <w:webHidden/>
          </w:rPr>
          <w:tab/>
        </w:r>
        <w:r w:rsidR="00CC50AB">
          <w:rPr>
            <w:noProof/>
            <w:webHidden/>
          </w:rPr>
          <w:fldChar w:fldCharType="begin"/>
        </w:r>
        <w:r w:rsidR="00CC50AB">
          <w:rPr>
            <w:noProof/>
            <w:webHidden/>
          </w:rPr>
          <w:instrText xml:space="preserve"> PAGEREF _Toc121095945 \h </w:instrText>
        </w:r>
        <w:r w:rsidR="00CC50AB">
          <w:rPr>
            <w:noProof/>
            <w:webHidden/>
          </w:rPr>
        </w:r>
        <w:r w:rsidR="00CC50AB">
          <w:rPr>
            <w:noProof/>
            <w:webHidden/>
          </w:rPr>
          <w:fldChar w:fldCharType="separate"/>
        </w:r>
        <w:r w:rsidR="00B52D1E">
          <w:rPr>
            <w:noProof/>
            <w:webHidden/>
          </w:rPr>
          <w:t>52</w:t>
        </w:r>
        <w:r w:rsidR="00CC50AB">
          <w:rPr>
            <w:noProof/>
            <w:webHidden/>
          </w:rPr>
          <w:fldChar w:fldCharType="end"/>
        </w:r>
      </w:hyperlink>
    </w:p>
    <w:p w14:paraId="2565AA3F" w14:textId="6FB8AB31" w:rsidR="00CC50AB" w:rsidRDefault="00000000">
      <w:pPr>
        <w:pStyle w:val="TOC2"/>
        <w:rPr>
          <w:rFonts w:asciiTheme="minorHAnsi" w:hAnsiTheme="minorHAnsi" w:cstheme="minorBidi"/>
          <w:b w:val="0"/>
          <w:noProof/>
          <w:sz w:val="22"/>
        </w:rPr>
      </w:pPr>
      <w:hyperlink w:anchor="_Toc121095946" w:history="1">
        <w:r w:rsidR="00CC50AB" w:rsidRPr="00C40EED">
          <w:rPr>
            <w:rStyle w:val="Hyperlink"/>
            <w:noProof/>
          </w:rPr>
          <w:t>Abstract</w:t>
        </w:r>
        <w:r w:rsidR="00CC50AB">
          <w:rPr>
            <w:noProof/>
            <w:webHidden/>
          </w:rPr>
          <w:tab/>
        </w:r>
        <w:r w:rsidR="00CC50AB">
          <w:rPr>
            <w:noProof/>
            <w:webHidden/>
          </w:rPr>
          <w:fldChar w:fldCharType="begin"/>
        </w:r>
        <w:r w:rsidR="00CC50AB">
          <w:rPr>
            <w:noProof/>
            <w:webHidden/>
          </w:rPr>
          <w:instrText xml:space="preserve"> PAGEREF _Toc121095946 \h </w:instrText>
        </w:r>
        <w:r w:rsidR="00CC50AB">
          <w:rPr>
            <w:noProof/>
            <w:webHidden/>
          </w:rPr>
        </w:r>
        <w:r w:rsidR="00CC50AB">
          <w:rPr>
            <w:noProof/>
            <w:webHidden/>
          </w:rPr>
          <w:fldChar w:fldCharType="separate"/>
        </w:r>
        <w:r w:rsidR="00B52D1E">
          <w:rPr>
            <w:noProof/>
            <w:webHidden/>
          </w:rPr>
          <w:t>53</w:t>
        </w:r>
        <w:r w:rsidR="00CC50AB">
          <w:rPr>
            <w:noProof/>
            <w:webHidden/>
          </w:rPr>
          <w:fldChar w:fldCharType="end"/>
        </w:r>
      </w:hyperlink>
    </w:p>
    <w:p w14:paraId="4840EDC8" w14:textId="17CFC95B" w:rsidR="00CC50AB" w:rsidRDefault="00000000">
      <w:pPr>
        <w:pStyle w:val="TOC2"/>
        <w:rPr>
          <w:rFonts w:asciiTheme="minorHAnsi" w:hAnsiTheme="minorHAnsi" w:cstheme="minorBidi"/>
          <w:b w:val="0"/>
          <w:noProof/>
          <w:sz w:val="22"/>
        </w:rPr>
      </w:pPr>
      <w:hyperlink w:anchor="_Toc121095947" w:history="1">
        <w:r w:rsidR="00CC50AB" w:rsidRPr="00C40EED">
          <w:rPr>
            <w:rStyle w:val="Hyperlink"/>
            <w:noProof/>
          </w:rPr>
          <w:t>Introduction</w:t>
        </w:r>
        <w:r w:rsidR="00CC50AB">
          <w:rPr>
            <w:noProof/>
            <w:webHidden/>
          </w:rPr>
          <w:tab/>
        </w:r>
        <w:r w:rsidR="00CC50AB">
          <w:rPr>
            <w:noProof/>
            <w:webHidden/>
          </w:rPr>
          <w:fldChar w:fldCharType="begin"/>
        </w:r>
        <w:r w:rsidR="00CC50AB">
          <w:rPr>
            <w:noProof/>
            <w:webHidden/>
          </w:rPr>
          <w:instrText xml:space="preserve"> PAGEREF _Toc121095947 \h </w:instrText>
        </w:r>
        <w:r w:rsidR="00CC50AB">
          <w:rPr>
            <w:noProof/>
            <w:webHidden/>
          </w:rPr>
        </w:r>
        <w:r w:rsidR="00CC50AB">
          <w:rPr>
            <w:noProof/>
            <w:webHidden/>
          </w:rPr>
          <w:fldChar w:fldCharType="separate"/>
        </w:r>
        <w:r w:rsidR="00B52D1E">
          <w:rPr>
            <w:noProof/>
            <w:webHidden/>
          </w:rPr>
          <w:t>54</w:t>
        </w:r>
        <w:r w:rsidR="00CC50AB">
          <w:rPr>
            <w:noProof/>
            <w:webHidden/>
          </w:rPr>
          <w:fldChar w:fldCharType="end"/>
        </w:r>
      </w:hyperlink>
    </w:p>
    <w:p w14:paraId="7DEEE2A6" w14:textId="70B7DDA2" w:rsidR="00CC50AB" w:rsidRDefault="00000000">
      <w:pPr>
        <w:pStyle w:val="TOC2"/>
        <w:rPr>
          <w:rFonts w:asciiTheme="minorHAnsi" w:hAnsiTheme="minorHAnsi" w:cstheme="minorBidi"/>
          <w:b w:val="0"/>
          <w:noProof/>
          <w:sz w:val="22"/>
        </w:rPr>
      </w:pPr>
      <w:hyperlink w:anchor="_Toc121095948" w:history="1">
        <w:r w:rsidR="00CC50AB" w:rsidRPr="00C40EED">
          <w:rPr>
            <w:rStyle w:val="Hyperlink"/>
            <w:noProof/>
          </w:rPr>
          <w:t>Geological setting</w:t>
        </w:r>
        <w:r w:rsidR="00CC50AB">
          <w:rPr>
            <w:noProof/>
            <w:webHidden/>
          </w:rPr>
          <w:tab/>
        </w:r>
        <w:r w:rsidR="00CC50AB">
          <w:rPr>
            <w:noProof/>
            <w:webHidden/>
          </w:rPr>
          <w:fldChar w:fldCharType="begin"/>
        </w:r>
        <w:r w:rsidR="00CC50AB">
          <w:rPr>
            <w:noProof/>
            <w:webHidden/>
          </w:rPr>
          <w:instrText xml:space="preserve"> PAGEREF _Toc121095948 \h </w:instrText>
        </w:r>
        <w:r w:rsidR="00CC50AB">
          <w:rPr>
            <w:noProof/>
            <w:webHidden/>
          </w:rPr>
        </w:r>
        <w:r w:rsidR="00CC50AB">
          <w:rPr>
            <w:noProof/>
            <w:webHidden/>
          </w:rPr>
          <w:fldChar w:fldCharType="separate"/>
        </w:r>
        <w:r w:rsidR="00B52D1E">
          <w:rPr>
            <w:noProof/>
            <w:webHidden/>
          </w:rPr>
          <w:t>56</w:t>
        </w:r>
        <w:r w:rsidR="00CC50AB">
          <w:rPr>
            <w:noProof/>
            <w:webHidden/>
          </w:rPr>
          <w:fldChar w:fldCharType="end"/>
        </w:r>
      </w:hyperlink>
    </w:p>
    <w:p w14:paraId="507A0811" w14:textId="1E64C065" w:rsidR="00CC50AB" w:rsidRDefault="00000000">
      <w:pPr>
        <w:pStyle w:val="TOC2"/>
        <w:rPr>
          <w:rFonts w:asciiTheme="minorHAnsi" w:hAnsiTheme="minorHAnsi" w:cstheme="minorBidi"/>
          <w:b w:val="0"/>
          <w:noProof/>
          <w:sz w:val="22"/>
        </w:rPr>
      </w:pPr>
      <w:hyperlink w:anchor="_Toc121095949" w:history="1">
        <w:r w:rsidR="00CC50AB" w:rsidRPr="00C40EED">
          <w:rPr>
            <w:rStyle w:val="Hyperlink"/>
            <w:noProof/>
          </w:rPr>
          <w:t>Methods</w:t>
        </w:r>
        <w:r w:rsidR="00CC50AB">
          <w:rPr>
            <w:noProof/>
            <w:webHidden/>
          </w:rPr>
          <w:tab/>
        </w:r>
        <w:r w:rsidR="00CC50AB">
          <w:rPr>
            <w:noProof/>
            <w:webHidden/>
          </w:rPr>
          <w:fldChar w:fldCharType="begin"/>
        </w:r>
        <w:r w:rsidR="00CC50AB">
          <w:rPr>
            <w:noProof/>
            <w:webHidden/>
          </w:rPr>
          <w:instrText xml:space="preserve"> PAGEREF _Toc121095949 \h </w:instrText>
        </w:r>
        <w:r w:rsidR="00CC50AB">
          <w:rPr>
            <w:noProof/>
            <w:webHidden/>
          </w:rPr>
        </w:r>
        <w:r w:rsidR="00CC50AB">
          <w:rPr>
            <w:noProof/>
            <w:webHidden/>
          </w:rPr>
          <w:fldChar w:fldCharType="separate"/>
        </w:r>
        <w:r w:rsidR="00B52D1E">
          <w:rPr>
            <w:noProof/>
            <w:webHidden/>
          </w:rPr>
          <w:t>57</w:t>
        </w:r>
        <w:r w:rsidR="00CC50AB">
          <w:rPr>
            <w:noProof/>
            <w:webHidden/>
          </w:rPr>
          <w:fldChar w:fldCharType="end"/>
        </w:r>
      </w:hyperlink>
    </w:p>
    <w:p w14:paraId="7494677D" w14:textId="163BD0DF" w:rsidR="00CC50AB" w:rsidRDefault="00000000">
      <w:pPr>
        <w:pStyle w:val="TOC3"/>
        <w:tabs>
          <w:tab w:val="right" w:leader="dot" w:pos="9350"/>
        </w:tabs>
        <w:rPr>
          <w:rFonts w:asciiTheme="minorHAnsi" w:hAnsiTheme="minorHAnsi" w:cstheme="minorBidi"/>
          <w:i w:val="0"/>
          <w:noProof/>
          <w:sz w:val="22"/>
        </w:rPr>
      </w:pPr>
      <w:hyperlink w:anchor="_Toc121095950" w:history="1">
        <w:r w:rsidR="00CC50AB" w:rsidRPr="00C40EED">
          <w:rPr>
            <w:rStyle w:val="Hyperlink"/>
            <w:noProof/>
          </w:rPr>
          <w:t>Lithologies and Petrophysics-based rock types (Petrofacies)</w:t>
        </w:r>
        <w:r w:rsidR="00CC50AB">
          <w:rPr>
            <w:noProof/>
            <w:webHidden/>
          </w:rPr>
          <w:tab/>
        </w:r>
        <w:r w:rsidR="00CC50AB">
          <w:rPr>
            <w:noProof/>
            <w:webHidden/>
          </w:rPr>
          <w:fldChar w:fldCharType="begin"/>
        </w:r>
        <w:r w:rsidR="00CC50AB">
          <w:rPr>
            <w:noProof/>
            <w:webHidden/>
          </w:rPr>
          <w:instrText xml:space="preserve"> PAGEREF _Toc121095950 \h </w:instrText>
        </w:r>
        <w:r w:rsidR="00CC50AB">
          <w:rPr>
            <w:noProof/>
            <w:webHidden/>
          </w:rPr>
        </w:r>
        <w:r w:rsidR="00CC50AB">
          <w:rPr>
            <w:noProof/>
            <w:webHidden/>
          </w:rPr>
          <w:fldChar w:fldCharType="separate"/>
        </w:r>
        <w:r w:rsidR="00B52D1E">
          <w:rPr>
            <w:noProof/>
            <w:webHidden/>
          </w:rPr>
          <w:t>57</w:t>
        </w:r>
        <w:r w:rsidR="00CC50AB">
          <w:rPr>
            <w:noProof/>
            <w:webHidden/>
          </w:rPr>
          <w:fldChar w:fldCharType="end"/>
        </w:r>
      </w:hyperlink>
    </w:p>
    <w:p w14:paraId="7C531527" w14:textId="22D78C32" w:rsidR="00CC50AB" w:rsidRDefault="00000000">
      <w:pPr>
        <w:pStyle w:val="TOC3"/>
        <w:tabs>
          <w:tab w:val="right" w:leader="dot" w:pos="9350"/>
        </w:tabs>
        <w:rPr>
          <w:rFonts w:asciiTheme="minorHAnsi" w:hAnsiTheme="minorHAnsi" w:cstheme="minorBidi"/>
          <w:i w:val="0"/>
          <w:noProof/>
          <w:sz w:val="22"/>
        </w:rPr>
      </w:pPr>
      <w:hyperlink w:anchor="_Toc121095951" w:history="1">
        <w:r w:rsidR="00CC50AB" w:rsidRPr="00C40EED">
          <w:rPr>
            <w:rStyle w:val="Hyperlink"/>
            <w:noProof/>
          </w:rPr>
          <w:t>Petrofacies definition in the noncored well</w:t>
        </w:r>
        <w:r w:rsidR="00CC50AB">
          <w:rPr>
            <w:noProof/>
            <w:webHidden/>
          </w:rPr>
          <w:tab/>
        </w:r>
        <w:r w:rsidR="00CC50AB">
          <w:rPr>
            <w:noProof/>
            <w:webHidden/>
          </w:rPr>
          <w:fldChar w:fldCharType="begin"/>
        </w:r>
        <w:r w:rsidR="00CC50AB">
          <w:rPr>
            <w:noProof/>
            <w:webHidden/>
          </w:rPr>
          <w:instrText xml:space="preserve"> PAGEREF _Toc121095951 \h </w:instrText>
        </w:r>
        <w:r w:rsidR="00CC50AB">
          <w:rPr>
            <w:noProof/>
            <w:webHidden/>
          </w:rPr>
        </w:r>
        <w:r w:rsidR="00CC50AB">
          <w:rPr>
            <w:noProof/>
            <w:webHidden/>
          </w:rPr>
          <w:fldChar w:fldCharType="separate"/>
        </w:r>
        <w:r w:rsidR="00B52D1E">
          <w:rPr>
            <w:noProof/>
            <w:webHidden/>
          </w:rPr>
          <w:t>59</w:t>
        </w:r>
        <w:r w:rsidR="00CC50AB">
          <w:rPr>
            <w:noProof/>
            <w:webHidden/>
          </w:rPr>
          <w:fldChar w:fldCharType="end"/>
        </w:r>
      </w:hyperlink>
    </w:p>
    <w:p w14:paraId="1A5F64FE" w14:textId="6234BFEE" w:rsidR="00CC50AB" w:rsidRDefault="00000000">
      <w:pPr>
        <w:pStyle w:val="TOC3"/>
        <w:tabs>
          <w:tab w:val="right" w:leader="dot" w:pos="9350"/>
        </w:tabs>
        <w:rPr>
          <w:rFonts w:asciiTheme="minorHAnsi" w:hAnsiTheme="minorHAnsi" w:cstheme="minorBidi"/>
          <w:i w:val="0"/>
          <w:noProof/>
          <w:sz w:val="22"/>
        </w:rPr>
      </w:pPr>
      <w:hyperlink w:anchor="_Toc121095952" w:history="1">
        <w:r w:rsidR="00CC50AB" w:rsidRPr="00C40EED">
          <w:rPr>
            <w:rStyle w:val="Hyperlink"/>
            <w:noProof/>
          </w:rPr>
          <w:t>Simultaneous pre-stack inversion</w:t>
        </w:r>
        <w:r w:rsidR="00CC50AB">
          <w:rPr>
            <w:noProof/>
            <w:webHidden/>
          </w:rPr>
          <w:tab/>
        </w:r>
        <w:r w:rsidR="00CC50AB">
          <w:rPr>
            <w:noProof/>
            <w:webHidden/>
          </w:rPr>
          <w:fldChar w:fldCharType="begin"/>
        </w:r>
        <w:r w:rsidR="00CC50AB">
          <w:rPr>
            <w:noProof/>
            <w:webHidden/>
          </w:rPr>
          <w:instrText xml:space="preserve"> PAGEREF _Toc121095952 \h </w:instrText>
        </w:r>
        <w:r w:rsidR="00CC50AB">
          <w:rPr>
            <w:noProof/>
            <w:webHidden/>
          </w:rPr>
        </w:r>
        <w:r w:rsidR="00CC50AB">
          <w:rPr>
            <w:noProof/>
            <w:webHidden/>
          </w:rPr>
          <w:fldChar w:fldCharType="separate"/>
        </w:r>
        <w:r w:rsidR="00B52D1E">
          <w:rPr>
            <w:noProof/>
            <w:webHidden/>
          </w:rPr>
          <w:t>60</w:t>
        </w:r>
        <w:r w:rsidR="00CC50AB">
          <w:rPr>
            <w:noProof/>
            <w:webHidden/>
          </w:rPr>
          <w:fldChar w:fldCharType="end"/>
        </w:r>
      </w:hyperlink>
    </w:p>
    <w:p w14:paraId="58B2266F" w14:textId="3EF38D2B" w:rsidR="00CC50AB" w:rsidRDefault="00000000">
      <w:pPr>
        <w:pStyle w:val="TOC3"/>
        <w:tabs>
          <w:tab w:val="right" w:leader="dot" w:pos="9350"/>
        </w:tabs>
        <w:rPr>
          <w:rFonts w:asciiTheme="minorHAnsi" w:hAnsiTheme="minorHAnsi" w:cstheme="minorBidi"/>
          <w:i w:val="0"/>
          <w:noProof/>
          <w:sz w:val="22"/>
        </w:rPr>
      </w:pPr>
      <w:hyperlink w:anchor="_Toc121095953" w:history="1">
        <w:r w:rsidR="00CC50AB" w:rsidRPr="00C40EED">
          <w:rPr>
            <w:rStyle w:val="Hyperlink"/>
            <w:noProof/>
          </w:rPr>
          <w:t>Seismic-scale 3D petrofacies volume prediction via supervised random forest classifier</w:t>
        </w:r>
        <w:r w:rsidR="00CC50AB">
          <w:rPr>
            <w:noProof/>
            <w:webHidden/>
          </w:rPr>
          <w:tab/>
        </w:r>
        <w:r w:rsidR="00CC50AB">
          <w:rPr>
            <w:noProof/>
            <w:webHidden/>
          </w:rPr>
          <w:fldChar w:fldCharType="begin"/>
        </w:r>
        <w:r w:rsidR="00CC50AB">
          <w:rPr>
            <w:noProof/>
            <w:webHidden/>
          </w:rPr>
          <w:instrText xml:space="preserve"> PAGEREF _Toc121095953 \h </w:instrText>
        </w:r>
        <w:r w:rsidR="00CC50AB">
          <w:rPr>
            <w:noProof/>
            <w:webHidden/>
          </w:rPr>
        </w:r>
        <w:r w:rsidR="00CC50AB">
          <w:rPr>
            <w:noProof/>
            <w:webHidden/>
          </w:rPr>
          <w:fldChar w:fldCharType="separate"/>
        </w:r>
        <w:r w:rsidR="00B52D1E">
          <w:rPr>
            <w:noProof/>
            <w:webHidden/>
          </w:rPr>
          <w:t>61</w:t>
        </w:r>
        <w:r w:rsidR="00CC50AB">
          <w:rPr>
            <w:noProof/>
            <w:webHidden/>
          </w:rPr>
          <w:fldChar w:fldCharType="end"/>
        </w:r>
      </w:hyperlink>
    </w:p>
    <w:p w14:paraId="45795913" w14:textId="3C95A00D" w:rsidR="00CC50AB" w:rsidRDefault="00000000">
      <w:pPr>
        <w:pStyle w:val="TOC2"/>
        <w:rPr>
          <w:rFonts w:asciiTheme="minorHAnsi" w:hAnsiTheme="minorHAnsi" w:cstheme="minorBidi"/>
          <w:b w:val="0"/>
          <w:noProof/>
          <w:sz w:val="22"/>
        </w:rPr>
      </w:pPr>
      <w:hyperlink w:anchor="_Toc121095954" w:history="1">
        <w:r w:rsidR="00CC50AB" w:rsidRPr="00C40EED">
          <w:rPr>
            <w:rStyle w:val="Hyperlink"/>
            <w:noProof/>
          </w:rPr>
          <w:t>Results</w:t>
        </w:r>
        <w:r w:rsidR="00CC50AB">
          <w:rPr>
            <w:noProof/>
            <w:webHidden/>
          </w:rPr>
          <w:tab/>
        </w:r>
        <w:r w:rsidR="00CC50AB">
          <w:rPr>
            <w:noProof/>
            <w:webHidden/>
          </w:rPr>
          <w:fldChar w:fldCharType="begin"/>
        </w:r>
        <w:r w:rsidR="00CC50AB">
          <w:rPr>
            <w:noProof/>
            <w:webHidden/>
          </w:rPr>
          <w:instrText xml:space="preserve"> PAGEREF _Toc121095954 \h </w:instrText>
        </w:r>
        <w:r w:rsidR="00CC50AB">
          <w:rPr>
            <w:noProof/>
            <w:webHidden/>
          </w:rPr>
        </w:r>
        <w:r w:rsidR="00CC50AB">
          <w:rPr>
            <w:noProof/>
            <w:webHidden/>
          </w:rPr>
          <w:fldChar w:fldCharType="separate"/>
        </w:r>
        <w:r w:rsidR="00B52D1E">
          <w:rPr>
            <w:noProof/>
            <w:webHidden/>
          </w:rPr>
          <w:t>63</w:t>
        </w:r>
        <w:r w:rsidR="00CC50AB">
          <w:rPr>
            <w:noProof/>
            <w:webHidden/>
          </w:rPr>
          <w:fldChar w:fldCharType="end"/>
        </w:r>
      </w:hyperlink>
    </w:p>
    <w:p w14:paraId="5B5B0531" w14:textId="07CD1FDD" w:rsidR="00CC50AB" w:rsidRDefault="00000000">
      <w:pPr>
        <w:pStyle w:val="TOC3"/>
        <w:tabs>
          <w:tab w:val="right" w:leader="dot" w:pos="9350"/>
        </w:tabs>
        <w:rPr>
          <w:rFonts w:asciiTheme="minorHAnsi" w:hAnsiTheme="minorHAnsi" w:cstheme="minorBidi"/>
          <w:i w:val="0"/>
          <w:noProof/>
          <w:sz w:val="22"/>
        </w:rPr>
      </w:pPr>
      <w:hyperlink w:anchor="_Toc121095955" w:history="1">
        <w:r w:rsidR="00CC50AB" w:rsidRPr="00C40EED">
          <w:rPr>
            <w:rStyle w:val="Hyperlink"/>
            <w:noProof/>
          </w:rPr>
          <w:t>Lithologies and Petrofacies</w:t>
        </w:r>
        <w:r w:rsidR="00CC50AB">
          <w:rPr>
            <w:noProof/>
            <w:webHidden/>
          </w:rPr>
          <w:tab/>
        </w:r>
        <w:r w:rsidR="00CC50AB">
          <w:rPr>
            <w:noProof/>
            <w:webHidden/>
          </w:rPr>
          <w:fldChar w:fldCharType="begin"/>
        </w:r>
        <w:r w:rsidR="00CC50AB">
          <w:rPr>
            <w:noProof/>
            <w:webHidden/>
          </w:rPr>
          <w:instrText xml:space="preserve"> PAGEREF _Toc121095955 \h </w:instrText>
        </w:r>
        <w:r w:rsidR="00CC50AB">
          <w:rPr>
            <w:noProof/>
            <w:webHidden/>
          </w:rPr>
        </w:r>
        <w:r w:rsidR="00CC50AB">
          <w:rPr>
            <w:noProof/>
            <w:webHidden/>
          </w:rPr>
          <w:fldChar w:fldCharType="separate"/>
        </w:r>
        <w:r w:rsidR="00B52D1E">
          <w:rPr>
            <w:noProof/>
            <w:webHidden/>
          </w:rPr>
          <w:t>63</w:t>
        </w:r>
        <w:r w:rsidR="00CC50AB">
          <w:rPr>
            <w:noProof/>
            <w:webHidden/>
          </w:rPr>
          <w:fldChar w:fldCharType="end"/>
        </w:r>
      </w:hyperlink>
    </w:p>
    <w:p w14:paraId="4DE31A18" w14:textId="77A2FB92" w:rsidR="00CC50AB" w:rsidRDefault="00000000">
      <w:pPr>
        <w:pStyle w:val="TOC3"/>
        <w:tabs>
          <w:tab w:val="right" w:leader="dot" w:pos="9350"/>
        </w:tabs>
        <w:rPr>
          <w:rFonts w:asciiTheme="minorHAnsi" w:hAnsiTheme="minorHAnsi" w:cstheme="minorBidi"/>
          <w:i w:val="0"/>
          <w:noProof/>
          <w:sz w:val="22"/>
        </w:rPr>
      </w:pPr>
      <w:hyperlink w:anchor="_Toc121095956" w:history="1">
        <w:r w:rsidR="00CC50AB" w:rsidRPr="00C40EED">
          <w:rPr>
            <w:rStyle w:val="Hyperlink"/>
            <w:noProof/>
          </w:rPr>
          <w:t>Seismic-scale elastic property and petrofacies distribution</w:t>
        </w:r>
        <w:r w:rsidR="00CC50AB">
          <w:rPr>
            <w:noProof/>
            <w:webHidden/>
          </w:rPr>
          <w:tab/>
        </w:r>
        <w:r w:rsidR="00CC50AB">
          <w:rPr>
            <w:noProof/>
            <w:webHidden/>
          </w:rPr>
          <w:fldChar w:fldCharType="begin"/>
        </w:r>
        <w:r w:rsidR="00CC50AB">
          <w:rPr>
            <w:noProof/>
            <w:webHidden/>
          </w:rPr>
          <w:instrText xml:space="preserve"> PAGEREF _Toc121095956 \h </w:instrText>
        </w:r>
        <w:r w:rsidR="00CC50AB">
          <w:rPr>
            <w:noProof/>
            <w:webHidden/>
          </w:rPr>
        </w:r>
        <w:r w:rsidR="00CC50AB">
          <w:rPr>
            <w:noProof/>
            <w:webHidden/>
          </w:rPr>
          <w:fldChar w:fldCharType="separate"/>
        </w:r>
        <w:r w:rsidR="00B52D1E">
          <w:rPr>
            <w:noProof/>
            <w:webHidden/>
          </w:rPr>
          <w:t>64</w:t>
        </w:r>
        <w:r w:rsidR="00CC50AB">
          <w:rPr>
            <w:noProof/>
            <w:webHidden/>
          </w:rPr>
          <w:fldChar w:fldCharType="end"/>
        </w:r>
      </w:hyperlink>
    </w:p>
    <w:p w14:paraId="1C6CD6C6" w14:textId="2A7F56EE" w:rsidR="00CC50AB" w:rsidRDefault="00000000">
      <w:pPr>
        <w:pStyle w:val="TOC2"/>
        <w:rPr>
          <w:rFonts w:asciiTheme="minorHAnsi" w:hAnsiTheme="minorHAnsi" w:cstheme="minorBidi"/>
          <w:b w:val="0"/>
          <w:noProof/>
          <w:sz w:val="22"/>
        </w:rPr>
      </w:pPr>
      <w:hyperlink w:anchor="_Toc121095957" w:history="1">
        <w:r w:rsidR="00CC50AB" w:rsidRPr="00C40EED">
          <w:rPr>
            <w:rStyle w:val="Hyperlink"/>
            <w:noProof/>
          </w:rPr>
          <w:t>Discussion</w:t>
        </w:r>
        <w:r w:rsidR="00CC50AB">
          <w:rPr>
            <w:noProof/>
            <w:webHidden/>
          </w:rPr>
          <w:tab/>
        </w:r>
        <w:r w:rsidR="00CC50AB">
          <w:rPr>
            <w:noProof/>
            <w:webHidden/>
          </w:rPr>
          <w:fldChar w:fldCharType="begin"/>
        </w:r>
        <w:r w:rsidR="00CC50AB">
          <w:rPr>
            <w:noProof/>
            <w:webHidden/>
          </w:rPr>
          <w:instrText xml:space="preserve"> PAGEREF _Toc121095957 \h </w:instrText>
        </w:r>
        <w:r w:rsidR="00CC50AB">
          <w:rPr>
            <w:noProof/>
            <w:webHidden/>
          </w:rPr>
        </w:r>
        <w:r w:rsidR="00CC50AB">
          <w:rPr>
            <w:noProof/>
            <w:webHidden/>
          </w:rPr>
          <w:fldChar w:fldCharType="separate"/>
        </w:r>
        <w:r w:rsidR="00B52D1E">
          <w:rPr>
            <w:noProof/>
            <w:webHidden/>
          </w:rPr>
          <w:t>66</w:t>
        </w:r>
        <w:r w:rsidR="00CC50AB">
          <w:rPr>
            <w:noProof/>
            <w:webHidden/>
          </w:rPr>
          <w:fldChar w:fldCharType="end"/>
        </w:r>
      </w:hyperlink>
    </w:p>
    <w:p w14:paraId="16782B6B" w14:textId="393BFBFB" w:rsidR="00CC50AB" w:rsidRDefault="00000000">
      <w:pPr>
        <w:pStyle w:val="TOC3"/>
        <w:tabs>
          <w:tab w:val="right" w:leader="dot" w:pos="9350"/>
        </w:tabs>
        <w:rPr>
          <w:rFonts w:asciiTheme="minorHAnsi" w:hAnsiTheme="minorHAnsi" w:cstheme="minorBidi"/>
          <w:i w:val="0"/>
          <w:noProof/>
          <w:sz w:val="22"/>
        </w:rPr>
      </w:pPr>
      <w:hyperlink w:anchor="_Toc121095958" w:history="1">
        <w:r w:rsidR="00CC50AB" w:rsidRPr="00C40EED">
          <w:rPr>
            <w:rStyle w:val="Hyperlink"/>
            <w:noProof/>
          </w:rPr>
          <w:t>Limitations</w:t>
        </w:r>
        <w:r w:rsidR="00CC50AB">
          <w:rPr>
            <w:noProof/>
            <w:webHidden/>
          </w:rPr>
          <w:tab/>
        </w:r>
        <w:r w:rsidR="00CC50AB">
          <w:rPr>
            <w:noProof/>
            <w:webHidden/>
          </w:rPr>
          <w:fldChar w:fldCharType="begin"/>
        </w:r>
        <w:r w:rsidR="00CC50AB">
          <w:rPr>
            <w:noProof/>
            <w:webHidden/>
          </w:rPr>
          <w:instrText xml:space="preserve"> PAGEREF _Toc121095958 \h </w:instrText>
        </w:r>
        <w:r w:rsidR="00CC50AB">
          <w:rPr>
            <w:noProof/>
            <w:webHidden/>
          </w:rPr>
        </w:r>
        <w:r w:rsidR="00CC50AB">
          <w:rPr>
            <w:noProof/>
            <w:webHidden/>
          </w:rPr>
          <w:fldChar w:fldCharType="separate"/>
        </w:r>
        <w:r w:rsidR="00B52D1E">
          <w:rPr>
            <w:noProof/>
            <w:webHidden/>
          </w:rPr>
          <w:t>67</w:t>
        </w:r>
        <w:r w:rsidR="00CC50AB">
          <w:rPr>
            <w:noProof/>
            <w:webHidden/>
          </w:rPr>
          <w:fldChar w:fldCharType="end"/>
        </w:r>
      </w:hyperlink>
    </w:p>
    <w:p w14:paraId="1B267846" w14:textId="78E9B509" w:rsidR="00CC50AB" w:rsidRDefault="00000000">
      <w:pPr>
        <w:pStyle w:val="TOC2"/>
        <w:rPr>
          <w:rFonts w:asciiTheme="minorHAnsi" w:hAnsiTheme="minorHAnsi" w:cstheme="minorBidi"/>
          <w:b w:val="0"/>
          <w:noProof/>
          <w:sz w:val="22"/>
        </w:rPr>
      </w:pPr>
      <w:hyperlink w:anchor="_Toc121095959" w:history="1">
        <w:r w:rsidR="00CC50AB" w:rsidRPr="00C40EED">
          <w:rPr>
            <w:rStyle w:val="Hyperlink"/>
            <w:noProof/>
          </w:rPr>
          <w:t>Conclusions</w:t>
        </w:r>
        <w:r w:rsidR="00CC50AB">
          <w:rPr>
            <w:noProof/>
            <w:webHidden/>
          </w:rPr>
          <w:tab/>
        </w:r>
        <w:r w:rsidR="00CC50AB">
          <w:rPr>
            <w:noProof/>
            <w:webHidden/>
          </w:rPr>
          <w:fldChar w:fldCharType="begin"/>
        </w:r>
        <w:r w:rsidR="00CC50AB">
          <w:rPr>
            <w:noProof/>
            <w:webHidden/>
          </w:rPr>
          <w:instrText xml:space="preserve"> PAGEREF _Toc121095959 \h </w:instrText>
        </w:r>
        <w:r w:rsidR="00CC50AB">
          <w:rPr>
            <w:noProof/>
            <w:webHidden/>
          </w:rPr>
        </w:r>
        <w:r w:rsidR="00CC50AB">
          <w:rPr>
            <w:noProof/>
            <w:webHidden/>
          </w:rPr>
          <w:fldChar w:fldCharType="separate"/>
        </w:r>
        <w:r w:rsidR="00B52D1E">
          <w:rPr>
            <w:noProof/>
            <w:webHidden/>
          </w:rPr>
          <w:t>68</w:t>
        </w:r>
        <w:r w:rsidR="00CC50AB">
          <w:rPr>
            <w:noProof/>
            <w:webHidden/>
          </w:rPr>
          <w:fldChar w:fldCharType="end"/>
        </w:r>
      </w:hyperlink>
    </w:p>
    <w:p w14:paraId="2DE0C516" w14:textId="15CDE428" w:rsidR="00CC50AB" w:rsidRDefault="00000000">
      <w:pPr>
        <w:pStyle w:val="TOC2"/>
        <w:rPr>
          <w:rFonts w:asciiTheme="minorHAnsi" w:hAnsiTheme="minorHAnsi" w:cstheme="minorBidi"/>
          <w:b w:val="0"/>
          <w:noProof/>
          <w:sz w:val="22"/>
        </w:rPr>
      </w:pPr>
      <w:hyperlink w:anchor="_Toc121095960" w:history="1">
        <w:r w:rsidR="00CC50AB" w:rsidRPr="00C40EED">
          <w:rPr>
            <w:rStyle w:val="Hyperlink"/>
            <w:noProof/>
          </w:rPr>
          <w:t>Acknowledgments</w:t>
        </w:r>
        <w:r w:rsidR="00CC50AB">
          <w:rPr>
            <w:noProof/>
            <w:webHidden/>
          </w:rPr>
          <w:tab/>
        </w:r>
        <w:r w:rsidR="00CC50AB">
          <w:rPr>
            <w:noProof/>
            <w:webHidden/>
          </w:rPr>
          <w:fldChar w:fldCharType="begin"/>
        </w:r>
        <w:r w:rsidR="00CC50AB">
          <w:rPr>
            <w:noProof/>
            <w:webHidden/>
          </w:rPr>
          <w:instrText xml:space="preserve"> PAGEREF _Toc121095960 \h </w:instrText>
        </w:r>
        <w:r w:rsidR="00CC50AB">
          <w:rPr>
            <w:noProof/>
            <w:webHidden/>
          </w:rPr>
        </w:r>
        <w:r w:rsidR="00CC50AB">
          <w:rPr>
            <w:noProof/>
            <w:webHidden/>
          </w:rPr>
          <w:fldChar w:fldCharType="separate"/>
        </w:r>
        <w:r w:rsidR="00B52D1E">
          <w:rPr>
            <w:noProof/>
            <w:webHidden/>
          </w:rPr>
          <w:t>69</w:t>
        </w:r>
        <w:r w:rsidR="00CC50AB">
          <w:rPr>
            <w:noProof/>
            <w:webHidden/>
          </w:rPr>
          <w:fldChar w:fldCharType="end"/>
        </w:r>
      </w:hyperlink>
    </w:p>
    <w:p w14:paraId="22F5A48D" w14:textId="72907449" w:rsidR="00CC50AB" w:rsidRDefault="00000000">
      <w:pPr>
        <w:pStyle w:val="TOC2"/>
        <w:rPr>
          <w:rFonts w:asciiTheme="minorHAnsi" w:hAnsiTheme="minorHAnsi" w:cstheme="minorBidi"/>
          <w:b w:val="0"/>
          <w:noProof/>
          <w:sz w:val="22"/>
        </w:rPr>
      </w:pPr>
      <w:hyperlink w:anchor="_Toc121095961" w:history="1">
        <w:r w:rsidR="00CC50AB" w:rsidRPr="00C40EED">
          <w:rPr>
            <w:rStyle w:val="Hyperlink"/>
            <w:noProof/>
          </w:rPr>
          <w:t>References</w:t>
        </w:r>
        <w:r w:rsidR="00CC50AB">
          <w:rPr>
            <w:noProof/>
            <w:webHidden/>
          </w:rPr>
          <w:tab/>
        </w:r>
        <w:r w:rsidR="00CC50AB">
          <w:rPr>
            <w:noProof/>
            <w:webHidden/>
          </w:rPr>
          <w:fldChar w:fldCharType="begin"/>
        </w:r>
        <w:r w:rsidR="00CC50AB">
          <w:rPr>
            <w:noProof/>
            <w:webHidden/>
          </w:rPr>
          <w:instrText xml:space="preserve"> PAGEREF _Toc121095961 \h </w:instrText>
        </w:r>
        <w:r w:rsidR="00CC50AB">
          <w:rPr>
            <w:noProof/>
            <w:webHidden/>
          </w:rPr>
        </w:r>
        <w:r w:rsidR="00CC50AB">
          <w:rPr>
            <w:noProof/>
            <w:webHidden/>
          </w:rPr>
          <w:fldChar w:fldCharType="separate"/>
        </w:r>
        <w:r w:rsidR="00B52D1E">
          <w:rPr>
            <w:noProof/>
            <w:webHidden/>
          </w:rPr>
          <w:t>69</w:t>
        </w:r>
        <w:r w:rsidR="00CC50AB">
          <w:rPr>
            <w:noProof/>
            <w:webHidden/>
          </w:rPr>
          <w:fldChar w:fldCharType="end"/>
        </w:r>
      </w:hyperlink>
    </w:p>
    <w:p w14:paraId="44B67A9B" w14:textId="22E64D46" w:rsidR="00CC50AB" w:rsidRDefault="00000000">
      <w:pPr>
        <w:pStyle w:val="TOC2"/>
        <w:rPr>
          <w:rFonts w:asciiTheme="minorHAnsi" w:hAnsiTheme="minorHAnsi" w:cstheme="minorBidi"/>
          <w:b w:val="0"/>
          <w:noProof/>
          <w:sz w:val="22"/>
        </w:rPr>
      </w:pPr>
      <w:hyperlink w:anchor="_Toc121095962" w:history="1">
        <w:r w:rsidR="00CC50AB" w:rsidRPr="00C40EED">
          <w:rPr>
            <w:rStyle w:val="Hyperlink"/>
            <w:noProof/>
          </w:rPr>
          <w:t>Appendix A</w:t>
        </w:r>
        <w:r w:rsidR="00CC50AB">
          <w:rPr>
            <w:noProof/>
            <w:webHidden/>
          </w:rPr>
          <w:tab/>
        </w:r>
        <w:r w:rsidR="00CC50AB">
          <w:rPr>
            <w:noProof/>
            <w:webHidden/>
          </w:rPr>
          <w:fldChar w:fldCharType="begin"/>
        </w:r>
        <w:r w:rsidR="00CC50AB">
          <w:rPr>
            <w:noProof/>
            <w:webHidden/>
          </w:rPr>
          <w:instrText xml:space="preserve"> PAGEREF _Toc121095962 \h </w:instrText>
        </w:r>
        <w:r w:rsidR="00CC50AB">
          <w:rPr>
            <w:noProof/>
            <w:webHidden/>
          </w:rPr>
        </w:r>
        <w:r w:rsidR="00CC50AB">
          <w:rPr>
            <w:noProof/>
            <w:webHidden/>
          </w:rPr>
          <w:fldChar w:fldCharType="separate"/>
        </w:r>
        <w:r w:rsidR="00B52D1E">
          <w:rPr>
            <w:noProof/>
            <w:webHidden/>
          </w:rPr>
          <w:t>80</w:t>
        </w:r>
        <w:r w:rsidR="00CC50AB">
          <w:rPr>
            <w:noProof/>
            <w:webHidden/>
          </w:rPr>
          <w:fldChar w:fldCharType="end"/>
        </w:r>
      </w:hyperlink>
    </w:p>
    <w:p w14:paraId="278A6DCB" w14:textId="45BD8B90" w:rsidR="00CC50AB" w:rsidRDefault="00000000">
      <w:pPr>
        <w:pStyle w:val="TOC3"/>
        <w:tabs>
          <w:tab w:val="right" w:leader="dot" w:pos="9350"/>
        </w:tabs>
        <w:rPr>
          <w:rFonts w:asciiTheme="minorHAnsi" w:hAnsiTheme="minorHAnsi" w:cstheme="minorBidi"/>
          <w:i w:val="0"/>
          <w:noProof/>
          <w:sz w:val="22"/>
        </w:rPr>
      </w:pPr>
      <w:hyperlink w:anchor="_Toc121095963" w:history="1">
        <w:r w:rsidR="00CC50AB" w:rsidRPr="00C40EED">
          <w:rPr>
            <w:rStyle w:val="Hyperlink"/>
            <w:noProof/>
          </w:rPr>
          <w:t>Pre-stack simultaneous inversion</w:t>
        </w:r>
        <w:r w:rsidR="00CC50AB">
          <w:rPr>
            <w:noProof/>
            <w:webHidden/>
          </w:rPr>
          <w:tab/>
        </w:r>
        <w:r w:rsidR="00CC50AB">
          <w:rPr>
            <w:noProof/>
            <w:webHidden/>
          </w:rPr>
          <w:fldChar w:fldCharType="begin"/>
        </w:r>
        <w:r w:rsidR="00CC50AB">
          <w:rPr>
            <w:noProof/>
            <w:webHidden/>
          </w:rPr>
          <w:instrText xml:space="preserve"> PAGEREF _Toc121095963 \h </w:instrText>
        </w:r>
        <w:r w:rsidR="00CC50AB">
          <w:rPr>
            <w:noProof/>
            <w:webHidden/>
          </w:rPr>
        </w:r>
        <w:r w:rsidR="00CC50AB">
          <w:rPr>
            <w:noProof/>
            <w:webHidden/>
          </w:rPr>
          <w:fldChar w:fldCharType="separate"/>
        </w:r>
        <w:r w:rsidR="00B52D1E">
          <w:rPr>
            <w:noProof/>
            <w:webHidden/>
          </w:rPr>
          <w:t>80</w:t>
        </w:r>
        <w:r w:rsidR="00CC50AB">
          <w:rPr>
            <w:noProof/>
            <w:webHidden/>
          </w:rPr>
          <w:fldChar w:fldCharType="end"/>
        </w:r>
      </w:hyperlink>
    </w:p>
    <w:p w14:paraId="04A2C44A" w14:textId="7A8A7521" w:rsidR="00CC50AB" w:rsidRDefault="00000000">
      <w:pPr>
        <w:pStyle w:val="TOC2"/>
        <w:rPr>
          <w:rFonts w:asciiTheme="minorHAnsi" w:hAnsiTheme="minorHAnsi" w:cstheme="minorBidi"/>
          <w:b w:val="0"/>
          <w:noProof/>
          <w:sz w:val="22"/>
        </w:rPr>
      </w:pPr>
      <w:hyperlink w:anchor="_Toc121095964" w:history="1">
        <w:r w:rsidR="00CC50AB" w:rsidRPr="00C40EED">
          <w:rPr>
            <w:rStyle w:val="Hyperlink"/>
            <w:noProof/>
          </w:rPr>
          <w:t>Appendix B</w:t>
        </w:r>
        <w:r w:rsidR="00CC50AB">
          <w:rPr>
            <w:noProof/>
            <w:webHidden/>
          </w:rPr>
          <w:tab/>
        </w:r>
        <w:r w:rsidR="00CC50AB">
          <w:rPr>
            <w:noProof/>
            <w:webHidden/>
          </w:rPr>
          <w:fldChar w:fldCharType="begin"/>
        </w:r>
        <w:r w:rsidR="00CC50AB">
          <w:rPr>
            <w:noProof/>
            <w:webHidden/>
          </w:rPr>
          <w:instrText xml:space="preserve"> PAGEREF _Toc121095964 \h </w:instrText>
        </w:r>
        <w:r w:rsidR="00CC50AB">
          <w:rPr>
            <w:noProof/>
            <w:webHidden/>
          </w:rPr>
        </w:r>
        <w:r w:rsidR="00CC50AB">
          <w:rPr>
            <w:noProof/>
            <w:webHidden/>
          </w:rPr>
          <w:fldChar w:fldCharType="separate"/>
        </w:r>
        <w:r w:rsidR="00B52D1E">
          <w:rPr>
            <w:noProof/>
            <w:webHidden/>
          </w:rPr>
          <w:t>82</w:t>
        </w:r>
        <w:r w:rsidR="00CC50AB">
          <w:rPr>
            <w:noProof/>
            <w:webHidden/>
          </w:rPr>
          <w:fldChar w:fldCharType="end"/>
        </w:r>
      </w:hyperlink>
    </w:p>
    <w:p w14:paraId="7350FF8E" w14:textId="52518AEE" w:rsidR="00CC50AB" w:rsidRDefault="00000000">
      <w:pPr>
        <w:pStyle w:val="TOC3"/>
        <w:tabs>
          <w:tab w:val="right" w:leader="dot" w:pos="9350"/>
        </w:tabs>
        <w:rPr>
          <w:rFonts w:asciiTheme="minorHAnsi" w:hAnsiTheme="minorHAnsi" w:cstheme="minorBidi"/>
          <w:i w:val="0"/>
          <w:noProof/>
          <w:sz w:val="22"/>
        </w:rPr>
      </w:pPr>
      <w:hyperlink w:anchor="_Toc121095965" w:history="1">
        <w:r w:rsidR="00CC50AB" w:rsidRPr="00C40EED">
          <w:rPr>
            <w:rStyle w:val="Hyperlink"/>
            <w:noProof/>
          </w:rPr>
          <w:t>Pre-stack gather pre-conditioning</w:t>
        </w:r>
        <w:r w:rsidR="00CC50AB">
          <w:rPr>
            <w:noProof/>
            <w:webHidden/>
          </w:rPr>
          <w:tab/>
        </w:r>
        <w:r w:rsidR="00CC50AB">
          <w:rPr>
            <w:noProof/>
            <w:webHidden/>
          </w:rPr>
          <w:fldChar w:fldCharType="begin"/>
        </w:r>
        <w:r w:rsidR="00CC50AB">
          <w:rPr>
            <w:noProof/>
            <w:webHidden/>
          </w:rPr>
          <w:instrText xml:space="preserve"> PAGEREF _Toc121095965 \h </w:instrText>
        </w:r>
        <w:r w:rsidR="00CC50AB">
          <w:rPr>
            <w:noProof/>
            <w:webHidden/>
          </w:rPr>
        </w:r>
        <w:r w:rsidR="00CC50AB">
          <w:rPr>
            <w:noProof/>
            <w:webHidden/>
          </w:rPr>
          <w:fldChar w:fldCharType="separate"/>
        </w:r>
        <w:r w:rsidR="00B52D1E">
          <w:rPr>
            <w:noProof/>
            <w:webHidden/>
          </w:rPr>
          <w:t>82</w:t>
        </w:r>
        <w:r w:rsidR="00CC50AB">
          <w:rPr>
            <w:noProof/>
            <w:webHidden/>
          </w:rPr>
          <w:fldChar w:fldCharType="end"/>
        </w:r>
      </w:hyperlink>
    </w:p>
    <w:p w14:paraId="0568DF07" w14:textId="7AB34415" w:rsidR="00CC50AB" w:rsidRDefault="00000000">
      <w:pPr>
        <w:pStyle w:val="TOC3"/>
        <w:tabs>
          <w:tab w:val="right" w:leader="dot" w:pos="9350"/>
        </w:tabs>
        <w:rPr>
          <w:rFonts w:asciiTheme="minorHAnsi" w:hAnsiTheme="minorHAnsi" w:cstheme="minorBidi"/>
          <w:i w:val="0"/>
          <w:noProof/>
          <w:sz w:val="22"/>
        </w:rPr>
      </w:pPr>
      <w:hyperlink w:anchor="_Toc121095966" w:history="1">
        <w:r w:rsidR="00CC50AB" w:rsidRPr="00C40EED">
          <w:rPr>
            <w:rStyle w:val="Hyperlink"/>
            <w:noProof/>
          </w:rPr>
          <w:t>Parabolic Radon filtering</w:t>
        </w:r>
        <w:r w:rsidR="00CC50AB">
          <w:rPr>
            <w:noProof/>
            <w:webHidden/>
          </w:rPr>
          <w:tab/>
        </w:r>
        <w:r w:rsidR="00CC50AB">
          <w:rPr>
            <w:noProof/>
            <w:webHidden/>
          </w:rPr>
          <w:fldChar w:fldCharType="begin"/>
        </w:r>
        <w:r w:rsidR="00CC50AB">
          <w:rPr>
            <w:noProof/>
            <w:webHidden/>
          </w:rPr>
          <w:instrText xml:space="preserve"> PAGEREF _Toc121095966 \h </w:instrText>
        </w:r>
        <w:r w:rsidR="00CC50AB">
          <w:rPr>
            <w:noProof/>
            <w:webHidden/>
          </w:rPr>
        </w:r>
        <w:r w:rsidR="00CC50AB">
          <w:rPr>
            <w:noProof/>
            <w:webHidden/>
          </w:rPr>
          <w:fldChar w:fldCharType="separate"/>
        </w:r>
        <w:r w:rsidR="00B52D1E">
          <w:rPr>
            <w:noProof/>
            <w:webHidden/>
          </w:rPr>
          <w:t>82</w:t>
        </w:r>
        <w:r w:rsidR="00CC50AB">
          <w:rPr>
            <w:noProof/>
            <w:webHidden/>
          </w:rPr>
          <w:fldChar w:fldCharType="end"/>
        </w:r>
      </w:hyperlink>
    </w:p>
    <w:p w14:paraId="2340CD83" w14:textId="3DDC1BD3" w:rsidR="00CC50AB" w:rsidRDefault="00000000">
      <w:pPr>
        <w:pStyle w:val="TOC3"/>
        <w:tabs>
          <w:tab w:val="right" w:leader="dot" w:pos="9350"/>
        </w:tabs>
        <w:rPr>
          <w:rFonts w:asciiTheme="minorHAnsi" w:hAnsiTheme="minorHAnsi" w:cstheme="minorBidi"/>
          <w:i w:val="0"/>
          <w:noProof/>
          <w:sz w:val="22"/>
        </w:rPr>
      </w:pPr>
      <w:hyperlink w:anchor="_Toc121095967" w:history="1">
        <w:r w:rsidR="00CC50AB" w:rsidRPr="00C40EED">
          <w:rPr>
            <w:rStyle w:val="Hyperlink"/>
            <w:noProof/>
          </w:rPr>
          <w:t>Angle gather calculation</w:t>
        </w:r>
        <w:r w:rsidR="00CC50AB">
          <w:rPr>
            <w:noProof/>
            <w:webHidden/>
          </w:rPr>
          <w:tab/>
        </w:r>
        <w:r w:rsidR="00CC50AB">
          <w:rPr>
            <w:noProof/>
            <w:webHidden/>
          </w:rPr>
          <w:fldChar w:fldCharType="begin"/>
        </w:r>
        <w:r w:rsidR="00CC50AB">
          <w:rPr>
            <w:noProof/>
            <w:webHidden/>
          </w:rPr>
          <w:instrText xml:space="preserve"> PAGEREF _Toc121095967 \h </w:instrText>
        </w:r>
        <w:r w:rsidR="00CC50AB">
          <w:rPr>
            <w:noProof/>
            <w:webHidden/>
          </w:rPr>
        </w:r>
        <w:r w:rsidR="00CC50AB">
          <w:rPr>
            <w:noProof/>
            <w:webHidden/>
          </w:rPr>
          <w:fldChar w:fldCharType="separate"/>
        </w:r>
        <w:r w:rsidR="00B52D1E">
          <w:rPr>
            <w:noProof/>
            <w:webHidden/>
          </w:rPr>
          <w:t>84</w:t>
        </w:r>
        <w:r w:rsidR="00CC50AB">
          <w:rPr>
            <w:noProof/>
            <w:webHidden/>
          </w:rPr>
          <w:fldChar w:fldCharType="end"/>
        </w:r>
      </w:hyperlink>
    </w:p>
    <w:p w14:paraId="0818D663" w14:textId="4908B344" w:rsidR="00CC50AB" w:rsidRDefault="00000000">
      <w:pPr>
        <w:pStyle w:val="TOC2"/>
        <w:rPr>
          <w:rFonts w:asciiTheme="minorHAnsi" w:hAnsiTheme="minorHAnsi" w:cstheme="minorBidi"/>
          <w:b w:val="0"/>
          <w:noProof/>
          <w:sz w:val="22"/>
        </w:rPr>
      </w:pPr>
      <w:hyperlink w:anchor="_Toc121095968" w:history="1">
        <w:r w:rsidR="00CC50AB" w:rsidRPr="00C40EED">
          <w:rPr>
            <w:rStyle w:val="Hyperlink"/>
            <w:noProof/>
          </w:rPr>
          <w:t>Appendix C</w:t>
        </w:r>
        <w:r w:rsidR="00CC50AB">
          <w:rPr>
            <w:noProof/>
            <w:webHidden/>
          </w:rPr>
          <w:tab/>
        </w:r>
        <w:r w:rsidR="00CC50AB">
          <w:rPr>
            <w:noProof/>
            <w:webHidden/>
          </w:rPr>
          <w:fldChar w:fldCharType="begin"/>
        </w:r>
        <w:r w:rsidR="00CC50AB">
          <w:rPr>
            <w:noProof/>
            <w:webHidden/>
          </w:rPr>
          <w:instrText xml:space="preserve"> PAGEREF _Toc121095968 \h </w:instrText>
        </w:r>
        <w:r w:rsidR="00CC50AB">
          <w:rPr>
            <w:noProof/>
            <w:webHidden/>
          </w:rPr>
        </w:r>
        <w:r w:rsidR="00CC50AB">
          <w:rPr>
            <w:noProof/>
            <w:webHidden/>
          </w:rPr>
          <w:fldChar w:fldCharType="separate"/>
        </w:r>
        <w:r w:rsidR="00B52D1E">
          <w:rPr>
            <w:noProof/>
            <w:webHidden/>
          </w:rPr>
          <w:t>86</w:t>
        </w:r>
        <w:r w:rsidR="00CC50AB">
          <w:rPr>
            <w:noProof/>
            <w:webHidden/>
          </w:rPr>
          <w:fldChar w:fldCharType="end"/>
        </w:r>
      </w:hyperlink>
    </w:p>
    <w:p w14:paraId="3BE5457E" w14:textId="3098A06B" w:rsidR="00CC50AB" w:rsidRDefault="00000000">
      <w:pPr>
        <w:pStyle w:val="TOC3"/>
        <w:tabs>
          <w:tab w:val="right" w:leader="dot" w:pos="9350"/>
        </w:tabs>
        <w:rPr>
          <w:rFonts w:asciiTheme="minorHAnsi" w:hAnsiTheme="minorHAnsi" w:cstheme="minorBidi"/>
          <w:i w:val="0"/>
          <w:noProof/>
          <w:sz w:val="22"/>
        </w:rPr>
      </w:pPr>
      <w:hyperlink w:anchor="_Toc121095969" w:history="1">
        <w:r w:rsidR="00CC50AB" w:rsidRPr="00C40EED">
          <w:rPr>
            <w:rStyle w:val="Hyperlink"/>
            <w:noProof/>
          </w:rPr>
          <w:t>Resampling petrofacies logs in the time domain</w:t>
        </w:r>
        <w:r w:rsidR="00CC50AB">
          <w:rPr>
            <w:noProof/>
            <w:webHidden/>
          </w:rPr>
          <w:tab/>
        </w:r>
        <w:r w:rsidR="00CC50AB">
          <w:rPr>
            <w:noProof/>
            <w:webHidden/>
          </w:rPr>
          <w:fldChar w:fldCharType="begin"/>
        </w:r>
        <w:r w:rsidR="00CC50AB">
          <w:rPr>
            <w:noProof/>
            <w:webHidden/>
          </w:rPr>
          <w:instrText xml:space="preserve"> PAGEREF _Toc121095969 \h </w:instrText>
        </w:r>
        <w:r w:rsidR="00CC50AB">
          <w:rPr>
            <w:noProof/>
            <w:webHidden/>
          </w:rPr>
        </w:r>
        <w:r w:rsidR="00CC50AB">
          <w:rPr>
            <w:noProof/>
            <w:webHidden/>
          </w:rPr>
          <w:fldChar w:fldCharType="separate"/>
        </w:r>
        <w:r w:rsidR="00B52D1E">
          <w:rPr>
            <w:noProof/>
            <w:webHidden/>
          </w:rPr>
          <w:t>86</w:t>
        </w:r>
        <w:r w:rsidR="00CC50AB">
          <w:rPr>
            <w:noProof/>
            <w:webHidden/>
          </w:rPr>
          <w:fldChar w:fldCharType="end"/>
        </w:r>
      </w:hyperlink>
    </w:p>
    <w:p w14:paraId="65A7CF15" w14:textId="70C97896" w:rsidR="00CC50AB" w:rsidRDefault="00000000">
      <w:pPr>
        <w:pStyle w:val="TOC2"/>
        <w:rPr>
          <w:rFonts w:asciiTheme="minorHAnsi" w:hAnsiTheme="minorHAnsi" w:cstheme="minorBidi"/>
          <w:b w:val="0"/>
          <w:noProof/>
          <w:sz w:val="22"/>
        </w:rPr>
      </w:pPr>
      <w:hyperlink w:anchor="_Toc121095970" w:history="1">
        <w:r w:rsidR="00CC50AB" w:rsidRPr="00C40EED">
          <w:rPr>
            <w:rStyle w:val="Hyperlink"/>
            <w:noProof/>
          </w:rPr>
          <w:t>Appendix D</w:t>
        </w:r>
        <w:r w:rsidR="00CC50AB">
          <w:rPr>
            <w:noProof/>
            <w:webHidden/>
          </w:rPr>
          <w:tab/>
        </w:r>
        <w:r w:rsidR="00CC50AB">
          <w:rPr>
            <w:noProof/>
            <w:webHidden/>
          </w:rPr>
          <w:fldChar w:fldCharType="begin"/>
        </w:r>
        <w:r w:rsidR="00CC50AB">
          <w:rPr>
            <w:noProof/>
            <w:webHidden/>
          </w:rPr>
          <w:instrText xml:space="preserve"> PAGEREF _Toc121095970 \h </w:instrText>
        </w:r>
        <w:r w:rsidR="00CC50AB">
          <w:rPr>
            <w:noProof/>
            <w:webHidden/>
          </w:rPr>
        </w:r>
        <w:r w:rsidR="00CC50AB">
          <w:rPr>
            <w:noProof/>
            <w:webHidden/>
          </w:rPr>
          <w:fldChar w:fldCharType="separate"/>
        </w:r>
        <w:r w:rsidR="00B52D1E">
          <w:rPr>
            <w:noProof/>
            <w:webHidden/>
          </w:rPr>
          <w:t>87</w:t>
        </w:r>
        <w:r w:rsidR="00CC50AB">
          <w:rPr>
            <w:noProof/>
            <w:webHidden/>
          </w:rPr>
          <w:fldChar w:fldCharType="end"/>
        </w:r>
      </w:hyperlink>
    </w:p>
    <w:p w14:paraId="71C05070" w14:textId="0A6A7C67" w:rsidR="00CC50AB" w:rsidRDefault="00000000">
      <w:pPr>
        <w:pStyle w:val="TOC3"/>
        <w:tabs>
          <w:tab w:val="right" w:leader="dot" w:pos="9350"/>
        </w:tabs>
        <w:rPr>
          <w:rFonts w:asciiTheme="minorHAnsi" w:hAnsiTheme="minorHAnsi" w:cstheme="minorBidi"/>
          <w:i w:val="0"/>
          <w:noProof/>
          <w:sz w:val="22"/>
        </w:rPr>
      </w:pPr>
      <w:hyperlink w:anchor="_Toc121095971" w:history="1">
        <w:r w:rsidR="00CC50AB" w:rsidRPr="00C40EED">
          <w:rPr>
            <w:rStyle w:val="Hyperlink"/>
            <w:noProof/>
          </w:rPr>
          <w:t>Hyperparameter optimization for the supervised random forest training</w:t>
        </w:r>
        <w:r w:rsidR="00CC50AB">
          <w:rPr>
            <w:noProof/>
            <w:webHidden/>
          </w:rPr>
          <w:tab/>
        </w:r>
        <w:r w:rsidR="00CC50AB">
          <w:rPr>
            <w:noProof/>
            <w:webHidden/>
          </w:rPr>
          <w:fldChar w:fldCharType="begin"/>
        </w:r>
        <w:r w:rsidR="00CC50AB">
          <w:rPr>
            <w:noProof/>
            <w:webHidden/>
          </w:rPr>
          <w:instrText xml:space="preserve"> PAGEREF _Toc121095971 \h </w:instrText>
        </w:r>
        <w:r w:rsidR="00CC50AB">
          <w:rPr>
            <w:noProof/>
            <w:webHidden/>
          </w:rPr>
        </w:r>
        <w:r w:rsidR="00CC50AB">
          <w:rPr>
            <w:noProof/>
            <w:webHidden/>
          </w:rPr>
          <w:fldChar w:fldCharType="separate"/>
        </w:r>
        <w:r w:rsidR="00B52D1E">
          <w:rPr>
            <w:noProof/>
            <w:webHidden/>
          </w:rPr>
          <w:t>87</w:t>
        </w:r>
        <w:r w:rsidR="00CC50AB">
          <w:rPr>
            <w:noProof/>
            <w:webHidden/>
          </w:rPr>
          <w:fldChar w:fldCharType="end"/>
        </w:r>
      </w:hyperlink>
    </w:p>
    <w:p w14:paraId="79DAC388" w14:textId="72A60153" w:rsidR="00CC50AB" w:rsidRDefault="00000000">
      <w:pPr>
        <w:pStyle w:val="TOC2"/>
        <w:rPr>
          <w:rFonts w:asciiTheme="minorHAnsi" w:hAnsiTheme="minorHAnsi" w:cstheme="minorBidi"/>
          <w:b w:val="0"/>
          <w:noProof/>
          <w:sz w:val="22"/>
        </w:rPr>
      </w:pPr>
      <w:hyperlink w:anchor="_Toc121095972" w:history="1">
        <w:r w:rsidR="00CC50AB" w:rsidRPr="00C40EED">
          <w:rPr>
            <w:rStyle w:val="Hyperlink"/>
            <w:noProof/>
          </w:rPr>
          <w:t>Appendix E</w:t>
        </w:r>
        <w:r w:rsidR="00CC50AB">
          <w:rPr>
            <w:noProof/>
            <w:webHidden/>
          </w:rPr>
          <w:tab/>
        </w:r>
        <w:r w:rsidR="00CC50AB">
          <w:rPr>
            <w:noProof/>
            <w:webHidden/>
          </w:rPr>
          <w:fldChar w:fldCharType="begin"/>
        </w:r>
        <w:r w:rsidR="00CC50AB">
          <w:rPr>
            <w:noProof/>
            <w:webHidden/>
          </w:rPr>
          <w:instrText xml:space="preserve"> PAGEREF _Toc121095972 \h </w:instrText>
        </w:r>
        <w:r w:rsidR="00CC50AB">
          <w:rPr>
            <w:noProof/>
            <w:webHidden/>
          </w:rPr>
        </w:r>
        <w:r w:rsidR="00CC50AB">
          <w:rPr>
            <w:noProof/>
            <w:webHidden/>
          </w:rPr>
          <w:fldChar w:fldCharType="separate"/>
        </w:r>
        <w:r w:rsidR="00B52D1E">
          <w:rPr>
            <w:noProof/>
            <w:webHidden/>
          </w:rPr>
          <w:t>88</w:t>
        </w:r>
        <w:r w:rsidR="00CC50AB">
          <w:rPr>
            <w:noProof/>
            <w:webHidden/>
          </w:rPr>
          <w:fldChar w:fldCharType="end"/>
        </w:r>
      </w:hyperlink>
    </w:p>
    <w:p w14:paraId="588C3982" w14:textId="08D0130E" w:rsidR="00CC50AB" w:rsidRDefault="00000000">
      <w:pPr>
        <w:pStyle w:val="TOC3"/>
        <w:tabs>
          <w:tab w:val="right" w:leader="dot" w:pos="9350"/>
        </w:tabs>
        <w:rPr>
          <w:rFonts w:asciiTheme="minorHAnsi" w:hAnsiTheme="minorHAnsi" w:cstheme="minorBidi"/>
          <w:i w:val="0"/>
          <w:noProof/>
          <w:sz w:val="22"/>
        </w:rPr>
      </w:pPr>
      <w:hyperlink w:anchor="_Toc121095973" w:history="1">
        <w:r w:rsidR="00CC50AB" w:rsidRPr="00C40EED">
          <w:rPr>
            <w:rStyle w:val="Hyperlink"/>
            <w:noProof/>
          </w:rPr>
          <w:t>Visual QC of the random forest prediction</w:t>
        </w:r>
        <w:r w:rsidR="00CC50AB">
          <w:rPr>
            <w:noProof/>
            <w:webHidden/>
          </w:rPr>
          <w:tab/>
        </w:r>
        <w:r w:rsidR="00CC50AB">
          <w:rPr>
            <w:noProof/>
            <w:webHidden/>
          </w:rPr>
          <w:fldChar w:fldCharType="begin"/>
        </w:r>
        <w:r w:rsidR="00CC50AB">
          <w:rPr>
            <w:noProof/>
            <w:webHidden/>
          </w:rPr>
          <w:instrText xml:space="preserve"> PAGEREF _Toc121095973 \h </w:instrText>
        </w:r>
        <w:r w:rsidR="00CC50AB">
          <w:rPr>
            <w:noProof/>
            <w:webHidden/>
          </w:rPr>
        </w:r>
        <w:r w:rsidR="00CC50AB">
          <w:rPr>
            <w:noProof/>
            <w:webHidden/>
          </w:rPr>
          <w:fldChar w:fldCharType="separate"/>
        </w:r>
        <w:r w:rsidR="00B52D1E">
          <w:rPr>
            <w:noProof/>
            <w:webHidden/>
          </w:rPr>
          <w:t>88</w:t>
        </w:r>
        <w:r w:rsidR="00CC50AB">
          <w:rPr>
            <w:noProof/>
            <w:webHidden/>
          </w:rPr>
          <w:fldChar w:fldCharType="end"/>
        </w:r>
      </w:hyperlink>
    </w:p>
    <w:p w14:paraId="168708DF" w14:textId="58CE85DF" w:rsidR="00CC50AB" w:rsidRDefault="00000000">
      <w:pPr>
        <w:pStyle w:val="TOC2"/>
        <w:rPr>
          <w:rFonts w:asciiTheme="minorHAnsi" w:hAnsiTheme="minorHAnsi" w:cstheme="minorBidi"/>
          <w:b w:val="0"/>
          <w:noProof/>
          <w:sz w:val="22"/>
        </w:rPr>
      </w:pPr>
      <w:hyperlink w:anchor="_Toc121095974" w:history="1">
        <w:r w:rsidR="00CC50AB" w:rsidRPr="00C40EED">
          <w:rPr>
            <w:rStyle w:val="Hyperlink"/>
            <w:noProof/>
          </w:rPr>
          <w:t>Chapter 2 Figures</w:t>
        </w:r>
        <w:r w:rsidR="00CC50AB">
          <w:rPr>
            <w:noProof/>
            <w:webHidden/>
          </w:rPr>
          <w:tab/>
        </w:r>
        <w:r w:rsidR="00CC50AB">
          <w:rPr>
            <w:noProof/>
            <w:webHidden/>
          </w:rPr>
          <w:fldChar w:fldCharType="begin"/>
        </w:r>
        <w:r w:rsidR="00CC50AB">
          <w:rPr>
            <w:noProof/>
            <w:webHidden/>
          </w:rPr>
          <w:instrText xml:space="preserve"> PAGEREF _Toc121095974 \h </w:instrText>
        </w:r>
        <w:r w:rsidR="00CC50AB">
          <w:rPr>
            <w:noProof/>
            <w:webHidden/>
          </w:rPr>
        </w:r>
        <w:r w:rsidR="00CC50AB">
          <w:rPr>
            <w:noProof/>
            <w:webHidden/>
          </w:rPr>
          <w:fldChar w:fldCharType="separate"/>
        </w:r>
        <w:r w:rsidR="00B52D1E">
          <w:rPr>
            <w:noProof/>
            <w:webHidden/>
          </w:rPr>
          <w:t>89</w:t>
        </w:r>
        <w:r w:rsidR="00CC50AB">
          <w:rPr>
            <w:noProof/>
            <w:webHidden/>
          </w:rPr>
          <w:fldChar w:fldCharType="end"/>
        </w:r>
      </w:hyperlink>
    </w:p>
    <w:p w14:paraId="556C01EA" w14:textId="46E17891" w:rsidR="00CC50AB" w:rsidRDefault="00000000">
      <w:pPr>
        <w:pStyle w:val="TOC2"/>
        <w:rPr>
          <w:rFonts w:asciiTheme="minorHAnsi" w:hAnsiTheme="minorHAnsi" w:cstheme="minorBidi"/>
          <w:b w:val="0"/>
          <w:noProof/>
          <w:sz w:val="22"/>
        </w:rPr>
      </w:pPr>
      <w:hyperlink w:anchor="_Toc121095975" w:history="1">
        <w:r w:rsidR="00CC50AB" w:rsidRPr="00C40EED">
          <w:rPr>
            <w:rStyle w:val="Hyperlink"/>
            <w:noProof/>
          </w:rPr>
          <w:t>Chapter 2 Tables</w:t>
        </w:r>
        <w:r w:rsidR="00CC50AB">
          <w:rPr>
            <w:noProof/>
            <w:webHidden/>
          </w:rPr>
          <w:tab/>
        </w:r>
        <w:r w:rsidR="00CC50AB">
          <w:rPr>
            <w:noProof/>
            <w:webHidden/>
          </w:rPr>
          <w:fldChar w:fldCharType="begin"/>
        </w:r>
        <w:r w:rsidR="00CC50AB">
          <w:rPr>
            <w:noProof/>
            <w:webHidden/>
          </w:rPr>
          <w:instrText xml:space="preserve"> PAGEREF _Toc121095975 \h </w:instrText>
        </w:r>
        <w:r w:rsidR="00CC50AB">
          <w:rPr>
            <w:noProof/>
            <w:webHidden/>
          </w:rPr>
        </w:r>
        <w:r w:rsidR="00CC50AB">
          <w:rPr>
            <w:noProof/>
            <w:webHidden/>
          </w:rPr>
          <w:fldChar w:fldCharType="separate"/>
        </w:r>
        <w:r w:rsidR="00B52D1E">
          <w:rPr>
            <w:noProof/>
            <w:webHidden/>
          </w:rPr>
          <w:t>103</w:t>
        </w:r>
        <w:r w:rsidR="00CC50AB">
          <w:rPr>
            <w:noProof/>
            <w:webHidden/>
          </w:rPr>
          <w:fldChar w:fldCharType="end"/>
        </w:r>
      </w:hyperlink>
    </w:p>
    <w:p w14:paraId="2B9262F9" w14:textId="3AE3512C" w:rsidR="00CC50AB" w:rsidRDefault="00000000">
      <w:pPr>
        <w:pStyle w:val="TOC1"/>
        <w:rPr>
          <w:rFonts w:asciiTheme="minorHAnsi" w:hAnsiTheme="minorHAnsi" w:cstheme="minorBidi"/>
          <w:b w:val="0"/>
          <w:noProof/>
          <w:sz w:val="22"/>
        </w:rPr>
      </w:pPr>
      <w:hyperlink w:anchor="_Toc121095976" w:history="1">
        <w:r w:rsidR="00CC50AB" w:rsidRPr="00C40EED">
          <w:rPr>
            <w:rStyle w:val="Hyperlink"/>
            <w:noProof/>
          </w:rPr>
          <w:t>Chapter 3 : Seismic-constrained reservoir modeling and simulation for CO</w:t>
        </w:r>
        <w:r w:rsidR="00CC50AB" w:rsidRPr="00C40EED">
          <w:rPr>
            <w:rStyle w:val="Hyperlink"/>
            <w:noProof/>
            <w:vertAlign w:val="subscript"/>
          </w:rPr>
          <w:t>2</w:t>
        </w:r>
        <w:r w:rsidR="00CC50AB" w:rsidRPr="00C40EED">
          <w:rPr>
            <w:rStyle w:val="Hyperlink"/>
            <w:noProof/>
          </w:rPr>
          <w:t xml:space="preserve"> sequestration potential assessment of the Arbuckle Group: Wellington Field, Kansas*</w:t>
        </w:r>
        <w:r w:rsidR="00CC50AB">
          <w:rPr>
            <w:noProof/>
            <w:webHidden/>
          </w:rPr>
          <w:tab/>
        </w:r>
        <w:r w:rsidR="00CC50AB">
          <w:rPr>
            <w:noProof/>
            <w:webHidden/>
          </w:rPr>
          <w:fldChar w:fldCharType="begin"/>
        </w:r>
        <w:r w:rsidR="00CC50AB">
          <w:rPr>
            <w:noProof/>
            <w:webHidden/>
          </w:rPr>
          <w:instrText xml:space="preserve"> PAGEREF _Toc121095976 \h </w:instrText>
        </w:r>
        <w:r w:rsidR="00CC50AB">
          <w:rPr>
            <w:noProof/>
            <w:webHidden/>
          </w:rPr>
        </w:r>
        <w:r w:rsidR="00CC50AB">
          <w:rPr>
            <w:noProof/>
            <w:webHidden/>
          </w:rPr>
          <w:fldChar w:fldCharType="separate"/>
        </w:r>
        <w:r w:rsidR="00B52D1E">
          <w:rPr>
            <w:noProof/>
            <w:webHidden/>
          </w:rPr>
          <w:t>105</w:t>
        </w:r>
        <w:r w:rsidR="00CC50AB">
          <w:rPr>
            <w:noProof/>
            <w:webHidden/>
          </w:rPr>
          <w:fldChar w:fldCharType="end"/>
        </w:r>
      </w:hyperlink>
    </w:p>
    <w:p w14:paraId="29EBB2B1" w14:textId="51897EFD" w:rsidR="00CC50AB" w:rsidRDefault="00000000">
      <w:pPr>
        <w:pStyle w:val="TOC2"/>
        <w:rPr>
          <w:rFonts w:asciiTheme="minorHAnsi" w:hAnsiTheme="minorHAnsi" w:cstheme="minorBidi"/>
          <w:b w:val="0"/>
          <w:noProof/>
          <w:sz w:val="22"/>
        </w:rPr>
      </w:pPr>
      <w:hyperlink w:anchor="_Toc121095977" w:history="1">
        <w:r w:rsidR="00CC50AB" w:rsidRPr="00C40EED">
          <w:rPr>
            <w:rStyle w:val="Hyperlink"/>
            <w:noProof/>
          </w:rPr>
          <w:t>Abstract</w:t>
        </w:r>
        <w:r w:rsidR="00CC50AB">
          <w:rPr>
            <w:noProof/>
            <w:webHidden/>
          </w:rPr>
          <w:tab/>
        </w:r>
        <w:r w:rsidR="00CC50AB">
          <w:rPr>
            <w:noProof/>
            <w:webHidden/>
          </w:rPr>
          <w:fldChar w:fldCharType="begin"/>
        </w:r>
        <w:r w:rsidR="00CC50AB">
          <w:rPr>
            <w:noProof/>
            <w:webHidden/>
          </w:rPr>
          <w:instrText xml:space="preserve"> PAGEREF _Toc121095977 \h </w:instrText>
        </w:r>
        <w:r w:rsidR="00CC50AB">
          <w:rPr>
            <w:noProof/>
            <w:webHidden/>
          </w:rPr>
        </w:r>
        <w:r w:rsidR="00CC50AB">
          <w:rPr>
            <w:noProof/>
            <w:webHidden/>
          </w:rPr>
          <w:fldChar w:fldCharType="separate"/>
        </w:r>
        <w:r w:rsidR="00B52D1E">
          <w:rPr>
            <w:noProof/>
            <w:webHidden/>
          </w:rPr>
          <w:t>106</w:t>
        </w:r>
        <w:r w:rsidR="00CC50AB">
          <w:rPr>
            <w:noProof/>
            <w:webHidden/>
          </w:rPr>
          <w:fldChar w:fldCharType="end"/>
        </w:r>
      </w:hyperlink>
    </w:p>
    <w:p w14:paraId="5232E7AC" w14:textId="0F977024" w:rsidR="00CC50AB" w:rsidRDefault="00000000">
      <w:pPr>
        <w:pStyle w:val="TOC2"/>
        <w:rPr>
          <w:rFonts w:asciiTheme="minorHAnsi" w:hAnsiTheme="minorHAnsi" w:cstheme="minorBidi"/>
          <w:b w:val="0"/>
          <w:noProof/>
          <w:sz w:val="22"/>
        </w:rPr>
      </w:pPr>
      <w:hyperlink w:anchor="_Toc121095978" w:history="1">
        <w:r w:rsidR="00CC50AB" w:rsidRPr="00C40EED">
          <w:rPr>
            <w:rStyle w:val="Hyperlink"/>
            <w:noProof/>
          </w:rPr>
          <w:t>Introduction</w:t>
        </w:r>
        <w:r w:rsidR="00CC50AB">
          <w:rPr>
            <w:noProof/>
            <w:webHidden/>
          </w:rPr>
          <w:tab/>
        </w:r>
        <w:r w:rsidR="00CC50AB">
          <w:rPr>
            <w:noProof/>
            <w:webHidden/>
          </w:rPr>
          <w:fldChar w:fldCharType="begin"/>
        </w:r>
        <w:r w:rsidR="00CC50AB">
          <w:rPr>
            <w:noProof/>
            <w:webHidden/>
          </w:rPr>
          <w:instrText xml:space="preserve"> PAGEREF _Toc121095978 \h </w:instrText>
        </w:r>
        <w:r w:rsidR="00CC50AB">
          <w:rPr>
            <w:noProof/>
            <w:webHidden/>
          </w:rPr>
        </w:r>
        <w:r w:rsidR="00CC50AB">
          <w:rPr>
            <w:noProof/>
            <w:webHidden/>
          </w:rPr>
          <w:fldChar w:fldCharType="separate"/>
        </w:r>
        <w:r w:rsidR="00B52D1E">
          <w:rPr>
            <w:noProof/>
            <w:webHidden/>
          </w:rPr>
          <w:t>107</w:t>
        </w:r>
        <w:r w:rsidR="00CC50AB">
          <w:rPr>
            <w:noProof/>
            <w:webHidden/>
          </w:rPr>
          <w:fldChar w:fldCharType="end"/>
        </w:r>
      </w:hyperlink>
    </w:p>
    <w:p w14:paraId="05EE943E" w14:textId="3A9CAF9D" w:rsidR="00CC50AB" w:rsidRDefault="00000000">
      <w:pPr>
        <w:pStyle w:val="TOC2"/>
        <w:rPr>
          <w:rFonts w:asciiTheme="minorHAnsi" w:hAnsiTheme="minorHAnsi" w:cstheme="minorBidi"/>
          <w:b w:val="0"/>
          <w:noProof/>
          <w:sz w:val="22"/>
        </w:rPr>
      </w:pPr>
      <w:hyperlink w:anchor="_Toc121095979" w:history="1">
        <w:r w:rsidR="00CC50AB" w:rsidRPr="00C40EED">
          <w:rPr>
            <w:rStyle w:val="Hyperlink"/>
            <w:noProof/>
          </w:rPr>
          <w:t>Geological Setting</w:t>
        </w:r>
        <w:r w:rsidR="00CC50AB">
          <w:rPr>
            <w:noProof/>
            <w:webHidden/>
          </w:rPr>
          <w:tab/>
        </w:r>
        <w:r w:rsidR="00CC50AB">
          <w:rPr>
            <w:noProof/>
            <w:webHidden/>
          </w:rPr>
          <w:fldChar w:fldCharType="begin"/>
        </w:r>
        <w:r w:rsidR="00CC50AB">
          <w:rPr>
            <w:noProof/>
            <w:webHidden/>
          </w:rPr>
          <w:instrText xml:space="preserve"> PAGEREF _Toc121095979 \h </w:instrText>
        </w:r>
        <w:r w:rsidR="00CC50AB">
          <w:rPr>
            <w:noProof/>
            <w:webHidden/>
          </w:rPr>
        </w:r>
        <w:r w:rsidR="00CC50AB">
          <w:rPr>
            <w:noProof/>
            <w:webHidden/>
          </w:rPr>
          <w:fldChar w:fldCharType="separate"/>
        </w:r>
        <w:r w:rsidR="00B52D1E">
          <w:rPr>
            <w:noProof/>
            <w:webHidden/>
          </w:rPr>
          <w:t>110</w:t>
        </w:r>
        <w:r w:rsidR="00CC50AB">
          <w:rPr>
            <w:noProof/>
            <w:webHidden/>
          </w:rPr>
          <w:fldChar w:fldCharType="end"/>
        </w:r>
      </w:hyperlink>
    </w:p>
    <w:p w14:paraId="2CB9D170" w14:textId="205C4FDE" w:rsidR="00CC50AB" w:rsidRDefault="00000000">
      <w:pPr>
        <w:pStyle w:val="TOC2"/>
        <w:rPr>
          <w:rFonts w:asciiTheme="minorHAnsi" w:hAnsiTheme="minorHAnsi" w:cstheme="minorBidi"/>
          <w:b w:val="0"/>
          <w:noProof/>
          <w:sz w:val="22"/>
        </w:rPr>
      </w:pPr>
      <w:hyperlink w:anchor="_Toc121095980" w:history="1">
        <w:r w:rsidR="00CC50AB" w:rsidRPr="00C40EED">
          <w:rPr>
            <w:rStyle w:val="Hyperlink"/>
            <w:noProof/>
          </w:rPr>
          <w:t>Methods</w:t>
        </w:r>
        <w:r w:rsidR="00CC50AB">
          <w:rPr>
            <w:noProof/>
            <w:webHidden/>
          </w:rPr>
          <w:tab/>
        </w:r>
        <w:r w:rsidR="00CC50AB">
          <w:rPr>
            <w:noProof/>
            <w:webHidden/>
          </w:rPr>
          <w:fldChar w:fldCharType="begin"/>
        </w:r>
        <w:r w:rsidR="00CC50AB">
          <w:rPr>
            <w:noProof/>
            <w:webHidden/>
          </w:rPr>
          <w:instrText xml:space="preserve"> PAGEREF _Toc121095980 \h </w:instrText>
        </w:r>
        <w:r w:rsidR="00CC50AB">
          <w:rPr>
            <w:noProof/>
            <w:webHidden/>
          </w:rPr>
        </w:r>
        <w:r w:rsidR="00CC50AB">
          <w:rPr>
            <w:noProof/>
            <w:webHidden/>
          </w:rPr>
          <w:fldChar w:fldCharType="separate"/>
        </w:r>
        <w:r w:rsidR="00B52D1E">
          <w:rPr>
            <w:noProof/>
            <w:webHidden/>
          </w:rPr>
          <w:t>111</w:t>
        </w:r>
        <w:r w:rsidR="00CC50AB">
          <w:rPr>
            <w:noProof/>
            <w:webHidden/>
          </w:rPr>
          <w:fldChar w:fldCharType="end"/>
        </w:r>
      </w:hyperlink>
    </w:p>
    <w:p w14:paraId="6FA47107" w14:textId="521BE5DA" w:rsidR="00CC50AB" w:rsidRDefault="00000000">
      <w:pPr>
        <w:pStyle w:val="TOC3"/>
        <w:tabs>
          <w:tab w:val="right" w:leader="dot" w:pos="9350"/>
        </w:tabs>
        <w:rPr>
          <w:rFonts w:asciiTheme="minorHAnsi" w:hAnsiTheme="minorHAnsi" w:cstheme="minorBidi"/>
          <w:i w:val="0"/>
          <w:noProof/>
          <w:sz w:val="22"/>
        </w:rPr>
      </w:pPr>
      <w:hyperlink w:anchor="_Toc121095981" w:history="1">
        <w:r w:rsidR="00CC50AB" w:rsidRPr="00C40EED">
          <w:rPr>
            <w:rStyle w:val="Hyperlink"/>
            <w:noProof/>
          </w:rPr>
          <w:t>Lithologies and petrofacies</w:t>
        </w:r>
        <w:r w:rsidR="00CC50AB">
          <w:rPr>
            <w:noProof/>
            <w:webHidden/>
          </w:rPr>
          <w:tab/>
        </w:r>
        <w:r w:rsidR="00CC50AB">
          <w:rPr>
            <w:noProof/>
            <w:webHidden/>
          </w:rPr>
          <w:fldChar w:fldCharType="begin"/>
        </w:r>
        <w:r w:rsidR="00CC50AB">
          <w:rPr>
            <w:noProof/>
            <w:webHidden/>
          </w:rPr>
          <w:instrText xml:space="preserve"> PAGEREF _Toc121095981 \h </w:instrText>
        </w:r>
        <w:r w:rsidR="00CC50AB">
          <w:rPr>
            <w:noProof/>
            <w:webHidden/>
          </w:rPr>
        </w:r>
        <w:r w:rsidR="00CC50AB">
          <w:rPr>
            <w:noProof/>
            <w:webHidden/>
          </w:rPr>
          <w:fldChar w:fldCharType="separate"/>
        </w:r>
        <w:r w:rsidR="00B52D1E">
          <w:rPr>
            <w:noProof/>
            <w:webHidden/>
          </w:rPr>
          <w:t>111</w:t>
        </w:r>
        <w:r w:rsidR="00CC50AB">
          <w:rPr>
            <w:noProof/>
            <w:webHidden/>
          </w:rPr>
          <w:fldChar w:fldCharType="end"/>
        </w:r>
      </w:hyperlink>
    </w:p>
    <w:p w14:paraId="1291145B" w14:textId="25F17897" w:rsidR="00CC50AB" w:rsidRDefault="00000000">
      <w:pPr>
        <w:pStyle w:val="TOC3"/>
        <w:tabs>
          <w:tab w:val="right" w:leader="dot" w:pos="9350"/>
        </w:tabs>
        <w:rPr>
          <w:rFonts w:asciiTheme="minorHAnsi" w:hAnsiTheme="minorHAnsi" w:cstheme="minorBidi"/>
          <w:i w:val="0"/>
          <w:noProof/>
          <w:sz w:val="22"/>
        </w:rPr>
      </w:pPr>
      <w:hyperlink w:anchor="_Toc121095982" w:history="1">
        <w:r w:rsidR="00CC50AB" w:rsidRPr="00C40EED">
          <w:rPr>
            <w:rStyle w:val="Hyperlink"/>
            <w:noProof/>
          </w:rPr>
          <w:t>Stratigraphic and structural framework – 3D seismic horizon interpretation</w:t>
        </w:r>
        <w:r w:rsidR="00CC50AB">
          <w:rPr>
            <w:noProof/>
            <w:webHidden/>
          </w:rPr>
          <w:tab/>
        </w:r>
        <w:r w:rsidR="00CC50AB">
          <w:rPr>
            <w:noProof/>
            <w:webHidden/>
          </w:rPr>
          <w:fldChar w:fldCharType="begin"/>
        </w:r>
        <w:r w:rsidR="00CC50AB">
          <w:rPr>
            <w:noProof/>
            <w:webHidden/>
          </w:rPr>
          <w:instrText xml:space="preserve"> PAGEREF _Toc121095982 \h </w:instrText>
        </w:r>
        <w:r w:rsidR="00CC50AB">
          <w:rPr>
            <w:noProof/>
            <w:webHidden/>
          </w:rPr>
        </w:r>
        <w:r w:rsidR="00CC50AB">
          <w:rPr>
            <w:noProof/>
            <w:webHidden/>
          </w:rPr>
          <w:fldChar w:fldCharType="separate"/>
        </w:r>
        <w:r w:rsidR="00B52D1E">
          <w:rPr>
            <w:noProof/>
            <w:webHidden/>
          </w:rPr>
          <w:t>112</w:t>
        </w:r>
        <w:r w:rsidR="00CC50AB">
          <w:rPr>
            <w:noProof/>
            <w:webHidden/>
          </w:rPr>
          <w:fldChar w:fldCharType="end"/>
        </w:r>
      </w:hyperlink>
    </w:p>
    <w:p w14:paraId="62C68F71" w14:textId="5341E93E" w:rsidR="00CC50AB" w:rsidRDefault="00000000">
      <w:pPr>
        <w:pStyle w:val="TOC3"/>
        <w:tabs>
          <w:tab w:val="right" w:leader="dot" w:pos="9350"/>
        </w:tabs>
        <w:rPr>
          <w:rFonts w:asciiTheme="minorHAnsi" w:hAnsiTheme="minorHAnsi" w:cstheme="minorBidi"/>
          <w:i w:val="0"/>
          <w:noProof/>
          <w:sz w:val="22"/>
        </w:rPr>
      </w:pPr>
      <w:hyperlink w:anchor="_Toc121095983" w:history="1">
        <w:r w:rsidR="00CC50AB" w:rsidRPr="00C40EED">
          <w:rPr>
            <w:rStyle w:val="Hyperlink"/>
            <w:noProof/>
          </w:rPr>
          <w:t>Velocity model</w:t>
        </w:r>
        <w:r w:rsidR="00CC50AB">
          <w:rPr>
            <w:noProof/>
            <w:webHidden/>
          </w:rPr>
          <w:tab/>
        </w:r>
        <w:r w:rsidR="00CC50AB">
          <w:rPr>
            <w:noProof/>
            <w:webHidden/>
          </w:rPr>
          <w:fldChar w:fldCharType="begin"/>
        </w:r>
        <w:r w:rsidR="00CC50AB">
          <w:rPr>
            <w:noProof/>
            <w:webHidden/>
          </w:rPr>
          <w:instrText xml:space="preserve"> PAGEREF _Toc121095983 \h </w:instrText>
        </w:r>
        <w:r w:rsidR="00CC50AB">
          <w:rPr>
            <w:noProof/>
            <w:webHidden/>
          </w:rPr>
        </w:r>
        <w:r w:rsidR="00CC50AB">
          <w:rPr>
            <w:noProof/>
            <w:webHidden/>
          </w:rPr>
          <w:fldChar w:fldCharType="separate"/>
        </w:r>
        <w:r w:rsidR="00B52D1E">
          <w:rPr>
            <w:noProof/>
            <w:webHidden/>
          </w:rPr>
          <w:t>113</w:t>
        </w:r>
        <w:r w:rsidR="00CC50AB">
          <w:rPr>
            <w:noProof/>
            <w:webHidden/>
          </w:rPr>
          <w:fldChar w:fldCharType="end"/>
        </w:r>
      </w:hyperlink>
    </w:p>
    <w:p w14:paraId="7679DE94" w14:textId="18C477A9" w:rsidR="00CC50AB" w:rsidRDefault="00000000">
      <w:pPr>
        <w:pStyle w:val="TOC3"/>
        <w:tabs>
          <w:tab w:val="right" w:leader="dot" w:pos="9350"/>
        </w:tabs>
        <w:rPr>
          <w:rFonts w:asciiTheme="minorHAnsi" w:hAnsiTheme="minorHAnsi" w:cstheme="minorBidi"/>
          <w:i w:val="0"/>
          <w:noProof/>
          <w:sz w:val="22"/>
        </w:rPr>
      </w:pPr>
      <w:hyperlink w:anchor="_Toc121095984" w:history="1">
        <w:r w:rsidR="00CC50AB" w:rsidRPr="00C40EED">
          <w:rPr>
            <w:rStyle w:val="Hyperlink"/>
            <w:noProof/>
          </w:rPr>
          <w:t>Seismic-constrained 3D reservoir modeling</w:t>
        </w:r>
        <w:r w:rsidR="00CC50AB">
          <w:rPr>
            <w:noProof/>
            <w:webHidden/>
          </w:rPr>
          <w:tab/>
        </w:r>
        <w:r w:rsidR="00CC50AB">
          <w:rPr>
            <w:noProof/>
            <w:webHidden/>
          </w:rPr>
          <w:fldChar w:fldCharType="begin"/>
        </w:r>
        <w:r w:rsidR="00CC50AB">
          <w:rPr>
            <w:noProof/>
            <w:webHidden/>
          </w:rPr>
          <w:instrText xml:space="preserve"> PAGEREF _Toc121095984 \h </w:instrText>
        </w:r>
        <w:r w:rsidR="00CC50AB">
          <w:rPr>
            <w:noProof/>
            <w:webHidden/>
          </w:rPr>
        </w:r>
        <w:r w:rsidR="00CC50AB">
          <w:rPr>
            <w:noProof/>
            <w:webHidden/>
          </w:rPr>
          <w:fldChar w:fldCharType="separate"/>
        </w:r>
        <w:r w:rsidR="00B52D1E">
          <w:rPr>
            <w:noProof/>
            <w:webHidden/>
          </w:rPr>
          <w:t>113</w:t>
        </w:r>
        <w:r w:rsidR="00CC50AB">
          <w:rPr>
            <w:noProof/>
            <w:webHidden/>
          </w:rPr>
          <w:fldChar w:fldCharType="end"/>
        </w:r>
      </w:hyperlink>
    </w:p>
    <w:p w14:paraId="3C5CCF9F" w14:textId="65942772" w:rsidR="00CC50AB" w:rsidRDefault="00000000">
      <w:pPr>
        <w:pStyle w:val="TOC3"/>
        <w:tabs>
          <w:tab w:val="right" w:leader="dot" w:pos="9350"/>
        </w:tabs>
        <w:rPr>
          <w:rFonts w:asciiTheme="minorHAnsi" w:hAnsiTheme="minorHAnsi" w:cstheme="minorBidi"/>
          <w:i w:val="0"/>
          <w:noProof/>
          <w:sz w:val="22"/>
        </w:rPr>
      </w:pPr>
      <w:hyperlink w:anchor="_Toc121095985" w:history="1">
        <w:r w:rsidR="00CC50AB" w:rsidRPr="00C40EED">
          <w:rPr>
            <w:rStyle w:val="Hyperlink"/>
            <w:noProof/>
          </w:rPr>
          <w:t>Theoretical CO</w:t>
        </w:r>
        <w:r w:rsidR="00CC50AB" w:rsidRPr="00C40EED">
          <w:rPr>
            <w:rStyle w:val="Hyperlink"/>
            <w:noProof/>
            <w:vertAlign w:val="subscript"/>
          </w:rPr>
          <w:t>2</w:t>
        </w:r>
        <w:r w:rsidR="00CC50AB" w:rsidRPr="00C40EED">
          <w:rPr>
            <w:rStyle w:val="Hyperlink"/>
            <w:noProof/>
          </w:rPr>
          <w:t xml:space="preserve"> storage capacity estimation</w:t>
        </w:r>
        <w:r w:rsidR="00CC50AB">
          <w:rPr>
            <w:noProof/>
            <w:webHidden/>
          </w:rPr>
          <w:tab/>
        </w:r>
        <w:r w:rsidR="00CC50AB">
          <w:rPr>
            <w:noProof/>
            <w:webHidden/>
          </w:rPr>
          <w:fldChar w:fldCharType="begin"/>
        </w:r>
        <w:r w:rsidR="00CC50AB">
          <w:rPr>
            <w:noProof/>
            <w:webHidden/>
          </w:rPr>
          <w:instrText xml:space="preserve"> PAGEREF _Toc121095985 \h </w:instrText>
        </w:r>
        <w:r w:rsidR="00CC50AB">
          <w:rPr>
            <w:noProof/>
            <w:webHidden/>
          </w:rPr>
        </w:r>
        <w:r w:rsidR="00CC50AB">
          <w:rPr>
            <w:noProof/>
            <w:webHidden/>
          </w:rPr>
          <w:fldChar w:fldCharType="separate"/>
        </w:r>
        <w:r w:rsidR="00B52D1E">
          <w:rPr>
            <w:noProof/>
            <w:webHidden/>
          </w:rPr>
          <w:t>115</w:t>
        </w:r>
        <w:r w:rsidR="00CC50AB">
          <w:rPr>
            <w:noProof/>
            <w:webHidden/>
          </w:rPr>
          <w:fldChar w:fldCharType="end"/>
        </w:r>
      </w:hyperlink>
    </w:p>
    <w:p w14:paraId="4F95EA57" w14:textId="2664E98C" w:rsidR="00CC50AB" w:rsidRDefault="00000000">
      <w:pPr>
        <w:pStyle w:val="TOC3"/>
        <w:tabs>
          <w:tab w:val="right" w:leader="dot" w:pos="9350"/>
        </w:tabs>
        <w:rPr>
          <w:rFonts w:asciiTheme="minorHAnsi" w:hAnsiTheme="minorHAnsi" w:cstheme="minorBidi"/>
          <w:i w:val="0"/>
          <w:noProof/>
          <w:sz w:val="22"/>
        </w:rPr>
      </w:pPr>
      <w:hyperlink w:anchor="_Toc121095986" w:history="1">
        <w:r w:rsidR="00CC50AB" w:rsidRPr="00C40EED">
          <w:rPr>
            <w:rStyle w:val="Hyperlink"/>
            <w:noProof/>
          </w:rPr>
          <w:t>Dynamic flow simulation</w:t>
        </w:r>
        <w:r w:rsidR="00CC50AB">
          <w:rPr>
            <w:noProof/>
            <w:webHidden/>
          </w:rPr>
          <w:tab/>
        </w:r>
        <w:r w:rsidR="00CC50AB">
          <w:rPr>
            <w:noProof/>
            <w:webHidden/>
          </w:rPr>
          <w:fldChar w:fldCharType="begin"/>
        </w:r>
        <w:r w:rsidR="00CC50AB">
          <w:rPr>
            <w:noProof/>
            <w:webHidden/>
          </w:rPr>
          <w:instrText xml:space="preserve"> PAGEREF _Toc121095986 \h </w:instrText>
        </w:r>
        <w:r w:rsidR="00CC50AB">
          <w:rPr>
            <w:noProof/>
            <w:webHidden/>
          </w:rPr>
        </w:r>
        <w:r w:rsidR="00CC50AB">
          <w:rPr>
            <w:noProof/>
            <w:webHidden/>
          </w:rPr>
          <w:fldChar w:fldCharType="separate"/>
        </w:r>
        <w:r w:rsidR="00B52D1E">
          <w:rPr>
            <w:noProof/>
            <w:webHidden/>
          </w:rPr>
          <w:t>115</w:t>
        </w:r>
        <w:r w:rsidR="00CC50AB">
          <w:rPr>
            <w:noProof/>
            <w:webHidden/>
          </w:rPr>
          <w:fldChar w:fldCharType="end"/>
        </w:r>
      </w:hyperlink>
    </w:p>
    <w:p w14:paraId="454BF4CE" w14:textId="76636E21" w:rsidR="00CC50AB" w:rsidRDefault="00000000">
      <w:pPr>
        <w:pStyle w:val="TOC2"/>
        <w:rPr>
          <w:rFonts w:asciiTheme="minorHAnsi" w:hAnsiTheme="minorHAnsi" w:cstheme="minorBidi"/>
          <w:b w:val="0"/>
          <w:noProof/>
          <w:sz w:val="22"/>
        </w:rPr>
      </w:pPr>
      <w:hyperlink w:anchor="_Toc121095987" w:history="1">
        <w:r w:rsidR="00CC50AB" w:rsidRPr="00C40EED">
          <w:rPr>
            <w:rStyle w:val="Hyperlink"/>
            <w:noProof/>
          </w:rPr>
          <w:t>Results</w:t>
        </w:r>
        <w:r w:rsidR="00CC50AB">
          <w:rPr>
            <w:noProof/>
            <w:webHidden/>
          </w:rPr>
          <w:tab/>
        </w:r>
        <w:r w:rsidR="00CC50AB">
          <w:rPr>
            <w:noProof/>
            <w:webHidden/>
          </w:rPr>
          <w:fldChar w:fldCharType="begin"/>
        </w:r>
        <w:r w:rsidR="00CC50AB">
          <w:rPr>
            <w:noProof/>
            <w:webHidden/>
          </w:rPr>
          <w:instrText xml:space="preserve"> PAGEREF _Toc121095987 \h </w:instrText>
        </w:r>
        <w:r w:rsidR="00CC50AB">
          <w:rPr>
            <w:noProof/>
            <w:webHidden/>
          </w:rPr>
        </w:r>
        <w:r w:rsidR="00CC50AB">
          <w:rPr>
            <w:noProof/>
            <w:webHidden/>
          </w:rPr>
          <w:fldChar w:fldCharType="separate"/>
        </w:r>
        <w:r w:rsidR="00B52D1E">
          <w:rPr>
            <w:noProof/>
            <w:webHidden/>
          </w:rPr>
          <w:t>117</w:t>
        </w:r>
        <w:r w:rsidR="00CC50AB">
          <w:rPr>
            <w:noProof/>
            <w:webHidden/>
          </w:rPr>
          <w:fldChar w:fldCharType="end"/>
        </w:r>
      </w:hyperlink>
    </w:p>
    <w:p w14:paraId="0DFB5D94" w14:textId="0892F423" w:rsidR="00CC50AB" w:rsidRDefault="00000000">
      <w:pPr>
        <w:pStyle w:val="TOC3"/>
        <w:tabs>
          <w:tab w:val="right" w:leader="dot" w:pos="9350"/>
        </w:tabs>
        <w:rPr>
          <w:rFonts w:asciiTheme="minorHAnsi" w:hAnsiTheme="minorHAnsi" w:cstheme="minorBidi"/>
          <w:i w:val="0"/>
          <w:noProof/>
          <w:sz w:val="22"/>
        </w:rPr>
      </w:pPr>
      <w:hyperlink w:anchor="_Toc121095988" w:history="1">
        <w:r w:rsidR="00CC50AB" w:rsidRPr="00C40EED">
          <w:rPr>
            <w:rStyle w:val="Hyperlink"/>
            <w:noProof/>
          </w:rPr>
          <w:t>Structural and stratigraphic framework</w:t>
        </w:r>
        <w:r w:rsidR="00CC50AB">
          <w:rPr>
            <w:noProof/>
            <w:webHidden/>
          </w:rPr>
          <w:tab/>
        </w:r>
        <w:r w:rsidR="00CC50AB">
          <w:rPr>
            <w:noProof/>
            <w:webHidden/>
          </w:rPr>
          <w:fldChar w:fldCharType="begin"/>
        </w:r>
        <w:r w:rsidR="00CC50AB">
          <w:rPr>
            <w:noProof/>
            <w:webHidden/>
          </w:rPr>
          <w:instrText xml:space="preserve"> PAGEREF _Toc121095988 \h </w:instrText>
        </w:r>
        <w:r w:rsidR="00CC50AB">
          <w:rPr>
            <w:noProof/>
            <w:webHidden/>
          </w:rPr>
        </w:r>
        <w:r w:rsidR="00CC50AB">
          <w:rPr>
            <w:noProof/>
            <w:webHidden/>
          </w:rPr>
          <w:fldChar w:fldCharType="separate"/>
        </w:r>
        <w:r w:rsidR="00B52D1E">
          <w:rPr>
            <w:noProof/>
            <w:webHidden/>
          </w:rPr>
          <w:t>117</w:t>
        </w:r>
        <w:r w:rsidR="00CC50AB">
          <w:rPr>
            <w:noProof/>
            <w:webHidden/>
          </w:rPr>
          <w:fldChar w:fldCharType="end"/>
        </w:r>
      </w:hyperlink>
    </w:p>
    <w:p w14:paraId="7F41A8F7" w14:textId="61DF3264" w:rsidR="00CC50AB" w:rsidRDefault="00000000">
      <w:pPr>
        <w:pStyle w:val="TOC3"/>
        <w:tabs>
          <w:tab w:val="right" w:leader="dot" w:pos="9350"/>
        </w:tabs>
        <w:rPr>
          <w:rFonts w:asciiTheme="minorHAnsi" w:hAnsiTheme="minorHAnsi" w:cstheme="minorBidi"/>
          <w:i w:val="0"/>
          <w:noProof/>
          <w:sz w:val="22"/>
        </w:rPr>
      </w:pPr>
      <w:hyperlink w:anchor="_Toc121095989" w:history="1">
        <w:r w:rsidR="00CC50AB" w:rsidRPr="00C40EED">
          <w:rPr>
            <w:rStyle w:val="Hyperlink"/>
            <w:noProof/>
          </w:rPr>
          <w:t>3D grid</w:t>
        </w:r>
        <w:r w:rsidR="00CC50AB">
          <w:rPr>
            <w:noProof/>
            <w:webHidden/>
          </w:rPr>
          <w:tab/>
        </w:r>
        <w:r w:rsidR="00CC50AB">
          <w:rPr>
            <w:noProof/>
            <w:webHidden/>
          </w:rPr>
          <w:fldChar w:fldCharType="begin"/>
        </w:r>
        <w:r w:rsidR="00CC50AB">
          <w:rPr>
            <w:noProof/>
            <w:webHidden/>
          </w:rPr>
          <w:instrText xml:space="preserve"> PAGEREF _Toc121095989 \h </w:instrText>
        </w:r>
        <w:r w:rsidR="00CC50AB">
          <w:rPr>
            <w:noProof/>
            <w:webHidden/>
          </w:rPr>
        </w:r>
        <w:r w:rsidR="00CC50AB">
          <w:rPr>
            <w:noProof/>
            <w:webHidden/>
          </w:rPr>
          <w:fldChar w:fldCharType="separate"/>
        </w:r>
        <w:r w:rsidR="00B52D1E">
          <w:rPr>
            <w:noProof/>
            <w:webHidden/>
          </w:rPr>
          <w:t>117</w:t>
        </w:r>
        <w:r w:rsidR="00CC50AB">
          <w:rPr>
            <w:noProof/>
            <w:webHidden/>
          </w:rPr>
          <w:fldChar w:fldCharType="end"/>
        </w:r>
      </w:hyperlink>
    </w:p>
    <w:p w14:paraId="14FC0066" w14:textId="06DC839D" w:rsidR="00CC50AB" w:rsidRDefault="00000000">
      <w:pPr>
        <w:pStyle w:val="TOC3"/>
        <w:tabs>
          <w:tab w:val="right" w:leader="dot" w:pos="9350"/>
        </w:tabs>
        <w:rPr>
          <w:rFonts w:asciiTheme="minorHAnsi" w:hAnsiTheme="minorHAnsi" w:cstheme="minorBidi"/>
          <w:i w:val="0"/>
          <w:noProof/>
          <w:sz w:val="22"/>
        </w:rPr>
      </w:pPr>
      <w:hyperlink w:anchor="_Toc121095990" w:history="1">
        <w:r w:rsidR="00CC50AB" w:rsidRPr="00C40EED">
          <w:rPr>
            <w:rStyle w:val="Hyperlink"/>
            <w:noProof/>
          </w:rPr>
          <w:t>Spatial distribution of petrofacies and reservoir properties</w:t>
        </w:r>
        <w:r w:rsidR="00CC50AB">
          <w:rPr>
            <w:noProof/>
            <w:webHidden/>
          </w:rPr>
          <w:tab/>
        </w:r>
        <w:r w:rsidR="00CC50AB">
          <w:rPr>
            <w:noProof/>
            <w:webHidden/>
          </w:rPr>
          <w:fldChar w:fldCharType="begin"/>
        </w:r>
        <w:r w:rsidR="00CC50AB">
          <w:rPr>
            <w:noProof/>
            <w:webHidden/>
          </w:rPr>
          <w:instrText xml:space="preserve"> PAGEREF _Toc121095990 \h </w:instrText>
        </w:r>
        <w:r w:rsidR="00CC50AB">
          <w:rPr>
            <w:noProof/>
            <w:webHidden/>
          </w:rPr>
        </w:r>
        <w:r w:rsidR="00CC50AB">
          <w:rPr>
            <w:noProof/>
            <w:webHidden/>
          </w:rPr>
          <w:fldChar w:fldCharType="separate"/>
        </w:r>
        <w:r w:rsidR="00B52D1E">
          <w:rPr>
            <w:noProof/>
            <w:webHidden/>
          </w:rPr>
          <w:t>118</w:t>
        </w:r>
        <w:r w:rsidR="00CC50AB">
          <w:rPr>
            <w:noProof/>
            <w:webHidden/>
          </w:rPr>
          <w:fldChar w:fldCharType="end"/>
        </w:r>
      </w:hyperlink>
    </w:p>
    <w:p w14:paraId="22A7F57D" w14:textId="42D9961E" w:rsidR="00CC50AB" w:rsidRDefault="00000000">
      <w:pPr>
        <w:pStyle w:val="TOC3"/>
        <w:tabs>
          <w:tab w:val="right" w:leader="dot" w:pos="9350"/>
        </w:tabs>
        <w:rPr>
          <w:rFonts w:asciiTheme="minorHAnsi" w:hAnsiTheme="minorHAnsi" w:cstheme="minorBidi"/>
          <w:i w:val="0"/>
          <w:noProof/>
          <w:sz w:val="22"/>
        </w:rPr>
      </w:pPr>
      <w:hyperlink w:anchor="_Toc121095991" w:history="1">
        <w:r w:rsidR="00CC50AB" w:rsidRPr="00C40EED">
          <w:rPr>
            <w:rStyle w:val="Hyperlink"/>
            <w:noProof/>
          </w:rPr>
          <w:t>CO</w:t>
        </w:r>
        <w:r w:rsidR="00CC50AB" w:rsidRPr="00C40EED">
          <w:rPr>
            <w:rStyle w:val="Hyperlink"/>
            <w:noProof/>
            <w:vertAlign w:val="subscript"/>
          </w:rPr>
          <w:t>2</w:t>
        </w:r>
        <w:r w:rsidR="00CC50AB" w:rsidRPr="00C40EED">
          <w:rPr>
            <w:rStyle w:val="Hyperlink"/>
            <w:noProof/>
          </w:rPr>
          <w:t xml:space="preserve"> storage capacity</w:t>
        </w:r>
        <w:r w:rsidR="00CC50AB">
          <w:rPr>
            <w:noProof/>
            <w:webHidden/>
          </w:rPr>
          <w:tab/>
        </w:r>
        <w:r w:rsidR="00CC50AB">
          <w:rPr>
            <w:noProof/>
            <w:webHidden/>
          </w:rPr>
          <w:fldChar w:fldCharType="begin"/>
        </w:r>
        <w:r w:rsidR="00CC50AB">
          <w:rPr>
            <w:noProof/>
            <w:webHidden/>
          </w:rPr>
          <w:instrText xml:space="preserve"> PAGEREF _Toc121095991 \h </w:instrText>
        </w:r>
        <w:r w:rsidR="00CC50AB">
          <w:rPr>
            <w:noProof/>
            <w:webHidden/>
          </w:rPr>
        </w:r>
        <w:r w:rsidR="00CC50AB">
          <w:rPr>
            <w:noProof/>
            <w:webHidden/>
          </w:rPr>
          <w:fldChar w:fldCharType="separate"/>
        </w:r>
        <w:r w:rsidR="00B52D1E">
          <w:rPr>
            <w:noProof/>
            <w:webHidden/>
          </w:rPr>
          <w:t>119</w:t>
        </w:r>
        <w:r w:rsidR="00CC50AB">
          <w:rPr>
            <w:noProof/>
            <w:webHidden/>
          </w:rPr>
          <w:fldChar w:fldCharType="end"/>
        </w:r>
      </w:hyperlink>
    </w:p>
    <w:p w14:paraId="20818B3D" w14:textId="0EECB8E5" w:rsidR="00CC50AB" w:rsidRDefault="00000000">
      <w:pPr>
        <w:pStyle w:val="TOC3"/>
        <w:tabs>
          <w:tab w:val="right" w:leader="dot" w:pos="9350"/>
        </w:tabs>
        <w:rPr>
          <w:rFonts w:asciiTheme="minorHAnsi" w:hAnsiTheme="minorHAnsi" w:cstheme="minorBidi"/>
          <w:i w:val="0"/>
          <w:noProof/>
          <w:sz w:val="22"/>
        </w:rPr>
      </w:pPr>
      <w:hyperlink w:anchor="_Toc121095992" w:history="1">
        <w:r w:rsidR="00CC50AB" w:rsidRPr="00C40EED">
          <w:rPr>
            <w:rStyle w:val="Hyperlink"/>
            <w:noProof/>
          </w:rPr>
          <w:t>CO</w:t>
        </w:r>
        <w:r w:rsidR="00CC50AB" w:rsidRPr="00C40EED">
          <w:rPr>
            <w:rStyle w:val="Hyperlink"/>
            <w:noProof/>
            <w:vertAlign w:val="subscript"/>
          </w:rPr>
          <w:t>2</w:t>
        </w:r>
        <w:r w:rsidR="00CC50AB" w:rsidRPr="00C40EED">
          <w:rPr>
            <w:rStyle w:val="Hyperlink"/>
            <w:noProof/>
          </w:rPr>
          <w:t xml:space="preserve"> plume behavior</w:t>
        </w:r>
        <w:r w:rsidR="00CC50AB">
          <w:rPr>
            <w:noProof/>
            <w:webHidden/>
          </w:rPr>
          <w:tab/>
        </w:r>
        <w:r w:rsidR="00CC50AB">
          <w:rPr>
            <w:noProof/>
            <w:webHidden/>
          </w:rPr>
          <w:fldChar w:fldCharType="begin"/>
        </w:r>
        <w:r w:rsidR="00CC50AB">
          <w:rPr>
            <w:noProof/>
            <w:webHidden/>
          </w:rPr>
          <w:instrText xml:space="preserve"> PAGEREF _Toc121095992 \h </w:instrText>
        </w:r>
        <w:r w:rsidR="00CC50AB">
          <w:rPr>
            <w:noProof/>
            <w:webHidden/>
          </w:rPr>
        </w:r>
        <w:r w:rsidR="00CC50AB">
          <w:rPr>
            <w:noProof/>
            <w:webHidden/>
          </w:rPr>
          <w:fldChar w:fldCharType="separate"/>
        </w:r>
        <w:r w:rsidR="00B52D1E">
          <w:rPr>
            <w:noProof/>
            <w:webHidden/>
          </w:rPr>
          <w:t>120</w:t>
        </w:r>
        <w:r w:rsidR="00CC50AB">
          <w:rPr>
            <w:noProof/>
            <w:webHidden/>
          </w:rPr>
          <w:fldChar w:fldCharType="end"/>
        </w:r>
      </w:hyperlink>
    </w:p>
    <w:p w14:paraId="24C759EF" w14:textId="3A5EF418" w:rsidR="00CC50AB" w:rsidRDefault="00000000">
      <w:pPr>
        <w:pStyle w:val="TOC2"/>
        <w:rPr>
          <w:rFonts w:asciiTheme="minorHAnsi" w:hAnsiTheme="minorHAnsi" w:cstheme="minorBidi"/>
          <w:b w:val="0"/>
          <w:noProof/>
          <w:sz w:val="22"/>
        </w:rPr>
      </w:pPr>
      <w:hyperlink w:anchor="_Toc121095993" w:history="1">
        <w:r w:rsidR="00CC50AB" w:rsidRPr="00C40EED">
          <w:rPr>
            <w:rStyle w:val="Hyperlink"/>
            <w:noProof/>
          </w:rPr>
          <w:t>Discussion</w:t>
        </w:r>
        <w:r w:rsidR="00CC50AB">
          <w:rPr>
            <w:noProof/>
            <w:webHidden/>
          </w:rPr>
          <w:tab/>
        </w:r>
        <w:r w:rsidR="00CC50AB">
          <w:rPr>
            <w:noProof/>
            <w:webHidden/>
          </w:rPr>
          <w:fldChar w:fldCharType="begin"/>
        </w:r>
        <w:r w:rsidR="00CC50AB">
          <w:rPr>
            <w:noProof/>
            <w:webHidden/>
          </w:rPr>
          <w:instrText xml:space="preserve"> PAGEREF _Toc121095993 \h </w:instrText>
        </w:r>
        <w:r w:rsidR="00CC50AB">
          <w:rPr>
            <w:noProof/>
            <w:webHidden/>
          </w:rPr>
        </w:r>
        <w:r w:rsidR="00CC50AB">
          <w:rPr>
            <w:noProof/>
            <w:webHidden/>
          </w:rPr>
          <w:fldChar w:fldCharType="separate"/>
        </w:r>
        <w:r w:rsidR="00B52D1E">
          <w:rPr>
            <w:noProof/>
            <w:webHidden/>
          </w:rPr>
          <w:t>120</w:t>
        </w:r>
        <w:r w:rsidR="00CC50AB">
          <w:rPr>
            <w:noProof/>
            <w:webHidden/>
          </w:rPr>
          <w:fldChar w:fldCharType="end"/>
        </w:r>
      </w:hyperlink>
    </w:p>
    <w:p w14:paraId="0ED1F733" w14:textId="5B54A225" w:rsidR="00CC50AB" w:rsidRDefault="00000000">
      <w:pPr>
        <w:pStyle w:val="TOC2"/>
        <w:rPr>
          <w:rFonts w:asciiTheme="minorHAnsi" w:hAnsiTheme="minorHAnsi" w:cstheme="minorBidi"/>
          <w:b w:val="0"/>
          <w:noProof/>
          <w:sz w:val="22"/>
        </w:rPr>
      </w:pPr>
      <w:hyperlink w:anchor="_Toc121095994" w:history="1">
        <w:r w:rsidR="00CC50AB" w:rsidRPr="00C40EED">
          <w:rPr>
            <w:rStyle w:val="Hyperlink"/>
            <w:noProof/>
          </w:rPr>
          <w:t>Conclusions</w:t>
        </w:r>
        <w:r w:rsidR="00CC50AB">
          <w:rPr>
            <w:noProof/>
            <w:webHidden/>
          </w:rPr>
          <w:tab/>
        </w:r>
        <w:r w:rsidR="00CC50AB">
          <w:rPr>
            <w:noProof/>
            <w:webHidden/>
          </w:rPr>
          <w:fldChar w:fldCharType="begin"/>
        </w:r>
        <w:r w:rsidR="00CC50AB">
          <w:rPr>
            <w:noProof/>
            <w:webHidden/>
          </w:rPr>
          <w:instrText xml:space="preserve"> PAGEREF _Toc121095994 \h </w:instrText>
        </w:r>
        <w:r w:rsidR="00CC50AB">
          <w:rPr>
            <w:noProof/>
            <w:webHidden/>
          </w:rPr>
        </w:r>
        <w:r w:rsidR="00CC50AB">
          <w:rPr>
            <w:noProof/>
            <w:webHidden/>
          </w:rPr>
          <w:fldChar w:fldCharType="separate"/>
        </w:r>
        <w:r w:rsidR="00B52D1E">
          <w:rPr>
            <w:noProof/>
            <w:webHidden/>
          </w:rPr>
          <w:t>123</w:t>
        </w:r>
        <w:r w:rsidR="00CC50AB">
          <w:rPr>
            <w:noProof/>
            <w:webHidden/>
          </w:rPr>
          <w:fldChar w:fldCharType="end"/>
        </w:r>
      </w:hyperlink>
    </w:p>
    <w:p w14:paraId="28051D0C" w14:textId="3F1E6D4C" w:rsidR="00CC50AB" w:rsidRDefault="00000000">
      <w:pPr>
        <w:pStyle w:val="TOC2"/>
        <w:rPr>
          <w:rFonts w:asciiTheme="minorHAnsi" w:hAnsiTheme="minorHAnsi" w:cstheme="minorBidi"/>
          <w:b w:val="0"/>
          <w:noProof/>
          <w:sz w:val="22"/>
        </w:rPr>
      </w:pPr>
      <w:hyperlink w:anchor="_Toc121095995" w:history="1">
        <w:r w:rsidR="00CC50AB" w:rsidRPr="00C40EED">
          <w:rPr>
            <w:rStyle w:val="Hyperlink"/>
            <w:noProof/>
          </w:rPr>
          <w:t>Acknowledgments</w:t>
        </w:r>
        <w:r w:rsidR="00CC50AB">
          <w:rPr>
            <w:noProof/>
            <w:webHidden/>
          </w:rPr>
          <w:tab/>
        </w:r>
        <w:r w:rsidR="00CC50AB">
          <w:rPr>
            <w:noProof/>
            <w:webHidden/>
          </w:rPr>
          <w:fldChar w:fldCharType="begin"/>
        </w:r>
        <w:r w:rsidR="00CC50AB">
          <w:rPr>
            <w:noProof/>
            <w:webHidden/>
          </w:rPr>
          <w:instrText xml:space="preserve"> PAGEREF _Toc121095995 \h </w:instrText>
        </w:r>
        <w:r w:rsidR="00CC50AB">
          <w:rPr>
            <w:noProof/>
            <w:webHidden/>
          </w:rPr>
        </w:r>
        <w:r w:rsidR="00CC50AB">
          <w:rPr>
            <w:noProof/>
            <w:webHidden/>
          </w:rPr>
          <w:fldChar w:fldCharType="separate"/>
        </w:r>
        <w:r w:rsidR="00B52D1E">
          <w:rPr>
            <w:noProof/>
            <w:webHidden/>
          </w:rPr>
          <w:t>124</w:t>
        </w:r>
        <w:r w:rsidR="00CC50AB">
          <w:rPr>
            <w:noProof/>
            <w:webHidden/>
          </w:rPr>
          <w:fldChar w:fldCharType="end"/>
        </w:r>
      </w:hyperlink>
    </w:p>
    <w:p w14:paraId="67380DB4" w14:textId="6373B5AA" w:rsidR="00CC50AB" w:rsidRDefault="00000000">
      <w:pPr>
        <w:pStyle w:val="TOC2"/>
        <w:rPr>
          <w:rFonts w:asciiTheme="minorHAnsi" w:hAnsiTheme="minorHAnsi" w:cstheme="minorBidi"/>
          <w:b w:val="0"/>
          <w:noProof/>
          <w:sz w:val="22"/>
        </w:rPr>
      </w:pPr>
      <w:hyperlink w:anchor="_Toc121095996" w:history="1">
        <w:r w:rsidR="00CC50AB" w:rsidRPr="00C40EED">
          <w:rPr>
            <w:rStyle w:val="Hyperlink"/>
            <w:noProof/>
          </w:rPr>
          <w:t>References</w:t>
        </w:r>
        <w:r w:rsidR="00CC50AB">
          <w:rPr>
            <w:noProof/>
            <w:webHidden/>
          </w:rPr>
          <w:tab/>
        </w:r>
        <w:r w:rsidR="00CC50AB">
          <w:rPr>
            <w:noProof/>
            <w:webHidden/>
          </w:rPr>
          <w:fldChar w:fldCharType="begin"/>
        </w:r>
        <w:r w:rsidR="00CC50AB">
          <w:rPr>
            <w:noProof/>
            <w:webHidden/>
          </w:rPr>
          <w:instrText xml:space="preserve"> PAGEREF _Toc121095996 \h </w:instrText>
        </w:r>
        <w:r w:rsidR="00CC50AB">
          <w:rPr>
            <w:noProof/>
            <w:webHidden/>
          </w:rPr>
        </w:r>
        <w:r w:rsidR="00CC50AB">
          <w:rPr>
            <w:noProof/>
            <w:webHidden/>
          </w:rPr>
          <w:fldChar w:fldCharType="separate"/>
        </w:r>
        <w:r w:rsidR="00B52D1E">
          <w:rPr>
            <w:noProof/>
            <w:webHidden/>
          </w:rPr>
          <w:t>125</w:t>
        </w:r>
        <w:r w:rsidR="00CC50AB">
          <w:rPr>
            <w:noProof/>
            <w:webHidden/>
          </w:rPr>
          <w:fldChar w:fldCharType="end"/>
        </w:r>
      </w:hyperlink>
    </w:p>
    <w:p w14:paraId="6C72A301" w14:textId="389683D4" w:rsidR="00CC50AB" w:rsidRDefault="00000000">
      <w:pPr>
        <w:pStyle w:val="TOC2"/>
        <w:rPr>
          <w:rFonts w:asciiTheme="minorHAnsi" w:hAnsiTheme="minorHAnsi" w:cstheme="minorBidi"/>
          <w:b w:val="0"/>
          <w:noProof/>
          <w:sz w:val="22"/>
        </w:rPr>
      </w:pPr>
      <w:hyperlink w:anchor="_Toc121095997" w:history="1">
        <w:r w:rsidR="00CC50AB" w:rsidRPr="00C40EED">
          <w:rPr>
            <w:rStyle w:val="Hyperlink"/>
            <w:noProof/>
          </w:rPr>
          <w:t>Appendix A</w:t>
        </w:r>
        <w:r w:rsidR="00CC50AB">
          <w:rPr>
            <w:noProof/>
            <w:webHidden/>
          </w:rPr>
          <w:tab/>
        </w:r>
        <w:r w:rsidR="00CC50AB">
          <w:rPr>
            <w:noProof/>
            <w:webHidden/>
          </w:rPr>
          <w:fldChar w:fldCharType="begin"/>
        </w:r>
        <w:r w:rsidR="00CC50AB">
          <w:rPr>
            <w:noProof/>
            <w:webHidden/>
          </w:rPr>
          <w:instrText xml:space="preserve"> PAGEREF _Toc121095997 \h </w:instrText>
        </w:r>
        <w:r w:rsidR="00CC50AB">
          <w:rPr>
            <w:noProof/>
            <w:webHidden/>
          </w:rPr>
        </w:r>
        <w:r w:rsidR="00CC50AB">
          <w:rPr>
            <w:noProof/>
            <w:webHidden/>
          </w:rPr>
          <w:fldChar w:fldCharType="separate"/>
        </w:r>
        <w:r w:rsidR="00B52D1E">
          <w:rPr>
            <w:noProof/>
            <w:webHidden/>
          </w:rPr>
          <w:t>129</w:t>
        </w:r>
        <w:r w:rsidR="00CC50AB">
          <w:rPr>
            <w:noProof/>
            <w:webHidden/>
          </w:rPr>
          <w:fldChar w:fldCharType="end"/>
        </w:r>
      </w:hyperlink>
    </w:p>
    <w:p w14:paraId="04E45DCB" w14:textId="63114BDC" w:rsidR="00CC50AB" w:rsidRDefault="00000000">
      <w:pPr>
        <w:pStyle w:val="TOC2"/>
        <w:rPr>
          <w:rFonts w:asciiTheme="minorHAnsi" w:hAnsiTheme="minorHAnsi" w:cstheme="minorBidi"/>
          <w:b w:val="0"/>
          <w:noProof/>
          <w:sz w:val="22"/>
        </w:rPr>
      </w:pPr>
      <w:hyperlink w:anchor="_Toc121095998" w:history="1">
        <w:r w:rsidR="00CC50AB" w:rsidRPr="00C40EED">
          <w:rPr>
            <w:rStyle w:val="Hyperlink"/>
            <w:noProof/>
          </w:rPr>
          <w:t>Appendix B</w:t>
        </w:r>
        <w:r w:rsidR="00CC50AB">
          <w:rPr>
            <w:noProof/>
            <w:webHidden/>
          </w:rPr>
          <w:tab/>
        </w:r>
        <w:r w:rsidR="00CC50AB">
          <w:rPr>
            <w:noProof/>
            <w:webHidden/>
          </w:rPr>
          <w:fldChar w:fldCharType="begin"/>
        </w:r>
        <w:r w:rsidR="00CC50AB">
          <w:rPr>
            <w:noProof/>
            <w:webHidden/>
          </w:rPr>
          <w:instrText xml:space="preserve"> PAGEREF _Toc121095998 \h </w:instrText>
        </w:r>
        <w:r w:rsidR="00CC50AB">
          <w:rPr>
            <w:noProof/>
            <w:webHidden/>
          </w:rPr>
        </w:r>
        <w:r w:rsidR="00CC50AB">
          <w:rPr>
            <w:noProof/>
            <w:webHidden/>
          </w:rPr>
          <w:fldChar w:fldCharType="separate"/>
        </w:r>
        <w:r w:rsidR="00B52D1E">
          <w:rPr>
            <w:noProof/>
            <w:webHidden/>
          </w:rPr>
          <w:t>133</w:t>
        </w:r>
        <w:r w:rsidR="00CC50AB">
          <w:rPr>
            <w:noProof/>
            <w:webHidden/>
          </w:rPr>
          <w:fldChar w:fldCharType="end"/>
        </w:r>
      </w:hyperlink>
    </w:p>
    <w:p w14:paraId="47EEF51C" w14:textId="4BA7F061" w:rsidR="00CC50AB" w:rsidRDefault="00000000">
      <w:pPr>
        <w:pStyle w:val="TOC2"/>
        <w:rPr>
          <w:rFonts w:asciiTheme="minorHAnsi" w:hAnsiTheme="minorHAnsi" w:cstheme="minorBidi"/>
          <w:b w:val="0"/>
          <w:noProof/>
          <w:sz w:val="22"/>
        </w:rPr>
      </w:pPr>
      <w:hyperlink w:anchor="_Toc121095999" w:history="1">
        <w:r w:rsidR="00CC50AB" w:rsidRPr="00C40EED">
          <w:rPr>
            <w:rStyle w:val="Hyperlink"/>
            <w:noProof/>
          </w:rPr>
          <w:t>Appendix C</w:t>
        </w:r>
        <w:r w:rsidR="00CC50AB">
          <w:rPr>
            <w:noProof/>
            <w:webHidden/>
          </w:rPr>
          <w:tab/>
        </w:r>
        <w:r w:rsidR="00CC50AB">
          <w:rPr>
            <w:noProof/>
            <w:webHidden/>
          </w:rPr>
          <w:fldChar w:fldCharType="begin"/>
        </w:r>
        <w:r w:rsidR="00CC50AB">
          <w:rPr>
            <w:noProof/>
            <w:webHidden/>
          </w:rPr>
          <w:instrText xml:space="preserve"> PAGEREF _Toc121095999 \h </w:instrText>
        </w:r>
        <w:r w:rsidR="00CC50AB">
          <w:rPr>
            <w:noProof/>
            <w:webHidden/>
          </w:rPr>
        </w:r>
        <w:r w:rsidR="00CC50AB">
          <w:rPr>
            <w:noProof/>
            <w:webHidden/>
          </w:rPr>
          <w:fldChar w:fldCharType="separate"/>
        </w:r>
        <w:r w:rsidR="00B52D1E">
          <w:rPr>
            <w:noProof/>
            <w:webHidden/>
          </w:rPr>
          <w:t>134</w:t>
        </w:r>
        <w:r w:rsidR="00CC50AB">
          <w:rPr>
            <w:noProof/>
            <w:webHidden/>
          </w:rPr>
          <w:fldChar w:fldCharType="end"/>
        </w:r>
      </w:hyperlink>
    </w:p>
    <w:p w14:paraId="353E0E23" w14:textId="76D4828A" w:rsidR="00CC50AB" w:rsidRDefault="00000000">
      <w:pPr>
        <w:pStyle w:val="TOC2"/>
        <w:rPr>
          <w:rFonts w:asciiTheme="minorHAnsi" w:hAnsiTheme="minorHAnsi" w:cstheme="minorBidi"/>
          <w:b w:val="0"/>
          <w:noProof/>
          <w:sz w:val="22"/>
        </w:rPr>
      </w:pPr>
      <w:hyperlink w:anchor="_Toc121096000" w:history="1">
        <w:r w:rsidR="00CC50AB" w:rsidRPr="00C40EED">
          <w:rPr>
            <w:rStyle w:val="Hyperlink"/>
            <w:noProof/>
          </w:rPr>
          <w:t>Appendix D</w:t>
        </w:r>
        <w:r w:rsidR="00CC50AB">
          <w:rPr>
            <w:noProof/>
            <w:webHidden/>
          </w:rPr>
          <w:tab/>
        </w:r>
        <w:r w:rsidR="00CC50AB">
          <w:rPr>
            <w:noProof/>
            <w:webHidden/>
          </w:rPr>
          <w:fldChar w:fldCharType="begin"/>
        </w:r>
        <w:r w:rsidR="00CC50AB">
          <w:rPr>
            <w:noProof/>
            <w:webHidden/>
          </w:rPr>
          <w:instrText xml:space="preserve"> PAGEREF _Toc121096000 \h </w:instrText>
        </w:r>
        <w:r w:rsidR="00CC50AB">
          <w:rPr>
            <w:noProof/>
            <w:webHidden/>
          </w:rPr>
        </w:r>
        <w:r w:rsidR="00CC50AB">
          <w:rPr>
            <w:noProof/>
            <w:webHidden/>
          </w:rPr>
          <w:fldChar w:fldCharType="separate"/>
        </w:r>
        <w:r w:rsidR="00B52D1E">
          <w:rPr>
            <w:noProof/>
            <w:webHidden/>
          </w:rPr>
          <w:t>137</w:t>
        </w:r>
        <w:r w:rsidR="00CC50AB">
          <w:rPr>
            <w:noProof/>
            <w:webHidden/>
          </w:rPr>
          <w:fldChar w:fldCharType="end"/>
        </w:r>
      </w:hyperlink>
    </w:p>
    <w:p w14:paraId="28B11BD3" w14:textId="23D30A71" w:rsidR="00CC50AB" w:rsidRDefault="00000000">
      <w:pPr>
        <w:pStyle w:val="TOC2"/>
        <w:rPr>
          <w:rFonts w:asciiTheme="minorHAnsi" w:hAnsiTheme="minorHAnsi" w:cstheme="minorBidi"/>
          <w:b w:val="0"/>
          <w:noProof/>
          <w:sz w:val="22"/>
        </w:rPr>
      </w:pPr>
      <w:hyperlink w:anchor="_Toc121096001" w:history="1">
        <w:r w:rsidR="00CC50AB" w:rsidRPr="00C40EED">
          <w:rPr>
            <w:rStyle w:val="Hyperlink"/>
            <w:noProof/>
          </w:rPr>
          <w:t>Chapter 3 Figures</w:t>
        </w:r>
        <w:r w:rsidR="00CC50AB">
          <w:rPr>
            <w:noProof/>
            <w:webHidden/>
          </w:rPr>
          <w:tab/>
        </w:r>
        <w:r w:rsidR="00CC50AB">
          <w:rPr>
            <w:noProof/>
            <w:webHidden/>
          </w:rPr>
          <w:fldChar w:fldCharType="begin"/>
        </w:r>
        <w:r w:rsidR="00CC50AB">
          <w:rPr>
            <w:noProof/>
            <w:webHidden/>
          </w:rPr>
          <w:instrText xml:space="preserve"> PAGEREF _Toc121096001 \h </w:instrText>
        </w:r>
        <w:r w:rsidR="00CC50AB">
          <w:rPr>
            <w:noProof/>
            <w:webHidden/>
          </w:rPr>
        </w:r>
        <w:r w:rsidR="00CC50AB">
          <w:rPr>
            <w:noProof/>
            <w:webHidden/>
          </w:rPr>
          <w:fldChar w:fldCharType="separate"/>
        </w:r>
        <w:r w:rsidR="00B52D1E">
          <w:rPr>
            <w:noProof/>
            <w:webHidden/>
          </w:rPr>
          <w:t>139</w:t>
        </w:r>
        <w:r w:rsidR="00CC50AB">
          <w:rPr>
            <w:noProof/>
            <w:webHidden/>
          </w:rPr>
          <w:fldChar w:fldCharType="end"/>
        </w:r>
      </w:hyperlink>
    </w:p>
    <w:p w14:paraId="2D852F97" w14:textId="41FCCA15" w:rsidR="00CC50AB" w:rsidRDefault="00000000">
      <w:pPr>
        <w:pStyle w:val="TOC2"/>
        <w:rPr>
          <w:rFonts w:asciiTheme="minorHAnsi" w:hAnsiTheme="minorHAnsi" w:cstheme="minorBidi"/>
          <w:b w:val="0"/>
          <w:noProof/>
          <w:sz w:val="22"/>
        </w:rPr>
      </w:pPr>
      <w:hyperlink w:anchor="_Toc121096002" w:history="1">
        <w:r w:rsidR="00CC50AB" w:rsidRPr="00C40EED">
          <w:rPr>
            <w:rStyle w:val="Hyperlink"/>
            <w:noProof/>
          </w:rPr>
          <w:t>Chapter 3 Tables</w:t>
        </w:r>
        <w:r w:rsidR="00CC50AB">
          <w:rPr>
            <w:noProof/>
            <w:webHidden/>
          </w:rPr>
          <w:tab/>
        </w:r>
        <w:r w:rsidR="00CC50AB">
          <w:rPr>
            <w:noProof/>
            <w:webHidden/>
          </w:rPr>
          <w:fldChar w:fldCharType="begin"/>
        </w:r>
        <w:r w:rsidR="00CC50AB">
          <w:rPr>
            <w:noProof/>
            <w:webHidden/>
          </w:rPr>
          <w:instrText xml:space="preserve"> PAGEREF _Toc121096002 \h </w:instrText>
        </w:r>
        <w:r w:rsidR="00CC50AB">
          <w:rPr>
            <w:noProof/>
            <w:webHidden/>
          </w:rPr>
        </w:r>
        <w:r w:rsidR="00CC50AB">
          <w:rPr>
            <w:noProof/>
            <w:webHidden/>
          </w:rPr>
          <w:fldChar w:fldCharType="separate"/>
        </w:r>
        <w:r w:rsidR="00B52D1E">
          <w:rPr>
            <w:noProof/>
            <w:webHidden/>
          </w:rPr>
          <w:t>168</w:t>
        </w:r>
        <w:r w:rsidR="00CC50AB">
          <w:rPr>
            <w:noProof/>
            <w:webHidden/>
          </w:rPr>
          <w:fldChar w:fldCharType="end"/>
        </w:r>
      </w:hyperlink>
    </w:p>
    <w:p w14:paraId="697F87B3" w14:textId="777EBD97" w:rsidR="00CC50AB" w:rsidRDefault="00000000">
      <w:pPr>
        <w:pStyle w:val="TOC1"/>
        <w:rPr>
          <w:rFonts w:asciiTheme="minorHAnsi" w:hAnsiTheme="minorHAnsi" w:cstheme="minorBidi"/>
          <w:b w:val="0"/>
          <w:noProof/>
          <w:sz w:val="22"/>
        </w:rPr>
      </w:pPr>
      <w:hyperlink w:anchor="_Toc121096003" w:history="1">
        <w:r w:rsidR="00CC50AB" w:rsidRPr="00C40EED">
          <w:rPr>
            <w:rStyle w:val="Hyperlink"/>
            <w:noProof/>
          </w:rPr>
          <w:t>General Conclusions</w:t>
        </w:r>
        <w:r w:rsidR="00CC50AB">
          <w:rPr>
            <w:noProof/>
            <w:webHidden/>
          </w:rPr>
          <w:tab/>
        </w:r>
        <w:r w:rsidR="00CC50AB">
          <w:rPr>
            <w:noProof/>
            <w:webHidden/>
          </w:rPr>
          <w:fldChar w:fldCharType="begin"/>
        </w:r>
        <w:r w:rsidR="00CC50AB">
          <w:rPr>
            <w:noProof/>
            <w:webHidden/>
          </w:rPr>
          <w:instrText xml:space="preserve"> PAGEREF _Toc121096003 \h </w:instrText>
        </w:r>
        <w:r w:rsidR="00CC50AB">
          <w:rPr>
            <w:noProof/>
            <w:webHidden/>
          </w:rPr>
        </w:r>
        <w:r w:rsidR="00CC50AB">
          <w:rPr>
            <w:noProof/>
            <w:webHidden/>
          </w:rPr>
          <w:fldChar w:fldCharType="separate"/>
        </w:r>
        <w:r w:rsidR="00B52D1E">
          <w:rPr>
            <w:noProof/>
            <w:webHidden/>
          </w:rPr>
          <w:t>170</w:t>
        </w:r>
        <w:r w:rsidR="00CC50AB">
          <w:rPr>
            <w:noProof/>
            <w:webHidden/>
          </w:rPr>
          <w:fldChar w:fldCharType="end"/>
        </w:r>
      </w:hyperlink>
    </w:p>
    <w:p w14:paraId="230C0CF4" w14:textId="5C85C1AE" w:rsidR="00DB1244" w:rsidRDefault="000C544B" w:rsidP="00DB5D2C">
      <w:pPr>
        <w:spacing w:line="259" w:lineRule="auto"/>
        <w:jc w:val="left"/>
      </w:pPr>
      <w:r>
        <w:fldChar w:fldCharType="end"/>
      </w:r>
    </w:p>
    <w:p w14:paraId="0AEFD3CC" w14:textId="22F275B2" w:rsidR="00FF0D4E" w:rsidRDefault="00B36A8C" w:rsidP="009D0E08">
      <w:pPr>
        <w:pStyle w:val="Heading1"/>
      </w:pPr>
      <w:bookmarkStart w:id="4" w:name="_Toc115155604"/>
      <w:bookmarkStart w:id="5" w:name="_Toc121095924"/>
      <w:r>
        <w:t>List of Figures</w:t>
      </w:r>
      <w:bookmarkEnd w:id="4"/>
      <w:bookmarkEnd w:id="5"/>
    </w:p>
    <w:p w14:paraId="6FC115B9" w14:textId="3D223E15" w:rsidR="00B34D67" w:rsidRDefault="00E8368F">
      <w:pPr>
        <w:pStyle w:val="TableofFigures"/>
        <w:tabs>
          <w:tab w:val="right" w:leader="dot" w:pos="9350"/>
        </w:tabs>
        <w:rPr>
          <w:rFonts w:asciiTheme="minorHAnsi" w:eastAsiaTheme="minorEastAsia" w:hAnsiTheme="minorHAnsi"/>
          <w:noProof/>
          <w:sz w:val="22"/>
        </w:rPr>
      </w:pPr>
      <w:r>
        <w:fldChar w:fldCharType="begin"/>
      </w:r>
      <w:r>
        <w:instrText xml:space="preserve"> TOC \h \z \c "Figure" </w:instrText>
      </w:r>
      <w:r>
        <w:fldChar w:fldCharType="separate"/>
      </w:r>
      <w:hyperlink w:anchor="_Toc121095096" w:history="1">
        <w:r w:rsidR="00B34D67" w:rsidRPr="00C25DC5">
          <w:rPr>
            <w:rStyle w:val="Hyperlink"/>
            <w:b/>
            <w:bCs/>
            <w:noProof/>
          </w:rPr>
          <w:t>Figure 1.1:</w:t>
        </w:r>
        <w:r w:rsidR="00B34D67" w:rsidRPr="00C25DC5">
          <w:rPr>
            <w:rStyle w:val="Hyperlink"/>
            <w:noProof/>
          </w:rPr>
          <w:t xml:space="preserve"> Paleogeographic map showing the main provinces of the Permian Basin during the Early Permian time. The study area is located in Scurry County, Texas. The approximate location of the study area is denoted by the red star.</w:t>
        </w:r>
        <w:r w:rsidR="00B34D67">
          <w:rPr>
            <w:noProof/>
            <w:webHidden/>
          </w:rPr>
          <w:tab/>
        </w:r>
        <w:r w:rsidR="00B34D67">
          <w:rPr>
            <w:noProof/>
            <w:webHidden/>
          </w:rPr>
          <w:fldChar w:fldCharType="begin"/>
        </w:r>
        <w:r w:rsidR="00B34D67">
          <w:rPr>
            <w:noProof/>
            <w:webHidden/>
          </w:rPr>
          <w:instrText xml:space="preserve"> PAGEREF _Toc121095096 \h </w:instrText>
        </w:r>
        <w:r w:rsidR="00B34D67">
          <w:rPr>
            <w:noProof/>
            <w:webHidden/>
          </w:rPr>
        </w:r>
        <w:r w:rsidR="00B34D67">
          <w:rPr>
            <w:noProof/>
            <w:webHidden/>
          </w:rPr>
          <w:fldChar w:fldCharType="separate"/>
        </w:r>
        <w:r w:rsidR="00B52D1E">
          <w:rPr>
            <w:noProof/>
            <w:webHidden/>
          </w:rPr>
          <w:t>31</w:t>
        </w:r>
        <w:r w:rsidR="00B34D67">
          <w:rPr>
            <w:noProof/>
            <w:webHidden/>
          </w:rPr>
          <w:fldChar w:fldCharType="end"/>
        </w:r>
      </w:hyperlink>
    </w:p>
    <w:p w14:paraId="5D6B48E0" w14:textId="5A6B3303" w:rsidR="00B34D67" w:rsidRDefault="00000000">
      <w:pPr>
        <w:pStyle w:val="TableofFigures"/>
        <w:tabs>
          <w:tab w:val="right" w:leader="dot" w:pos="9350"/>
        </w:tabs>
        <w:rPr>
          <w:rFonts w:asciiTheme="minorHAnsi" w:eastAsiaTheme="minorEastAsia" w:hAnsiTheme="minorHAnsi"/>
          <w:noProof/>
          <w:sz w:val="22"/>
        </w:rPr>
      </w:pPr>
      <w:hyperlink w:anchor="_Toc121095097" w:history="1">
        <w:r w:rsidR="00B34D67" w:rsidRPr="00C25DC5">
          <w:rPr>
            <w:rStyle w:val="Hyperlink"/>
            <w:b/>
            <w:bCs/>
            <w:noProof/>
          </w:rPr>
          <w:t>Figure 1.2:</w:t>
        </w:r>
        <w:r w:rsidR="00B34D67" w:rsidRPr="00C25DC5">
          <w:rPr>
            <w:rStyle w:val="Hyperlink"/>
            <w:noProof/>
          </w:rPr>
          <w:t xml:space="preserve"> Simplified stratigraphic chart showing the regional stratigraphy of the Midland Basin and the Eastern Shelf (modified after Ball, 1995). The interval of interest for this study is the Leonardian Wichita and Clear Fork Formations (the red square).</w:t>
        </w:r>
        <w:r w:rsidR="00B34D67">
          <w:rPr>
            <w:noProof/>
            <w:webHidden/>
          </w:rPr>
          <w:tab/>
        </w:r>
        <w:r w:rsidR="00B34D67">
          <w:rPr>
            <w:noProof/>
            <w:webHidden/>
          </w:rPr>
          <w:fldChar w:fldCharType="begin"/>
        </w:r>
        <w:r w:rsidR="00B34D67">
          <w:rPr>
            <w:noProof/>
            <w:webHidden/>
          </w:rPr>
          <w:instrText xml:space="preserve"> PAGEREF _Toc121095097 \h </w:instrText>
        </w:r>
        <w:r w:rsidR="00B34D67">
          <w:rPr>
            <w:noProof/>
            <w:webHidden/>
          </w:rPr>
        </w:r>
        <w:r w:rsidR="00B34D67">
          <w:rPr>
            <w:noProof/>
            <w:webHidden/>
          </w:rPr>
          <w:fldChar w:fldCharType="separate"/>
        </w:r>
        <w:r w:rsidR="00B52D1E">
          <w:rPr>
            <w:noProof/>
            <w:webHidden/>
          </w:rPr>
          <w:t>32</w:t>
        </w:r>
        <w:r w:rsidR="00B34D67">
          <w:rPr>
            <w:noProof/>
            <w:webHidden/>
          </w:rPr>
          <w:fldChar w:fldCharType="end"/>
        </w:r>
      </w:hyperlink>
    </w:p>
    <w:p w14:paraId="77D79E27" w14:textId="1BD0D896" w:rsidR="00B34D67" w:rsidRDefault="00000000">
      <w:pPr>
        <w:pStyle w:val="TableofFigures"/>
        <w:tabs>
          <w:tab w:val="right" w:leader="dot" w:pos="9350"/>
        </w:tabs>
        <w:rPr>
          <w:rFonts w:asciiTheme="minorHAnsi" w:eastAsiaTheme="minorEastAsia" w:hAnsiTheme="minorHAnsi"/>
          <w:noProof/>
          <w:sz w:val="22"/>
        </w:rPr>
      </w:pPr>
      <w:hyperlink w:anchor="_Toc121095098" w:history="1">
        <w:r w:rsidR="00B34D67" w:rsidRPr="00C25DC5">
          <w:rPr>
            <w:rStyle w:val="Hyperlink"/>
            <w:b/>
            <w:bCs/>
            <w:noProof/>
          </w:rPr>
          <w:t>Figure 1.3:</w:t>
        </w:r>
        <w:r w:rsidR="00B34D67" w:rsidRPr="00C25DC5">
          <w:rPr>
            <w:rStyle w:val="Hyperlink"/>
            <w:noProof/>
          </w:rPr>
          <w:t xml:space="preserve"> Seismic stratigraphic interpretation of east–west arbitrary line illustrating the progradation-retrogradation episodes of the Leonardian platform carbonates with distinct clinoformal geometries. Four complete seismic sequences were interpreted within the Leonardian section (LST, lowstand systems tract; TST, transgressive systems tract; HST, highstand systems tract; SS1-5, seismic sequence boundaries; and MFS, maximum flooding surface).</w:t>
        </w:r>
        <w:r w:rsidR="00B34D67">
          <w:rPr>
            <w:noProof/>
            <w:webHidden/>
          </w:rPr>
          <w:tab/>
        </w:r>
        <w:r w:rsidR="00B34D67">
          <w:rPr>
            <w:noProof/>
            <w:webHidden/>
          </w:rPr>
          <w:fldChar w:fldCharType="begin"/>
        </w:r>
        <w:r w:rsidR="00B34D67">
          <w:rPr>
            <w:noProof/>
            <w:webHidden/>
          </w:rPr>
          <w:instrText xml:space="preserve"> PAGEREF _Toc121095098 \h </w:instrText>
        </w:r>
        <w:r w:rsidR="00B34D67">
          <w:rPr>
            <w:noProof/>
            <w:webHidden/>
          </w:rPr>
        </w:r>
        <w:r w:rsidR="00B34D67">
          <w:rPr>
            <w:noProof/>
            <w:webHidden/>
          </w:rPr>
          <w:fldChar w:fldCharType="separate"/>
        </w:r>
        <w:r w:rsidR="00B52D1E">
          <w:rPr>
            <w:noProof/>
            <w:webHidden/>
          </w:rPr>
          <w:t>33</w:t>
        </w:r>
        <w:r w:rsidR="00B34D67">
          <w:rPr>
            <w:noProof/>
            <w:webHidden/>
          </w:rPr>
          <w:fldChar w:fldCharType="end"/>
        </w:r>
      </w:hyperlink>
    </w:p>
    <w:p w14:paraId="25DB23C6" w14:textId="61D061F5" w:rsidR="00B34D67" w:rsidRDefault="00000000">
      <w:pPr>
        <w:pStyle w:val="TableofFigures"/>
        <w:tabs>
          <w:tab w:val="right" w:leader="dot" w:pos="9350"/>
        </w:tabs>
        <w:rPr>
          <w:rFonts w:asciiTheme="minorHAnsi" w:eastAsiaTheme="minorEastAsia" w:hAnsiTheme="minorHAnsi"/>
          <w:noProof/>
          <w:sz w:val="22"/>
        </w:rPr>
      </w:pPr>
      <w:hyperlink w:anchor="_Toc121095099" w:history="1">
        <w:r w:rsidR="00B34D67" w:rsidRPr="00C25DC5">
          <w:rPr>
            <w:rStyle w:val="Hyperlink"/>
            <w:b/>
            <w:bCs/>
            <w:noProof/>
          </w:rPr>
          <w:t xml:space="preserve">Figure 1.4: </w:t>
        </w:r>
        <w:r w:rsidR="00B34D67" w:rsidRPr="00C25DC5">
          <w:rPr>
            <w:rStyle w:val="Hyperlink"/>
            <w:noProof/>
          </w:rPr>
          <w:t>Generalized workflow showing the three main steps followed in this study. These steps are the (left) model-based poststack inversion (after Russel et al., 2006), (middle) Bayesian supervised classification (after Nieto et al., 2013), and (right) PNN for porosity prediction (after Verma et al., 2016).</w:t>
        </w:r>
        <w:r w:rsidR="00B34D67">
          <w:rPr>
            <w:noProof/>
            <w:webHidden/>
          </w:rPr>
          <w:tab/>
        </w:r>
        <w:r w:rsidR="00B34D67">
          <w:rPr>
            <w:noProof/>
            <w:webHidden/>
          </w:rPr>
          <w:fldChar w:fldCharType="begin"/>
        </w:r>
        <w:r w:rsidR="00B34D67">
          <w:rPr>
            <w:noProof/>
            <w:webHidden/>
          </w:rPr>
          <w:instrText xml:space="preserve"> PAGEREF _Toc121095099 \h </w:instrText>
        </w:r>
        <w:r w:rsidR="00B34D67">
          <w:rPr>
            <w:noProof/>
            <w:webHidden/>
          </w:rPr>
        </w:r>
        <w:r w:rsidR="00B34D67">
          <w:rPr>
            <w:noProof/>
            <w:webHidden/>
          </w:rPr>
          <w:fldChar w:fldCharType="separate"/>
        </w:r>
        <w:r w:rsidR="00B52D1E">
          <w:rPr>
            <w:noProof/>
            <w:webHidden/>
          </w:rPr>
          <w:t>34</w:t>
        </w:r>
        <w:r w:rsidR="00B34D67">
          <w:rPr>
            <w:noProof/>
            <w:webHidden/>
          </w:rPr>
          <w:fldChar w:fldCharType="end"/>
        </w:r>
      </w:hyperlink>
    </w:p>
    <w:p w14:paraId="62F82218" w14:textId="5D42EC8F" w:rsidR="00B34D67" w:rsidRDefault="00000000">
      <w:pPr>
        <w:pStyle w:val="TableofFigures"/>
        <w:tabs>
          <w:tab w:val="right" w:leader="dot" w:pos="9350"/>
        </w:tabs>
        <w:rPr>
          <w:rFonts w:asciiTheme="minorHAnsi" w:eastAsiaTheme="minorEastAsia" w:hAnsiTheme="minorHAnsi"/>
          <w:noProof/>
          <w:sz w:val="22"/>
        </w:rPr>
      </w:pPr>
      <w:hyperlink w:anchor="_Toc121095100" w:history="1">
        <w:r w:rsidR="00B34D67" w:rsidRPr="00C25DC5">
          <w:rPr>
            <w:rStyle w:val="Hyperlink"/>
            <w:b/>
            <w:bCs/>
            <w:noProof/>
          </w:rPr>
          <w:t xml:space="preserve">Figure 1.5: </w:t>
        </w:r>
        <w:r w:rsidR="00B34D67" w:rsidRPr="00C25DC5">
          <w:rPr>
            <w:rStyle w:val="Hyperlink"/>
            <w:noProof/>
          </w:rPr>
          <w:t>Crossplot of acoustic impedance and neutron porosity logs, color-coded by photoelectric factor log showing distinct separations interpreted as limestone, dolomite, and shale.</w:t>
        </w:r>
        <w:r w:rsidR="00B34D67">
          <w:rPr>
            <w:noProof/>
            <w:webHidden/>
          </w:rPr>
          <w:tab/>
        </w:r>
        <w:r w:rsidR="00B34D67">
          <w:rPr>
            <w:noProof/>
            <w:webHidden/>
          </w:rPr>
          <w:fldChar w:fldCharType="begin"/>
        </w:r>
        <w:r w:rsidR="00B34D67">
          <w:rPr>
            <w:noProof/>
            <w:webHidden/>
          </w:rPr>
          <w:instrText xml:space="preserve"> PAGEREF _Toc121095100 \h </w:instrText>
        </w:r>
        <w:r w:rsidR="00B34D67">
          <w:rPr>
            <w:noProof/>
            <w:webHidden/>
          </w:rPr>
        </w:r>
        <w:r w:rsidR="00B34D67">
          <w:rPr>
            <w:noProof/>
            <w:webHidden/>
          </w:rPr>
          <w:fldChar w:fldCharType="separate"/>
        </w:r>
        <w:r w:rsidR="00B52D1E">
          <w:rPr>
            <w:noProof/>
            <w:webHidden/>
          </w:rPr>
          <w:t>35</w:t>
        </w:r>
        <w:r w:rsidR="00B34D67">
          <w:rPr>
            <w:noProof/>
            <w:webHidden/>
          </w:rPr>
          <w:fldChar w:fldCharType="end"/>
        </w:r>
      </w:hyperlink>
    </w:p>
    <w:p w14:paraId="6440D147" w14:textId="445D3DA1" w:rsidR="00B34D67" w:rsidRDefault="00000000">
      <w:pPr>
        <w:pStyle w:val="TableofFigures"/>
        <w:tabs>
          <w:tab w:val="right" w:leader="dot" w:pos="9350"/>
        </w:tabs>
        <w:rPr>
          <w:rFonts w:asciiTheme="minorHAnsi" w:eastAsiaTheme="minorEastAsia" w:hAnsiTheme="minorHAnsi"/>
          <w:noProof/>
          <w:sz w:val="22"/>
        </w:rPr>
      </w:pPr>
      <w:hyperlink w:anchor="_Toc121095101" w:history="1">
        <w:r w:rsidR="00B34D67" w:rsidRPr="00C25DC5">
          <w:rPr>
            <w:rStyle w:val="Hyperlink"/>
            <w:b/>
            <w:bCs/>
            <w:noProof/>
          </w:rPr>
          <w:t xml:space="preserve">Figure 1.6: </w:t>
        </w:r>
        <w:r w:rsidR="00B34D67" w:rsidRPr="00C25DC5">
          <w:rPr>
            <w:rStyle w:val="Hyperlink"/>
            <w:noProof/>
          </w:rPr>
          <w:t>East–west cross section of wells showing the lithology logs together with a suite of well logs (track 1, overlay of Gamma Ray and Caliper; track 2, overlay of Neutron and Density porosity logs; track 3, Total porosity; track 4, Photoelectric Factor Log; track 5, Acoustic Impedance; and track 6, Lithology).</w:t>
        </w:r>
        <w:r w:rsidR="00B34D67">
          <w:rPr>
            <w:noProof/>
            <w:webHidden/>
          </w:rPr>
          <w:tab/>
        </w:r>
        <w:r w:rsidR="00B34D67">
          <w:rPr>
            <w:noProof/>
            <w:webHidden/>
          </w:rPr>
          <w:fldChar w:fldCharType="begin"/>
        </w:r>
        <w:r w:rsidR="00B34D67">
          <w:rPr>
            <w:noProof/>
            <w:webHidden/>
          </w:rPr>
          <w:instrText xml:space="preserve"> PAGEREF _Toc121095101 \h </w:instrText>
        </w:r>
        <w:r w:rsidR="00B34D67">
          <w:rPr>
            <w:noProof/>
            <w:webHidden/>
          </w:rPr>
        </w:r>
        <w:r w:rsidR="00B34D67">
          <w:rPr>
            <w:noProof/>
            <w:webHidden/>
          </w:rPr>
          <w:fldChar w:fldCharType="separate"/>
        </w:r>
        <w:r w:rsidR="00B52D1E">
          <w:rPr>
            <w:noProof/>
            <w:webHidden/>
          </w:rPr>
          <w:t>36</w:t>
        </w:r>
        <w:r w:rsidR="00B34D67">
          <w:rPr>
            <w:noProof/>
            <w:webHidden/>
          </w:rPr>
          <w:fldChar w:fldCharType="end"/>
        </w:r>
      </w:hyperlink>
    </w:p>
    <w:p w14:paraId="25A9737A" w14:textId="7CE1C82A" w:rsidR="00B34D67" w:rsidRDefault="00000000">
      <w:pPr>
        <w:pStyle w:val="TableofFigures"/>
        <w:tabs>
          <w:tab w:val="right" w:leader="dot" w:pos="9350"/>
        </w:tabs>
        <w:rPr>
          <w:rFonts w:asciiTheme="minorHAnsi" w:eastAsiaTheme="minorEastAsia" w:hAnsiTheme="minorHAnsi"/>
          <w:noProof/>
          <w:sz w:val="22"/>
        </w:rPr>
      </w:pPr>
      <w:hyperlink w:anchor="_Toc121095102" w:history="1">
        <w:r w:rsidR="00B34D67" w:rsidRPr="00C25DC5">
          <w:rPr>
            <w:rStyle w:val="Hyperlink"/>
            <w:b/>
            <w:bCs/>
            <w:noProof/>
          </w:rPr>
          <w:t xml:space="preserve">Figure 1.7: </w:t>
        </w:r>
        <w:r w:rsidR="00B34D67" w:rsidRPr="00C25DC5">
          <w:rPr>
            <w:rStyle w:val="Hyperlink"/>
            <w:noProof/>
          </w:rPr>
          <w:t>PDFs calculated from upscaled well logs for each lithology type</w:t>
        </w:r>
        <w:r w:rsidR="00B34D67" w:rsidRPr="00C25DC5">
          <w:rPr>
            <w:rStyle w:val="Hyperlink"/>
            <w:i/>
            <w:noProof/>
          </w:rPr>
          <w:t>.</w:t>
        </w:r>
        <w:r w:rsidR="00B34D67">
          <w:rPr>
            <w:noProof/>
            <w:webHidden/>
          </w:rPr>
          <w:tab/>
        </w:r>
        <w:r w:rsidR="00B34D67">
          <w:rPr>
            <w:noProof/>
            <w:webHidden/>
          </w:rPr>
          <w:fldChar w:fldCharType="begin"/>
        </w:r>
        <w:r w:rsidR="00B34D67">
          <w:rPr>
            <w:noProof/>
            <w:webHidden/>
          </w:rPr>
          <w:instrText xml:space="preserve"> PAGEREF _Toc121095102 \h </w:instrText>
        </w:r>
        <w:r w:rsidR="00B34D67">
          <w:rPr>
            <w:noProof/>
            <w:webHidden/>
          </w:rPr>
        </w:r>
        <w:r w:rsidR="00B34D67">
          <w:rPr>
            <w:noProof/>
            <w:webHidden/>
          </w:rPr>
          <w:fldChar w:fldCharType="separate"/>
        </w:r>
        <w:r w:rsidR="00B52D1E">
          <w:rPr>
            <w:noProof/>
            <w:webHidden/>
          </w:rPr>
          <w:t>37</w:t>
        </w:r>
        <w:r w:rsidR="00B34D67">
          <w:rPr>
            <w:noProof/>
            <w:webHidden/>
          </w:rPr>
          <w:fldChar w:fldCharType="end"/>
        </w:r>
      </w:hyperlink>
    </w:p>
    <w:p w14:paraId="70BFCB43" w14:textId="436D5069" w:rsidR="00B34D67" w:rsidRDefault="00000000">
      <w:pPr>
        <w:pStyle w:val="TableofFigures"/>
        <w:tabs>
          <w:tab w:val="right" w:leader="dot" w:pos="9350"/>
        </w:tabs>
        <w:rPr>
          <w:rFonts w:asciiTheme="minorHAnsi" w:eastAsiaTheme="minorEastAsia" w:hAnsiTheme="minorHAnsi"/>
          <w:noProof/>
          <w:sz w:val="22"/>
        </w:rPr>
      </w:pPr>
      <w:hyperlink w:anchor="_Toc121095103" w:history="1">
        <w:r w:rsidR="00B34D67" w:rsidRPr="00C25DC5">
          <w:rPr>
            <w:rStyle w:val="Hyperlink"/>
            <w:b/>
            <w:bCs/>
            <w:noProof/>
          </w:rPr>
          <w:t>Figure 1.8:</w:t>
        </w:r>
        <w:r w:rsidR="00B34D67" w:rsidRPr="00C25DC5">
          <w:rPr>
            <w:rStyle w:val="Hyperlink"/>
            <w:noProof/>
          </w:rPr>
          <w:t xml:space="preserve"> QC of the post-stack inversion results extracted at well locations 2 and 3. Note the high impedance values of the Leonardian section at the platform interior (well 3), which decrease toward the slope (well 2).</w:t>
        </w:r>
        <w:r w:rsidR="00B34D67">
          <w:rPr>
            <w:noProof/>
            <w:webHidden/>
          </w:rPr>
          <w:tab/>
        </w:r>
        <w:r w:rsidR="00B34D67">
          <w:rPr>
            <w:noProof/>
            <w:webHidden/>
          </w:rPr>
          <w:fldChar w:fldCharType="begin"/>
        </w:r>
        <w:r w:rsidR="00B34D67">
          <w:rPr>
            <w:noProof/>
            <w:webHidden/>
          </w:rPr>
          <w:instrText xml:space="preserve"> PAGEREF _Toc121095103 \h </w:instrText>
        </w:r>
        <w:r w:rsidR="00B34D67">
          <w:rPr>
            <w:noProof/>
            <w:webHidden/>
          </w:rPr>
        </w:r>
        <w:r w:rsidR="00B34D67">
          <w:rPr>
            <w:noProof/>
            <w:webHidden/>
          </w:rPr>
          <w:fldChar w:fldCharType="separate"/>
        </w:r>
        <w:r w:rsidR="00B52D1E">
          <w:rPr>
            <w:noProof/>
            <w:webHidden/>
          </w:rPr>
          <w:t>38</w:t>
        </w:r>
        <w:r w:rsidR="00B34D67">
          <w:rPr>
            <w:noProof/>
            <w:webHidden/>
          </w:rPr>
          <w:fldChar w:fldCharType="end"/>
        </w:r>
      </w:hyperlink>
    </w:p>
    <w:p w14:paraId="08E5AF2C" w14:textId="049428E2" w:rsidR="00B34D67" w:rsidRDefault="00000000">
      <w:pPr>
        <w:pStyle w:val="TableofFigures"/>
        <w:tabs>
          <w:tab w:val="right" w:leader="dot" w:pos="9350"/>
        </w:tabs>
        <w:rPr>
          <w:rFonts w:asciiTheme="minorHAnsi" w:eastAsiaTheme="minorEastAsia" w:hAnsiTheme="minorHAnsi"/>
          <w:noProof/>
          <w:sz w:val="22"/>
        </w:rPr>
      </w:pPr>
      <w:hyperlink w:anchor="_Toc121095104" w:history="1">
        <w:r w:rsidR="00B34D67" w:rsidRPr="00C25DC5">
          <w:rPr>
            <w:rStyle w:val="Hyperlink"/>
            <w:b/>
            <w:bCs/>
            <w:noProof/>
          </w:rPr>
          <w:t>Figure 1.9:</w:t>
        </w:r>
        <w:r w:rsidR="00B34D67" w:rsidRPr="00C25DC5">
          <w:rPr>
            <w:rStyle w:val="Hyperlink"/>
            <w:noProof/>
          </w:rPr>
          <w:t xml:space="preserve"> Selection of the optimum number of attributes for PNN neutron porosity volume prediction. The training and validation errors are plotted against the number of attributes. Note the increase in validation error after four attributes, indicating overtraining.</w:t>
        </w:r>
        <w:r w:rsidR="00B34D67">
          <w:rPr>
            <w:noProof/>
            <w:webHidden/>
          </w:rPr>
          <w:tab/>
        </w:r>
        <w:r w:rsidR="00B34D67">
          <w:rPr>
            <w:noProof/>
            <w:webHidden/>
          </w:rPr>
          <w:fldChar w:fldCharType="begin"/>
        </w:r>
        <w:r w:rsidR="00B34D67">
          <w:rPr>
            <w:noProof/>
            <w:webHidden/>
          </w:rPr>
          <w:instrText xml:space="preserve"> PAGEREF _Toc121095104 \h </w:instrText>
        </w:r>
        <w:r w:rsidR="00B34D67">
          <w:rPr>
            <w:noProof/>
            <w:webHidden/>
          </w:rPr>
        </w:r>
        <w:r w:rsidR="00B34D67">
          <w:rPr>
            <w:noProof/>
            <w:webHidden/>
          </w:rPr>
          <w:fldChar w:fldCharType="separate"/>
        </w:r>
        <w:r w:rsidR="00B52D1E">
          <w:rPr>
            <w:noProof/>
            <w:webHidden/>
          </w:rPr>
          <w:t>39</w:t>
        </w:r>
        <w:r w:rsidR="00B34D67">
          <w:rPr>
            <w:noProof/>
            <w:webHidden/>
          </w:rPr>
          <w:fldChar w:fldCharType="end"/>
        </w:r>
      </w:hyperlink>
    </w:p>
    <w:p w14:paraId="6E7DD8C3" w14:textId="3527632E" w:rsidR="00B34D67" w:rsidRDefault="00000000">
      <w:pPr>
        <w:pStyle w:val="TableofFigures"/>
        <w:tabs>
          <w:tab w:val="right" w:leader="dot" w:pos="9350"/>
        </w:tabs>
        <w:rPr>
          <w:rFonts w:asciiTheme="minorHAnsi" w:eastAsiaTheme="minorEastAsia" w:hAnsiTheme="minorHAnsi"/>
          <w:noProof/>
          <w:sz w:val="22"/>
        </w:rPr>
      </w:pPr>
      <w:hyperlink w:anchor="_Toc121095105" w:history="1">
        <w:r w:rsidR="00B34D67" w:rsidRPr="00C25DC5">
          <w:rPr>
            <w:rStyle w:val="Hyperlink"/>
            <w:b/>
            <w:bCs/>
            <w:noProof/>
          </w:rPr>
          <w:t xml:space="preserve">Figure 1.10: </w:t>
        </w:r>
        <w:r w:rsidR="00B34D67" w:rsidRPr="00C25DC5">
          <w:rPr>
            <w:rStyle w:val="Hyperlink"/>
            <w:noProof/>
          </w:rPr>
          <w:t>Validation results of the PNN neutron porosity volume prediction. (a) Crossplot between the actual and predicted neutron porosity values shows an 85% correlation. (b) Blind well (well 6) validation of the PNN results.</w:t>
        </w:r>
        <w:r w:rsidR="00B34D67">
          <w:rPr>
            <w:noProof/>
            <w:webHidden/>
          </w:rPr>
          <w:tab/>
        </w:r>
        <w:r w:rsidR="00B34D67">
          <w:rPr>
            <w:noProof/>
            <w:webHidden/>
          </w:rPr>
          <w:fldChar w:fldCharType="begin"/>
        </w:r>
        <w:r w:rsidR="00B34D67">
          <w:rPr>
            <w:noProof/>
            <w:webHidden/>
          </w:rPr>
          <w:instrText xml:space="preserve"> PAGEREF _Toc121095105 \h </w:instrText>
        </w:r>
        <w:r w:rsidR="00B34D67">
          <w:rPr>
            <w:noProof/>
            <w:webHidden/>
          </w:rPr>
        </w:r>
        <w:r w:rsidR="00B34D67">
          <w:rPr>
            <w:noProof/>
            <w:webHidden/>
          </w:rPr>
          <w:fldChar w:fldCharType="separate"/>
        </w:r>
        <w:r w:rsidR="00B52D1E">
          <w:rPr>
            <w:noProof/>
            <w:webHidden/>
          </w:rPr>
          <w:t>40</w:t>
        </w:r>
        <w:r w:rsidR="00B34D67">
          <w:rPr>
            <w:noProof/>
            <w:webHidden/>
          </w:rPr>
          <w:fldChar w:fldCharType="end"/>
        </w:r>
      </w:hyperlink>
    </w:p>
    <w:p w14:paraId="6CF1B05E" w14:textId="0DDEA461" w:rsidR="00B34D67" w:rsidRDefault="00000000">
      <w:pPr>
        <w:pStyle w:val="TableofFigures"/>
        <w:tabs>
          <w:tab w:val="right" w:leader="dot" w:pos="9350"/>
        </w:tabs>
        <w:rPr>
          <w:rFonts w:asciiTheme="minorHAnsi" w:eastAsiaTheme="minorEastAsia" w:hAnsiTheme="minorHAnsi"/>
          <w:noProof/>
          <w:sz w:val="22"/>
        </w:rPr>
      </w:pPr>
      <w:hyperlink w:anchor="_Toc121095106" w:history="1">
        <w:r w:rsidR="00B34D67" w:rsidRPr="00C25DC5">
          <w:rPr>
            <w:rStyle w:val="Hyperlink"/>
            <w:b/>
            <w:bCs/>
            <w:noProof/>
          </w:rPr>
          <w:t xml:space="preserve">Figure 1.11: </w:t>
        </w:r>
        <w:r w:rsidR="00B34D67" w:rsidRPr="00C25DC5">
          <w:rPr>
            <w:rStyle w:val="Hyperlink"/>
            <w:noProof/>
          </w:rPr>
          <w:t>Arbitrary line through the blind validation well (well 6) showing the PNN neutron porosity volume prediction result.</w:t>
        </w:r>
        <w:r w:rsidR="00B34D67">
          <w:rPr>
            <w:noProof/>
            <w:webHidden/>
          </w:rPr>
          <w:tab/>
        </w:r>
        <w:r w:rsidR="00B34D67">
          <w:rPr>
            <w:noProof/>
            <w:webHidden/>
          </w:rPr>
          <w:fldChar w:fldCharType="begin"/>
        </w:r>
        <w:r w:rsidR="00B34D67">
          <w:rPr>
            <w:noProof/>
            <w:webHidden/>
          </w:rPr>
          <w:instrText xml:space="preserve"> PAGEREF _Toc121095106 \h </w:instrText>
        </w:r>
        <w:r w:rsidR="00B34D67">
          <w:rPr>
            <w:noProof/>
            <w:webHidden/>
          </w:rPr>
        </w:r>
        <w:r w:rsidR="00B34D67">
          <w:rPr>
            <w:noProof/>
            <w:webHidden/>
          </w:rPr>
          <w:fldChar w:fldCharType="separate"/>
        </w:r>
        <w:r w:rsidR="00B52D1E">
          <w:rPr>
            <w:noProof/>
            <w:webHidden/>
          </w:rPr>
          <w:t>41</w:t>
        </w:r>
        <w:r w:rsidR="00B34D67">
          <w:rPr>
            <w:noProof/>
            <w:webHidden/>
          </w:rPr>
          <w:fldChar w:fldCharType="end"/>
        </w:r>
      </w:hyperlink>
    </w:p>
    <w:p w14:paraId="0F07E5FC" w14:textId="1E6787B0" w:rsidR="00B34D67" w:rsidRDefault="00000000">
      <w:pPr>
        <w:pStyle w:val="TableofFigures"/>
        <w:tabs>
          <w:tab w:val="right" w:leader="dot" w:pos="9350"/>
        </w:tabs>
        <w:rPr>
          <w:rFonts w:asciiTheme="minorHAnsi" w:eastAsiaTheme="minorEastAsia" w:hAnsiTheme="minorHAnsi"/>
          <w:noProof/>
          <w:sz w:val="22"/>
        </w:rPr>
      </w:pPr>
      <w:hyperlink w:anchor="_Toc121095107" w:history="1">
        <w:r w:rsidR="00B34D67" w:rsidRPr="00C25DC5">
          <w:rPr>
            <w:rStyle w:val="Hyperlink"/>
            <w:b/>
            <w:bCs/>
            <w:noProof/>
          </w:rPr>
          <w:t xml:space="preserve">Figure 1.12: </w:t>
        </w:r>
        <w:r w:rsidR="00B34D67" w:rsidRPr="00C25DC5">
          <w:rPr>
            <w:rStyle w:val="Hyperlink"/>
            <w:noProof/>
          </w:rPr>
          <w:t>Selection of the optimum number of attributes for the PNN total porosity volume prediction. The training and validation error curves indicate that using three attributes yields the lowest validation error.</w:t>
        </w:r>
        <w:r w:rsidR="00B34D67">
          <w:rPr>
            <w:noProof/>
            <w:webHidden/>
          </w:rPr>
          <w:tab/>
        </w:r>
        <w:r w:rsidR="00B34D67">
          <w:rPr>
            <w:noProof/>
            <w:webHidden/>
          </w:rPr>
          <w:fldChar w:fldCharType="begin"/>
        </w:r>
        <w:r w:rsidR="00B34D67">
          <w:rPr>
            <w:noProof/>
            <w:webHidden/>
          </w:rPr>
          <w:instrText xml:space="preserve"> PAGEREF _Toc121095107 \h </w:instrText>
        </w:r>
        <w:r w:rsidR="00B34D67">
          <w:rPr>
            <w:noProof/>
            <w:webHidden/>
          </w:rPr>
        </w:r>
        <w:r w:rsidR="00B34D67">
          <w:rPr>
            <w:noProof/>
            <w:webHidden/>
          </w:rPr>
          <w:fldChar w:fldCharType="separate"/>
        </w:r>
        <w:r w:rsidR="00B52D1E">
          <w:rPr>
            <w:noProof/>
            <w:webHidden/>
          </w:rPr>
          <w:t>42</w:t>
        </w:r>
        <w:r w:rsidR="00B34D67">
          <w:rPr>
            <w:noProof/>
            <w:webHidden/>
          </w:rPr>
          <w:fldChar w:fldCharType="end"/>
        </w:r>
      </w:hyperlink>
    </w:p>
    <w:p w14:paraId="3D0EB450" w14:textId="4FA0F150" w:rsidR="00B34D67" w:rsidRDefault="00000000">
      <w:pPr>
        <w:pStyle w:val="TableofFigures"/>
        <w:tabs>
          <w:tab w:val="right" w:leader="dot" w:pos="9350"/>
        </w:tabs>
        <w:rPr>
          <w:rFonts w:asciiTheme="minorHAnsi" w:eastAsiaTheme="minorEastAsia" w:hAnsiTheme="minorHAnsi"/>
          <w:noProof/>
          <w:sz w:val="22"/>
        </w:rPr>
      </w:pPr>
      <w:hyperlink w:anchor="_Toc121095108" w:history="1">
        <w:r w:rsidR="00B34D67" w:rsidRPr="00C25DC5">
          <w:rPr>
            <w:rStyle w:val="Hyperlink"/>
            <w:b/>
            <w:bCs/>
            <w:noProof/>
          </w:rPr>
          <w:t>Figure 1.13:</w:t>
        </w:r>
        <w:r w:rsidR="00B34D67" w:rsidRPr="00C25DC5">
          <w:rPr>
            <w:rStyle w:val="Hyperlink"/>
            <w:noProof/>
          </w:rPr>
          <w:t xml:space="preserve"> Validation results of the PNN total porosity prediction volume. (Left) A crossplot between the actual and predicted total porosity values shows an 81% correlation. (Right) Blind well validation of the PNN results.</w:t>
        </w:r>
        <w:r w:rsidR="00B34D67">
          <w:rPr>
            <w:noProof/>
            <w:webHidden/>
          </w:rPr>
          <w:tab/>
        </w:r>
        <w:r w:rsidR="00B34D67">
          <w:rPr>
            <w:noProof/>
            <w:webHidden/>
          </w:rPr>
          <w:fldChar w:fldCharType="begin"/>
        </w:r>
        <w:r w:rsidR="00B34D67">
          <w:rPr>
            <w:noProof/>
            <w:webHidden/>
          </w:rPr>
          <w:instrText xml:space="preserve"> PAGEREF _Toc121095108 \h </w:instrText>
        </w:r>
        <w:r w:rsidR="00B34D67">
          <w:rPr>
            <w:noProof/>
            <w:webHidden/>
          </w:rPr>
        </w:r>
        <w:r w:rsidR="00B34D67">
          <w:rPr>
            <w:noProof/>
            <w:webHidden/>
          </w:rPr>
          <w:fldChar w:fldCharType="separate"/>
        </w:r>
        <w:r w:rsidR="00B52D1E">
          <w:rPr>
            <w:noProof/>
            <w:webHidden/>
          </w:rPr>
          <w:t>43</w:t>
        </w:r>
        <w:r w:rsidR="00B34D67">
          <w:rPr>
            <w:noProof/>
            <w:webHidden/>
          </w:rPr>
          <w:fldChar w:fldCharType="end"/>
        </w:r>
      </w:hyperlink>
    </w:p>
    <w:p w14:paraId="78282AA4" w14:textId="4982A3BF" w:rsidR="00B34D67" w:rsidRDefault="00000000">
      <w:pPr>
        <w:pStyle w:val="TableofFigures"/>
        <w:tabs>
          <w:tab w:val="right" w:leader="dot" w:pos="9350"/>
        </w:tabs>
        <w:rPr>
          <w:rFonts w:asciiTheme="minorHAnsi" w:eastAsiaTheme="minorEastAsia" w:hAnsiTheme="minorHAnsi"/>
          <w:noProof/>
          <w:sz w:val="22"/>
        </w:rPr>
      </w:pPr>
      <w:hyperlink w:anchor="_Toc121095109" w:history="1">
        <w:r w:rsidR="00B34D67" w:rsidRPr="00C25DC5">
          <w:rPr>
            <w:rStyle w:val="Hyperlink"/>
            <w:b/>
            <w:bCs/>
            <w:noProof/>
          </w:rPr>
          <w:t xml:space="preserve">Figure 1.14: </w:t>
        </w:r>
        <w:r w:rsidR="00B34D67" w:rsidRPr="00C25DC5">
          <w:rPr>
            <w:rStyle w:val="Hyperlink"/>
            <w:noProof/>
          </w:rPr>
          <w:t>The arbitrary line through the blind validation well (well 6) showing the PNN total porosity volume prediction results.</w:t>
        </w:r>
        <w:r w:rsidR="00B34D67">
          <w:rPr>
            <w:noProof/>
            <w:webHidden/>
          </w:rPr>
          <w:tab/>
        </w:r>
        <w:r w:rsidR="00B34D67">
          <w:rPr>
            <w:noProof/>
            <w:webHidden/>
          </w:rPr>
          <w:fldChar w:fldCharType="begin"/>
        </w:r>
        <w:r w:rsidR="00B34D67">
          <w:rPr>
            <w:noProof/>
            <w:webHidden/>
          </w:rPr>
          <w:instrText xml:space="preserve"> PAGEREF _Toc121095109 \h </w:instrText>
        </w:r>
        <w:r w:rsidR="00B34D67">
          <w:rPr>
            <w:noProof/>
            <w:webHidden/>
          </w:rPr>
        </w:r>
        <w:r w:rsidR="00B34D67">
          <w:rPr>
            <w:noProof/>
            <w:webHidden/>
          </w:rPr>
          <w:fldChar w:fldCharType="separate"/>
        </w:r>
        <w:r w:rsidR="00B52D1E">
          <w:rPr>
            <w:noProof/>
            <w:webHidden/>
          </w:rPr>
          <w:t>44</w:t>
        </w:r>
        <w:r w:rsidR="00B34D67">
          <w:rPr>
            <w:noProof/>
            <w:webHidden/>
          </w:rPr>
          <w:fldChar w:fldCharType="end"/>
        </w:r>
      </w:hyperlink>
    </w:p>
    <w:p w14:paraId="37F8BDA8" w14:textId="65DD8B92" w:rsidR="00B34D67" w:rsidRDefault="00000000">
      <w:pPr>
        <w:pStyle w:val="TableofFigures"/>
        <w:tabs>
          <w:tab w:val="right" w:leader="dot" w:pos="9350"/>
        </w:tabs>
        <w:rPr>
          <w:rFonts w:asciiTheme="minorHAnsi" w:eastAsiaTheme="minorEastAsia" w:hAnsiTheme="minorHAnsi"/>
          <w:noProof/>
          <w:sz w:val="22"/>
        </w:rPr>
      </w:pPr>
      <w:hyperlink w:anchor="_Toc121095110" w:history="1">
        <w:r w:rsidR="00B34D67" w:rsidRPr="00C25DC5">
          <w:rPr>
            <w:rStyle w:val="Hyperlink"/>
            <w:b/>
            <w:bCs/>
            <w:noProof/>
          </w:rPr>
          <w:t>Figure 1.15:</w:t>
        </w:r>
        <w:r w:rsidR="00B34D67" w:rsidRPr="00C25DC5">
          <w:rPr>
            <w:rStyle w:val="Hyperlink"/>
            <w:noProof/>
          </w:rPr>
          <w:t xml:space="preserve"> Supervised Bayesian classification results at an arbitrary line through well 6. The output volumes are the probabilities of each lithology type and the most probable lithology volume: (a) probability of limestone, (b) probability of dolomite, (c) probability of shale, and (d) the most probable lithology volume.</w:t>
        </w:r>
        <w:r w:rsidR="00B34D67">
          <w:rPr>
            <w:noProof/>
            <w:webHidden/>
          </w:rPr>
          <w:tab/>
        </w:r>
        <w:r w:rsidR="00B34D67">
          <w:rPr>
            <w:noProof/>
            <w:webHidden/>
          </w:rPr>
          <w:fldChar w:fldCharType="begin"/>
        </w:r>
        <w:r w:rsidR="00B34D67">
          <w:rPr>
            <w:noProof/>
            <w:webHidden/>
          </w:rPr>
          <w:instrText xml:space="preserve"> PAGEREF _Toc121095110 \h </w:instrText>
        </w:r>
        <w:r w:rsidR="00B34D67">
          <w:rPr>
            <w:noProof/>
            <w:webHidden/>
          </w:rPr>
        </w:r>
        <w:r w:rsidR="00B34D67">
          <w:rPr>
            <w:noProof/>
            <w:webHidden/>
          </w:rPr>
          <w:fldChar w:fldCharType="separate"/>
        </w:r>
        <w:r w:rsidR="00B52D1E">
          <w:rPr>
            <w:noProof/>
            <w:webHidden/>
          </w:rPr>
          <w:t>45</w:t>
        </w:r>
        <w:r w:rsidR="00B34D67">
          <w:rPr>
            <w:noProof/>
            <w:webHidden/>
          </w:rPr>
          <w:fldChar w:fldCharType="end"/>
        </w:r>
      </w:hyperlink>
    </w:p>
    <w:p w14:paraId="5C90950B" w14:textId="617FD5CD" w:rsidR="00B34D67" w:rsidRDefault="00000000">
      <w:pPr>
        <w:pStyle w:val="TableofFigures"/>
        <w:tabs>
          <w:tab w:val="right" w:leader="dot" w:pos="9350"/>
        </w:tabs>
        <w:rPr>
          <w:rFonts w:asciiTheme="minorHAnsi" w:eastAsiaTheme="minorEastAsia" w:hAnsiTheme="minorHAnsi"/>
          <w:noProof/>
          <w:sz w:val="22"/>
        </w:rPr>
      </w:pPr>
      <w:hyperlink w:anchor="_Toc121095111" w:history="1">
        <w:r w:rsidR="00B34D67" w:rsidRPr="00C25DC5">
          <w:rPr>
            <w:rStyle w:val="Hyperlink"/>
            <w:b/>
            <w:bCs/>
            <w:noProof/>
          </w:rPr>
          <w:t>Figure 1.16:</w:t>
        </w:r>
        <w:r w:rsidR="00B34D67" w:rsidRPr="00C25DC5">
          <w:rPr>
            <w:rStyle w:val="Hyperlink"/>
            <w:noProof/>
          </w:rPr>
          <w:t xml:space="preserve"> Lower to Middle Permian sections through arbitrary lines from the most probable lithology and PNN predicted total porosity volumes. The arbitrary line showing the most probable lithology co-rendered with the seismic amplitude values. Note that the platform interior and shelf </w:t>
        </w:r>
        <w:r w:rsidR="00B34D67" w:rsidRPr="00C25DC5">
          <w:rPr>
            <w:rStyle w:val="Hyperlink"/>
            <w:noProof/>
          </w:rPr>
          <w:lastRenderedPageBreak/>
          <w:t>is dominantly dolomite, whereas the slope is limestone (Upper image). The predicted total porosity extracted on the same arbitrary line showing increasing porosity from shelf to slope (Lower Image).</w:t>
        </w:r>
        <w:r w:rsidR="00B34D67">
          <w:rPr>
            <w:noProof/>
            <w:webHidden/>
          </w:rPr>
          <w:tab/>
        </w:r>
        <w:r w:rsidR="00B34D67">
          <w:rPr>
            <w:noProof/>
            <w:webHidden/>
          </w:rPr>
          <w:fldChar w:fldCharType="begin"/>
        </w:r>
        <w:r w:rsidR="00B34D67">
          <w:rPr>
            <w:noProof/>
            <w:webHidden/>
          </w:rPr>
          <w:instrText xml:space="preserve"> PAGEREF _Toc121095111 \h </w:instrText>
        </w:r>
        <w:r w:rsidR="00B34D67">
          <w:rPr>
            <w:noProof/>
            <w:webHidden/>
          </w:rPr>
        </w:r>
        <w:r w:rsidR="00B34D67">
          <w:rPr>
            <w:noProof/>
            <w:webHidden/>
          </w:rPr>
          <w:fldChar w:fldCharType="separate"/>
        </w:r>
        <w:r w:rsidR="00B52D1E">
          <w:rPr>
            <w:noProof/>
            <w:webHidden/>
          </w:rPr>
          <w:t>46</w:t>
        </w:r>
        <w:r w:rsidR="00B34D67">
          <w:rPr>
            <w:noProof/>
            <w:webHidden/>
          </w:rPr>
          <w:fldChar w:fldCharType="end"/>
        </w:r>
      </w:hyperlink>
    </w:p>
    <w:p w14:paraId="31B2BDFC" w14:textId="4BB384AA" w:rsidR="00B34D67" w:rsidRDefault="00000000">
      <w:pPr>
        <w:pStyle w:val="TableofFigures"/>
        <w:tabs>
          <w:tab w:val="right" w:leader="dot" w:pos="9350"/>
        </w:tabs>
        <w:rPr>
          <w:rFonts w:asciiTheme="minorHAnsi" w:eastAsiaTheme="minorEastAsia" w:hAnsiTheme="minorHAnsi"/>
          <w:noProof/>
          <w:sz w:val="22"/>
        </w:rPr>
      </w:pPr>
      <w:hyperlink w:anchor="_Toc121095112" w:history="1">
        <w:r w:rsidR="00B34D67" w:rsidRPr="00C25DC5">
          <w:rPr>
            <w:rStyle w:val="Hyperlink"/>
            <w:b/>
            <w:bCs/>
            <w:noProof/>
          </w:rPr>
          <w:t xml:space="preserve">Figure 1.17: </w:t>
        </w:r>
        <w:r w:rsidR="00B34D67" w:rsidRPr="00C25DC5">
          <w:rPr>
            <w:rStyle w:val="Hyperlink"/>
            <w:noProof/>
          </w:rPr>
          <w:t>Supervised Bayesian classification and PNN total porosity prediction results extracted on the SS3 surface. Note (a) the increasing limestone probability from the shelf to slope. (b) Extracted dolomite probability values show the opposite trend where the shelf top has a high probability of dolomite, decreasing distally to the down-slope direction. (c) The most probable lithology surface shows that the dominant lithology of the shelf is dolomite, whereas the slope is mainly composed of limestone. (d) Extracted PNN total porosity values showing the porosity increase from the shelf to the slope.</w:t>
        </w:r>
        <w:r w:rsidR="00B34D67">
          <w:rPr>
            <w:noProof/>
            <w:webHidden/>
          </w:rPr>
          <w:tab/>
        </w:r>
        <w:r w:rsidR="00B34D67">
          <w:rPr>
            <w:noProof/>
            <w:webHidden/>
          </w:rPr>
          <w:fldChar w:fldCharType="begin"/>
        </w:r>
        <w:r w:rsidR="00B34D67">
          <w:rPr>
            <w:noProof/>
            <w:webHidden/>
          </w:rPr>
          <w:instrText xml:space="preserve"> PAGEREF _Toc121095112 \h </w:instrText>
        </w:r>
        <w:r w:rsidR="00B34D67">
          <w:rPr>
            <w:noProof/>
            <w:webHidden/>
          </w:rPr>
        </w:r>
        <w:r w:rsidR="00B34D67">
          <w:rPr>
            <w:noProof/>
            <w:webHidden/>
          </w:rPr>
          <w:fldChar w:fldCharType="separate"/>
        </w:r>
        <w:r w:rsidR="00B52D1E">
          <w:rPr>
            <w:noProof/>
            <w:webHidden/>
          </w:rPr>
          <w:t>47</w:t>
        </w:r>
        <w:r w:rsidR="00B34D67">
          <w:rPr>
            <w:noProof/>
            <w:webHidden/>
          </w:rPr>
          <w:fldChar w:fldCharType="end"/>
        </w:r>
      </w:hyperlink>
    </w:p>
    <w:p w14:paraId="312F311C" w14:textId="1BAEE551" w:rsidR="00B34D67" w:rsidRDefault="00000000">
      <w:pPr>
        <w:pStyle w:val="TableofFigures"/>
        <w:tabs>
          <w:tab w:val="right" w:leader="dot" w:pos="9350"/>
        </w:tabs>
        <w:rPr>
          <w:rFonts w:asciiTheme="minorHAnsi" w:eastAsiaTheme="minorEastAsia" w:hAnsiTheme="minorHAnsi"/>
          <w:noProof/>
          <w:sz w:val="22"/>
        </w:rPr>
      </w:pPr>
      <w:hyperlink w:anchor="_Toc121095113" w:history="1">
        <w:r w:rsidR="00B34D67" w:rsidRPr="00C25DC5">
          <w:rPr>
            <w:rStyle w:val="Hyperlink"/>
            <w:b/>
            <w:bCs/>
            <w:noProof/>
          </w:rPr>
          <w:t xml:space="preserve">Figure 1.18: </w:t>
        </w:r>
        <w:r w:rsidR="00B34D67" w:rsidRPr="00C25DC5">
          <w:rPr>
            <w:rStyle w:val="Hyperlink"/>
            <w:noProof/>
          </w:rPr>
          <w:t>A conceptual model of reflux dolomitization. Note that the platform interior is mainly replaced with nonporous dolomite due to the cementation proximal to the brine source, whereas the porosity increases basinward with a decreasing degree of dolomitization (modified after Jones and Xiao, 2005; Saller, 2013).</w:t>
        </w:r>
        <w:r w:rsidR="00B34D67">
          <w:rPr>
            <w:noProof/>
            <w:webHidden/>
          </w:rPr>
          <w:tab/>
        </w:r>
        <w:r w:rsidR="00B34D67">
          <w:rPr>
            <w:noProof/>
            <w:webHidden/>
          </w:rPr>
          <w:fldChar w:fldCharType="begin"/>
        </w:r>
        <w:r w:rsidR="00B34D67">
          <w:rPr>
            <w:noProof/>
            <w:webHidden/>
          </w:rPr>
          <w:instrText xml:space="preserve"> PAGEREF _Toc121095113 \h </w:instrText>
        </w:r>
        <w:r w:rsidR="00B34D67">
          <w:rPr>
            <w:noProof/>
            <w:webHidden/>
          </w:rPr>
        </w:r>
        <w:r w:rsidR="00B34D67">
          <w:rPr>
            <w:noProof/>
            <w:webHidden/>
          </w:rPr>
          <w:fldChar w:fldCharType="separate"/>
        </w:r>
        <w:r w:rsidR="00B52D1E">
          <w:rPr>
            <w:noProof/>
            <w:webHidden/>
          </w:rPr>
          <w:t>48</w:t>
        </w:r>
        <w:r w:rsidR="00B34D67">
          <w:rPr>
            <w:noProof/>
            <w:webHidden/>
          </w:rPr>
          <w:fldChar w:fldCharType="end"/>
        </w:r>
      </w:hyperlink>
    </w:p>
    <w:p w14:paraId="7A7BBA5D" w14:textId="5B9AE0B9" w:rsidR="00B34D67" w:rsidRDefault="00000000">
      <w:pPr>
        <w:pStyle w:val="TableofFigures"/>
        <w:tabs>
          <w:tab w:val="right" w:leader="dot" w:pos="9350"/>
        </w:tabs>
        <w:rPr>
          <w:rFonts w:asciiTheme="minorHAnsi" w:eastAsiaTheme="minorEastAsia" w:hAnsiTheme="minorHAnsi"/>
          <w:noProof/>
          <w:sz w:val="22"/>
        </w:rPr>
      </w:pPr>
      <w:hyperlink w:anchor="_Toc121095114" w:history="1">
        <w:r w:rsidR="00B34D67" w:rsidRPr="00C25DC5">
          <w:rPr>
            <w:rStyle w:val="Hyperlink"/>
            <w:b/>
            <w:bCs/>
            <w:noProof/>
          </w:rPr>
          <w:t>Figure 2.2:</w:t>
        </w:r>
        <w:r w:rsidR="00B34D67" w:rsidRPr="00C25DC5">
          <w:rPr>
            <w:rStyle w:val="Hyperlink"/>
            <w:noProof/>
          </w:rPr>
          <w:t xml:space="preserve"> Regional map showing the subsurface tectonic features of Kansas. The Wellington field is located in Sumner County, Kansas (Red square, Modified after Dutton, 1984; Campbell et al., 1988; McConnell, 1989; Northcutt and Campbell, 1995; Johnson and Luza, 2008; LoCriccho, 2012).</w:t>
        </w:r>
        <w:r w:rsidR="00B34D67">
          <w:rPr>
            <w:noProof/>
            <w:webHidden/>
          </w:rPr>
          <w:tab/>
        </w:r>
        <w:r w:rsidR="00B34D67">
          <w:rPr>
            <w:noProof/>
            <w:webHidden/>
          </w:rPr>
          <w:fldChar w:fldCharType="begin"/>
        </w:r>
        <w:r w:rsidR="00B34D67">
          <w:rPr>
            <w:noProof/>
            <w:webHidden/>
          </w:rPr>
          <w:instrText xml:space="preserve"> PAGEREF _Toc121095114 \h </w:instrText>
        </w:r>
        <w:r w:rsidR="00B34D67">
          <w:rPr>
            <w:noProof/>
            <w:webHidden/>
          </w:rPr>
        </w:r>
        <w:r w:rsidR="00B34D67">
          <w:rPr>
            <w:noProof/>
            <w:webHidden/>
          </w:rPr>
          <w:fldChar w:fldCharType="separate"/>
        </w:r>
        <w:r w:rsidR="00B52D1E">
          <w:rPr>
            <w:noProof/>
            <w:webHidden/>
          </w:rPr>
          <w:t>89</w:t>
        </w:r>
        <w:r w:rsidR="00B34D67">
          <w:rPr>
            <w:noProof/>
            <w:webHidden/>
          </w:rPr>
          <w:fldChar w:fldCharType="end"/>
        </w:r>
      </w:hyperlink>
    </w:p>
    <w:p w14:paraId="77A96EA7" w14:textId="657D83AA" w:rsidR="00B34D67" w:rsidRDefault="00000000">
      <w:pPr>
        <w:pStyle w:val="TableofFigures"/>
        <w:tabs>
          <w:tab w:val="right" w:leader="dot" w:pos="9350"/>
        </w:tabs>
        <w:rPr>
          <w:rFonts w:asciiTheme="minorHAnsi" w:eastAsiaTheme="minorEastAsia" w:hAnsiTheme="minorHAnsi"/>
          <w:noProof/>
          <w:sz w:val="22"/>
        </w:rPr>
      </w:pPr>
      <w:hyperlink w:anchor="_Toc121095115" w:history="1">
        <w:r w:rsidR="00B34D67" w:rsidRPr="00C25DC5">
          <w:rPr>
            <w:rStyle w:val="Hyperlink"/>
            <w:b/>
            <w:bCs/>
            <w:noProof/>
          </w:rPr>
          <w:t>Figure 2.3:</w:t>
        </w:r>
        <w:r w:rsidR="00B34D67" w:rsidRPr="00C25DC5">
          <w:rPr>
            <w:rStyle w:val="Hyperlink"/>
            <w:noProof/>
          </w:rPr>
          <w:t xml:space="preserve"> Detailed base map of the study area showing the 3D seismic survey and the wells used in the study. A-A’ is the approximate location of the arbitrary line shown in figures 3, 12, and 13. B-B’ is the arbitrary line shown in figure 11.</w:t>
        </w:r>
        <w:r w:rsidR="00B34D67">
          <w:rPr>
            <w:noProof/>
            <w:webHidden/>
          </w:rPr>
          <w:tab/>
        </w:r>
        <w:r w:rsidR="00B34D67">
          <w:rPr>
            <w:noProof/>
            <w:webHidden/>
          </w:rPr>
          <w:fldChar w:fldCharType="begin"/>
        </w:r>
        <w:r w:rsidR="00B34D67">
          <w:rPr>
            <w:noProof/>
            <w:webHidden/>
          </w:rPr>
          <w:instrText xml:space="preserve"> PAGEREF _Toc121095115 \h </w:instrText>
        </w:r>
        <w:r w:rsidR="00B34D67">
          <w:rPr>
            <w:noProof/>
            <w:webHidden/>
          </w:rPr>
        </w:r>
        <w:r w:rsidR="00B34D67">
          <w:rPr>
            <w:noProof/>
            <w:webHidden/>
          </w:rPr>
          <w:fldChar w:fldCharType="separate"/>
        </w:r>
        <w:r w:rsidR="00B52D1E">
          <w:rPr>
            <w:noProof/>
            <w:webHidden/>
          </w:rPr>
          <w:t>90</w:t>
        </w:r>
        <w:r w:rsidR="00B34D67">
          <w:rPr>
            <w:noProof/>
            <w:webHidden/>
          </w:rPr>
          <w:fldChar w:fldCharType="end"/>
        </w:r>
      </w:hyperlink>
    </w:p>
    <w:p w14:paraId="3A06FA06" w14:textId="40372F26" w:rsidR="00B34D67" w:rsidRDefault="00000000">
      <w:pPr>
        <w:pStyle w:val="TableofFigures"/>
        <w:tabs>
          <w:tab w:val="right" w:leader="dot" w:pos="9350"/>
        </w:tabs>
        <w:rPr>
          <w:rFonts w:asciiTheme="minorHAnsi" w:eastAsiaTheme="minorEastAsia" w:hAnsiTheme="minorHAnsi"/>
          <w:noProof/>
          <w:sz w:val="22"/>
        </w:rPr>
      </w:pPr>
      <w:hyperlink w:anchor="_Toc121095116" w:history="1">
        <w:r w:rsidR="00B34D67" w:rsidRPr="00C25DC5">
          <w:rPr>
            <w:rStyle w:val="Hyperlink"/>
            <w:b/>
            <w:bCs/>
            <w:noProof/>
          </w:rPr>
          <w:t>Figure 2.4:</w:t>
        </w:r>
        <w:r w:rsidR="00B34D67" w:rsidRPr="00C25DC5">
          <w:rPr>
            <w:rStyle w:val="Hyperlink"/>
            <w:noProof/>
          </w:rPr>
          <w:t xml:space="preserve"> Arbitrary seismic line B-B’ through the Berexco Wellington KGS #1-32 and Berexco Wellington KGS #1-28 showing the seismic survey used in the interpretation of the key horizons in the study interval (upper image). See Figure 2 for the location of the seismic line and wells. Pre-stack angle gathers were used in the study (lower image).</w:t>
        </w:r>
        <w:r w:rsidR="00B34D67">
          <w:rPr>
            <w:noProof/>
            <w:webHidden/>
          </w:rPr>
          <w:tab/>
        </w:r>
        <w:r w:rsidR="00B34D67">
          <w:rPr>
            <w:noProof/>
            <w:webHidden/>
          </w:rPr>
          <w:fldChar w:fldCharType="begin"/>
        </w:r>
        <w:r w:rsidR="00B34D67">
          <w:rPr>
            <w:noProof/>
            <w:webHidden/>
          </w:rPr>
          <w:instrText xml:space="preserve"> PAGEREF _Toc121095116 \h </w:instrText>
        </w:r>
        <w:r w:rsidR="00B34D67">
          <w:rPr>
            <w:noProof/>
            <w:webHidden/>
          </w:rPr>
        </w:r>
        <w:r w:rsidR="00B34D67">
          <w:rPr>
            <w:noProof/>
            <w:webHidden/>
          </w:rPr>
          <w:fldChar w:fldCharType="separate"/>
        </w:r>
        <w:r w:rsidR="00B52D1E">
          <w:rPr>
            <w:noProof/>
            <w:webHidden/>
          </w:rPr>
          <w:t>91</w:t>
        </w:r>
        <w:r w:rsidR="00B34D67">
          <w:rPr>
            <w:noProof/>
            <w:webHidden/>
          </w:rPr>
          <w:fldChar w:fldCharType="end"/>
        </w:r>
      </w:hyperlink>
    </w:p>
    <w:p w14:paraId="38B28DAC" w14:textId="6B4034F9" w:rsidR="00B34D67" w:rsidRDefault="00000000">
      <w:pPr>
        <w:pStyle w:val="TableofFigures"/>
        <w:tabs>
          <w:tab w:val="right" w:leader="dot" w:pos="9350"/>
        </w:tabs>
        <w:rPr>
          <w:rFonts w:asciiTheme="minorHAnsi" w:eastAsiaTheme="minorEastAsia" w:hAnsiTheme="minorHAnsi"/>
          <w:noProof/>
          <w:sz w:val="22"/>
        </w:rPr>
      </w:pPr>
      <w:hyperlink w:anchor="_Toc121095117" w:history="1">
        <w:r w:rsidR="00B34D67" w:rsidRPr="00C25DC5">
          <w:rPr>
            <w:rStyle w:val="Hyperlink"/>
            <w:b/>
            <w:bCs/>
            <w:noProof/>
          </w:rPr>
          <w:t xml:space="preserve">Figure 2.5: </w:t>
        </w:r>
        <w:r w:rsidR="00B34D67" w:rsidRPr="00C25DC5">
          <w:rPr>
            <w:rStyle w:val="Hyperlink"/>
            <w:noProof/>
          </w:rPr>
          <w:t>Generalized Workflow showing the three main steps followed in this study. These steps are simultaneous Pre-stack inversion for P and S Impedance volumes (Left), Supervised Random Forest Classifier (Middle), Petrophysics-based rock typing based on Flow Zone Indicator (Right).</w:t>
        </w:r>
        <w:r w:rsidR="00B34D67">
          <w:rPr>
            <w:noProof/>
            <w:webHidden/>
          </w:rPr>
          <w:tab/>
        </w:r>
        <w:r w:rsidR="00B34D67">
          <w:rPr>
            <w:noProof/>
            <w:webHidden/>
          </w:rPr>
          <w:fldChar w:fldCharType="begin"/>
        </w:r>
        <w:r w:rsidR="00B34D67">
          <w:rPr>
            <w:noProof/>
            <w:webHidden/>
          </w:rPr>
          <w:instrText xml:space="preserve"> PAGEREF _Toc121095117 \h </w:instrText>
        </w:r>
        <w:r w:rsidR="00B34D67">
          <w:rPr>
            <w:noProof/>
            <w:webHidden/>
          </w:rPr>
        </w:r>
        <w:r w:rsidR="00B34D67">
          <w:rPr>
            <w:noProof/>
            <w:webHidden/>
          </w:rPr>
          <w:fldChar w:fldCharType="separate"/>
        </w:r>
        <w:r w:rsidR="00B52D1E">
          <w:rPr>
            <w:noProof/>
            <w:webHidden/>
          </w:rPr>
          <w:t>92</w:t>
        </w:r>
        <w:r w:rsidR="00B34D67">
          <w:rPr>
            <w:noProof/>
            <w:webHidden/>
          </w:rPr>
          <w:fldChar w:fldCharType="end"/>
        </w:r>
      </w:hyperlink>
    </w:p>
    <w:p w14:paraId="34F1E2FD" w14:textId="5AD817A0" w:rsidR="00B34D67" w:rsidRDefault="00000000">
      <w:pPr>
        <w:pStyle w:val="TableofFigures"/>
        <w:tabs>
          <w:tab w:val="right" w:leader="dot" w:pos="9350"/>
        </w:tabs>
        <w:rPr>
          <w:rFonts w:asciiTheme="minorHAnsi" w:eastAsiaTheme="minorEastAsia" w:hAnsiTheme="minorHAnsi"/>
          <w:noProof/>
          <w:sz w:val="22"/>
        </w:rPr>
      </w:pPr>
      <w:hyperlink w:anchor="_Toc121095118" w:history="1">
        <w:r w:rsidR="00B34D67" w:rsidRPr="00C25DC5">
          <w:rPr>
            <w:rStyle w:val="Hyperlink"/>
            <w:b/>
            <w:bCs/>
            <w:noProof/>
          </w:rPr>
          <w:t>Figure 2.6:</w:t>
        </w:r>
        <w:r w:rsidR="00B34D67" w:rsidRPr="00C25DC5">
          <w:rPr>
            <w:rStyle w:val="Hyperlink"/>
            <w:noProof/>
          </w:rPr>
          <w:t xml:space="preserve"> Generalized stratigraphic column of the study interval and Berexco Wellington KGS #1-32 type log. Gamma-ray (GR), deep resistivity (RESD), neutron porosity (NPHI), and density porosity (PHID) are shown. Gray bars represent cored intervals.</w:t>
        </w:r>
        <w:r w:rsidR="00B34D67">
          <w:rPr>
            <w:noProof/>
            <w:webHidden/>
          </w:rPr>
          <w:tab/>
        </w:r>
        <w:r w:rsidR="00B34D67">
          <w:rPr>
            <w:noProof/>
            <w:webHidden/>
          </w:rPr>
          <w:fldChar w:fldCharType="begin"/>
        </w:r>
        <w:r w:rsidR="00B34D67">
          <w:rPr>
            <w:noProof/>
            <w:webHidden/>
          </w:rPr>
          <w:instrText xml:space="preserve"> PAGEREF _Toc121095118 \h </w:instrText>
        </w:r>
        <w:r w:rsidR="00B34D67">
          <w:rPr>
            <w:noProof/>
            <w:webHidden/>
          </w:rPr>
        </w:r>
        <w:r w:rsidR="00B34D67">
          <w:rPr>
            <w:noProof/>
            <w:webHidden/>
          </w:rPr>
          <w:fldChar w:fldCharType="separate"/>
        </w:r>
        <w:r w:rsidR="00B52D1E">
          <w:rPr>
            <w:noProof/>
            <w:webHidden/>
          </w:rPr>
          <w:t>93</w:t>
        </w:r>
        <w:r w:rsidR="00B34D67">
          <w:rPr>
            <w:noProof/>
            <w:webHidden/>
          </w:rPr>
          <w:fldChar w:fldCharType="end"/>
        </w:r>
      </w:hyperlink>
    </w:p>
    <w:p w14:paraId="3E9DE624" w14:textId="75B19E14" w:rsidR="00B34D67" w:rsidRDefault="00000000">
      <w:pPr>
        <w:pStyle w:val="TableofFigures"/>
        <w:tabs>
          <w:tab w:val="right" w:leader="dot" w:pos="9350"/>
        </w:tabs>
        <w:rPr>
          <w:rFonts w:asciiTheme="minorHAnsi" w:eastAsiaTheme="minorEastAsia" w:hAnsiTheme="minorHAnsi"/>
          <w:noProof/>
          <w:sz w:val="22"/>
        </w:rPr>
      </w:pPr>
      <w:hyperlink w:anchor="_Toc121095119" w:history="1">
        <w:r w:rsidR="00B34D67" w:rsidRPr="00C25DC5">
          <w:rPr>
            <w:rStyle w:val="Hyperlink"/>
            <w:b/>
            <w:bCs/>
            <w:noProof/>
          </w:rPr>
          <w:t>Figure 2.7:</w:t>
        </w:r>
        <w:r w:rsidR="00B34D67" w:rsidRPr="00C25DC5">
          <w:rPr>
            <w:rStyle w:val="Hyperlink"/>
            <w:noProof/>
          </w:rPr>
          <w:t xml:space="preserve"> (A) The Extracted statistical wavelet group used in the simultaneous pre-stack inversion process. (B) Seismic-to-well correlation for the Berexco Wellington KGS #1-32. Using the near-angle wavelet, the synthetic seismogram was adjusted to match the near-angle trace at the well location. A cross-correlation of 80% was achieved.</w:t>
        </w:r>
        <w:r w:rsidR="00B34D67">
          <w:rPr>
            <w:noProof/>
            <w:webHidden/>
          </w:rPr>
          <w:tab/>
        </w:r>
        <w:r w:rsidR="00B34D67">
          <w:rPr>
            <w:noProof/>
            <w:webHidden/>
          </w:rPr>
          <w:fldChar w:fldCharType="begin"/>
        </w:r>
        <w:r w:rsidR="00B34D67">
          <w:rPr>
            <w:noProof/>
            <w:webHidden/>
          </w:rPr>
          <w:instrText xml:space="preserve"> PAGEREF _Toc121095119 \h </w:instrText>
        </w:r>
        <w:r w:rsidR="00B34D67">
          <w:rPr>
            <w:noProof/>
            <w:webHidden/>
          </w:rPr>
        </w:r>
        <w:r w:rsidR="00B34D67">
          <w:rPr>
            <w:noProof/>
            <w:webHidden/>
          </w:rPr>
          <w:fldChar w:fldCharType="separate"/>
        </w:r>
        <w:r w:rsidR="00B52D1E">
          <w:rPr>
            <w:noProof/>
            <w:webHidden/>
          </w:rPr>
          <w:t>94</w:t>
        </w:r>
        <w:r w:rsidR="00B34D67">
          <w:rPr>
            <w:noProof/>
            <w:webHidden/>
          </w:rPr>
          <w:fldChar w:fldCharType="end"/>
        </w:r>
      </w:hyperlink>
    </w:p>
    <w:p w14:paraId="4A92D1F0" w14:textId="3B73634F" w:rsidR="00B34D67" w:rsidRDefault="00000000">
      <w:pPr>
        <w:pStyle w:val="TableofFigures"/>
        <w:tabs>
          <w:tab w:val="right" w:leader="dot" w:pos="9350"/>
        </w:tabs>
        <w:rPr>
          <w:rFonts w:asciiTheme="minorHAnsi" w:eastAsiaTheme="minorEastAsia" w:hAnsiTheme="minorHAnsi"/>
          <w:noProof/>
          <w:sz w:val="22"/>
        </w:rPr>
      </w:pPr>
      <w:hyperlink w:anchor="_Toc121095120" w:history="1">
        <w:r w:rsidR="00B34D67" w:rsidRPr="00C25DC5">
          <w:rPr>
            <w:rStyle w:val="Hyperlink"/>
            <w:b/>
            <w:bCs/>
            <w:noProof/>
          </w:rPr>
          <w:t>Figure 2.8:</w:t>
        </w:r>
        <w:r w:rsidR="00B34D67" w:rsidRPr="00C25DC5">
          <w:rPr>
            <w:rStyle w:val="Hyperlink"/>
            <w:noProof/>
          </w:rPr>
          <w:t xml:space="preserve"> Core photographs of the identified Arbuckle lithologies in the study area: (A) Peloidal dolomitic packstone, (B) Argillaceous dolomitic packstone, (C) Argillaceous micritic dolomite, (D) Crystalline dolomite, (E) Crystalline micritic dolomite, (F) Dolomitic breccia, (G) Dolomitic mudstone, (H) Fine-grained dolomitic packstone, (I) Medium-grained dolomitic wackestone.</w:t>
        </w:r>
        <w:r w:rsidR="00B34D67">
          <w:rPr>
            <w:noProof/>
            <w:webHidden/>
          </w:rPr>
          <w:tab/>
        </w:r>
        <w:r w:rsidR="00B34D67">
          <w:rPr>
            <w:noProof/>
            <w:webHidden/>
          </w:rPr>
          <w:fldChar w:fldCharType="begin"/>
        </w:r>
        <w:r w:rsidR="00B34D67">
          <w:rPr>
            <w:noProof/>
            <w:webHidden/>
          </w:rPr>
          <w:instrText xml:space="preserve"> PAGEREF _Toc121095120 \h </w:instrText>
        </w:r>
        <w:r w:rsidR="00B34D67">
          <w:rPr>
            <w:noProof/>
            <w:webHidden/>
          </w:rPr>
        </w:r>
        <w:r w:rsidR="00B34D67">
          <w:rPr>
            <w:noProof/>
            <w:webHidden/>
          </w:rPr>
          <w:fldChar w:fldCharType="separate"/>
        </w:r>
        <w:r w:rsidR="00B52D1E">
          <w:rPr>
            <w:noProof/>
            <w:webHidden/>
          </w:rPr>
          <w:t>95</w:t>
        </w:r>
        <w:r w:rsidR="00B34D67">
          <w:rPr>
            <w:noProof/>
            <w:webHidden/>
          </w:rPr>
          <w:fldChar w:fldCharType="end"/>
        </w:r>
      </w:hyperlink>
    </w:p>
    <w:p w14:paraId="7D8CBC60" w14:textId="58EEBF09" w:rsidR="00B34D67" w:rsidRDefault="00000000">
      <w:pPr>
        <w:pStyle w:val="TableofFigures"/>
        <w:tabs>
          <w:tab w:val="right" w:leader="dot" w:pos="9350"/>
        </w:tabs>
        <w:rPr>
          <w:rFonts w:asciiTheme="minorHAnsi" w:eastAsiaTheme="minorEastAsia" w:hAnsiTheme="minorHAnsi"/>
          <w:noProof/>
          <w:sz w:val="22"/>
        </w:rPr>
      </w:pPr>
      <w:hyperlink w:anchor="_Toc121095121" w:history="1">
        <w:r w:rsidR="00B34D67" w:rsidRPr="00C25DC5">
          <w:rPr>
            <w:rStyle w:val="Hyperlink"/>
            <w:b/>
            <w:bCs/>
            <w:noProof/>
          </w:rPr>
          <w:t>Figure 2.9:</w:t>
        </w:r>
        <w:r w:rsidR="00B34D67" w:rsidRPr="00C25DC5">
          <w:rPr>
            <w:rStyle w:val="Hyperlink"/>
            <w:noProof/>
          </w:rPr>
          <w:t xml:space="preserve"> Petrofacies definition for the Arbuckle group. The upper image shows the cross-plot of core-measured permeability versus porosity. The lower figure shows the defined petrofacies using the FZI method.</w:t>
        </w:r>
        <w:r w:rsidR="00B34D67">
          <w:rPr>
            <w:noProof/>
            <w:webHidden/>
          </w:rPr>
          <w:tab/>
        </w:r>
        <w:r w:rsidR="00B34D67">
          <w:rPr>
            <w:noProof/>
            <w:webHidden/>
          </w:rPr>
          <w:fldChar w:fldCharType="begin"/>
        </w:r>
        <w:r w:rsidR="00B34D67">
          <w:rPr>
            <w:noProof/>
            <w:webHidden/>
          </w:rPr>
          <w:instrText xml:space="preserve"> PAGEREF _Toc121095121 \h </w:instrText>
        </w:r>
        <w:r w:rsidR="00B34D67">
          <w:rPr>
            <w:noProof/>
            <w:webHidden/>
          </w:rPr>
        </w:r>
        <w:r w:rsidR="00B34D67">
          <w:rPr>
            <w:noProof/>
            <w:webHidden/>
          </w:rPr>
          <w:fldChar w:fldCharType="separate"/>
        </w:r>
        <w:r w:rsidR="00B52D1E">
          <w:rPr>
            <w:noProof/>
            <w:webHidden/>
          </w:rPr>
          <w:t>96</w:t>
        </w:r>
        <w:r w:rsidR="00B34D67">
          <w:rPr>
            <w:noProof/>
            <w:webHidden/>
          </w:rPr>
          <w:fldChar w:fldCharType="end"/>
        </w:r>
      </w:hyperlink>
    </w:p>
    <w:p w14:paraId="1B23A710" w14:textId="237BD3C0" w:rsidR="00B34D67" w:rsidRDefault="00000000">
      <w:pPr>
        <w:pStyle w:val="TableofFigures"/>
        <w:tabs>
          <w:tab w:val="right" w:leader="dot" w:pos="9350"/>
        </w:tabs>
        <w:rPr>
          <w:rFonts w:asciiTheme="minorHAnsi" w:eastAsiaTheme="minorEastAsia" w:hAnsiTheme="minorHAnsi"/>
          <w:noProof/>
          <w:sz w:val="22"/>
        </w:rPr>
      </w:pPr>
      <w:hyperlink w:anchor="_Toc121095122" w:history="1">
        <w:r w:rsidR="00B34D67" w:rsidRPr="00C25DC5">
          <w:rPr>
            <w:rStyle w:val="Hyperlink"/>
            <w:b/>
            <w:bCs/>
            <w:noProof/>
          </w:rPr>
          <w:t>Figure 2.10:</w:t>
        </w:r>
        <w:r w:rsidR="00B34D67" w:rsidRPr="00C25DC5">
          <w:rPr>
            <w:rStyle w:val="Hyperlink"/>
            <w:noProof/>
          </w:rPr>
          <w:t xml:space="preserve"> Core-defined petrofacies and the petrofacies classification from the ANN (right-most tracks) shown with a suite of well logs used in the ANN training (Gamma-ray (GR), photoelectric effect (PEF), deep resistivity (RESD), neutron porosity (NPHI) and density porosity (PHID), and P-wave sonic (DT)).</w:t>
        </w:r>
        <w:r w:rsidR="00B34D67">
          <w:rPr>
            <w:noProof/>
            <w:webHidden/>
          </w:rPr>
          <w:tab/>
        </w:r>
        <w:r w:rsidR="00B34D67">
          <w:rPr>
            <w:noProof/>
            <w:webHidden/>
          </w:rPr>
          <w:fldChar w:fldCharType="begin"/>
        </w:r>
        <w:r w:rsidR="00B34D67">
          <w:rPr>
            <w:noProof/>
            <w:webHidden/>
          </w:rPr>
          <w:instrText xml:space="preserve"> PAGEREF _Toc121095122 \h </w:instrText>
        </w:r>
        <w:r w:rsidR="00B34D67">
          <w:rPr>
            <w:noProof/>
            <w:webHidden/>
          </w:rPr>
        </w:r>
        <w:r w:rsidR="00B34D67">
          <w:rPr>
            <w:noProof/>
            <w:webHidden/>
          </w:rPr>
          <w:fldChar w:fldCharType="separate"/>
        </w:r>
        <w:r w:rsidR="00B52D1E">
          <w:rPr>
            <w:noProof/>
            <w:webHidden/>
          </w:rPr>
          <w:t>97</w:t>
        </w:r>
        <w:r w:rsidR="00B34D67">
          <w:rPr>
            <w:noProof/>
            <w:webHidden/>
          </w:rPr>
          <w:fldChar w:fldCharType="end"/>
        </w:r>
      </w:hyperlink>
    </w:p>
    <w:p w14:paraId="41CCD1C7" w14:textId="56B7303F" w:rsidR="00B34D67" w:rsidRDefault="00000000">
      <w:pPr>
        <w:pStyle w:val="TableofFigures"/>
        <w:tabs>
          <w:tab w:val="right" w:leader="dot" w:pos="9350"/>
        </w:tabs>
        <w:rPr>
          <w:rFonts w:asciiTheme="minorHAnsi" w:eastAsiaTheme="minorEastAsia" w:hAnsiTheme="minorHAnsi"/>
          <w:noProof/>
          <w:sz w:val="22"/>
        </w:rPr>
      </w:pPr>
      <w:hyperlink w:anchor="_Toc121095123" w:history="1">
        <w:r w:rsidR="00B34D67" w:rsidRPr="00C25DC5">
          <w:rPr>
            <w:rStyle w:val="Hyperlink"/>
            <w:b/>
            <w:bCs/>
            <w:noProof/>
          </w:rPr>
          <w:t>Figure 2.11:</w:t>
        </w:r>
        <w:r w:rsidR="00B34D67" w:rsidRPr="00C25DC5">
          <w:rPr>
            <w:rStyle w:val="Hyperlink"/>
            <w:noProof/>
          </w:rPr>
          <w:t xml:space="preserve"> Quantitative Quality Control of the simultaneous pre-stack inversion results. The first two tracks show the overlay of low-frequency background models with actual and inverted impedance logs. Tracks 3-5 show the synthetic gather created by the inversion process, actual gathers used in the inversion, and the residual difference (error) in between, respectively. 89% correlation was achieved for the Berexco Wellington #1-32 well.</w:t>
        </w:r>
        <w:r w:rsidR="00B34D67">
          <w:rPr>
            <w:noProof/>
            <w:webHidden/>
          </w:rPr>
          <w:tab/>
        </w:r>
        <w:r w:rsidR="00B34D67">
          <w:rPr>
            <w:noProof/>
            <w:webHidden/>
          </w:rPr>
          <w:fldChar w:fldCharType="begin"/>
        </w:r>
        <w:r w:rsidR="00B34D67">
          <w:rPr>
            <w:noProof/>
            <w:webHidden/>
          </w:rPr>
          <w:instrText xml:space="preserve"> PAGEREF _Toc121095123 \h </w:instrText>
        </w:r>
        <w:r w:rsidR="00B34D67">
          <w:rPr>
            <w:noProof/>
            <w:webHidden/>
          </w:rPr>
        </w:r>
        <w:r w:rsidR="00B34D67">
          <w:rPr>
            <w:noProof/>
            <w:webHidden/>
          </w:rPr>
          <w:fldChar w:fldCharType="separate"/>
        </w:r>
        <w:r w:rsidR="00B52D1E">
          <w:rPr>
            <w:noProof/>
            <w:webHidden/>
          </w:rPr>
          <w:t>98</w:t>
        </w:r>
        <w:r w:rsidR="00B34D67">
          <w:rPr>
            <w:noProof/>
            <w:webHidden/>
          </w:rPr>
          <w:fldChar w:fldCharType="end"/>
        </w:r>
      </w:hyperlink>
    </w:p>
    <w:p w14:paraId="69988546" w14:textId="691CF9BA" w:rsidR="00B34D67" w:rsidRDefault="00000000">
      <w:pPr>
        <w:pStyle w:val="TableofFigures"/>
        <w:tabs>
          <w:tab w:val="right" w:leader="dot" w:pos="9350"/>
        </w:tabs>
        <w:rPr>
          <w:rFonts w:asciiTheme="minorHAnsi" w:eastAsiaTheme="minorEastAsia" w:hAnsiTheme="minorHAnsi"/>
          <w:noProof/>
          <w:sz w:val="22"/>
        </w:rPr>
      </w:pPr>
      <w:hyperlink w:anchor="_Toc121095124" w:history="1">
        <w:r w:rsidR="00B34D67" w:rsidRPr="00C25DC5">
          <w:rPr>
            <w:rStyle w:val="Hyperlink"/>
            <w:b/>
            <w:bCs/>
            <w:noProof/>
          </w:rPr>
          <w:t xml:space="preserve">Figure 2.12: East-west </w:t>
        </w:r>
        <w:r w:rsidR="00B34D67" w:rsidRPr="00C25DC5">
          <w:rPr>
            <w:rStyle w:val="Hyperlink"/>
            <w:rFonts w:cs="Times New Roman"/>
            <w:noProof/>
          </w:rPr>
          <w:t>arbitrary line (B-B’)  through Berexco Wellington KGS #1–32 showing the simultaneous pre-stack inversion results (Upper image: P-impedance, Lower image: S-impedance). High impedance values can be seen in the middle portion, while relatively lower values of impedances are primarily located in the Arbuckle Group's lower and upper parts of the Arbuckle Group.</w:t>
        </w:r>
        <w:r w:rsidR="00B34D67">
          <w:rPr>
            <w:noProof/>
            <w:webHidden/>
          </w:rPr>
          <w:tab/>
        </w:r>
        <w:r w:rsidR="00B34D67">
          <w:rPr>
            <w:noProof/>
            <w:webHidden/>
          </w:rPr>
          <w:fldChar w:fldCharType="begin"/>
        </w:r>
        <w:r w:rsidR="00B34D67">
          <w:rPr>
            <w:noProof/>
            <w:webHidden/>
          </w:rPr>
          <w:instrText xml:space="preserve"> PAGEREF _Toc121095124 \h </w:instrText>
        </w:r>
        <w:r w:rsidR="00B34D67">
          <w:rPr>
            <w:noProof/>
            <w:webHidden/>
          </w:rPr>
        </w:r>
        <w:r w:rsidR="00B34D67">
          <w:rPr>
            <w:noProof/>
            <w:webHidden/>
          </w:rPr>
          <w:fldChar w:fldCharType="separate"/>
        </w:r>
        <w:r w:rsidR="00B52D1E">
          <w:rPr>
            <w:noProof/>
            <w:webHidden/>
          </w:rPr>
          <w:t>99</w:t>
        </w:r>
        <w:r w:rsidR="00B34D67">
          <w:rPr>
            <w:noProof/>
            <w:webHidden/>
          </w:rPr>
          <w:fldChar w:fldCharType="end"/>
        </w:r>
      </w:hyperlink>
    </w:p>
    <w:p w14:paraId="1B3DC14C" w14:textId="39DAC252" w:rsidR="00B34D67" w:rsidRDefault="00000000">
      <w:pPr>
        <w:pStyle w:val="TableofFigures"/>
        <w:tabs>
          <w:tab w:val="right" w:leader="dot" w:pos="9350"/>
        </w:tabs>
        <w:rPr>
          <w:rFonts w:asciiTheme="minorHAnsi" w:eastAsiaTheme="minorEastAsia" w:hAnsiTheme="minorHAnsi"/>
          <w:noProof/>
          <w:sz w:val="22"/>
        </w:rPr>
      </w:pPr>
      <w:hyperlink w:anchor="_Toc121095125" w:history="1">
        <w:r w:rsidR="00B34D67" w:rsidRPr="00C25DC5">
          <w:rPr>
            <w:rStyle w:val="Hyperlink"/>
            <w:b/>
            <w:bCs/>
            <w:noProof/>
          </w:rPr>
          <w:t>Figure 2.13:</w:t>
        </w:r>
        <w:r w:rsidR="00B34D67" w:rsidRPr="00C25DC5">
          <w:rPr>
            <w:rStyle w:val="Hyperlink"/>
            <w:noProof/>
          </w:rPr>
          <w:t xml:space="preserve"> </w:t>
        </w:r>
        <w:r w:rsidR="00B34D67" w:rsidRPr="00C25DC5">
          <w:rPr>
            <w:rStyle w:val="Hyperlink"/>
            <w:rFonts w:cs="Times New Roman"/>
            <w:noProof/>
          </w:rPr>
          <w:t>West-East arbitrary line (A-A’) passing through the wells Berexco Wellington KGS #1–32 and #1-28</w:t>
        </w:r>
        <w:r w:rsidR="00B34D67" w:rsidRPr="00C25DC5">
          <w:rPr>
            <w:rStyle w:val="Hyperlink"/>
            <w:noProof/>
          </w:rPr>
          <w:t xml:space="preserve"> </w:t>
        </w:r>
        <w:r w:rsidR="00B34D67" w:rsidRPr="00C25DC5">
          <w:rPr>
            <w:rStyle w:val="Hyperlink"/>
            <w:rFonts w:cs="Times New Roman"/>
            <w:noProof/>
          </w:rPr>
          <w:t xml:space="preserve">showing the random forest petrofacies prediction result. A good match between actual and predicted petrofacies at the well locations can be observed. Note that petrofacies 1 is </w:t>
        </w:r>
        <w:r w:rsidR="00B34D67" w:rsidRPr="00C25DC5">
          <w:rPr>
            <w:rStyle w:val="Hyperlink"/>
            <w:rFonts w:cs="Times New Roman"/>
            <w:noProof/>
          </w:rPr>
          <w:lastRenderedPageBreak/>
          <w:t>mainly abundant in the lower Arbuckle, while petrofacies 2 and 3 are at the middle Arbuckle interval. The location of the arbitrary line is shown in Figure 2.</w:t>
        </w:r>
        <w:r w:rsidR="00B34D67">
          <w:rPr>
            <w:noProof/>
            <w:webHidden/>
          </w:rPr>
          <w:tab/>
        </w:r>
        <w:r w:rsidR="00B34D67">
          <w:rPr>
            <w:noProof/>
            <w:webHidden/>
          </w:rPr>
          <w:fldChar w:fldCharType="begin"/>
        </w:r>
        <w:r w:rsidR="00B34D67">
          <w:rPr>
            <w:noProof/>
            <w:webHidden/>
          </w:rPr>
          <w:instrText xml:space="preserve"> PAGEREF _Toc121095125 \h </w:instrText>
        </w:r>
        <w:r w:rsidR="00B34D67">
          <w:rPr>
            <w:noProof/>
            <w:webHidden/>
          </w:rPr>
        </w:r>
        <w:r w:rsidR="00B34D67">
          <w:rPr>
            <w:noProof/>
            <w:webHidden/>
          </w:rPr>
          <w:fldChar w:fldCharType="separate"/>
        </w:r>
        <w:r w:rsidR="00B52D1E">
          <w:rPr>
            <w:noProof/>
            <w:webHidden/>
          </w:rPr>
          <w:t>100</w:t>
        </w:r>
        <w:r w:rsidR="00B34D67">
          <w:rPr>
            <w:noProof/>
            <w:webHidden/>
          </w:rPr>
          <w:fldChar w:fldCharType="end"/>
        </w:r>
      </w:hyperlink>
    </w:p>
    <w:p w14:paraId="2B2D458C" w14:textId="5B69502B" w:rsidR="00B34D67" w:rsidRDefault="00000000">
      <w:pPr>
        <w:pStyle w:val="TableofFigures"/>
        <w:tabs>
          <w:tab w:val="right" w:leader="dot" w:pos="9350"/>
        </w:tabs>
        <w:rPr>
          <w:rFonts w:asciiTheme="minorHAnsi" w:eastAsiaTheme="minorEastAsia" w:hAnsiTheme="minorHAnsi"/>
          <w:noProof/>
          <w:sz w:val="22"/>
        </w:rPr>
      </w:pPr>
      <w:hyperlink w:anchor="_Toc121095126" w:history="1">
        <w:r w:rsidR="00B34D67" w:rsidRPr="00C25DC5">
          <w:rPr>
            <w:rStyle w:val="Hyperlink"/>
            <w:b/>
            <w:bCs/>
            <w:noProof/>
          </w:rPr>
          <w:t>Figure 2.14</w:t>
        </w:r>
        <w:r w:rsidR="00B34D67" w:rsidRPr="00C25DC5">
          <w:rPr>
            <w:rStyle w:val="Hyperlink"/>
            <w:noProof/>
          </w:rPr>
          <w:t xml:space="preserve">: </w:t>
        </w:r>
        <w:r w:rsidR="00B34D67" w:rsidRPr="00C25DC5">
          <w:rPr>
            <w:rStyle w:val="Hyperlink"/>
            <w:rFonts w:cs="Times New Roman"/>
            <w:noProof/>
          </w:rPr>
          <w:t>Southwest-northeast arbitrary line (A-A’) showing the individual probability of prediction for each petrofacies: (A) probability of petrofacies 1, (A) probability of petrofacies 2, (A) probability of petrofacies 3. Location of the arbitrary line is shown in Figure 2.</w:t>
        </w:r>
        <w:r w:rsidR="00B34D67">
          <w:rPr>
            <w:noProof/>
            <w:webHidden/>
          </w:rPr>
          <w:tab/>
        </w:r>
        <w:r w:rsidR="00B34D67">
          <w:rPr>
            <w:noProof/>
            <w:webHidden/>
          </w:rPr>
          <w:fldChar w:fldCharType="begin"/>
        </w:r>
        <w:r w:rsidR="00B34D67">
          <w:rPr>
            <w:noProof/>
            <w:webHidden/>
          </w:rPr>
          <w:instrText xml:space="preserve"> PAGEREF _Toc121095126 \h </w:instrText>
        </w:r>
        <w:r w:rsidR="00B34D67">
          <w:rPr>
            <w:noProof/>
            <w:webHidden/>
          </w:rPr>
        </w:r>
        <w:r w:rsidR="00B34D67">
          <w:rPr>
            <w:noProof/>
            <w:webHidden/>
          </w:rPr>
          <w:fldChar w:fldCharType="separate"/>
        </w:r>
        <w:r w:rsidR="00B52D1E">
          <w:rPr>
            <w:noProof/>
            <w:webHidden/>
          </w:rPr>
          <w:t>101</w:t>
        </w:r>
        <w:r w:rsidR="00B34D67">
          <w:rPr>
            <w:noProof/>
            <w:webHidden/>
          </w:rPr>
          <w:fldChar w:fldCharType="end"/>
        </w:r>
      </w:hyperlink>
    </w:p>
    <w:p w14:paraId="02D1C389" w14:textId="0330B8FC" w:rsidR="00B34D67" w:rsidRDefault="00000000">
      <w:pPr>
        <w:pStyle w:val="TableofFigures"/>
        <w:tabs>
          <w:tab w:val="right" w:leader="dot" w:pos="9350"/>
        </w:tabs>
        <w:rPr>
          <w:rFonts w:asciiTheme="minorHAnsi" w:eastAsiaTheme="minorEastAsia" w:hAnsiTheme="minorHAnsi"/>
          <w:noProof/>
          <w:sz w:val="22"/>
        </w:rPr>
      </w:pPr>
      <w:hyperlink w:anchor="_Toc121095127" w:history="1">
        <w:r w:rsidR="00B34D67" w:rsidRPr="00C25DC5">
          <w:rPr>
            <w:rStyle w:val="Hyperlink"/>
            <w:b/>
            <w:bCs/>
            <w:noProof/>
          </w:rPr>
          <w:t>Figure 2.15:</w:t>
        </w:r>
        <w:r w:rsidR="00B34D67" w:rsidRPr="00C25DC5">
          <w:rPr>
            <w:rStyle w:val="Hyperlink"/>
            <w:noProof/>
          </w:rPr>
          <w:t xml:space="preserve"> </w:t>
        </w:r>
        <w:r w:rsidR="00B34D67" w:rsidRPr="00C25DC5">
          <w:rPr>
            <w:rStyle w:val="Hyperlink"/>
            <w:rFonts w:cs="Times New Roman"/>
            <w:noProof/>
          </w:rPr>
          <w:t>Petrofacies volume values extracted on various stratal slices between the top and the base of the Arbuckle horizons. (A) Petrofacies volume values extracted from 20 ms above the base Arbuckle horizon. This interval mainly consists of petrofacies 1. (B) Petrofacies Horizon slice extraction 50ms above the base Arbuckle horizon. This interval is dominated by petrofacies 2 and 3. (C) Horizon slice extracted 15ms below the top Arbuckle horizon. Petrofacies 1 and 2 are prevalent in this interval. Heterogeneous distribution of petrofacies is observed throughout all the maps.</w:t>
        </w:r>
        <w:r w:rsidR="00B34D67">
          <w:rPr>
            <w:noProof/>
            <w:webHidden/>
          </w:rPr>
          <w:tab/>
        </w:r>
        <w:r w:rsidR="00B34D67">
          <w:rPr>
            <w:noProof/>
            <w:webHidden/>
          </w:rPr>
          <w:fldChar w:fldCharType="begin"/>
        </w:r>
        <w:r w:rsidR="00B34D67">
          <w:rPr>
            <w:noProof/>
            <w:webHidden/>
          </w:rPr>
          <w:instrText xml:space="preserve"> PAGEREF _Toc121095127 \h </w:instrText>
        </w:r>
        <w:r w:rsidR="00B34D67">
          <w:rPr>
            <w:noProof/>
            <w:webHidden/>
          </w:rPr>
        </w:r>
        <w:r w:rsidR="00B34D67">
          <w:rPr>
            <w:noProof/>
            <w:webHidden/>
          </w:rPr>
          <w:fldChar w:fldCharType="separate"/>
        </w:r>
        <w:r w:rsidR="00B52D1E">
          <w:rPr>
            <w:noProof/>
            <w:webHidden/>
          </w:rPr>
          <w:t>102</w:t>
        </w:r>
        <w:r w:rsidR="00B34D67">
          <w:rPr>
            <w:noProof/>
            <w:webHidden/>
          </w:rPr>
          <w:fldChar w:fldCharType="end"/>
        </w:r>
      </w:hyperlink>
    </w:p>
    <w:p w14:paraId="444710AC" w14:textId="3A2E35FA" w:rsidR="00B34D67" w:rsidRDefault="00000000">
      <w:pPr>
        <w:pStyle w:val="TableofFigures"/>
        <w:tabs>
          <w:tab w:val="right" w:leader="dot" w:pos="9350"/>
        </w:tabs>
        <w:rPr>
          <w:rFonts w:asciiTheme="minorHAnsi" w:eastAsiaTheme="minorEastAsia" w:hAnsiTheme="minorHAnsi"/>
          <w:noProof/>
          <w:sz w:val="22"/>
        </w:rPr>
      </w:pPr>
      <w:hyperlink w:anchor="_Toc121095128" w:history="1">
        <w:r w:rsidR="00B34D67" w:rsidRPr="00C25DC5">
          <w:rPr>
            <w:rStyle w:val="Hyperlink"/>
            <w:b/>
            <w:bCs/>
            <w:noProof/>
          </w:rPr>
          <w:t>Figure 3.1:</w:t>
        </w:r>
        <w:r w:rsidR="00B34D67" w:rsidRPr="00C25DC5">
          <w:rPr>
            <w:rStyle w:val="Hyperlink"/>
            <w:noProof/>
          </w:rPr>
          <w:t xml:space="preserve"> Regional map showing the subsurface structural features of Kansas. The study area is located in Sumner County, Kansas (Red square). The approximate location of the study area is denoted by the red star (Modified after Dutton, 1984; Campbell et al., 1988; McConnell, 1989; Northcutt and Campbell, 1995; Johnson and Luza, 2008; LoCriccho, 2012).</w:t>
        </w:r>
        <w:r w:rsidR="00B34D67">
          <w:rPr>
            <w:noProof/>
            <w:webHidden/>
          </w:rPr>
          <w:tab/>
        </w:r>
        <w:r w:rsidR="00B34D67">
          <w:rPr>
            <w:noProof/>
            <w:webHidden/>
          </w:rPr>
          <w:fldChar w:fldCharType="begin"/>
        </w:r>
        <w:r w:rsidR="00B34D67">
          <w:rPr>
            <w:noProof/>
            <w:webHidden/>
          </w:rPr>
          <w:instrText xml:space="preserve"> PAGEREF _Toc121095128 \h </w:instrText>
        </w:r>
        <w:r w:rsidR="00B34D67">
          <w:rPr>
            <w:noProof/>
            <w:webHidden/>
          </w:rPr>
        </w:r>
        <w:r w:rsidR="00B34D67">
          <w:rPr>
            <w:noProof/>
            <w:webHidden/>
          </w:rPr>
          <w:fldChar w:fldCharType="separate"/>
        </w:r>
        <w:r w:rsidR="00B52D1E">
          <w:rPr>
            <w:noProof/>
            <w:webHidden/>
          </w:rPr>
          <w:t>139</w:t>
        </w:r>
        <w:r w:rsidR="00B34D67">
          <w:rPr>
            <w:noProof/>
            <w:webHidden/>
          </w:rPr>
          <w:fldChar w:fldCharType="end"/>
        </w:r>
      </w:hyperlink>
    </w:p>
    <w:p w14:paraId="75576F46" w14:textId="49B8DD72" w:rsidR="00B34D67" w:rsidRDefault="00000000">
      <w:pPr>
        <w:pStyle w:val="TableofFigures"/>
        <w:tabs>
          <w:tab w:val="right" w:leader="dot" w:pos="9350"/>
        </w:tabs>
        <w:rPr>
          <w:rFonts w:asciiTheme="minorHAnsi" w:eastAsiaTheme="minorEastAsia" w:hAnsiTheme="minorHAnsi"/>
          <w:noProof/>
          <w:sz w:val="22"/>
        </w:rPr>
      </w:pPr>
      <w:hyperlink w:anchor="_Toc121095129" w:history="1">
        <w:r w:rsidR="00B34D67" w:rsidRPr="00C25DC5">
          <w:rPr>
            <w:rStyle w:val="Hyperlink"/>
            <w:b/>
            <w:bCs/>
            <w:noProof/>
          </w:rPr>
          <w:t>Figure 3.2:</w:t>
        </w:r>
        <w:r w:rsidR="00B34D67" w:rsidRPr="00C25DC5">
          <w:rPr>
            <w:rStyle w:val="Hyperlink"/>
            <w:noProof/>
          </w:rPr>
          <w:t xml:space="preserve"> Study area base map showing well locations, seismic survey, modeling and simulation boundaries, and cross sections of interest. Seismic section A-A’ is shown in Figure 3. Impedance and 3D model grid cross sections B-B’ is shown in Figures 5 and 11. Petrofacies prediction volume cross sections for C-C’ are shown in Figure7. Reservoir model cross sections D-D’ are shown in Figure13. The map location is shown in Figure 1.</w:t>
        </w:r>
        <w:r w:rsidR="00B34D67">
          <w:rPr>
            <w:noProof/>
            <w:webHidden/>
          </w:rPr>
          <w:tab/>
        </w:r>
        <w:r w:rsidR="00B34D67">
          <w:rPr>
            <w:noProof/>
            <w:webHidden/>
          </w:rPr>
          <w:fldChar w:fldCharType="begin"/>
        </w:r>
        <w:r w:rsidR="00B34D67">
          <w:rPr>
            <w:noProof/>
            <w:webHidden/>
          </w:rPr>
          <w:instrText xml:space="preserve"> PAGEREF _Toc121095129 \h </w:instrText>
        </w:r>
        <w:r w:rsidR="00B34D67">
          <w:rPr>
            <w:noProof/>
            <w:webHidden/>
          </w:rPr>
        </w:r>
        <w:r w:rsidR="00B34D67">
          <w:rPr>
            <w:noProof/>
            <w:webHidden/>
          </w:rPr>
          <w:fldChar w:fldCharType="separate"/>
        </w:r>
        <w:r w:rsidR="00B52D1E">
          <w:rPr>
            <w:noProof/>
            <w:webHidden/>
          </w:rPr>
          <w:t>140</w:t>
        </w:r>
        <w:r w:rsidR="00B34D67">
          <w:rPr>
            <w:noProof/>
            <w:webHidden/>
          </w:rPr>
          <w:fldChar w:fldCharType="end"/>
        </w:r>
      </w:hyperlink>
    </w:p>
    <w:p w14:paraId="3654CAA3" w14:textId="29488A0F" w:rsidR="00B34D67" w:rsidRDefault="00000000">
      <w:pPr>
        <w:pStyle w:val="TableofFigures"/>
        <w:tabs>
          <w:tab w:val="right" w:leader="dot" w:pos="9350"/>
        </w:tabs>
        <w:rPr>
          <w:rFonts w:asciiTheme="minorHAnsi" w:eastAsiaTheme="minorEastAsia" w:hAnsiTheme="minorHAnsi"/>
          <w:noProof/>
          <w:sz w:val="22"/>
        </w:rPr>
      </w:pPr>
      <w:hyperlink w:anchor="_Toc121095130" w:history="1">
        <w:r w:rsidR="00B34D67" w:rsidRPr="00C25DC5">
          <w:rPr>
            <w:rStyle w:val="Hyperlink"/>
            <w:b/>
            <w:bCs/>
            <w:noProof/>
          </w:rPr>
          <w:t xml:space="preserve">Figure 3.3: </w:t>
        </w:r>
        <w:r w:rsidR="00B34D67" w:rsidRPr="00C25DC5">
          <w:rPr>
            <w:rStyle w:val="Hyperlink"/>
            <w:noProof/>
          </w:rPr>
          <w:t>Generalized Workflow showing the main steps followed in this study. A) Structural and stratigraphic framework (3D Grid) generation, B) Petrofacies modeling, C) Porosity and permeability modeling, D) CO2 storage capacity estimation, and E) Dynamic simulations for plume mapping.</w:t>
        </w:r>
        <w:r w:rsidR="00B34D67">
          <w:rPr>
            <w:noProof/>
            <w:webHidden/>
          </w:rPr>
          <w:tab/>
        </w:r>
        <w:r w:rsidR="00B34D67">
          <w:rPr>
            <w:noProof/>
            <w:webHidden/>
          </w:rPr>
          <w:fldChar w:fldCharType="begin"/>
        </w:r>
        <w:r w:rsidR="00B34D67">
          <w:rPr>
            <w:noProof/>
            <w:webHidden/>
          </w:rPr>
          <w:instrText xml:space="preserve"> PAGEREF _Toc121095130 \h </w:instrText>
        </w:r>
        <w:r w:rsidR="00B34D67">
          <w:rPr>
            <w:noProof/>
            <w:webHidden/>
          </w:rPr>
        </w:r>
        <w:r w:rsidR="00B34D67">
          <w:rPr>
            <w:noProof/>
            <w:webHidden/>
          </w:rPr>
          <w:fldChar w:fldCharType="separate"/>
        </w:r>
        <w:r w:rsidR="00B52D1E">
          <w:rPr>
            <w:noProof/>
            <w:webHidden/>
          </w:rPr>
          <w:t>141</w:t>
        </w:r>
        <w:r w:rsidR="00B34D67">
          <w:rPr>
            <w:noProof/>
            <w:webHidden/>
          </w:rPr>
          <w:fldChar w:fldCharType="end"/>
        </w:r>
      </w:hyperlink>
    </w:p>
    <w:p w14:paraId="6DEEB2F1" w14:textId="1976EAB3" w:rsidR="00B34D67" w:rsidRDefault="00000000">
      <w:pPr>
        <w:pStyle w:val="TableofFigures"/>
        <w:tabs>
          <w:tab w:val="right" w:leader="dot" w:pos="9350"/>
        </w:tabs>
        <w:rPr>
          <w:rFonts w:asciiTheme="minorHAnsi" w:eastAsiaTheme="minorEastAsia" w:hAnsiTheme="minorHAnsi"/>
          <w:noProof/>
          <w:sz w:val="22"/>
        </w:rPr>
      </w:pPr>
      <w:hyperlink w:anchor="_Toc121095131" w:history="1">
        <w:r w:rsidR="00B34D67" w:rsidRPr="00C25DC5">
          <w:rPr>
            <w:rStyle w:val="Hyperlink"/>
            <w:b/>
            <w:bCs/>
            <w:noProof/>
          </w:rPr>
          <w:t>Figure 3.4:</w:t>
        </w:r>
        <w:r w:rsidR="00B34D67" w:rsidRPr="00C25DC5">
          <w:rPr>
            <w:rStyle w:val="Hyperlink"/>
            <w:noProof/>
          </w:rPr>
          <w:t xml:space="preserve"> Generalized stratigraphic column tied to Berexco Wellington KGS #1-32 type log. (Stratigraphic column is modified After Baars et al., 2001 and Schwab et al.,2017). Three Arbuckle intervals (A, B, and C) are present. Gamma Ray (GR), Deep Resistivity (RESD), Neutron Porosity (NPHI), and Density Porosity (DPHI) are shown. The right-most track shows the petrofacies log used in the seismic-constrained modeling.</w:t>
        </w:r>
        <w:r w:rsidR="00B34D67">
          <w:rPr>
            <w:noProof/>
            <w:webHidden/>
          </w:rPr>
          <w:tab/>
        </w:r>
        <w:r w:rsidR="00B34D67">
          <w:rPr>
            <w:noProof/>
            <w:webHidden/>
          </w:rPr>
          <w:fldChar w:fldCharType="begin"/>
        </w:r>
        <w:r w:rsidR="00B34D67">
          <w:rPr>
            <w:noProof/>
            <w:webHidden/>
          </w:rPr>
          <w:instrText xml:space="preserve"> PAGEREF _Toc121095131 \h </w:instrText>
        </w:r>
        <w:r w:rsidR="00B34D67">
          <w:rPr>
            <w:noProof/>
            <w:webHidden/>
          </w:rPr>
        </w:r>
        <w:r w:rsidR="00B34D67">
          <w:rPr>
            <w:noProof/>
            <w:webHidden/>
          </w:rPr>
          <w:fldChar w:fldCharType="separate"/>
        </w:r>
        <w:r w:rsidR="00B52D1E">
          <w:rPr>
            <w:noProof/>
            <w:webHidden/>
          </w:rPr>
          <w:t>142</w:t>
        </w:r>
        <w:r w:rsidR="00B34D67">
          <w:rPr>
            <w:noProof/>
            <w:webHidden/>
          </w:rPr>
          <w:fldChar w:fldCharType="end"/>
        </w:r>
      </w:hyperlink>
    </w:p>
    <w:p w14:paraId="7953BEAF" w14:textId="34D8D609" w:rsidR="00B34D67" w:rsidRDefault="00000000">
      <w:pPr>
        <w:pStyle w:val="TableofFigures"/>
        <w:tabs>
          <w:tab w:val="right" w:leader="dot" w:pos="9350"/>
        </w:tabs>
        <w:rPr>
          <w:rFonts w:asciiTheme="minorHAnsi" w:eastAsiaTheme="minorEastAsia" w:hAnsiTheme="minorHAnsi"/>
          <w:noProof/>
          <w:sz w:val="22"/>
        </w:rPr>
      </w:pPr>
      <w:hyperlink w:anchor="_Toc121095132" w:history="1">
        <w:r w:rsidR="00B34D67" w:rsidRPr="00C25DC5">
          <w:rPr>
            <w:rStyle w:val="Hyperlink"/>
            <w:b/>
            <w:bCs/>
            <w:noProof/>
          </w:rPr>
          <w:t>Figure 3.5:</w:t>
        </w:r>
        <w:r w:rsidR="00B34D67" w:rsidRPr="00C25DC5">
          <w:rPr>
            <w:rStyle w:val="Hyperlink"/>
            <w:noProof/>
          </w:rPr>
          <w:t xml:space="preserve"> (A) Southwest-Northeast arbitrary line (A-A’) showing the seismic amplitude volume and wells with gamma-ray logs used in the horizon interpretation of the Arbuckle interval. (B and C) type logs showing the well log and synthetic seismogram responses of the study interval, where the top of the Arbuckle shows a strong positive (peak) and the base of the Arbuckle shows a strong negative (trough) seismic response. The location of the cross-section is shown in Figure 2.</w:t>
        </w:r>
        <w:r w:rsidR="00B34D67">
          <w:rPr>
            <w:noProof/>
            <w:webHidden/>
          </w:rPr>
          <w:tab/>
        </w:r>
        <w:r w:rsidR="00B34D67">
          <w:rPr>
            <w:noProof/>
            <w:webHidden/>
          </w:rPr>
          <w:fldChar w:fldCharType="begin"/>
        </w:r>
        <w:r w:rsidR="00B34D67">
          <w:rPr>
            <w:noProof/>
            <w:webHidden/>
          </w:rPr>
          <w:instrText xml:space="preserve"> PAGEREF _Toc121095132 \h </w:instrText>
        </w:r>
        <w:r w:rsidR="00B34D67">
          <w:rPr>
            <w:noProof/>
            <w:webHidden/>
          </w:rPr>
        </w:r>
        <w:r w:rsidR="00B34D67">
          <w:rPr>
            <w:noProof/>
            <w:webHidden/>
          </w:rPr>
          <w:fldChar w:fldCharType="separate"/>
        </w:r>
        <w:r w:rsidR="00B52D1E">
          <w:rPr>
            <w:noProof/>
            <w:webHidden/>
          </w:rPr>
          <w:t>143</w:t>
        </w:r>
        <w:r w:rsidR="00B34D67">
          <w:rPr>
            <w:noProof/>
            <w:webHidden/>
          </w:rPr>
          <w:fldChar w:fldCharType="end"/>
        </w:r>
      </w:hyperlink>
    </w:p>
    <w:p w14:paraId="1CC73896" w14:textId="4A4B995D" w:rsidR="00B34D67" w:rsidRDefault="00000000">
      <w:pPr>
        <w:pStyle w:val="TableofFigures"/>
        <w:tabs>
          <w:tab w:val="right" w:leader="dot" w:pos="9350"/>
        </w:tabs>
        <w:rPr>
          <w:rFonts w:asciiTheme="minorHAnsi" w:eastAsiaTheme="minorEastAsia" w:hAnsiTheme="minorHAnsi"/>
          <w:noProof/>
          <w:sz w:val="22"/>
        </w:rPr>
      </w:pPr>
      <w:hyperlink w:anchor="_Toc121095133" w:history="1">
        <w:r w:rsidR="00B34D67" w:rsidRPr="00C25DC5">
          <w:rPr>
            <w:rStyle w:val="Hyperlink"/>
            <w:b/>
            <w:bCs/>
            <w:noProof/>
          </w:rPr>
          <w:t>Figure 3.6:</w:t>
        </w:r>
        <w:r w:rsidR="00B34D67" w:rsidRPr="00C25DC5">
          <w:rPr>
            <w:rStyle w:val="Hyperlink"/>
            <w:noProof/>
          </w:rPr>
          <w:t xml:space="preserve"> South-North oriented cross-section (B-B’) from the acoustic impedance volume. Impedance volume was used to help the interpretation of surfaces that subdivide the Arbuckle group (zones A, B and C) for the structural and stratigraphic framework. The location of cross section is shown in Figure 2.</w:t>
        </w:r>
        <w:r w:rsidR="00B34D67">
          <w:rPr>
            <w:noProof/>
            <w:webHidden/>
          </w:rPr>
          <w:tab/>
        </w:r>
        <w:r w:rsidR="00B34D67">
          <w:rPr>
            <w:noProof/>
            <w:webHidden/>
          </w:rPr>
          <w:fldChar w:fldCharType="begin"/>
        </w:r>
        <w:r w:rsidR="00B34D67">
          <w:rPr>
            <w:noProof/>
            <w:webHidden/>
          </w:rPr>
          <w:instrText xml:space="preserve"> PAGEREF _Toc121095133 \h </w:instrText>
        </w:r>
        <w:r w:rsidR="00B34D67">
          <w:rPr>
            <w:noProof/>
            <w:webHidden/>
          </w:rPr>
        </w:r>
        <w:r w:rsidR="00B34D67">
          <w:rPr>
            <w:noProof/>
            <w:webHidden/>
          </w:rPr>
          <w:fldChar w:fldCharType="separate"/>
        </w:r>
        <w:r w:rsidR="00B52D1E">
          <w:rPr>
            <w:noProof/>
            <w:webHidden/>
          </w:rPr>
          <w:t>144</w:t>
        </w:r>
        <w:r w:rsidR="00B34D67">
          <w:rPr>
            <w:noProof/>
            <w:webHidden/>
          </w:rPr>
          <w:fldChar w:fldCharType="end"/>
        </w:r>
      </w:hyperlink>
    </w:p>
    <w:p w14:paraId="21D29375" w14:textId="386DC429" w:rsidR="00B34D67" w:rsidRDefault="00000000">
      <w:pPr>
        <w:pStyle w:val="TableofFigures"/>
        <w:tabs>
          <w:tab w:val="right" w:leader="dot" w:pos="9350"/>
        </w:tabs>
        <w:rPr>
          <w:rFonts w:asciiTheme="minorHAnsi" w:eastAsiaTheme="minorEastAsia" w:hAnsiTheme="minorHAnsi"/>
          <w:noProof/>
          <w:sz w:val="22"/>
        </w:rPr>
      </w:pPr>
      <w:hyperlink w:anchor="_Toc121095134" w:history="1">
        <w:r w:rsidR="00B34D67" w:rsidRPr="00C25DC5">
          <w:rPr>
            <w:rStyle w:val="Hyperlink"/>
            <w:b/>
            <w:bCs/>
            <w:noProof/>
          </w:rPr>
          <w:t>Figure 3.7</w:t>
        </w:r>
        <w:r w:rsidR="00B34D67" w:rsidRPr="00C25DC5">
          <w:rPr>
            <w:rStyle w:val="Hyperlink"/>
            <w:noProof/>
          </w:rPr>
          <w:t>: Schematic diagram showing elements used to constrain the construction of the three-dimensional grid.</w:t>
        </w:r>
        <w:r w:rsidR="00B34D67">
          <w:rPr>
            <w:noProof/>
            <w:webHidden/>
          </w:rPr>
          <w:tab/>
        </w:r>
        <w:r w:rsidR="00B34D67">
          <w:rPr>
            <w:noProof/>
            <w:webHidden/>
          </w:rPr>
          <w:fldChar w:fldCharType="begin"/>
        </w:r>
        <w:r w:rsidR="00B34D67">
          <w:rPr>
            <w:noProof/>
            <w:webHidden/>
          </w:rPr>
          <w:instrText xml:space="preserve"> PAGEREF _Toc121095134 \h </w:instrText>
        </w:r>
        <w:r w:rsidR="00B34D67">
          <w:rPr>
            <w:noProof/>
            <w:webHidden/>
          </w:rPr>
        </w:r>
        <w:r w:rsidR="00B34D67">
          <w:rPr>
            <w:noProof/>
            <w:webHidden/>
          </w:rPr>
          <w:fldChar w:fldCharType="separate"/>
        </w:r>
        <w:r w:rsidR="00B52D1E">
          <w:rPr>
            <w:noProof/>
            <w:webHidden/>
          </w:rPr>
          <w:t>145</w:t>
        </w:r>
        <w:r w:rsidR="00B34D67">
          <w:rPr>
            <w:noProof/>
            <w:webHidden/>
          </w:rPr>
          <w:fldChar w:fldCharType="end"/>
        </w:r>
      </w:hyperlink>
    </w:p>
    <w:p w14:paraId="266FB57D" w14:textId="580A97EE" w:rsidR="00B34D67" w:rsidRDefault="00000000">
      <w:pPr>
        <w:pStyle w:val="TableofFigures"/>
        <w:tabs>
          <w:tab w:val="right" w:leader="dot" w:pos="9350"/>
        </w:tabs>
        <w:rPr>
          <w:rFonts w:asciiTheme="minorHAnsi" w:eastAsiaTheme="minorEastAsia" w:hAnsiTheme="minorHAnsi"/>
          <w:noProof/>
          <w:sz w:val="22"/>
        </w:rPr>
      </w:pPr>
      <w:hyperlink w:anchor="_Toc121095135" w:history="1">
        <w:r w:rsidR="00B34D67" w:rsidRPr="00C25DC5">
          <w:rPr>
            <w:rStyle w:val="Hyperlink"/>
            <w:b/>
            <w:bCs/>
            <w:noProof/>
          </w:rPr>
          <w:t>Figure 3.8:</w:t>
        </w:r>
        <w:r w:rsidR="00B34D67" w:rsidRPr="00C25DC5">
          <w:rPr>
            <w:rStyle w:val="Hyperlink"/>
            <w:noProof/>
          </w:rPr>
          <w:t xml:space="preserve"> East-West oriented cross-sections (C – C’) from the random forest petrofacies prediction volumes re-sampled on the 3D grid. A) Most likely petrofacies prediction, B) Probability of petrofacies 1, C) Probability of petrofacies 2, and D) Probability of petrofacies 3. The location of cross section is shown in Figure 2</w:t>
        </w:r>
        <w:r w:rsidR="00B34D67">
          <w:rPr>
            <w:noProof/>
            <w:webHidden/>
          </w:rPr>
          <w:tab/>
        </w:r>
        <w:r w:rsidR="00B34D67">
          <w:rPr>
            <w:noProof/>
            <w:webHidden/>
          </w:rPr>
          <w:fldChar w:fldCharType="begin"/>
        </w:r>
        <w:r w:rsidR="00B34D67">
          <w:rPr>
            <w:noProof/>
            <w:webHidden/>
          </w:rPr>
          <w:instrText xml:space="preserve"> PAGEREF _Toc121095135 \h </w:instrText>
        </w:r>
        <w:r w:rsidR="00B34D67">
          <w:rPr>
            <w:noProof/>
            <w:webHidden/>
          </w:rPr>
        </w:r>
        <w:r w:rsidR="00B34D67">
          <w:rPr>
            <w:noProof/>
            <w:webHidden/>
          </w:rPr>
          <w:fldChar w:fldCharType="separate"/>
        </w:r>
        <w:r w:rsidR="00B52D1E">
          <w:rPr>
            <w:noProof/>
            <w:webHidden/>
          </w:rPr>
          <w:t>146</w:t>
        </w:r>
        <w:r w:rsidR="00B34D67">
          <w:rPr>
            <w:noProof/>
            <w:webHidden/>
          </w:rPr>
          <w:fldChar w:fldCharType="end"/>
        </w:r>
      </w:hyperlink>
    </w:p>
    <w:p w14:paraId="269248EA" w14:textId="4DF2F26A" w:rsidR="00B34D67" w:rsidRDefault="00000000">
      <w:pPr>
        <w:pStyle w:val="TableofFigures"/>
        <w:tabs>
          <w:tab w:val="right" w:leader="dot" w:pos="9350"/>
        </w:tabs>
        <w:rPr>
          <w:rFonts w:asciiTheme="minorHAnsi" w:eastAsiaTheme="minorEastAsia" w:hAnsiTheme="minorHAnsi"/>
          <w:noProof/>
          <w:sz w:val="22"/>
        </w:rPr>
      </w:pPr>
      <w:hyperlink w:anchor="_Toc121095136" w:history="1">
        <w:r w:rsidR="00B34D67" w:rsidRPr="00C25DC5">
          <w:rPr>
            <w:rStyle w:val="Hyperlink"/>
            <w:b/>
            <w:bCs/>
            <w:noProof/>
          </w:rPr>
          <w:t>Figure 3.9:</w:t>
        </w:r>
        <w:r w:rsidR="00B34D67" w:rsidRPr="00C25DC5">
          <w:rPr>
            <w:rStyle w:val="Hyperlink"/>
            <w:noProof/>
          </w:rPr>
          <w:t xml:space="preserve"> Schematic diagram showing the various data used to constrain the generation of the three-dimensional petrofacies model.</w:t>
        </w:r>
        <w:r w:rsidR="00B34D67">
          <w:rPr>
            <w:noProof/>
            <w:webHidden/>
          </w:rPr>
          <w:tab/>
        </w:r>
        <w:r w:rsidR="00B34D67">
          <w:rPr>
            <w:noProof/>
            <w:webHidden/>
          </w:rPr>
          <w:fldChar w:fldCharType="begin"/>
        </w:r>
        <w:r w:rsidR="00B34D67">
          <w:rPr>
            <w:noProof/>
            <w:webHidden/>
          </w:rPr>
          <w:instrText xml:space="preserve"> PAGEREF _Toc121095136 \h </w:instrText>
        </w:r>
        <w:r w:rsidR="00B34D67">
          <w:rPr>
            <w:noProof/>
            <w:webHidden/>
          </w:rPr>
        </w:r>
        <w:r w:rsidR="00B34D67">
          <w:rPr>
            <w:noProof/>
            <w:webHidden/>
          </w:rPr>
          <w:fldChar w:fldCharType="separate"/>
        </w:r>
        <w:r w:rsidR="00B52D1E">
          <w:rPr>
            <w:noProof/>
            <w:webHidden/>
          </w:rPr>
          <w:t>147</w:t>
        </w:r>
        <w:r w:rsidR="00B34D67">
          <w:rPr>
            <w:noProof/>
            <w:webHidden/>
          </w:rPr>
          <w:fldChar w:fldCharType="end"/>
        </w:r>
      </w:hyperlink>
    </w:p>
    <w:p w14:paraId="5503FDF1" w14:textId="584C6573" w:rsidR="00B34D67" w:rsidRDefault="00000000">
      <w:pPr>
        <w:pStyle w:val="TableofFigures"/>
        <w:tabs>
          <w:tab w:val="right" w:leader="dot" w:pos="9350"/>
        </w:tabs>
        <w:rPr>
          <w:rFonts w:asciiTheme="minorHAnsi" w:eastAsiaTheme="minorEastAsia" w:hAnsiTheme="minorHAnsi"/>
          <w:noProof/>
          <w:sz w:val="22"/>
        </w:rPr>
      </w:pPr>
      <w:hyperlink w:anchor="_Toc121095137" w:history="1">
        <w:r w:rsidR="00B34D67" w:rsidRPr="00C25DC5">
          <w:rPr>
            <w:rStyle w:val="Hyperlink"/>
            <w:b/>
            <w:bCs/>
            <w:noProof/>
          </w:rPr>
          <w:t>Figure 3.10:</w:t>
        </w:r>
        <w:r w:rsidR="00B34D67" w:rsidRPr="00C25DC5">
          <w:rPr>
            <w:rStyle w:val="Hyperlink"/>
            <w:noProof/>
          </w:rPr>
          <w:t xml:space="preserve"> Schematic diagram showing the data for constraining the three-dimensional porosity and permeability models.</w:t>
        </w:r>
        <w:r w:rsidR="00B34D67">
          <w:rPr>
            <w:noProof/>
            <w:webHidden/>
          </w:rPr>
          <w:tab/>
        </w:r>
        <w:r w:rsidR="00B34D67">
          <w:rPr>
            <w:noProof/>
            <w:webHidden/>
          </w:rPr>
          <w:fldChar w:fldCharType="begin"/>
        </w:r>
        <w:r w:rsidR="00B34D67">
          <w:rPr>
            <w:noProof/>
            <w:webHidden/>
          </w:rPr>
          <w:instrText xml:space="preserve"> PAGEREF _Toc121095137 \h </w:instrText>
        </w:r>
        <w:r w:rsidR="00B34D67">
          <w:rPr>
            <w:noProof/>
            <w:webHidden/>
          </w:rPr>
        </w:r>
        <w:r w:rsidR="00B34D67">
          <w:rPr>
            <w:noProof/>
            <w:webHidden/>
          </w:rPr>
          <w:fldChar w:fldCharType="separate"/>
        </w:r>
        <w:r w:rsidR="00B52D1E">
          <w:rPr>
            <w:noProof/>
            <w:webHidden/>
          </w:rPr>
          <w:t>148</w:t>
        </w:r>
        <w:r w:rsidR="00B34D67">
          <w:rPr>
            <w:noProof/>
            <w:webHidden/>
          </w:rPr>
          <w:fldChar w:fldCharType="end"/>
        </w:r>
      </w:hyperlink>
    </w:p>
    <w:p w14:paraId="1531E497" w14:textId="0320DD0A" w:rsidR="00B34D67" w:rsidRDefault="00000000">
      <w:pPr>
        <w:pStyle w:val="TableofFigures"/>
        <w:tabs>
          <w:tab w:val="right" w:leader="dot" w:pos="9350"/>
        </w:tabs>
        <w:rPr>
          <w:rFonts w:asciiTheme="minorHAnsi" w:eastAsiaTheme="minorEastAsia" w:hAnsiTheme="minorHAnsi"/>
          <w:noProof/>
          <w:sz w:val="22"/>
        </w:rPr>
      </w:pPr>
      <w:hyperlink w:anchor="_Toc121095138" w:history="1">
        <w:r w:rsidR="00B34D67" w:rsidRPr="00C25DC5">
          <w:rPr>
            <w:rStyle w:val="Hyperlink"/>
            <w:b/>
            <w:bCs/>
            <w:noProof/>
          </w:rPr>
          <w:t>Figure 3.11:</w:t>
        </w:r>
        <w:r w:rsidR="00B34D67" w:rsidRPr="00C25DC5">
          <w:rPr>
            <w:rStyle w:val="Hyperlink"/>
            <w:noProof/>
          </w:rPr>
          <w:t xml:space="preserve"> Structure maps for (A) the Top of the Arbuckle and (B) the Base of the Arbuckle as picked from the seismic volume and depth converted from tops picked in wells. (C) Arbuckle Isopach Map. Arbuckle interval can be seen structurally shallowing towards the north and northwest. In the study area, the Arbuckle thickness varies between 880-1020 ft (268 to 310 m) and thickens towards the center and the southern edge. The contour interval is 10 ft (3.04 m).</w:t>
        </w:r>
        <w:r w:rsidR="00B34D67">
          <w:rPr>
            <w:noProof/>
            <w:webHidden/>
          </w:rPr>
          <w:tab/>
        </w:r>
        <w:r w:rsidR="00B34D67">
          <w:rPr>
            <w:noProof/>
            <w:webHidden/>
          </w:rPr>
          <w:fldChar w:fldCharType="begin"/>
        </w:r>
        <w:r w:rsidR="00B34D67">
          <w:rPr>
            <w:noProof/>
            <w:webHidden/>
          </w:rPr>
          <w:instrText xml:space="preserve"> PAGEREF _Toc121095138 \h </w:instrText>
        </w:r>
        <w:r w:rsidR="00B34D67">
          <w:rPr>
            <w:noProof/>
            <w:webHidden/>
          </w:rPr>
        </w:r>
        <w:r w:rsidR="00B34D67">
          <w:rPr>
            <w:noProof/>
            <w:webHidden/>
          </w:rPr>
          <w:fldChar w:fldCharType="separate"/>
        </w:r>
        <w:r w:rsidR="00B52D1E">
          <w:rPr>
            <w:noProof/>
            <w:webHidden/>
          </w:rPr>
          <w:t>149</w:t>
        </w:r>
        <w:r w:rsidR="00B34D67">
          <w:rPr>
            <w:noProof/>
            <w:webHidden/>
          </w:rPr>
          <w:fldChar w:fldCharType="end"/>
        </w:r>
      </w:hyperlink>
    </w:p>
    <w:p w14:paraId="361B26C2" w14:textId="23D965D5" w:rsidR="00B34D67" w:rsidRDefault="00000000">
      <w:pPr>
        <w:pStyle w:val="TableofFigures"/>
        <w:tabs>
          <w:tab w:val="right" w:leader="dot" w:pos="9350"/>
        </w:tabs>
        <w:rPr>
          <w:rFonts w:asciiTheme="minorHAnsi" w:eastAsiaTheme="minorEastAsia" w:hAnsiTheme="minorHAnsi"/>
          <w:noProof/>
          <w:sz w:val="22"/>
        </w:rPr>
      </w:pPr>
      <w:hyperlink w:anchor="_Toc121095139" w:history="1">
        <w:r w:rsidR="00B34D67" w:rsidRPr="00C25DC5">
          <w:rPr>
            <w:rStyle w:val="Hyperlink"/>
            <w:b/>
            <w:bCs/>
            <w:noProof/>
          </w:rPr>
          <w:t>Figure 3.12:</w:t>
        </w:r>
        <w:r w:rsidR="00B34D67" w:rsidRPr="00C25DC5">
          <w:rPr>
            <w:rStyle w:val="Hyperlink"/>
            <w:noProof/>
          </w:rPr>
          <w:t xml:space="preserve"> (A) Three-dimensional model representing the structural and stratigraphic framework of the Arbuckle group. The 3D grid covers an area of </w:t>
        </w:r>
        <w:r w:rsidR="00B34D67" w:rsidRPr="00C25DC5">
          <w:rPr>
            <w:rStyle w:val="Hyperlink"/>
            <w:rFonts w:cs="Times New Roman"/>
            <w:noProof/>
          </w:rPr>
          <w:t xml:space="preserve">10.4 mi2 (26.9 km2). (B) The aerial cell dimensions correspond to the seismic bin size of 82.5 × 82.5ft (25 × 25 m) with an approximate cell/layer thickness of 2 ft (0.6 m). The grid is comprised of 179 x 289 x 450 cells in the I, J, and K directions, respectively, resulting in 23,278,950 cells with a proportional layering scheme. (C) South-North oriented cross-section (B-B’) through the 3D grid flattened on the basement with 3X vertical exaggeration. </w:t>
        </w:r>
        <w:r w:rsidR="00B34D67" w:rsidRPr="00C25DC5">
          <w:rPr>
            <w:rStyle w:val="Hyperlink"/>
            <w:noProof/>
          </w:rPr>
          <w:t>The location of cross section is shown in Figure 2.</w:t>
        </w:r>
        <w:r w:rsidR="00B34D67">
          <w:rPr>
            <w:noProof/>
            <w:webHidden/>
          </w:rPr>
          <w:tab/>
        </w:r>
        <w:r w:rsidR="00B34D67">
          <w:rPr>
            <w:noProof/>
            <w:webHidden/>
          </w:rPr>
          <w:fldChar w:fldCharType="begin"/>
        </w:r>
        <w:r w:rsidR="00B34D67">
          <w:rPr>
            <w:noProof/>
            <w:webHidden/>
          </w:rPr>
          <w:instrText xml:space="preserve"> PAGEREF _Toc121095139 \h </w:instrText>
        </w:r>
        <w:r w:rsidR="00B34D67">
          <w:rPr>
            <w:noProof/>
            <w:webHidden/>
          </w:rPr>
        </w:r>
        <w:r w:rsidR="00B34D67">
          <w:rPr>
            <w:noProof/>
            <w:webHidden/>
          </w:rPr>
          <w:fldChar w:fldCharType="separate"/>
        </w:r>
        <w:r w:rsidR="00B52D1E">
          <w:rPr>
            <w:noProof/>
            <w:webHidden/>
          </w:rPr>
          <w:t>150</w:t>
        </w:r>
        <w:r w:rsidR="00B34D67">
          <w:rPr>
            <w:noProof/>
            <w:webHidden/>
          </w:rPr>
          <w:fldChar w:fldCharType="end"/>
        </w:r>
      </w:hyperlink>
    </w:p>
    <w:p w14:paraId="4AAAB944" w14:textId="1EFABDFA" w:rsidR="00B34D67" w:rsidRDefault="00000000">
      <w:pPr>
        <w:pStyle w:val="TableofFigures"/>
        <w:tabs>
          <w:tab w:val="right" w:leader="dot" w:pos="9350"/>
        </w:tabs>
        <w:rPr>
          <w:rFonts w:asciiTheme="minorHAnsi" w:eastAsiaTheme="minorEastAsia" w:hAnsiTheme="minorHAnsi"/>
          <w:noProof/>
          <w:sz w:val="22"/>
        </w:rPr>
      </w:pPr>
      <w:hyperlink w:anchor="_Toc121095140" w:history="1">
        <w:r w:rsidR="00B34D67" w:rsidRPr="00C25DC5">
          <w:rPr>
            <w:rStyle w:val="Hyperlink"/>
            <w:b/>
            <w:bCs/>
            <w:noProof/>
          </w:rPr>
          <w:t xml:space="preserve">Figure 3.13:  </w:t>
        </w:r>
        <w:r w:rsidR="00B34D67" w:rsidRPr="00C25DC5">
          <w:rPr>
            <w:rStyle w:val="Hyperlink"/>
            <w:noProof/>
          </w:rPr>
          <w:t>Perspective views of 3D model sections showing the spatial distribution of A) Petrofacies, B) Porosity, and C) Permeability. Base Arbuckle horizon is displayed.</w:t>
        </w:r>
        <w:r w:rsidR="00B34D67">
          <w:rPr>
            <w:noProof/>
            <w:webHidden/>
          </w:rPr>
          <w:tab/>
        </w:r>
        <w:r w:rsidR="00B34D67">
          <w:rPr>
            <w:noProof/>
            <w:webHidden/>
          </w:rPr>
          <w:fldChar w:fldCharType="begin"/>
        </w:r>
        <w:r w:rsidR="00B34D67">
          <w:rPr>
            <w:noProof/>
            <w:webHidden/>
          </w:rPr>
          <w:instrText xml:space="preserve"> PAGEREF _Toc121095140 \h </w:instrText>
        </w:r>
        <w:r w:rsidR="00B34D67">
          <w:rPr>
            <w:noProof/>
            <w:webHidden/>
          </w:rPr>
        </w:r>
        <w:r w:rsidR="00B34D67">
          <w:rPr>
            <w:noProof/>
            <w:webHidden/>
          </w:rPr>
          <w:fldChar w:fldCharType="separate"/>
        </w:r>
        <w:r w:rsidR="00B52D1E">
          <w:rPr>
            <w:noProof/>
            <w:webHidden/>
          </w:rPr>
          <w:t>151</w:t>
        </w:r>
        <w:r w:rsidR="00B34D67">
          <w:rPr>
            <w:noProof/>
            <w:webHidden/>
          </w:rPr>
          <w:fldChar w:fldCharType="end"/>
        </w:r>
      </w:hyperlink>
    </w:p>
    <w:p w14:paraId="129248E9" w14:textId="63732B14" w:rsidR="00B34D67" w:rsidRDefault="00000000">
      <w:pPr>
        <w:pStyle w:val="TableofFigures"/>
        <w:tabs>
          <w:tab w:val="right" w:leader="dot" w:pos="9350"/>
        </w:tabs>
        <w:rPr>
          <w:rFonts w:asciiTheme="minorHAnsi" w:eastAsiaTheme="minorEastAsia" w:hAnsiTheme="minorHAnsi"/>
          <w:noProof/>
          <w:sz w:val="22"/>
        </w:rPr>
      </w:pPr>
      <w:hyperlink w:anchor="_Toc121095141" w:history="1">
        <w:r w:rsidR="00B34D67" w:rsidRPr="00C25DC5">
          <w:rPr>
            <w:rStyle w:val="Hyperlink"/>
            <w:b/>
            <w:bCs/>
            <w:noProof/>
          </w:rPr>
          <w:t>Figure 3.14</w:t>
        </w:r>
        <w:r w:rsidR="00B34D67" w:rsidRPr="00C25DC5">
          <w:rPr>
            <w:rStyle w:val="Hyperlink"/>
            <w:noProof/>
          </w:rPr>
          <w:t>: East-west oriented cross-sections (D – D’) taken from the reservoir models showing the distribution of petrofacies and corresponding petrophysical property distribution. A) Petrofacies distribution shows that the Arbuckle Zones A and C are mainly composed of petrofacies 1, while Zone B can be seen as abundant with petrofacies 2 and 3. B) Porosity distribution. High porosity values are observed at zones A and C, correlating with the high concentrations of the petrofacies 1. In contrast, Zone B has lower porosity values coinciding with the abundance of petrofacies 2 and 3. C) Permeability distribution shows a similar trend with the porosity, in which the high permeability values can be seen at zones A and C, and low permeability values are observed at Zone B as petrofacies 2 and 3 become more prominent. The location of cross section is shown in Figure 2.</w:t>
        </w:r>
        <w:r w:rsidR="00B34D67">
          <w:rPr>
            <w:noProof/>
            <w:webHidden/>
          </w:rPr>
          <w:tab/>
        </w:r>
        <w:r w:rsidR="00B34D67">
          <w:rPr>
            <w:noProof/>
            <w:webHidden/>
          </w:rPr>
          <w:fldChar w:fldCharType="begin"/>
        </w:r>
        <w:r w:rsidR="00B34D67">
          <w:rPr>
            <w:noProof/>
            <w:webHidden/>
          </w:rPr>
          <w:instrText xml:space="preserve"> PAGEREF _Toc121095141 \h </w:instrText>
        </w:r>
        <w:r w:rsidR="00B34D67">
          <w:rPr>
            <w:noProof/>
            <w:webHidden/>
          </w:rPr>
        </w:r>
        <w:r w:rsidR="00B34D67">
          <w:rPr>
            <w:noProof/>
            <w:webHidden/>
          </w:rPr>
          <w:fldChar w:fldCharType="separate"/>
        </w:r>
        <w:r w:rsidR="00B52D1E">
          <w:rPr>
            <w:noProof/>
            <w:webHidden/>
          </w:rPr>
          <w:t>152</w:t>
        </w:r>
        <w:r w:rsidR="00B34D67">
          <w:rPr>
            <w:noProof/>
            <w:webHidden/>
          </w:rPr>
          <w:fldChar w:fldCharType="end"/>
        </w:r>
      </w:hyperlink>
    </w:p>
    <w:p w14:paraId="1103D901" w14:textId="7F3C670D" w:rsidR="00B34D67" w:rsidRDefault="00000000">
      <w:pPr>
        <w:pStyle w:val="TableofFigures"/>
        <w:tabs>
          <w:tab w:val="right" w:leader="dot" w:pos="9350"/>
        </w:tabs>
        <w:rPr>
          <w:rFonts w:asciiTheme="minorHAnsi" w:eastAsiaTheme="minorEastAsia" w:hAnsiTheme="minorHAnsi"/>
          <w:noProof/>
          <w:sz w:val="22"/>
        </w:rPr>
      </w:pPr>
      <w:hyperlink w:anchor="_Toc121095142" w:history="1">
        <w:r w:rsidR="00B34D67" w:rsidRPr="00C25DC5">
          <w:rPr>
            <w:rStyle w:val="Hyperlink"/>
            <w:b/>
            <w:bCs/>
            <w:noProof/>
          </w:rPr>
          <w:t>Figure 3.15</w:t>
        </w:r>
        <w:r w:rsidR="00B34D67" w:rsidRPr="00C25DC5">
          <w:rPr>
            <w:rStyle w:val="Hyperlink"/>
            <w:noProof/>
          </w:rPr>
          <w:t>: Petrofacies proportion maps showing thickness of each petrofacies proportional to the individual zone thickness. Petrofacies 1 is mostly abundant at zones A and C, with a homogeneous spatial distribution. Petrofacies 2 and 3 can be seen dominating the Arbuckle zone B, and mainly concentrated on the central and the southeastern sections of the study area, showing northeast-southwest linear trend.</w:t>
        </w:r>
        <w:r w:rsidR="00B34D67">
          <w:rPr>
            <w:noProof/>
            <w:webHidden/>
          </w:rPr>
          <w:tab/>
        </w:r>
        <w:r w:rsidR="00B34D67">
          <w:rPr>
            <w:noProof/>
            <w:webHidden/>
          </w:rPr>
          <w:fldChar w:fldCharType="begin"/>
        </w:r>
        <w:r w:rsidR="00B34D67">
          <w:rPr>
            <w:noProof/>
            <w:webHidden/>
          </w:rPr>
          <w:instrText xml:space="preserve"> PAGEREF _Toc121095142 \h </w:instrText>
        </w:r>
        <w:r w:rsidR="00B34D67">
          <w:rPr>
            <w:noProof/>
            <w:webHidden/>
          </w:rPr>
        </w:r>
        <w:r w:rsidR="00B34D67">
          <w:rPr>
            <w:noProof/>
            <w:webHidden/>
          </w:rPr>
          <w:fldChar w:fldCharType="separate"/>
        </w:r>
        <w:r w:rsidR="00B52D1E">
          <w:rPr>
            <w:noProof/>
            <w:webHidden/>
          </w:rPr>
          <w:t>155</w:t>
        </w:r>
        <w:r w:rsidR="00B34D67">
          <w:rPr>
            <w:noProof/>
            <w:webHidden/>
          </w:rPr>
          <w:fldChar w:fldCharType="end"/>
        </w:r>
      </w:hyperlink>
    </w:p>
    <w:p w14:paraId="5BA8C458" w14:textId="7BB224EB" w:rsidR="00B34D67" w:rsidRDefault="00000000">
      <w:pPr>
        <w:pStyle w:val="TableofFigures"/>
        <w:tabs>
          <w:tab w:val="right" w:leader="dot" w:pos="9350"/>
        </w:tabs>
        <w:rPr>
          <w:rFonts w:asciiTheme="minorHAnsi" w:eastAsiaTheme="minorEastAsia" w:hAnsiTheme="minorHAnsi"/>
          <w:noProof/>
          <w:sz w:val="22"/>
        </w:rPr>
      </w:pPr>
      <w:hyperlink w:anchor="_Toc121095143" w:history="1">
        <w:r w:rsidR="00B34D67" w:rsidRPr="00C25DC5">
          <w:rPr>
            <w:rStyle w:val="Hyperlink"/>
            <w:b/>
            <w:bCs/>
            <w:noProof/>
          </w:rPr>
          <w:t xml:space="preserve">Figure 3.16: </w:t>
        </w:r>
        <w:r w:rsidR="00B34D67" w:rsidRPr="00C25DC5">
          <w:rPr>
            <w:rStyle w:val="Hyperlink"/>
            <w:noProof/>
          </w:rPr>
          <w:t>Average porosity maps for the Arbuckle zones A-C. Zones A and C exhibit high average porosity values (up to 8%). In contrast, Zone B has low average porosity values of up to 4%. Heterogeneous distribution of porosity values can also be observed.</w:t>
        </w:r>
        <w:r w:rsidR="00B34D67">
          <w:rPr>
            <w:noProof/>
            <w:webHidden/>
          </w:rPr>
          <w:tab/>
        </w:r>
        <w:r w:rsidR="00B34D67">
          <w:rPr>
            <w:noProof/>
            <w:webHidden/>
          </w:rPr>
          <w:fldChar w:fldCharType="begin"/>
        </w:r>
        <w:r w:rsidR="00B34D67">
          <w:rPr>
            <w:noProof/>
            <w:webHidden/>
          </w:rPr>
          <w:instrText xml:space="preserve"> PAGEREF _Toc121095143 \h </w:instrText>
        </w:r>
        <w:r w:rsidR="00B34D67">
          <w:rPr>
            <w:noProof/>
            <w:webHidden/>
          </w:rPr>
        </w:r>
        <w:r w:rsidR="00B34D67">
          <w:rPr>
            <w:noProof/>
            <w:webHidden/>
          </w:rPr>
          <w:fldChar w:fldCharType="separate"/>
        </w:r>
        <w:r w:rsidR="00B52D1E">
          <w:rPr>
            <w:noProof/>
            <w:webHidden/>
          </w:rPr>
          <w:t>156</w:t>
        </w:r>
        <w:r w:rsidR="00B34D67">
          <w:rPr>
            <w:noProof/>
            <w:webHidden/>
          </w:rPr>
          <w:fldChar w:fldCharType="end"/>
        </w:r>
      </w:hyperlink>
    </w:p>
    <w:p w14:paraId="74813AA8" w14:textId="2168CD91" w:rsidR="00B34D67" w:rsidRDefault="00000000">
      <w:pPr>
        <w:pStyle w:val="TableofFigures"/>
        <w:tabs>
          <w:tab w:val="right" w:leader="dot" w:pos="9350"/>
        </w:tabs>
        <w:rPr>
          <w:rFonts w:asciiTheme="minorHAnsi" w:eastAsiaTheme="minorEastAsia" w:hAnsiTheme="minorHAnsi"/>
          <w:noProof/>
          <w:sz w:val="22"/>
        </w:rPr>
      </w:pPr>
      <w:hyperlink w:anchor="_Toc121095144" w:history="1">
        <w:r w:rsidR="00B34D67" w:rsidRPr="00C25DC5">
          <w:rPr>
            <w:rStyle w:val="Hyperlink"/>
            <w:b/>
            <w:bCs/>
            <w:noProof/>
          </w:rPr>
          <w:t xml:space="preserve">Figure 3.17: </w:t>
        </w:r>
        <w:r w:rsidR="00B34D67" w:rsidRPr="00C25DC5">
          <w:rPr>
            <w:rStyle w:val="Hyperlink"/>
            <w:noProof/>
          </w:rPr>
          <w:t>Average permeability maps for the Arbuckle zones A-C. Zones A and C exhibit high average permeability values (up to 300 mD). Zone B can be seen as having lower average permeability values up to 20mD.</w:t>
        </w:r>
        <w:r w:rsidR="00B34D67">
          <w:rPr>
            <w:noProof/>
            <w:webHidden/>
          </w:rPr>
          <w:tab/>
        </w:r>
        <w:r w:rsidR="00B34D67">
          <w:rPr>
            <w:noProof/>
            <w:webHidden/>
          </w:rPr>
          <w:fldChar w:fldCharType="begin"/>
        </w:r>
        <w:r w:rsidR="00B34D67">
          <w:rPr>
            <w:noProof/>
            <w:webHidden/>
          </w:rPr>
          <w:instrText xml:space="preserve"> PAGEREF _Toc121095144 \h </w:instrText>
        </w:r>
        <w:r w:rsidR="00B34D67">
          <w:rPr>
            <w:noProof/>
            <w:webHidden/>
          </w:rPr>
        </w:r>
        <w:r w:rsidR="00B34D67">
          <w:rPr>
            <w:noProof/>
            <w:webHidden/>
          </w:rPr>
          <w:fldChar w:fldCharType="separate"/>
        </w:r>
        <w:r w:rsidR="00B52D1E">
          <w:rPr>
            <w:noProof/>
            <w:webHidden/>
          </w:rPr>
          <w:t>157</w:t>
        </w:r>
        <w:r w:rsidR="00B34D67">
          <w:rPr>
            <w:noProof/>
            <w:webHidden/>
          </w:rPr>
          <w:fldChar w:fldCharType="end"/>
        </w:r>
      </w:hyperlink>
    </w:p>
    <w:p w14:paraId="1CB4454E" w14:textId="20FD8FAB" w:rsidR="00B34D67" w:rsidRDefault="00000000">
      <w:pPr>
        <w:pStyle w:val="TableofFigures"/>
        <w:tabs>
          <w:tab w:val="right" w:leader="dot" w:pos="9350"/>
        </w:tabs>
        <w:rPr>
          <w:rFonts w:asciiTheme="minorHAnsi" w:eastAsiaTheme="minorEastAsia" w:hAnsiTheme="minorHAnsi"/>
          <w:noProof/>
          <w:sz w:val="22"/>
        </w:rPr>
      </w:pPr>
      <w:hyperlink w:anchor="_Toc121095145" w:history="1">
        <w:r w:rsidR="00B34D67" w:rsidRPr="00C25DC5">
          <w:rPr>
            <w:rStyle w:val="Hyperlink"/>
            <w:b/>
            <w:bCs/>
            <w:noProof/>
          </w:rPr>
          <w:t>Figure 3.18:</w:t>
        </w:r>
        <w:r w:rsidR="00B34D67" w:rsidRPr="00C25DC5">
          <w:rPr>
            <w:rStyle w:val="Hyperlink"/>
            <w:noProof/>
          </w:rPr>
          <w:t xml:space="preserve"> East-West and South-North oriented cross-sections from the dynamic simulation results showing the subsurface plume evolution during (A) 10, (B) 50, and (C) 100 years of CO</w:t>
        </w:r>
        <w:r w:rsidR="00B34D67" w:rsidRPr="00C25DC5">
          <w:rPr>
            <w:rStyle w:val="Hyperlink"/>
            <w:noProof/>
            <w:vertAlign w:val="subscript"/>
          </w:rPr>
          <w:t>2</w:t>
        </w:r>
        <w:r w:rsidR="00B34D67" w:rsidRPr="00C25DC5">
          <w:rPr>
            <w:rStyle w:val="Hyperlink"/>
            <w:noProof/>
          </w:rPr>
          <w:t xml:space="preserve"> injection.</w:t>
        </w:r>
        <w:r w:rsidR="00B34D67">
          <w:rPr>
            <w:noProof/>
            <w:webHidden/>
          </w:rPr>
          <w:tab/>
        </w:r>
        <w:r w:rsidR="00B34D67">
          <w:rPr>
            <w:noProof/>
            <w:webHidden/>
          </w:rPr>
          <w:fldChar w:fldCharType="begin"/>
        </w:r>
        <w:r w:rsidR="00B34D67">
          <w:rPr>
            <w:noProof/>
            <w:webHidden/>
          </w:rPr>
          <w:instrText xml:space="preserve"> PAGEREF _Toc121095145 \h </w:instrText>
        </w:r>
        <w:r w:rsidR="00B34D67">
          <w:rPr>
            <w:noProof/>
            <w:webHidden/>
          </w:rPr>
        </w:r>
        <w:r w:rsidR="00B34D67">
          <w:rPr>
            <w:noProof/>
            <w:webHidden/>
          </w:rPr>
          <w:fldChar w:fldCharType="separate"/>
        </w:r>
        <w:r w:rsidR="00B52D1E">
          <w:rPr>
            <w:noProof/>
            <w:webHidden/>
          </w:rPr>
          <w:t>158</w:t>
        </w:r>
        <w:r w:rsidR="00B34D67">
          <w:rPr>
            <w:noProof/>
            <w:webHidden/>
          </w:rPr>
          <w:fldChar w:fldCharType="end"/>
        </w:r>
      </w:hyperlink>
    </w:p>
    <w:p w14:paraId="4AD387FE" w14:textId="7703BF78" w:rsidR="00B34D67" w:rsidRDefault="00000000">
      <w:pPr>
        <w:pStyle w:val="TableofFigures"/>
        <w:tabs>
          <w:tab w:val="right" w:leader="dot" w:pos="9350"/>
        </w:tabs>
        <w:rPr>
          <w:rFonts w:asciiTheme="minorHAnsi" w:eastAsiaTheme="minorEastAsia" w:hAnsiTheme="minorHAnsi"/>
          <w:noProof/>
          <w:sz w:val="22"/>
        </w:rPr>
      </w:pPr>
      <w:hyperlink w:anchor="_Toc121095146" w:history="1">
        <w:r w:rsidR="00B34D67" w:rsidRPr="00C25DC5">
          <w:rPr>
            <w:rStyle w:val="Hyperlink"/>
            <w:b/>
            <w:bCs/>
            <w:noProof/>
          </w:rPr>
          <w:t>Figure 3.19:</w:t>
        </w:r>
        <w:r w:rsidR="00B34D67" w:rsidRPr="00C25DC5">
          <w:rPr>
            <w:rStyle w:val="Hyperlink"/>
            <w:noProof/>
          </w:rPr>
          <w:t xml:space="preserve"> East-West and South-North oriented cross sections from the dynamic simulation results showing the subsurface plume evolution during (A) 10, (B) 50, and (C) 100 years of CO</w:t>
        </w:r>
        <w:r w:rsidR="00B34D67" w:rsidRPr="00C25DC5">
          <w:rPr>
            <w:rStyle w:val="Hyperlink"/>
            <w:noProof/>
            <w:vertAlign w:val="subscript"/>
          </w:rPr>
          <w:t>2</w:t>
        </w:r>
        <w:r w:rsidR="00B34D67" w:rsidRPr="00C25DC5">
          <w:rPr>
            <w:rStyle w:val="Hyperlink"/>
            <w:noProof/>
          </w:rPr>
          <w:t xml:space="preserve"> post-injection periods.</w:t>
        </w:r>
        <w:r w:rsidR="00B34D67">
          <w:rPr>
            <w:noProof/>
            <w:webHidden/>
          </w:rPr>
          <w:tab/>
        </w:r>
        <w:r w:rsidR="00B34D67">
          <w:rPr>
            <w:noProof/>
            <w:webHidden/>
          </w:rPr>
          <w:fldChar w:fldCharType="begin"/>
        </w:r>
        <w:r w:rsidR="00B34D67">
          <w:rPr>
            <w:noProof/>
            <w:webHidden/>
          </w:rPr>
          <w:instrText xml:space="preserve"> PAGEREF _Toc121095146 \h </w:instrText>
        </w:r>
        <w:r w:rsidR="00B34D67">
          <w:rPr>
            <w:noProof/>
            <w:webHidden/>
          </w:rPr>
        </w:r>
        <w:r w:rsidR="00B34D67">
          <w:rPr>
            <w:noProof/>
            <w:webHidden/>
          </w:rPr>
          <w:fldChar w:fldCharType="separate"/>
        </w:r>
        <w:r w:rsidR="00B52D1E">
          <w:rPr>
            <w:noProof/>
            <w:webHidden/>
          </w:rPr>
          <w:t>159</w:t>
        </w:r>
        <w:r w:rsidR="00B34D67">
          <w:rPr>
            <w:noProof/>
            <w:webHidden/>
          </w:rPr>
          <w:fldChar w:fldCharType="end"/>
        </w:r>
      </w:hyperlink>
    </w:p>
    <w:p w14:paraId="30150021" w14:textId="45690C71" w:rsidR="00B34D67" w:rsidRDefault="00000000">
      <w:pPr>
        <w:pStyle w:val="TableofFigures"/>
        <w:tabs>
          <w:tab w:val="right" w:leader="dot" w:pos="9350"/>
        </w:tabs>
        <w:rPr>
          <w:rFonts w:asciiTheme="minorHAnsi" w:eastAsiaTheme="minorEastAsia" w:hAnsiTheme="minorHAnsi"/>
          <w:noProof/>
          <w:sz w:val="22"/>
        </w:rPr>
      </w:pPr>
      <w:hyperlink w:anchor="_Toc121095147" w:history="1">
        <w:r w:rsidR="00B34D67" w:rsidRPr="00C25DC5">
          <w:rPr>
            <w:rStyle w:val="Hyperlink"/>
            <w:b/>
            <w:bCs/>
            <w:noProof/>
          </w:rPr>
          <w:t xml:space="preserve">Figure 3.20: </w:t>
        </w:r>
        <w:r w:rsidR="00B34D67" w:rsidRPr="00C25DC5">
          <w:rPr>
            <w:rStyle w:val="Hyperlink"/>
            <w:noProof/>
          </w:rPr>
          <w:t>Map views of subsurface CO</w:t>
        </w:r>
        <w:r w:rsidR="00B34D67" w:rsidRPr="00C25DC5">
          <w:rPr>
            <w:rStyle w:val="Hyperlink"/>
            <w:noProof/>
            <w:vertAlign w:val="subscript"/>
          </w:rPr>
          <w:t>2</w:t>
        </w:r>
        <w:r w:rsidR="00B34D67" w:rsidRPr="00C25DC5">
          <w:rPr>
            <w:rStyle w:val="Hyperlink"/>
            <w:noProof/>
          </w:rPr>
          <w:t xml:space="preserve"> plume migration during 100-year injection and 100-year post-injection periods. Maps A through C show 10, 50, and 100 years of the injection period. Maps D through F show the plume migration at 10-, 50-, and 100-years post-injection periods, respectively.</w:t>
        </w:r>
        <w:r w:rsidR="00B34D67">
          <w:rPr>
            <w:noProof/>
            <w:webHidden/>
          </w:rPr>
          <w:tab/>
        </w:r>
        <w:r w:rsidR="00B34D67">
          <w:rPr>
            <w:noProof/>
            <w:webHidden/>
          </w:rPr>
          <w:fldChar w:fldCharType="begin"/>
        </w:r>
        <w:r w:rsidR="00B34D67">
          <w:rPr>
            <w:noProof/>
            <w:webHidden/>
          </w:rPr>
          <w:instrText xml:space="preserve"> PAGEREF _Toc121095147 \h </w:instrText>
        </w:r>
        <w:r w:rsidR="00B34D67">
          <w:rPr>
            <w:noProof/>
            <w:webHidden/>
          </w:rPr>
        </w:r>
        <w:r w:rsidR="00B34D67">
          <w:rPr>
            <w:noProof/>
            <w:webHidden/>
          </w:rPr>
          <w:fldChar w:fldCharType="separate"/>
        </w:r>
        <w:r w:rsidR="00B52D1E">
          <w:rPr>
            <w:noProof/>
            <w:webHidden/>
          </w:rPr>
          <w:t>161</w:t>
        </w:r>
        <w:r w:rsidR="00B34D67">
          <w:rPr>
            <w:noProof/>
            <w:webHidden/>
          </w:rPr>
          <w:fldChar w:fldCharType="end"/>
        </w:r>
      </w:hyperlink>
    </w:p>
    <w:p w14:paraId="30B2B833" w14:textId="63DB9B6B" w:rsidR="00B34D67" w:rsidRDefault="00000000">
      <w:pPr>
        <w:pStyle w:val="TableofFigures"/>
        <w:tabs>
          <w:tab w:val="right" w:leader="dot" w:pos="9350"/>
        </w:tabs>
        <w:rPr>
          <w:rFonts w:asciiTheme="minorHAnsi" w:eastAsiaTheme="minorEastAsia" w:hAnsiTheme="minorHAnsi"/>
          <w:noProof/>
          <w:sz w:val="22"/>
        </w:rPr>
      </w:pPr>
      <w:hyperlink w:anchor="_Toc121095148" w:history="1">
        <w:r w:rsidR="00B34D67" w:rsidRPr="00C25DC5">
          <w:rPr>
            <w:rStyle w:val="Hyperlink"/>
            <w:b/>
            <w:bCs/>
            <w:noProof/>
          </w:rPr>
          <w:t xml:space="preserve">Figure 3.21: </w:t>
        </w:r>
        <w:r w:rsidR="00B34D67" w:rsidRPr="00C25DC5">
          <w:rPr>
            <w:rStyle w:val="Hyperlink"/>
            <w:noProof/>
          </w:rPr>
          <w:t>Maximum lateral and the vertical extent of the CO</w:t>
        </w:r>
        <w:r w:rsidR="00B34D67" w:rsidRPr="00C25DC5">
          <w:rPr>
            <w:rStyle w:val="Hyperlink"/>
            <w:noProof/>
            <w:vertAlign w:val="subscript"/>
          </w:rPr>
          <w:t>2</w:t>
        </w:r>
        <w:r w:rsidR="00B34D67" w:rsidRPr="00C25DC5">
          <w:rPr>
            <w:rStyle w:val="Hyperlink"/>
            <w:noProof/>
          </w:rPr>
          <w:t xml:space="preserve"> plume through injection and post-injection periods. (A) The maximum lateral extent of the plume reaches 4450 feet (1356.36), and (B) the greatest vertical radius reaches up to 340 feet (103.63 m).</w:t>
        </w:r>
        <w:r w:rsidR="00B34D67">
          <w:rPr>
            <w:noProof/>
            <w:webHidden/>
          </w:rPr>
          <w:tab/>
        </w:r>
        <w:r w:rsidR="00B34D67">
          <w:rPr>
            <w:noProof/>
            <w:webHidden/>
          </w:rPr>
          <w:fldChar w:fldCharType="begin"/>
        </w:r>
        <w:r w:rsidR="00B34D67">
          <w:rPr>
            <w:noProof/>
            <w:webHidden/>
          </w:rPr>
          <w:instrText xml:space="preserve"> PAGEREF _Toc121095148 \h </w:instrText>
        </w:r>
        <w:r w:rsidR="00B34D67">
          <w:rPr>
            <w:noProof/>
            <w:webHidden/>
          </w:rPr>
        </w:r>
        <w:r w:rsidR="00B34D67">
          <w:rPr>
            <w:noProof/>
            <w:webHidden/>
          </w:rPr>
          <w:fldChar w:fldCharType="separate"/>
        </w:r>
        <w:r w:rsidR="00B52D1E">
          <w:rPr>
            <w:noProof/>
            <w:webHidden/>
          </w:rPr>
          <w:t>162</w:t>
        </w:r>
        <w:r w:rsidR="00B34D67">
          <w:rPr>
            <w:noProof/>
            <w:webHidden/>
          </w:rPr>
          <w:fldChar w:fldCharType="end"/>
        </w:r>
      </w:hyperlink>
    </w:p>
    <w:p w14:paraId="53513792" w14:textId="6ECE251A" w:rsidR="00B34D67" w:rsidRDefault="00000000">
      <w:pPr>
        <w:pStyle w:val="TableofFigures"/>
        <w:tabs>
          <w:tab w:val="right" w:leader="dot" w:pos="9350"/>
        </w:tabs>
        <w:rPr>
          <w:rFonts w:asciiTheme="minorHAnsi" w:eastAsiaTheme="minorEastAsia" w:hAnsiTheme="minorHAnsi"/>
          <w:noProof/>
          <w:sz w:val="22"/>
        </w:rPr>
      </w:pPr>
      <w:hyperlink w:anchor="_Toc121095149" w:history="1">
        <w:r w:rsidR="00B34D67" w:rsidRPr="00C25DC5">
          <w:rPr>
            <w:rStyle w:val="Hyperlink"/>
            <w:b/>
            <w:bCs/>
            <w:noProof/>
          </w:rPr>
          <w:t xml:space="preserve">Figure 3.22: </w:t>
        </w:r>
        <w:r w:rsidR="00B34D67" w:rsidRPr="00C25DC5">
          <w:rPr>
            <w:rStyle w:val="Hyperlink"/>
            <w:noProof/>
          </w:rPr>
          <w:t>Map view comparison of</w:t>
        </w:r>
        <w:r w:rsidR="00B34D67" w:rsidRPr="00C25DC5">
          <w:rPr>
            <w:rStyle w:val="Hyperlink"/>
            <w:b/>
            <w:bCs/>
            <w:noProof/>
          </w:rPr>
          <w:t xml:space="preserve"> </w:t>
        </w:r>
        <w:r w:rsidR="00B34D67" w:rsidRPr="00C25DC5">
          <w:rPr>
            <w:rStyle w:val="Hyperlink"/>
            <w:noProof/>
          </w:rPr>
          <w:t>3D grids used in A) Watney and Rush (2012), and B) this study. The grid defined by Watney and Rush (2012) covers an area of 1.56 mi</w:t>
        </w:r>
        <w:r w:rsidR="00B34D67" w:rsidRPr="00C25DC5">
          <w:rPr>
            <w:rStyle w:val="Hyperlink"/>
            <w:noProof/>
            <w:vertAlign w:val="superscript"/>
          </w:rPr>
          <w:t>2</w:t>
        </w:r>
        <w:r w:rsidR="00B34D67" w:rsidRPr="00C25DC5">
          <w:rPr>
            <w:rStyle w:val="Hyperlink"/>
            <w:rFonts w:cs="Times New Roman"/>
            <w:noProof/>
          </w:rPr>
          <w:t xml:space="preserve"> (</w:t>
        </w:r>
        <w:r w:rsidR="00B34D67" w:rsidRPr="00C25DC5">
          <w:rPr>
            <w:rStyle w:val="Hyperlink"/>
            <w:noProof/>
          </w:rPr>
          <w:t>4.04 km</w:t>
        </w:r>
        <w:r w:rsidR="00B34D67" w:rsidRPr="00C25DC5">
          <w:rPr>
            <w:rStyle w:val="Hyperlink"/>
            <w:noProof/>
            <w:vertAlign w:val="superscript"/>
          </w:rPr>
          <w:t>2</w:t>
        </w:r>
        <w:r w:rsidR="00B34D67" w:rsidRPr="00C25DC5">
          <w:rPr>
            <w:rStyle w:val="Hyperlink"/>
            <w:noProof/>
          </w:rPr>
          <w:t xml:space="preserve">)and made up of </w:t>
        </w:r>
        <w:r w:rsidR="00B34D67" w:rsidRPr="00C25DC5">
          <w:rPr>
            <w:rStyle w:val="Hyperlink"/>
            <w:rFonts w:cs="Times New Roman"/>
            <w:noProof/>
          </w:rPr>
          <w:t xml:space="preserve">706 x 654 x 79 cells in I, J, and K directions (total of </w:t>
        </w:r>
        <w:r w:rsidR="00B34D67" w:rsidRPr="00C25DC5">
          <w:rPr>
            <w:rStyle w:val="Hyperlink"/>
            <w:noProof/>
          </w:rPr>
          <w:t xml:space="preserve">36,476,196 cells). The 3D grid defined in this study spans an area of </w:t>
        </w:r>
        <w:r w:rsidR="00B34D67" w:rsidRPr="00C25DC5">
          <w:rPr>
            <w:rStyle w:val="Hyperlink"/>
            <w:rFonts w:cs="Times New Roman"/>
            <w:noProof/>
          </w:rPr>
          <w:t>approximately 10.4 mi</w:t>
        </w:r>
        <w:r w:rsidR="00B34D67" w:rsidRPr="00C25DC5">
          <w:rPr>
            <w:rStyle w:val="Hyperlink"/>
            <w:rFonts w:cs="Times New Roman"/>
            <w:noProof/>
            <w:vertAlign w:val="superscript"/>
          </w:rPr>
          <w:t>2</w:t>
        </w:r>
        <w:r w:rsidR="00B34D67" w:rsidRPr="00C25DC5">
          <w:rPr>
            <w:rStyle w:val="Hyperlink"/>
            <w:rFonts w:cs="Times New Roman"/>
            <w:noProof/>
          </w:rPr>
          <w:t xml:space="preserve"> (26.9 km</w:t>
        </w:r>
        <w:r w:rsidR="00B34D67" w:rsidRPr="00C25DC5">
          <w:rPr>
            <w:rStyle w:val="Hyperlink"/>
            <w:rFonts w:cs="Times New Roman"/>
            <w:noProof/>
            <w:vertAlign w:val="superscript"/>
          </w:rPr>
          <w:t>2</w:t>
        </w:r>
        <w:r w:rsidR="00B34D67" w:rsidRPr="00C25DC5">
          <w:rPr>
            <w:rStyle w:val="Hyperlink"/>
            <w:rFonts w:cs="Times New Roman"/>
            <w:noProof/>
          </w:rPr>
          <w:t>) and comprises of 179 x 289 x 450 cells in the I, J, and K directions, resulting in 23,278,950 cells.</w:t>
        </w:r>
        <w:r w:rsidR="00B34D67">
          <w:rPr>
            <w:noProof/>
            <w:webHidden/>
          </w:rPr>
          <w:tab/>
        </w:r>
        <w:r w:rsidR="00B34D67">
          <w:rPr>
            <w:noProof/>
            <w:webHidden/>
          </w:rPr>
          <w:fldChar w:fldCharType="begin"/>
        </w:r>
        <w:r w:rsidR="00B34D67">
          <w:rPr>
            <w:noProof/>
            <w:webHidden/>
          </w:rPr>
          <w:instrText xml:space="preserve"> PAGEREF _Toc121095149 \h </w:instrText>
        </w:r>
        <w:r w:rsidR="00B34D67">
          <w:rPr>
            <w:noProof/>
            <w:webHidden/>
          </w:rPr>
        </w:r>
        <w:r w:rsidR="00B34D67">
          <w:rPr>
            <w:noProof/>
            <w:webHidden/>
          </w:rPr>
          <w:fldChar w:fldCharType="separate"/>
        </w:r>
        <w:r w:rsidR="00B52D1E">
          <w:rPr>
            <w:noProof/>
            <w:webHidden/>
          </w:rPr>
          <w:t>163</w:t>
        </w:r>
        <w:r w:rsidR="00B34D67">
          <w:rPr>
            <w:noProof/>
            <w:webHidden/>
          </w:rPr>
          <w:fldChar w:fldCharType="end"/>
        </w:r>
      </w:hyperlink>
    </w:p>
    <w:p w14:paraId="6DCDBAF9" w14:textId="3C9005C7" w:rsidR="00B34D67" w:rsidRDefault="00000000">
      <w:pPr>
        <w:pStyle w:val="TableofFigures"/>
        <w:tabs>
          <w:tab w:val="right" w:leader="dot" w:pos="9350"/>
        </w:tabs>
        <w:rPr>
          <w:rFonts w:asciiTheme="minorHAnsi" w:eastAsiaTheme="minorEastAsia" w:hAnsiTheme="minorHAnsi"/>
          <w:noProof/>
          <w:sz w:val="22"/>
        </w:rPr>
      </w:pPr>
      <w:hyperlink w:anchor="_Toc121095150" w:history="1">
        <w:r w:rsidR="00B34D67" w:rsidRPr="00C25DC5">
          <w:rPr>
            <w:rStyle w:val="Hyperlink"/>
            <w:b/>
            <w:bCs/>
            <w:noProof/>
          </w:rPr>
          <w:t xml:space="preserve">Figure 3.23: </w:t>
        </w:r>
        <w:r w:rsidR="00B34D67" w:rsidRPr="00C25DC5">
          <w:rPr>
            <w:rStyle w:val="Hyperlink"/>
            <w:noProof/>
          </w:rPr>
          <w:t>East-west cross sections transecting through the Berexco Wellington KGS #1-28 Well showing the comparison of rock type models created by A) Watney and Rush (2012) and B) this study.</w:t>
        </w:r>
        <w:r w:rsidR="00B34D67">
          <w:rPr>
            <w:noProof/>
            <w:webHidden/>
          </w:rPr>
          <w:tab/>
        </w:r>
        <w:r w:rsidR="00B34D67">
          <w:rPr>
            <w:noProof/>
            <w:webHidden/>
          </w:rPr>
          <w:fldChar w:fldCharType="begin"/>
        </w:r>
        <w:r w:rsidR="00B34D67">
          <w:rPr>
            <w:noProof/>
            <w:webHidden/>
          </w:rPr>
          <w:instrText xml:space="preserve"> PAGEREF _Toc121095150 \h </w:instrText>
        </w:r>
        <w:r w:rsidR="00B34D67">
          <w:rPr>
            <w:noProof/>
            <w:webHidden/>
          </w:rPr>
        </w:r>
        <w:r w:rsidR="00B34D67">
          <w:rPr>
            <w:noProof/>
            <w:webHidden/>
          </w:rPr>
          <w:fldChar w:fldCharType="separate"/>
        </w:r>
        <w:r w:rsidR="00B52D1E">
          <w:rPr>
            <w:noProof/>
            <w:webHidden/>
          </w:rPr>
          <w:t>164</w:t>
        </w:r>
        <w:r w:rsidR="00B34D67">
          <w:rPr>
            <w:noProof/>
            <w:webHidden/>
          </w:rPr>
          <w:fldChar w:fldCharType="end"/>
        </w:r>
      </w:hyperlink>
    </w:p>
    <w:p w14:paraId="088AC19F" w14:textId="6C214489" w:rsidR="00B34D67" w:rsidRDefault="00000000">
      <w:pPr>
        <w:pStyle w:val="TableofFigures"/>
        <w:tabs>
          <w:tab w:val="right" w:leader="dot" w:pos="9350"/>
        </w:tabs>
        <w:rPr>
          <w:rFonts w:asciiTheme="minorHAnsi" w:eastAsiaTheme="minorEastAsia" w:hAnsiTheme="minorHAnsi"/>
          <w:noProof/>
          <w:sz w:val="22"/>
        </w:rPr>
      </w:pPr>
      <w:hyperlink w:anchor="_Toc121095151" w:history="1">
        <w:r w:rsidR="00B34D67" w:rsidRPr="00C25DC5">
          <w:rPr>
            <w:rStyle w:val="Hyperlink"/>
            <w:b/>
            <w:bCs/>
            <w:noProof/>
          </w:rPr>
          <w:t xml:space="preserve">Figure 3.24: </w:t>
        </w:r>
        <w:r w:rsidR="00B34D67" w:rsidRPr="00C25DC5">
          <w:rPr>
            <w:rStyle w:val="Hyperlink"/>
            <w:noProof/>
          </w:rPr>
          <w:t>North-south cross sections transecting through the Berexco Wellington KGS #1-28 Well showing the comparison of rock type models created by A) Watney and Rush (2012) and B) this study.</w:t>
        </w:r>
        <w:r w:rsidR="00B34D67">
          <w:rPr>
            <w:noProof/>
            <w:webHidden/>
          </w:rPr>
          <w:tab/>
        </w:r>
        <w:r w:rsidR="00B34D67">
          <w:rPr>
            <w:noProof/>
            <w:webHidden/>
          </w:rPr>
          <w:fldChar w:fldCharType="begin"/>
        </w:r>
        <w:r w:rsidR="00B34D67">
          <w:rPr>
            <w:noProof/>
            <w:webHidden/>
          </w:rPr>
          <w:instrText xml:space="preserve"> PAGEREF _Toc121095151 \h </w:instrText>
        </w:r>
        <w:r w:rsidR="00B34D67">
          <w:rPr>
            <w:noProof/>
            <w:webHidden/>
          </w:rPr>
        </w:r>
        <w:r w:rsidR="00B34D67">
          <w:rPr>
            <w:noProof/>
            <w:webHidden/>
          </w:rPr>
          <w:fldChar w:fldCharType="separate"/>
        </w:r>
        <w:r w:rsidR="00B52D1E">
          <w:rPr>
            <w:noProof/>
            <w:webHidden/>
          </w:rPr>
          <w:t>165</w:t>
        </w:r>
        <w:r w:rsidR="00B34D67">
          <w:rPr>
            <w:noProof/>
            <w:webHidden/>
          </w:rPr>
          <w:fldChar w:fldCharType="end"/>
        </w:r>
      </w:hyperlink>
    </w:p>
    <w:p w14:paraId="4E329840" w14:textId="218313CB" w:rsidR="00B34D67" w:rsidRDefault="00000000">
      <w:pPr>
        <w:pStyle w:val="TableofFigures"/>
        <w:tabs>
          <w:tab w:val="right" w:leader="dot" w:pos="9350"/>
        </w:tabs>
        <w:rPr>
          <w:rFonts w:asciiTheme="minorHAnsi" w:eastAsiaTheme="minorEastAsia" w:hAnsiTheme="minorHAnsi"/>
          <w:noProof/>
          <w:sz w:val="22"/>
        </w:rPr>
      </w:pPr>
      <w:hyperlink w:anchor="_Toc121095152" w:history="1">
        <w:r w:rsidR="00B34D67" w:rsidRPr="00C25DC5">
          <w:rPr>
            <w:rStyle w:val="Hyperlink"/>
            <w:b/>
            <w:bCs/>
            <w:noProof/>
          </w:rPr>
          <w:t>Figure 3.25:</w:t>
        </w:r>
        <w:r w:rsidR="00B34D67" w:rsidRPr="00C25DC5">
          <w:rPr>
            <w:rStyle w:val="Hyperlink"/>
            <w:noProof/>
          </w:rPr>
          <w:t xml:space="preserve"> East-west cross sections transecting through the Berexco Wellington KGS #1-28 Well showing the comparison of horizontal permeability models created by A) Watney and Rush (2012) and B) this study.</w:t>
        </w:r>
        <w:r w:rsidR="00B34D67">
          <w:rPr>
            <w:noProof/>
            <w:webHidden/>
          </w:rPr>
          <w:tab/>
        </w:r>
        <w:r w:rsidR="00B34D67">
          <w:rPr>
            <w:noProof/>
            <w:webHidden/>
          </w:rPr>
          <w:fldChar w:fldCharType="begin"/>
        </w:r>
        <w:r w:rsidR="00B34D67">
          <w:rPr>
            <w:noProof/>
            <w:webHidden/>
          </w:rPr>
          <w:instrText xml:space="preserve"> PAGEREF _Toc121095152 \h </w:instrText>
        </w:r>
        <w:r w:rsidR="00B34D67">
          <w:rPr>
            <w:noProof/>
            <w:webHidden/>
          </w:rPr>
        </w:r>
        <w:r w:rsidR="00B34D67">
          <w:rPr>
            <w:noProof/>
            <w:webHidden/>
          </w:rPr>
          <w:fldChar w:fldCharType="separate"/>
        </w:r>
        <w:r w:rsidR="00B52D1E">
          <w:rPr>
            <w:noProof/>
            <w:webHidden/>
          </w:rPr>
          <w:t>166</w:t>
        </w:r>
        <w:r w:rsidR="00B34D67">
          <w:rPr>
            <w:noProof/>
            <w:webHidden/>
          </w:rPr>
          <w:fldChar w:fldCharType="end"/>
        </w:r>
      </w:hyperlink>
    </w:p>
    <w:p w14:paraId="06079E87" w14:textId="241F154D" w:rsidR="00B34D67" w:rsidRDefault="00000000">
      <w:pPr>
        <w:pStyle w:val="TableofFigures"/>
        <w:tabs>
          <w:tab w:val="right" w:leader="dot" w:pos="9350"/>
        </w:tabs>
        <w:rPr>
          <w:rStyle w:val="Hyperlink"/>
          <w:noProof/>
        </w:rPr>
      </w:pPr>
      <w:hyperlink w:anchor="_Toc121095153" w:history="1">
        <w:r w:rsidR="00B34D67" w:rsidRPr="00C25DC5">
          <w:rPr>
            <w:rStyle w:val="Hyperlink"/>
            <w:b/>
            <w:bCs/>
            <w:noProof/>
          </w:rPr>
          <w:t>Figure 3.26:</w:t>
        </w:r>
        <w:r w:rsidR="00B34D67" w:rsidRPr="00C25DC5">
          <w:rPr>
            <w:rStyle w:val="Hyperlink"/>
            <w:noProof/>
          </w:rPr>
          <w:t xml:space="preserve"> North-south cross sections transecting through the Berexco Wellington KGS #1-28 Well showing the comparison of horizontal permeability models created by A) Watney and Rush (2012) and B) this study.</w:t>
        </w:r>
        <w:r w:rsidR="00B34D67">
          <w:rPr>
            <w:noProof/>
            <w:webHidden/>
          </w:rPr>
          <w:tab/>
        </w:r>
        <w:r w:rsidR="00B34D67">
          <w:rPr>
            <w:noProof/>
            <w:webHidden/>
          </w:rPr>
          <w:fldChar w:fldCharType="begin"/>
        </w:r>
        <w:r w:rsidR="00B34D67">
          <w:rPr>
            <w:noProof/>
            <w:webHidden/>
          </w:rPr>
          <w:instrText xml:space="preserve"> PAGEREF _Toc121095153 \h </w:instrText>
        </w:r>
        <w:r w:rsidR="00B34D67">
          <w:rPr>
            <w:noProof/>
            <w:webHidden/>
          </w:rPr>
        </w:r>
        <w:r w:rsidR="00B34D67">
          <w:rPr>
            <w:noProof/>
            <w:webHidden/>
          </w:rPr>
          <w:fldChar w:fldCharType="separate"/>
        </w:r>
        <w:r w:rsidR="00B52D1E">
          <w:rPr>
            <w:noProof/>
            <w:webHidden/>
          </w:rPr>
          <w:t>167</w:t>
        </w:r>
        <w:r w:rsidR="00B34D67">
          <w:rPr>
            <w:noProof/>
            <w:webHidden/>
          </w:rPr>
          <w:fldChar w:fldCharType="end"/>
        </w:r>
      </w:hyperlink>
    </w:p>
    <w:p w14:paraId="55E07930" w14:textId="77777777" w:rsidR="00F42D75" w:rsidRDefault="00E8368F" w:rsidP="00CC50AB">
      <w:pPr>
        <w:spacing w:before="0" w:after="0" w:line="240" w:lineRule="auto"/>
        <w:rPr>
          <w:noProof/>
        </w:rPr>
      </w:pPr>
      <w:r>
        <w:rPr>
          <w:color w:val="auto"/>
        </w:rPr>
        <w:fldChar w:fldCharType="end"/>
      </w:r>
      <w:r w:rsidR="00F42D75">
        <w:rPr>
          <w:color w:val="auto"/>
        </w:rPr>
        <w:fldChar w:fldCharType="begin"/>
      </w:r>
      <w:r w:rsidR="00F42D75">
        <w:rPr>
          <w:color w:val="auto"/>
        </w:rPr>
        <w:instrText xml:space="preserve"> TOC \h \z \c "Figure 2-B." </w:instrText>
      </w:r>
      <w:r w:rsidR="00F42D75">
        <w:rPr>
          <w:color w:val="auto"/>
        </w:rPr>
        <w:fldChar w:fldCharType="separate"/>
      </w:r>
    </w:p>
    <w:p w14:paraId="1F960872" w14:textId="08A2F3C5" w:rsidR="00F42D75" w:rsidRDefault="00000000" w:rsidP="00CC50AB">
      <w:pPr>
        <w:pStyle w:val="TableofFigures"/>
        <w:tabs>
          <w:tab w:val="right" w:leader="dot" w:pos="9350"/>
        </w:tabs>
        <w:spacing w:before="0"/>
        <w:contextualSpacing/>
        <w:rPr>
          <w:rFonts w:asciiTheme="minorHAnsi" w:eastAsiaTheme="minorEastAsia" w:hAnsiTheme="minorHAnsi"/>
          <w:noProof/>
          <w:sz w:val="22"/>
        </w:rPr>
      </w:pPr>
      <w:hyperlink w:anchor="_Toc121095489" w:history="1">
        <w:r w:rsidR="00F42D75" w:rsidRPr="000858F5">
          <w:rPr>
            <w:rStyle w:val="Hyperlink"/>
            <w:b/>
            <w:bCs/>
            <w:noProof/>
          </w:rPr>
          <w:t xml:space="preserve">Figure 2-B. 1: </w:t>
        </w:r>
        <w:r w:rsidR="00F42D75" w:rsidRPr="000858F5">
          <w:rPr>
            <w:rStyle w:val="Hyperlink"/>
            <w:rFonts w:cs="Times New Roman"/>
            <w:noProof/>
          </w:rPr>
          <w:t>Pre-stack gathers before the conditioning (left image), conditioned gathers (middle image), and the noise subtracted from the original data (right image).</w:t>
        </w:r>
        <w:r w:rsidR="00F42D75">
          <w:rPr>
            <w:noProof/>
            <w:webHidden/>
          </w:rPr>
          <w:tab/>
        </w:r>
        <w:r w:rsidR="00F42D75">
          <w:rPr>
            <w:noProof/>
            <w:webHidden/>
          </w:rPr>
          <w:fldChar w:fldCharType="begin"/>
        </w:r>
        <w:r w:rsidR="00F42D75">
          <w:rPr>
            <w:noProof/>
            <w:webHidden/>
          </w:rPr>
          <w:instrText xml:space="preserve"> PAGEREF _Toc121095489 \h </w:instrText>
        </w:r>
        <w:r w:rsidR="00F42D75">
          <w:rPr>
            <w:noProof/>
            <w:webHidden/>
          </w:rPr>
        </w:r>
        <w:r w:rsidR="00F42D75">
          <w:rPr>
            <w:noProof/>
            <w:webHidden/>
          </w:rPr>
          <w:fldChar w:fldCharType="separate"/>
        </w:r>
        <w:r w:rsidR="00B52D1E">
          <w:rPr>
            <w:noProof/>
            <w:webHidden/>
          </w:rPr>
          <w:t>83</w:t>
        </w:r>
        <w:r w:rsidR="00F42D75">
          <w:rPr>
            <w:noProof/>
            <w:webHidden/>
          </w:rPr>
          <w:fldChar w:fldCharType="end"/>
        </w:r>
      </w:hyperlink>
    </w:p>
    <w:p w14:paraId="59CEC75E" w14:textId="1E4D2D87" w:rsidR="00F42D75" w:rsidRDefault="00000000">
      <w:pPr>
        <w:pStyle w:val="TableofFigures"/>
        <w:tabs>
          <w:tab w:val="right" w:leader="dot" w:pos="9350"/>
        </w:tabs>
        <w:rPr>
          <w:rFonts w:asciiTheme="minorHAnsi" w:eastAsiaTheme="minorEastAsia" w:hAnsiTheme="minorHAnsi"/>
          <w:noProof/>
          <w:sz w:val="22"/>
        </w:rPr>
      </w:pPr>
      <w:hyperlink w:anchor="_Toc121095490" w:history="1">
        <w:r w:rsidR="00F42D75" w:rsidRPr="000858F5">
          <w:rPr>
            <w:rStyle w:val="Hyperlink"/>
            <w:b/>
            <w:bCs/>
            <w:noProof/>
          </w:rPr>
          <w:t>Figure 2-B. 2:</w:t>
        </w:r>
        <w:r w:rsidR="00F42D75" w:rsidRPr="000858F5">
          <w:rPr>
            <w:rStyle w:val="Hyperlink"/>
            <w:rFonts w:cs="Times New Roman"/>
            <w:noProof/>
          </w:rPr>
          <w:t xml:space="preserve"> Offset to incidence angle conversion (Taken from CGG Geoview software manual).</w:t>
        </w:r>
        <w:r w:rsidR="00F42D75">
          <w:rPr>
            <w:noProof/>
            <w:webHidden/>
          </w:rPr>
          <w:tab/>
        </w:r>
        <w:r w:rsidR="00F42D75">
          <w:rPr>
            <w:noProof/>
            <w:webHidden/>
          </w:rPr>
          <w:fldChar w:fldCharType="begin"/>
        </w:r>
        <w:r w:rsidR="00F42D75">
          <w:rPr>
            <w:noProof/>
            <w:webHidden/>
          </w:rPr>
          <w:instrText xml:space="preserve"> PAGEREF _Toc121095490 \h </w:instrText>
        </w:r>
        <w:r w:rsidR="00F42D75">
          <w:rPr>
            <w:noProof/>
            <w:webHidden/>
          </w:rPr>
        </w:r>
        <w:r w:rsidR="00F42D75">
          <w:rPr>
            <w:noProof/>
            <w:webHidden/>
          </w:rPr>
          <w:fldChar w:fldCharType="separate"/>
        </w:r>
        <w:r w:rsidR="00B52D1E">
          <w:rPr>
            <w:noProof/>
            <w:webHidden/>
          </w:rPr>
          <w:t>84</w:t>
        </w:r>
        <w:r w:rsidR="00F42D75">
          <w:rPr>
            <w:noProof/>
            <w:webHidden/>
          </w:rPr>
          <w:fldChar w:fldCharType="end"/>
        </w:r>
      </w:hyperlink>
    </w:p>
    <w:p w14:paraId="6CC345B3" w14:textId="3211416B" w:rsidR="00F42D75" w:rsidRDefault="00000000">
      <w:pPr>
        <w:pStyle w:val="TableofFigures"/>
        <w:tabs>
          <w:tab w:val="right" w:leader="dot" w:pos="9350"/>
        </w:tabs>
        <w:rPr>
          <w:rFonts w:asciiTheme="minorHAnsi" w:eastAsiaTheme="minorEastAsia" w:hAnsiTheme="minorHAnsi"/>
          <w:noProof/>
          <w:sz w:val="22"/>
        </w:rPr>
      </w:pPr>
      <w:hyperlink w:anchor="_Toc121095491" w:history="1">
        <w:r w:rsidR="00F42D75" w:rsidRPr="000858F5">
          <w:rPr>
            <w:rStyle w:val="Hyperlink"/>
            <w:b/>
            <w:bCs/>
            <w:noProof/>
          </w:rPr>
          <w:t xml:space="preserve">Figure 2-B. 3: </w:t>
        </w:r>
        <w:r w:rsidR="00F42D75" w:rsidRPr="000858F5">
          <w:rPr>
            <w:rStyle w:val="Hyperlink"/>
            <w:rFonts w:cs="Times New Roman"/>
            <w:noProof/>
          </w:rPr>
          <w:t>Conversion of conditioned gathers from offset to incidence angle domain and angle gather (right image) calculation.</w:t>
        </w:r>
        <w:r w:rsidR="00F42D75">
          <w:rPr>
            <w:noProof/>
            <w:webHidden/>
          </w:rPr>
          <w:tab/>
        </w:r>
        <w:r w:rsidR="00F42D75">
          <w:rPr>
            <w:noProof/>
            <w:webHidden/>
          </w:rPr>
          <w:fldChar w:fldCharType="begin"/>
        </w:r>
        <w:r w:rsidR="00F42D75">
          <w:rPr>
            <w:noProof/>
            <w:webHidden/>
          </w:rPr>
          <w:instrText xml:space="preserve"> PAGEREF _Toc121095491 \h </w:instrText>
        </w:r>
        <w:r w:rsidR="00F42D75">
          <w:rPr>
            <w:noProof/>
            <w:webHidden/>
          </w:rPr>
        </w:r>
        <w:r w:rsidR="00F42D75">
          <w:rPr>
            <w:noProof/>
            <w:webHidden/>
          </w:rPr>
          <w:fldChar w:fldCharType="separate"/>
        </w:r>
        <w:r w:rsidR="00B52D1E">
          <w:rPr>
            <w:noProof/>
            <w:webHidden/>
          </w:rPr>
          <w:t>85</w:t>
        </w:r>
        <w:r w:rsidR="00F42D75">
          <w:rPr>
            <w:noProof/>
            <w:webHidden/>
          </w:rPr>
          <w:fldChar w:fldCharType="end"/>
        </w:r>
      </w:hyperlink>
    </w:p>
    <w:p w14:paraId="4DE30ACE" w14:textId="77777777" w:rsidR="00F42D75" w:rsidRDefault="00F42D75" w:rsidP="00CC50AB">
      <w:pPr>
        <w:spacing w:before="0" w:after="0" w:line="240" w:lineRule="auto"/>
        <w:contextualSpacing/>
        <w:rPr>
          <w:noProof/>
        </w:rPr>
      </w:pPr>
      <w:r>
        <w:rPr>
          <w:color w:val="auto"/>
        </w:rPr>
        <w:fldChar w:fldCharType="end"/>
      </w:r>
      <w:r>
        <w:rPr>
          <w:color w:val="auto"/>
        </w:rPr>
        <w:fldChar w:fldCharType="begin"/>
      </w:r>
      <w:r>
        <w:rPr>
          <w:color w:val="auto"/>
        </w:rPr>
        <w:instrText xml:space="preserve"> TOC \h \z \c "Figure 2-D." </w:instrText>
      </w:r>
      <w:r>
        <w:rPr>
          <w:color w:val="auto"/>
        </w:rPr>
        <w:fldChar w:fldCharType="separate"/>
      </w:r>
    </w:p>
    <w:p w14:paraId="1A225B94" w14:textId="49F4B834" w:rsidR="00F42D75" w:rsidRDefault="00000000">
      <w:pPr>
        <w:pStyle w:val="TableofFigures"/>
        <w:tabs>
          <w:tab w:val="right" w:leader="dot" w:pos="9350"/>
        </w:tabs>
        <w:rPr>
          <w:rFonts w:asciiTheme="minorHAnsi" w:eastAsiaTheme="minorEastAsia" w:hAnsiTheme="minorHAnsi"/>
          <w:noProof/>
          <w:sz w:val="22"/>
        </w:rPr>
      </w:pPr>
      <w:hyperlink w:anchor="_Toc121095504" w:history="1">
        <w:r w:rsidR="00F42D75" w:rsidRPr="00BC36D4">
          <w:rPr>
            <w:rStyle w:val="Hyperlink"/>
            <w:b/>
            <w:bCs/>
            <w:noProof/>
          </w:rPr>
          <w:t>Figure 2-D. 1:</w:t>
        </w:r>
        <w:r w:rsidR="00F42D75" w:rsidRPr="00BC36D4">
          <w:rPr>
            <w:rStyle w:val="Hyperlink"/>
            <w:noProof/>
          </w:rPr>
          <w:t xml:space="preserve"> </w:t>
        </w:r>
        <w:r w:rsidR="00F42D75" w:rsidRPr="00BC36D4">
          <w:rPr>
            <w:rStyle w:val="Hyperlink"/>
            <w:noProof/>
            <w:kern w:val="24"/>
          </w:rPr>
          <w:t xml:space="preserve">Parallel coordinates visualization illustrating hyperparameter optimization for the random forest classifier. The plot displays the combination of each hyperparameter value and the corresponding test score, connected by lines (ranked and color-coded by the average F1 score). The dashed-black line shows hyperparameter values yielded the highest validation score and are used in the random forest model training. </w:t>
        </w:r>
        <w:r w:rsidR="00F42D75" w:rsidRPr="00BC36D4">
          <w:rPr>
            <w:rStyle w:val="Hyperlink"/>
            <w:b/>
            <w:bCs/>
            <w:i/>
            <w:noProof/>
            <w:kern w:val="24"/>
          </w:rPr>
          <w:t>n_estimators</w:t>
        </w:r>
        <w:r w:rsidR="00F42D75" w:rsidRPr="00BC36D4">
          <w:rPr>
            <w:rStyle w:val="Hyperlink"/>
            <w:noProof/>
            <w:kern w:val="24"/>
          </w:rPr>
          <w:t xml:space="preserve"> parameter defines the total number of decision trees in the forest. The </w:t>
        </w:r>
        <w:r w:rsidR="00F42D75" w:rsidRPr="00BC36D4">
          <w:rPr>
            <w:rStyle w:val="Hyperlink"/>
            <w:b/>
            <w:bCs/>
            <w:i/>
            <w:noProof/>
            <w:kern w:val="24"/>
          </w:rPr>
          <w:t>max_depth</w:t>
        </w:r>
        <w:r w:rsidR="00F42D75" w:rsidRPr="00BC36D4">
          <w:rPr>
            <w:rStyle w:val="Hyperlink"/>
            <w:i/>
            <w:noProof/>
            <w:kern w:val="24"/>
          </w:rPr>
          <w:t xml:space="preserve"> </w:t>
        </w:r>
        <w:r w:rsidR="00F42D75" w:rsidRPr="00BC36D4">
          <w:rPr>
            <w:rStyle w:val="Hyperlink"/>
            <w:noProof/>
            <w:kern w:val="24"/>
          </w:rPr>
          <w:t xml:space="preserve">parameter is defined as the maximum depth of the tree. The </w:t>
        </w:r>
        <w:r w:rsidR="00F42D75" w:rsidRPr="00BC36D4">
          <w:rPr>
            <w:rStyle w:val="Hyperlink"/>
            <w:b/>
            <w:bCs/>
            <w:i/>
            <w:noProof/>
            <w:kern w:val="24"/>
          </w:rPr>
          <w:t>max_features</w:t>
        </w:r>
        <w:r w:rsidR="00F42D75" w:rsidRPr="00BC36D4">
          <w:rPr>
            <w:rStyle w:val="Hyperlink"/>
            <w:noProof/>
            <w:kern w:val="24"/>
          </w:rPr>
          <w:t xml:space="preserve"> parameter is the number of maximum features provided to each tree in a random forest. The </w:t>
        </w:r>
        <w:r w:rsidR="00F42D75" w:rsidRPr="00BC36D4">
          <w:rPr>
            <w:rStyle w:val="Hyperlink"/>
            <w:b/>
            <w:bCs/>
            <w:i/>
            <w:noProof/>
            <w:kern w:val="24"/>
          </w:rPr>
          <w:t>min_samples_leaf</w:t>
        </w:r>
        <w:r w:rsidR="00F42D75" w:rsidRPr="00BC36D4">
          <w:rPr>
            <w:rStyle w:val="Hyperlink"/>
            <w:i/>
            <w:noProof/>
            <w:kern w:val="24"/>
          </w:rPr>
          <w:t xml:space="preserve"> </w:t>
        </w:r>
        <w:r w:rsidR="00F42D75" w:rsidRPr="00BC36D4">
          <w:rPr>
            <w:rStyle w:val="Hyperlink"/>
            <w:noProof/>
            <w:kern w:val="24"/>
          </w:rPr>
          <w:t xml:space="preserve">parameter is the minimum number of sample points that are allowed in a single leaf node. The </w:t>
        </w:r>
        <w:r w:rsidR="00F42D75" w:rsidRPr="00BC36D4">
          <w:rPr>
            <w:rStyle w:val="Hyperlink"/>
            <w:b/>
            <w:bCs/>
            <w:i/>
            <w:noProof/>
            <w:kern w:val="24"/>
          </w:rPr>
          <w:t xml:space="preserve">min_samples_split </w:t>
        </w:r>
        <w:r w:rsidR="00F42D75" w:rsidRPr="00BC36D4">
          <w:rPr>
            <w:rStyle w:val="Hyperlink"/>
            <w:noProof/>
            <w:kern w:val="24"/>
          </w:rPr>
          <w:t xml:space="preserve">can be defined as the minimum number of samples required to split an internal node. The </w:t>
        </w:r>
        <w:r w:rsidR="00F42D75" w:rsidRPr="00BC36D4">
          <w:rPr>
            <w:rStyle w:val="Hyperlink"/>
            <w:b/>
            <w:bCs/>
            <w:i/>
            <w:noProof/>
            <w:kern w:val="24"/>
          </w:rPr>
          <w:t>bootstrap</w:t>
        </w:r>
        <w:r w:rsidR="00F42D75" w:rsidRPr="00BC36D4">
          <w:rPr>
            <w:rStyle w:val="Hyperlink"/>
            <w:noProof/>
            <w:kern w:val="24"/>
          </w:rPr>
          <w:t xml:space="preserve"> parameter refers to is a statistical resampling technique that involves random sampling of a dataset </w:t>
        </w:r>
        <w:r w:rsidR="00F42D75" w:rsidRPr="00BC36D4">
          <w:rPr>
            <w:rStyle w:val="Hyperlink"/>
            <w:rFonts w:eastAsiaTheme="majorEastAsia"/>
            <w:noProof/>
            <w:kern w:val="24"/>
          </w:rPr>
          <w:t>with replacement (Scikit-learn random forest web page, URL: https://scikit-learn.org, Accessed: May 2022).</w:t>
        </w:r>
        <w:r w:rsidR="00F42D75">
          <w:rPr>
            <w:noProof/>
            <w:webHidden/>
          </w:rPr>
          <w:tab/>
        </w:r>
        <w:r w:rsidR="00F42D75">
          <w:rPr>
            <w:noProof/>
            <w:webHidden/>
          </w:rPr>
          <w:fldChar w:fldCharType="begin"/>
        </w:r>
        <w:r w:rsidR="00F42D75">
          <w:rPr>
            <w:noProof/>
            <w:webHidden/>
          </w:rPr>
          <w:instrText xml:space="preserve"> PAGEREF _Toc121095504 \h </w:instrText>
        </w:r>
        <w:r w:rsidR="00F42D75">
          <w:rPr>
            <w:noProof/>
            <w:webHidden/>
          </w:rPr>
        </w:r>
        <w:r w:rsidR="00F42D75">
          <w:rPr>
            <w:noProof/>
            <w:webHidden/>
          </w:rPr>
          <w:fldChar w:fldCharType="separate"/>
        </w:r>
        <w:r w:rsidR="00B52D1E">
          <w:rPr>
            <w:noProof/>
            <w:webHidden/>
          </w:rPr>
          <w:t>87</w:t>
        </w:r>
        <w:r w:rsidR="00F42D75">
          <w:rPr>
            <w:noProof/>
            <w:webHidden/>
          </w:rPr>
          <w:fldChar w:fldCharType="end"/>
        </w:r>
      </w:hyperlink>
    </w:p>
    <w:p w14:paraId="2E08E303" w14:textId="77777777" w:rsidR="00F42D75" w:rsidRDefault="00F42D75" w:rsidP="00CC50AB">
      <w:pPr>
        <w:spacing w:before="0" w:after="0" w:line="240" w:lineRule="auto"/>
        <w:rPr>
          <w:noProof/>
        </w:rPr>
      </w:pPr>
      <w:r>
        <w:rPr>
          <w:color w:val="auto"/>
        </w:rPr>
        <w:fldChar w:fldCharType="end"/>
      </w:r>
      <w:r>
        <w:rPr>
          <w:color w:val="auto"/>
        </w:rPr>
        <w:fldChar w:fldCharType="begin"/>
      </w:r>
      <w:r>
        <w:rPr>
          <w:color w:val="auto"/>
        </w:rPr>
        <w:instrText xml:space="preserve"> TOC \h \z \c "Figure 2-E." </w:instrText>
      </w:r>
      <w:r>
        <w:rPr>
          <w:color w:val="auto"/>
        </w:rPr>
        <w:fldChar w:fldCharType="separate"/>
      </w:r>
    </w:p>
    <w:p w14:paraId="25F9C056" w14:textId="06112E37" w:rsidR="00F42D75" w:rsidRDefault="00000000" w:rsidP="005B30EC">
      <w:pPr>
        <w:pStyle w:val="TableofFigures"/>
        <w:tabs>
          <w:tab w:val="right" w:leader="dot" w:pos="9350"/>
        </w:tabs>
        <w:spacing w:before="0"/>
        <w:rPr>
          <w:rFonts w:asciiTheme="minorHAnsi" w:eastAsiaTheme="minorEastAsia" w:hAnsiTheme="minorHAnsi"/>
          <w:noProof/>
          <w:sz w:val="22"/>
        </w:rPr>
      </w:pPr>
      <w:hyperlink w:anchor="_Toc121095511" w:history="1">
        <w:r w:rsidR="00F42D75" w:rsidRPr="00902827">
          <w:rPr>
            <w:rStyle w:val="Hyperlink"/>
            <w:b/>
            <w:bCs/>
            <w:noProof/>
          </w:rPr>
          <w:t>Figure 2-E. 1:</w:t>
        </w:r>
        <w:r w:rsidR="00F42D75" w:rsidRPr="00902827">
          <w:rPr>
            <w:rStyle w:val="Hyperlink"/>
            <w:noProof/>
          </w:rPr>
          <w:t xml:space="preserve"> </w:t>
        </w:r>
        <w:r w:rsidR="00F42D75" w:rsidRPr="00902827">
          <w:rPr>
            <w:rStyle w:val="Hyperlink"/>
            <w:b/>
            <w:bCs/>
            <w:noProof/>
          </w:rPr>
          <w:t>A</w:t>
        </w:r>
        <w:r w:rsidR="00F42D75" w:rsidRPr="00902827">
          <w:rPr>
            <w:rStyle w:val="Hyperlink"/>
            <w:rFonts w:cs="Times New Roman"/>
            <w:noProof/>
          </w:rPr>
          <w:t>rbitrary lines from most probable petrofacies prediction volume are co-rendered with the individual petrofacies probability volumes showing the confidence in the random forest prediction. High probabilities of petrofacies prediction are set to be transparent, while the low probability values are set to be opaque black. Top figure shows the shows the QC of the prediction of the petrofacies 1, Middle figure shows the QC of the prediction of the Petrofacies 2 and the bottom figure shows the visual QC of the prediction of the petrofacies 3.</w:t>
        </w:r>
        <w:r w:rsidR="00F42D75">
          <w:rPr>
            <w:noProof/>
            <w:webHidden/>
          </w:rPr>
          <w:tab/>
        </w:r>
        <w:r w:rsidR="00F42D75">
          <w:rPr>
            <w:noProof/>
            <w:webHidden/>
          </w:rPr>
          <w:fldChar w:fldCharType="begin"/>
        </w:r>
        <w:r w:rsidR="00F42D75">
          <w:rPr>
            <w:noProof/>
            <w:webHidden/>
          </w:rPr>
          <w:instrText xml:space="preserve"> PAGEREF _Toc121095511 \h </w:instrText>
        </w:r>
        <w:r w:rsidR="00F42D75">
          <w:rPr>
            <w:noProof/>
            <w:webHidden/>
          </w:rPr>
        </w:r>
        <w:r w:rsidR="00F42D75">
          <w:rPr>
            <w:noProof/>
            <w:webHidden/>
          </w:rPr>
          <w:fldChar w:fldCharType="separate"/>
        </w:r>
        <w:r w:rsidR="00B52D1E">
          <w:rPr>
            <w:noProof/>
            <w:webHidden/>
          </w:rPr>
          <w:t>88</w:t>
        </w:r>
        <w:r w:rsidR="00F42D75">
          <w:rPr>
            <w:noProof/>
            <w:webHidden/>
          </w:rPr>
          <w:fldChar w:fldCharType="end"/>
        </w:r>
      </w:hyperlink>
    </w:p>
    <w:p w14:paraId="112856CC" w14:textId="77777777" w:rsidR="00CC50AB" w:rsidRDefault="00F42D75" w:rsidP="00CC50AB">
      <w:pPr>
        <w:spacing w:before="0" w:after="0" w:line="240" w:lineRule="auto"/>
        <w:rPr>
          <w:noProof/>
        </w:rPr>
      </w:pPr>
      <w:r>
        <w:rPr>
          <w:color w:val="auto"/>
        </w:rPr>
        <w:fldChar w:fldCharType="end"/>
      </w:r>
      <w:r w:rsidR="00CC50AB">
        <w:rPr>
          <w:color w:val="auto"/>
        </w:rPr>
        <w:fldChar w:fldCharType="begin"/>
      </w:r>
      <w:r w:rsidR="00CC50AB">
        <w:rPr>
          <w:color w:val="auto"/>
        </w:rPr>
        <w:instrText xml:space="preserve"> TOC \h \z \c "Figure 3-A." </w:instrText>
      </w:r>
      <w:r w:rsidR="00CC50AB">
        <w:rPr>
          <w:color w:val="auto"/>
        </w:rPr>
        <w:fldChar w:fldCharType="separate"/>
      </w:r>
    </w:p>
    <w:p w14:paraId="53967BF1" w14:textId="50C812A0" w:rsidR="00CC50AB" w:rsidRDefault="00000000" w:rsidP="00CC50AB">
      <w:pPr>
        <w:pStyle w:val="TableofFigures"/>
        <w:tabs>
          <w:tab w:val="right" w:leader="dot" w:pos="9350"/>
        </w:tabs>
        <w:spacing w:before="0"/>
        <w:contextualSpacing/>
        <w:rPr>
          <w:rFonts w:asciiTheme="minorHAnsi" w:eastAsiaTheme="minorEastAsia" w:hAnsiTheme="minorHAnsi"/>
          <w:noProof/>
          <w:sz w:val="22"/>
        </w:rPr>
      </w:pPr>
      <w:hyperlink w:anchor="_Toc121095766" w:history="1">
        <w:r w:rsidR="00CC50AB" w:rsidRPr="00CE5257">
          <w:rPr>
            <w:rStyle w:val="Hyperlink"/>
            <w:b/>
            <w:bCs/>
            <w:noProof/>
          </w:rPr>
          <w:t>Figure 3-A. 1</w:t>
        </w:r>
        <w:r w:rsidR="00CC50AB" w:rsidRPr="00CE5257">
          <w:rPr>
            <w:rStyle w:val="Hyperlink"/>
            <w:rFonts w:cs="Times New Roman"/>
            <w:b/>
            <w:bCs/>
            <w:noProof/>
          </w:rPr>
          <w:t>:</w:t>
        </w:r>
        <w:r w:rsidR="00CC50AB" w:rsidRPr="00CE5257">
          <w:rPr>
            <w:rStyle w:val="Hyperlink"/>
            <w:rFonts w:cs="Times New Roman"/>
            <w:noProof/>
          </w:rPr>
          <w:t xml:space="preserve"> Example variogram maps used to estimate the horizontal ranges and azimuth. The variogram map on the left is created from the petrofacies 1 probability volume for the Arbuckle zone C. The map on the right is extracted from the porosity trend volume and is used for estimating the ranges for the porosity modeling for the petrofacies 1. Maps show the greatest lateral continuity </w:t>
        </w:r>
        <w:r w:rsidR="00CC50AB" w:rsidRPr="00CE5257">
          <w:rPr>
            <w:rStyle w:val="Hyperlink"/>
            <w:rFonts w:cs="Times New Roman"/>
            <w:noProof/>
          </w:rPr>
          <w:lastRenderedPageBreak/>
          <w:t>(azimuth of the major range) and the direction of the greatest lateral heterogeneity (azimuth of the minor range) for the particular petrofacies or porosity, shown by dashed and dotted lines, respectively.</w:t>
        </w:r>
        <w:r w:rsidR="00CC50AB">
          <w:rPr>
            <w:noProof/>
            <w:webHidden/>
          </w:rPr>
          <w:tab/>
        </w:r>
        <w:r w:rsidR="00CC50AB">
          <w:rPr>
            <w:noProof/>
            <w:webHidden/>
          </w:rPr>
          <w:fldChar w:fldCharType="begin"/>
        </w:r>
        <w:r w:rsidR="00CC50AB">
          <w:rPr>
            <w:noProof/>
            <w:webHidden/>
          </w:rPr>
          <w:instrText xml:space="preserve"> PAGEREF _Toc121095766 \h </w:instrText>
        </w:r>
        <w:r w:rsidR="00CC50AB">
          <w:rPr>
            <w:noProof/>
            <w:webHidden/>
          </w:rPr>
        </w:r>
        <w:r w:rsidR="00CC50AB">
          <w:rPr>
            <w:noProof/>
            <w:webHidden/>
          </w:rPr>
          <w:fldChar w:fldCharType="separate"/>
        </w:r>
        <w:r w:rsidR="00B52D1E">
          <w:rPr>
            <w:noProof/>
            <w:webHidden/>
          </w:rPr>
          <w:t>129</w:t>
        </w:r>
        <w:r w:rsidR="00CC50AB">
          <w:rPr>
            <w:noProof/>
            <w:webHidden/>
          </w:rPr>
          <w:fldChar w:fldCharType="end"/>
        </w:r>
      </w:hyperlink>
    </w:p>
    <w:p w14:paraId="0101DC28" w14:textId="77777777" w:rsidR="00CC50AB" w:rsidRDefault="00CC50AB" w:rsidP="00CC50AB">
      <w:pPr>
        <w:spacing w:before="0" w:after="0" w:line="240" w:lineRule="auto"/>
        <w:rPr>
          <w:noProof/>
        </w:rPr>
      </w:pPr>
      <w:r>
        <w:rPr>
          <w:color w:val="auto"/>
        </w:rPr>
        <w:fldChar w:fldCharType="end"/>
      </w:r>
      <w:r>
        <w:rPr>
          <w:color w:val="auto"/>
        </w:rPr>
        <w:fldChar w:fldCharType="begin"/>
      </w:r>
      <w:r>
        <w:rPr>
          <w:color w:val="auto"/>
        </w:rPr>
        <w:instrText xml:space="preserve"> TOC \h \z \c "Figure 3-B." </w:instrText>
      </w:r>
      <w:r>
        <w:rPr>
          <w:color w:val="auto"/>
        </w:rPr>
        <w:fldChar w:fldCharType="separate"/>
      </w:r>
    </w:p>
    <w:p w14:paraId="3F679D42" w14:textId="003053CD" w:rsidR="00CC50AB" w:rsidRDefault="00000000" w:rsidP="00CC50AB">
      <w:pPr>
        <w:pStyle w:val="TableofFigures"/>
        <w:tabs>
          <w:tab w:val="right" w:leader="dot" w:pos="9350"/>
        </w:tabs>
        <w:spacing w:before="0"/>
        <w:contextualSpacing/>
        <w:rPr>
          <w:rFonts w:asciiTheme="minorHAnsi" w:eastAsiaTheme="minorEastAsia" w:hAnsiTheme="minorHAnsi"/>
          <w:noProof/>
          <w:sz w:val="22"/>
        </w:rPr>
      </w:pPr>
      <w:hyperlink w:anchor="_Toc121095799" w:history="1">
        <w:r w:rsidR="00CC50AB" w:rsidRPr="000F2413">
          <w:rPr>
            <w:rStyle w:val="Hyperlink"/>
            <w:b/>
            <w:bCs/>
            <w:noProof/>
          </w:rPr>
          <w:t xml:space="preserve">Figure 3-B. 1: </w:t>
        </w:r>
        <w:r w:rsidR="00CC50AB" w:rsidRPr="000F2413">
          <w:rPr>
            <w:rStyle w:val="Hyperlink"/>
            <w:noProof/>
          </w:rPr>
          <w:t>Linear relationship used to generate porosity trend volume for porosity modeling.</w:t>
        </w:r>
        <w:r w:rsidR="00CC50AB">
          <w:rPr>
            <w:noProof/>
            <w:webHidden/>
          </w:rPr>
          <w:tab/>
        </w:r>
        <w:r w:rsidR="00CC50AB">
          <w:rPr>
            <w:noProof/>
            <w:webHidden/>
          </w:rPr>
          <w:fldChar w:fldCharType="begin"/>
        </w:r>
        <w:r w:rsidR="00CC50AB">
          <w:rPr>
            <w:noProof/>
            <w:webHidden/>
          </w:rPr>
          <w:instrText xml:space="preserve"> PAGEREF _Toc121095799 \h </w:instrText>
        </w:r>
        <w:r w:rsidR="00CC50AB">
          <w:rPr>
            <w:noProof/>
            <w:webHidden/>
          </w:rPr>
        </w:r>
        <w:r w:rsidR="00CC50AB">
          <w:rPr>
            <w:noProof/>
            <w:webHidden/>
          </w:rPr>
          <w:fldChar w:fldCharType="separate"/>
        </w:r>
        <w:r w:rsidR="00B52D1E">
          <w:rPr>
            <w:noProof/>
            <w:webHidden/>
          </w:rPr>
          <w:t>133</w:t>
        </w:r>
        <w:r w:rsidR="00CC50AB">
          <w:rPr>
            <w:noProof/>
            <w:webHidden/>
          </w:rPr>
          <w:fldChar w:fldCharType="end"/>
        </w:r>
      </w:hyperlink>
    </w:p>
    <w:p w14:paraId="62CD0610" w14:textId="77777777" w:rsidR="00CC50AB" w:rsidRDefault="00CC50AB" w:rsidP="00CC50AB">
      <w:pPr>
        <w:spacing w:before="0" w:after="0" w:line="240" w:lineRule="auto"/>
        <w:rPr>
          <w:noProof/>
        </w:rPr>
      </w:pPr>
      <w:r>
        <w:rPr>
          <w:color w:val="auto"/>
        </w:rPr>
        <w:fldChar w:fldCharType="end"/>
      </w:r>
      <w:r>
        <w:rPr>
          <w:color w:val="auto"/>
        </w:rPr>
        <w:fldChar w:fldCharType="begin"/>
      </w:r>
      <w:r>
        <w:rPr>
          <w:color w:val="auto"/>
        </w:rPr>
        <w:instrText xml:space="preserve"> TOC \h \z \c "Figure 3-C." </w:instrText>
      </w:r>
      <w:r>
        <w:rPr>
          <w:color w:val="auto"/>
        </w:rPr>
        <w:fldChar w:fldCharType="separate"/>
      </w:r>
    </w:p>
    <w:p w14:paraId="6E6E8421" w14:textId="2D19BA0E" w:rsidR="00CC50AB" w:rsidRDefault="00000000" w:rsidP="00CC50AB">
      <w:pPr>
        <w:pStyle w:val="TableofFigures"/>
        <w:tabs>
          <w:tab w:val="right" w:leader="dot" w:pos="9350"/>
        </w:tabs>
        <w:spacing w:before="0"/>
        <w:contextualSpacing/>
        <w:rPr>
          <w:rFonts w:asciiTheme="minorHAnsi" w:eastAsiaTheme="minorEastAsia" w:hAnsiTheme="minorHAnsi"/>
          <w:noProof/>
          <w:sz w:val="22"/>
        </w:rPr>
      </w:pPr>
      <w:hyperlink w:anchor="_Toc121095834" w:history="1">
        <w:r w:rsidR="00CC50AB" w:rsidRPr="00180D71">
          <w:rPr>
            <w:rStyle w:val="Hyperlink"/>
            <w:b/>
            <w:bCs/>
            <w:noProof/>
          </w:rPr>
          <w:t>Figure 3-C. 1</w:t>
        </w:r>
        <w:r w:rsidR="00CC50AB" w:rsidRPr="00180D71">
          <w:rPr>
            <w:rStyle w:val="Hyperlink"/>
            <w:rFonts w:cs="Times New Roman"/>
            <w:noProof/>
          </w:rPr>
          <w:t>: 3D models of dissolved ion concentrations created by using the values shown in Appendix C-1.</w:t>
        </w:r>
        <w:r w:rsidR="00CC50AB">
          <w:rPr>
            <w:noProof/>
            <w:webHidden/>
          </w:rPr>
          <w:tab/>
        </w:r>
        <w:r w:rsidR="00CC50AB">
          <w:rPr>
            <w:noProof/>
            <w:webHidden/>
          </w:rPr>
          <w:fldChar w:fldCharType="begin"/>
        </w:r>
        <w:r w:rsidR="00CC50AB">
          <w:rPr>
            <w:noProof/>
            <w:webHidden/>
          </w:rPr>
          <w:instrText xml:space="preserve"> PAGEREF _Toc121095834 \h </w:instrText>
        </w:r>
        <w:r w:rsidR="00CC50AB">
          <w:rPr>
            <w:noProof/>
            <w:webHidden/>
          </w:rPr>
        </w:r>
        <w:r w:rsidR="00CC50AB">
          <w:rPr>
            <w:noProof/>
            <w:webHidden/>
          </w:rPr>
          <w:fldChar w:fldCharType="separate"/>
        </w:r>
        <w:r w:rsidR="00B52D1E">
          <w:rPr>
            <w:noProof/>
            <w:webHidden/>
          </w:rPr>
          <w:t>135</w:t>
        </w:r>
        <w:r w:rsidR="00CC50AB">
          <w:rPr>
            <w:noProof/>
            <w:webHidden/>
          </w:rPr>
          <w:fldChar w:fldCharType="end"/>
        </w:r>
      </w:hyperlink>
    </w:p>
    <w:p w14:paraId="14BE1C7C" w14:textId="77777777" w:rsidR="00CC50AB" w:rsidRDefault="00CC50AB" w:rsidP="00CC50AB">
      <w:pPr>
        <w:spacing w:before="0" w:after="0" w:line="240" w:lineRule="auto"/>
        <w:rPr>
          <w:noProof/>
        </w:rPr>
      </w:pPr>
      <w:r>
        <w:rPr>
          <w:color w:val="auto"/>
        </w:rPr>
        <w:fldChar w:fldCharType="end"/>
      </w:r>
      <w:r>
        <w:rPr>
          <w:color w:val="auto"/>
        </w:rPr>
        <w:fldChar w:fldCharType="begin"/>
      </w:r>
      <w:r>
        <w:rPr>
          <w:color w:val="auto"/>
        </w:rPr>
        <w:instrText xml:space="preserve"> TOC \h \z \c "Figure 3-D." </w:instrText>
      </w:r>
      <w:r>
        <w:rPr>
          <w:color w:val="auto"/>
        </w:rPr>
        <w:fldChar w:fldCharType="separate"/>
      </w:r>
    </w:p>
    <w:p w14:paraId="5C577D70" w14:textId="5212AC2B" w:rsidR="00CC50AB" w:rsidRDefault="00000000" w:rsidP="00CC50AB">
      <w:pPr>
        <w:pStyle w:val="TableofFigures"/>
        <w:tabs>
          <w:tab w:val="right" w:leader="dot" w:pos="9350"/>
        </w:tabs>
        <w:spacing w:before="0"/>
        <w:contextualSpacing/>
        <w:rPr>
          <w:rFonts w:asciiTheme="minorHAnsi" w:eastAsiaTheme="minorEastAsia" w:hAnsiTheme="minorHAnsi"/>
          <w:noProof/>
          <w:sz w:val="22"/>
        </w:rPr>
      </w:pPr>
      <w:hyperlink w:anchor="_Toc121095864" w:history="1">
        <w:r w:rsidR="00CC50AB" w:rsidRPr="009A57D2">
          <w:rPr>
            <w:rStyle w:val="Hyperlink"/>
            <w:b/>
            <w:bCs/>
            <w:noProof/>
          </w:rPr>
          <w:t xml:space="preserve">Figure 3-D. 1: </w:t>
        </w:r>
        <w:r w:rsidR="00CC50AB" w:rsidRPr="009A57D2">
          <w:rPr>
            <w:rStyle w:val="Hyperlink"/>
            <w:noProof/>
          </w:rPr>
          <w:t>Original petrofacies, porosity and permeability models with side-by-side comparison with the upscaled version used for the dynamic simulation.</w:t>
        </w:r>
        <w:r w:rsidR="00CC50AB">
          <w:rPr>
            <w:noProof/>
            <w:webHidden/>
          </w:rPr>
          <w:tab/>
        </w:r>
        <w:r w:rsidR="00CC50AB">
          <w:rPr>
            <w:noProof/>
            <w:webHidden/>
          </w:rPr>
          <w:fldChar w:fldCharType="begin"/>
        </w:r>
        <w:r w:rsidR="00CC50AB">
          <w:rPr>
            <w:noProof/>
            <w:webHidden/>
          </w:rPr>
          <w:instrText xml:space="preserve"> PAGEREF _Toc121095864 \h </w:instrText>
        </w:r>
        <w:r w:rsidR="00CC50AB">
          <w:rPr>
            <w:noProof/>
            <w:webHidden/>
          </w:rPr>
        </w:r>
        <w:r w:rsidR="00CC50AB">
          <w:rPr>
            <w:noProof/>
            <w:webHidden/>
          </w:rPr>
          <w:fldChar w:fldCharType="separate"/>
        </w:r>
        <w:r w:rsidR="00B52D1E">
          <w:rPr>
            <w:noProof/>
            <w:webHidden/>
          </w:rPr>
          <w:t>137</w:t>
        </w:r>
        <w:r w:rsidR="00CC50AB">
          <w:rPr>
            <w:noProof/>
            <w:webHidden/>
          </w:rPr>
          <w:fldChar w:fldCharType="end"/>
        </w:r>
      </w:hyperlink>
    </w:p>
    <w:p w14:paraId="23741AF7" w14:textId="5F23A64B" w:rsidR="00CC50AB" w:rsidRDefault="00000000" w:rsidP="00CC50AB">
      <w:pPr>
        <w:pStyle w:val="TableofFigures"/>
        <w:tabs>
          <w:tab w:val="right" w:leader="dot" w:pos="9350"/>
        </w:tabs>
        <w:spacing w:before="0"/>
        <w:contextualSpacing/>
        <w:rPr>
          <w:rFonts w:asciiTheme="minorHAnsi" w:eastAsiaTheme="minorEastAsia" w:hAnsiTheme="minorHAnsi"/>
          <w:noProof/>
          <w:sz w:val="22"/>
        </w:rPr>
      </w:pPr>
      <w:hyperlink w:anchor="_Toc121095865" w:history="1">
        <w:r w:rsidR="00CC50AB" w:rsidRPr="009A57D2">
          <w:rPr>
            <w:rStyle w:val="Hyperlink"/>
            <w:b/>
            <w:bCs/>
            <w:noProof/>
          </w:rPr>
          <w:t xml:space="preserve">Figure 3-D. 2: </w:t>
        </w:r>
        <w:r w:rsidR="00CC50AB" w:rsidRPr="009A57D2">
          <w:rPr>
            <w:rStyle w:val="Hyperlink"/>
            <w:noProof/>
          </w:rPr>
          <w:t>Petrofacies, porosity and permeability model histograms for the original and upscaled models.</w:t>
        </w:r>
        <w:r w:rsidR="00CC50AB">
          <w:rPr>
            <w:noProof/>
            <w:webHidden/>
          </w:rPr>
          <w:tab/>
        </w:r>
        <w:r w:rsidR="00CC50AB">
          <w:rPr>
            <w:noProof/>
            <w:webHidden/>
          </w:rPr>
          <w:fldChar w:fldCharType="begin"/>
        </w:r>
        <w:r w:rsidR="00CC50AB">
          <w:rPr>
            <w:noProof/>
            <w:webHidden/>
          </w:rPr>
          <w:instrText xml:space="preserve"> PAGEREF _Toc121095865 \h </w:instrText>
        </w:r>
        <w:r w:rsidR="00CC50AB">
          <w:rPr>
            <w:noProof/>
            <w:webHidden/>
          </w:rPr>
        </w:r>
        <w:r w:rsidR="00CC50AB">
          <w:rPr>
            <w:noProof/>
            <w:webHidden/>
          </w:rPr>
          <w:fldChar w:fldCharType="separate"/>
        </w:r>
        <w:r w:rsidR="00B52D1E">
          <w:rPr>
            <w:noProof/>
            <w:webHidden/>
          </w:rPr>
          <w:t>138</w:t>
        </w:r>
        <w:r w:rsidR="00CC50AB">
          <w:rPr>
            <w:noProof/>
            <w:webHidden/>
          </w:rPr>
          <w:fldChar w:fldCharType="end"/>
        </w:r>
      </w:hyperlink>
    </w:p>
    <w:p w14:paraId="4D19BC5B" w14:textId="6195F569" w:rsidR="001F3E92" w:rsidRPr="00CC50AB" w:rsidRDefault="00CC50AB" w:rsidP="00CC50AB">
      <w:pPr>
        <w:spacing w:before="0" w:after="0"/>
        <w:rPr>
          <w:color w:val="auto"/>
        </w:rPr>
      </w:pPr>
      <w:r>
        <w:rPr>
          <w:color w:val="auto"/>
        </w:rPr>
        <w:fldChar w:fldCharType="end"/>
      </w:r>
      <w:r w:rsidR="001F3E92">
        <w:fldChar w:fldCharType="begin"/>
      </w:r>
      <w:r w:rsidR="001F3E92">
        <w:instrText xml:space="preserve"> TOC \h \z \c "Table 2." </w:instrText>
      </w:r>
      <w:r w:rsidR="001F3E92">
        <w:fldChar w:fldCharType="separate"/>
      </w:r>
    </w:p>
    <w:p w14:paraId="7490F3B7" w14:textId="0B21800A" w:rsidR="00A41990" w:rsidRDefault="001F3E92" w:rsidP="009D0E08">
      <w:pPr>
        <w:pStyle w:val="Heading1"/>
      </w:pPr>
      <w:r>
        <w:fldChar w:fldCharType="end"/>
      </w:r>
      <w:bookmarkStart w:id="6" w:name="_Toc115155605"/>
      <w:bookmarkStart w:id="7" w:name="_Toc121095925"/>
      <w:r w:rsidR="00D603C6">
        <w:t>List of Tables</w:t>
      </w:r>
      <w:bookmarkEnd w:id="6"/>
      <w:bookmarkEnd w:id="7"/>
    </w:p>
    <w:bookmarkStart w:id="8" w:name="_Toc115155606"/>
    <w:p w14:paraId="775E78A2" w14:textId="65108B4D" w:rsidR="004D247B" w:rsidRDefault="00C31993">
      <w:pPr>
        <w:pStyle w:val="TableofFigures"/>
        <w:tabs>
          <w:tab w:val="right" w:leader="dot" w:pos="9350"/>
        </w:tabs>
        <w:rPr>
          <w:rFonts w:asciiTheme="minorHAnsi" w:eastAsiaTheme="minorEastAsia" w:hAnsiTheme="minorHAnsi"/>
          <w:noProof/>
          <w:sz w:val="22"/>
        </w:rPr>
      </w:pPr>
      <w:r>
        <w:fldChar w:fldCharType="begin"/>
      </w:r>
      <w:r>
        <w:instrText xml:space="preserve"> TOC \h \z \c "Table" </w:instrText>
      </w:r>
      <w:r>
        <w:fldChar w:fldCharType="separate"/>
      </w:r>
      <w:hyperlink w:anchor="_Toc120472453" w:history="1">
        <w:r w:rsidR="004D247B" w:rsidRPr="00AC5CBB">
          <w:rPr>
            <w:rStyle w:val="Hyperlink"/>
            <w:b/>
            <w:bCs/>
            <w:noProof/>
          </w:rPr>
          <w:t>Table 1.1:</w:t>
        </w:r>
        <w:r w:rsidR="004D247B" w:rsidRPr="00AC5CBB">
          <w:rPr>
            <w:rStyle w:val="Hyperlink"/>
            <w:noProof/>
          </w:rPr>
          <w:t xml:space="preserve"> Training and validation errors of the attributes used in the PNN training for neutron porosity volume prediction.</w:t>
        </w:r>
        <w:r w:rsidR="004D247B">
          <w:rPr>
            <w:noProof/>
            <w:webHidden/>
          </w:rPr>
          <w:tab/>
        </w:r>
        <w:r w:rsidR="004D247B">
          <w:rPr>
            <w:noProof/>
            <w:webHidden/>
          </w:rPr>
          <w:fldChar w:fldCharType="begin"/>
        </w:r>
        <w:r w:rsidR="004D247B">
          <w:rPr>
            <w:noProof/>
            <w:webHidden/>
          </w:rPr>
          <w:instrText xml:space="preserve"> PAGEREF _Toc120472453 \h </w:instrText>
        </w:r>
        <w:r w:rsidR="004D247B">
          <w:rPr>
            <w:noProof/>
            <w:webHidden/>
          </w:rPr>
        </w:r>
        <w:r w:rsidR="004D247B">
          <w:rPr>
            <w:noProof/>
            <w:webHidden/>
          </w:rPr>
          <w:fldChar w:fldCharType="separate"/>
        </w:r>
        <w:r w:rsidR="00B52D1E">
          <w:rPr>
            <w:noProof/>
            <w:webHidden/>
          </w:rPr>
          <w:t>49</w:t>
        </w:r>
        <w:r w:rsidR="004D247B">
          <w:rPr>
            <w:noProof/>
            <w:webHidden/>
          </w:rPr>
          <w:fldChar w:fldCharType="end"/>
        </w:r>
      </w:hyperlink>
    </w:p>
    <w:p w14:paraId="7E46D443" w14:textId="58758A4D" w:rsidR="004D247B" w:rsidRDefault="00000000">
      <w:pPr>
        <w:pStyle w:val="TableofFigures"/>
        <w:tabs>
          <w:tab w:val="right" w:leader="dot" w:pos="9350"/>
        </w:tabs>
        <w:rPr>
          <w:rFonts w:asciiTheme="minorHAnsi" w:eastAsiaTheme="minorEastAsia" w:hAnsiTheme="minorHAnsi"/>
          <w:noProof/>
          <w:sz w:val="22"/>
        </w:rPr>
      </w:pPr>
      <w:hyperlink w:anchor="_Toc120472454" w:history="1">
        <w:r w:rsidR="004D247B" w:rsidRPr="00AC5CBB">
          <w:rPr>
            <w:rStyle w:val="Hyperlink"/>
            <w:b/>
            <w:bCs/>
            <w:noProof/>
          </w:rPr>
          <w:t>Table 1.2: T</w:t>
        </w:r>
        <w:r w:rsidR="004D247B" w:rsidRPr="00AC5CBB">
          <w:rPr>
            <w:rStyle w:val="Hyperlink"/>
            <w:noProof/>
          </w:rPr>
          <w:t>raining and validation errors of the attributes used in the PNN training for total porosity volume prediction.</w:t>
        </w:r>
        <w:r w:rsidR="004D247B">
          <w:rPr>
            <w:noProof/>
            <w:webHidden/>
          </w:rPr>
          <w:tab/>
        </w:r>
        <w:r w:rsidR="004D247B">
          <w:rPr>
            <w:noProof/>
            <w:webHidden/>
          </w:rPr>
          <w:fldChar w:fldCharType="begin"/>
        </w:r>
        <w:r w:rsidR="004D247B">
          <w:rPr>
            <w:noProof/>
            <w:webHidden/>
          </w:rPr>
          <w:instrText xml:space="preserve"> PAGEREF _Toc120472454 \h </w:instrText>
        </w:r>
        <w:r w:rsidR="004D247B">
          <w:rPr>
            <w:noProof/>
            <w:webHidden/>
          </w:rPr>
        </w:r>
        <w:r w:rsidR="004D247B">
          <w:rPr>
            <w:noProof/>
            <w:webHidden/>
          </w:rPr>
          <w:fldChar w:fldCharType="separate"/>
        </w:r>
        <w:r w:rsidR="00B52D1E">
          <w:rPr>
            <w:noProof/>
            <w:webHidden/>
          </w:rPr>
          <w:t>50</w:t>
        </w:r>
        <w:r w:rsidR="004D247B">
          <w:rPr>
            <w:noProof/>
            <w:webHidden/>
          </w:rPr>
          <w:fldChar w:fldCharType="end"/>
        </w:r>
      </w:hyperlink>
    </w:p>
    <w:p w14:paraId="7E4A0074" w14:textId="444F7DF0" w:rsidR="004D247B" w:rsidRDefault="00000000">
      <w:pPr>
        <w:pStyle w:val="TableofFigures"/>
        <w:tabs>
          <w:tab w:val="right" w:leader="dot" w:pos="9350"/>
        </w:tabs>
        <w:rPr>
          <w:rFonts w:asciiTheme="minorHAnsi" w:eastAsiaTheme="minorEastAsia" w:hAnsiTheme="minorHAnsi"/>
          <w:noProof/>
          <w:sz w:val="22"/>
        </w:rPr>
      </w:pPr>
      <w:hyperlink w:anchor="_Toc120472455" w:history="1">
        <w:r w:rsidR="004D247B" w:rsidRPr="00AC5CBB">
          <w:rPr>
            <w:rStyle w:val="Hyperlink"/>
            <w:b/>
            <w:bCs/>
            <w:noProof/>
          </w:rPr>
          <w:t>Table 1.3:</w:t>
        </w:r>
        <w:r w:rsidR="004D247B" w:rsidRPr="00AC5CBB">
          <w:rPr>
            <w:rStyle w:val="Hyperlink"/>
            <w:noProof/>
          </w:rPr>
          <w:t xml:space="preserve"> Confusion matrix showing the match between the actual lithology (lithology logs) and the predicted lithology.</w:t>
        </w:r>
        <w:r w:rsidR="004D247B">
          <w:rPr>
            <w:noProof/>
            <w:webHidden/>
          </w:rPr>
          <w:tab/>
        </w:r>
        <w:r w:rsidR="004D247B">
          <w:rPr>
            <w:noProof/>
            <w:webHidden/>
          </w:rPr>
          <w:fldChar w:fldCharType="begin"/>
        </w:r>
        <w:r w:rsidR="004D247B">
          <w:rPr>
            <w:noProof/>
            <w:webHidden/>
          </w:rPr>
          <w:instrText xml:space="preserve"> PAGEREF _Toc120472455 \h </w:instrText>
        </w:r>
        <w:r w:rsidR="004D247B">
          <w:rPr>
            <w:noProof/>
            <w:webHidden/>
          </w:rPr>
        </w:r>
        <w:r w:rsidR="004D247B">
          <w:rPr>
            <w:noProof/>
            <w:webHidden/>
          </w:rPr>
          <w:fldChar w:fldCharType="separate"/>
        </w:r>
        <w:r w:rsidR="00B52D1E">
          <w:rPr>
            <w:noProof/>
            <w:webHidden/>
          </w:rPr>
          <w:t>51</w:t>
        </w:r>
        <w:r w:rsidR="004D247B">
          <w:rPr>
            <w:noProof/>
            <w:webHidden/>
          </w:rPr>
          <w:fldChar w:fldCharType="end"/>
        </w:r>
      </w:hyperlink>
    </w:p>
    <w:p w14:paraId="7800548E" w14:textId="521CD236" w:rsidR="004D247B" w:rsidRDefault="00000000">
      <w:pPr>
        <w:pStyle w:val="TableofFigures"/>
        <w:tabs>
          <w:tab w:val="right" w:leader="dot" w:pos="9350"/>
        </w:tabs>
        <w:rPr>
          <w:rFonts w:asciiTheme="minorHAnsi" w:eastAsiaTheme="minorEastAsia" w:hAnsiTheme="minorHAnsi"/>
          <w:noProof/>
          <w:sz w:val="22"/>
        </w:rPr>
      </w:pPr>
      <w:hyperlink w:anchor="_Toc120472456" w:history="1">
        <w:r w:rsidR="004D247B" w:rsidRPr="00AC5CBB">
          <w:rPr>
            <w:rStyle w:val="Hyperlink"/>
            <w:b/>
            <w:bCs/>
            <w:noProof/>
          </w:rPr>
          <w:t xml:space="preserve">Table 2.1: </w:t>
        </w:r>
        <w:r w:rsidR="004D247B" w:rsidRPr="00AC5CBB">
          <w:rPr>
            <w:rStyle w:val="Hyperlink"/>
            <w:rFonts w:cs="Times New Roman"/>
            <w:noProof/>
          </w:rPr>
          <w:t>Confusion matrix displaying the accuracy for the ANN petrofacies log classification in Berexco Wellington #1-32 using a log suite of the photoelectric effect (PEF), deep resistivity (RESD), total porosity (PHIT), and P-wave sonic (DT).</w:t>
        </w:r>
        <w:r w:rsidR="004D247B">
          <w:rPr>
            <w:noProof/>
            <w:webHidden/>
          </w:rPr>
          <w:tab/>
        </w:r>
        <w:r w:rsidR="004D247B">
          <w:rPr>
            <w:noProof/>
            <w:webHidden/>
          </w:rPr>
          <w:fldChar w:fldCharType="begin"/>
        </w:r>
        <w:r w:rsidR="004D247B">
          <w:rPr>
            <w:noProof/>
            <w:webHidden/>
          </w:rPr>
          <w:instrText xml:space="preserve"> PAGEREF _Toc120472456 \h </w:instrText>
        </w:r>
        <w:r w:rsidR="004D247B">
          <w:rPr>
            <w:noProof/>
            <w:webHidden/>
          </w:rPr>
        </w:r>
        <w:r w:rsidR="004D247B">
          <w:rPr>
            <w:noProof/>
            <w:webHidden/>
          </w:rPr>
          <w:fldChar w:fldCharType="separate"/>
        </w:r>
        <w:r w:rsidR="00B52D1E">
          <w:rPr>
            <w:noProof/>
            <w:webHidden/>
          </w:rPr>
          <w:t>103</w:t>
        </w:r>
        <w:r w:rsidR="004D247B">
          <w:rPr>
            <w:noProof/>
            <w:webHidden/>
          </w:rPr>
          <w:fldChar w:fldCharType="end"/>
        </w:r>
      </w:hyperlink>
    </w:p>
    <w:p w14:paraId="3FB8B383" w14:textId="7B8C84C6" w:rsidR="004D247B" w:rsidRDefault="00000000">
      <w:pPr>
        <w:pStyle w:val="TableofFigures"/>
        <w:tabs>
          <w:tab w:val="right" w:leader="dot" w:pos="9350"/>
        </w:tabs>
        <w:rPr>
          <w:rFonts w:asciiTheme="minorHAnsi" w:eastAsiaTheme="minorEastAsia" w:hAnsiTheme="minorHAnsi"/>
          <w:noProof/>
          <w:sz w:val="22"/>
        </w:rPr>
      </w:pPr>
      <w:hyperlink w:anchor="_Toc120472457" w:history="1">
        <w:r w:rsidR="004D247B" w:rsidRPr="00AC5CBB">
          <w:rPr>
            <w:rStyle w:val="Hyperlink"/>
            <w:b/>
            <w:bCs/>
            <w:noProof/>
          </w:rPr>
          <w:t xml:space="preserve">Table 2.2: </w:t>
        </w:r>
        <w:r w:rsidR="004D247B" w:rsidRPr="00AC5CBB">
          <w:rPr>
            <w:rStyle w:val="Hyperlink"/>
            <w:rFonts w:cs="Times New Roman"/>
            <w:noProof/>
          </w:rPr>
          <w:t>3D seismic scale petrofacies prediction results. Confusion matrix showing the match between the actual petrofacies (logs) and the predicted petrofacies values from the supervised random forest classifier.</w:t>
        </w:r>
        <w:r w:rsidR="004D247B">
          <w:rPr>
            <w:noProof/>
            <w:webHidden/>
          </w:rPr>
          <w:tab/>
        </w:r>
        <w:r w:rsidR="004D247B">
          <w:rPr>
            <w:noProof/>
            <w:webHidden/>
          </w:rPr>
          <w:fldChar w:fldCharType="begin"/>
        </w:r>
        <w:r w:rsidR="004D247B">
          <w:rPr>
            <w:noProof/>
            <w:webHidden/>
          </w:rPr>
          <w:instrText xml:space="preserve"> PAGEREF _Toc120472457 \h </w:instrText>
        </w:r>
        <w:r w:rsidR="004D247B">
          <w:rPr>
            <w:noProof/>
            <w:webHidden/>
          </w:rPr>
        </w:r>
        <w:r w:rsidR="004D247B">
          <w:rPr>
            <w:noProof/>
            <w:webHidden/>
          </w:rPr>
          <w:fldChar w:fldCharType="separate"/>
        </w:r>
        <w:r w:rsidR="00B52D1E">
          <w:rPr>
            <w:noProof/>
            <w:webHidden/>
          </w:rPr>
          <w:t>104</w:t>
        </w:r>
        <w:r w:rsidR="004D247B">
          <w:rPr>
            <w:noProof/>
            <w:webHidden/>
          </w:rPr>
          <w:fldChar w:fldCharType="end"/>
        </w:r>
      </w:hyperlink>
    </w:p>
    <w:p w14:paraId="2BCB8008" w14:textId="0BD073DC" w:rsidR="004D247B" w:rsidRDefault="00000000">
      <w:pPr>
        <w:pStyle w:val="TableofFigures"/>
        <w:tabs>
          <w:tab w:val="right" w:leader="dot" w:pos="9350"/>
        </w:tabs>
        <w:rPr>
          <w:rFonts w:asciiTheme="minorHAnsi" w:eastAsiaTheme="minorEastAsia" w:hAnsiTheme="minorHAnsi"/>
          <w:noProof/>
          <w:sz w:val="22"/>
        </w:rPr>
      </w:pPr>
      <w:hyperlink w:anchor="_Toc120472458" w:history="1">
        <w:r w:rsidR="004D247B" w:rsidRPr="00AC5CBB">
          <w:rPr>
            <w:rStyle w:val="Hyperlink"/>
            <w:b/>
            <w:bCs/>
            <w:noProof/>
          </w:rPr>
          <w:t>Table 3.1:</w:t>
        </w:r>
        <w:r w:rsidR="004D247B" w:rsidRPr="00AC5CBB">
          <w:rPr>
            <w:rStyle w:val="Hyperlink"/>
            <w:noProof/>
          </w:rPr>
          <w:t xml:space="preserve"> Summary of the values used for the theoretical CO</w:t>
        </w:r>
        <w:r w:rsidR="004D247B" w:rsidRPr="00AC5CBB">
          <w:rPr>
            <w:rStyle w:val="Hyperlink"/>
            <w:noProof/>
            <w:vertAlign w:val="subscript"/>
          </w:rPr>
          <w:t>2</w:t>
        </w:r>
        <w:r w:rsidR="004D247B" w:rsidRPr="00AC5CBB">
          <w:rPr>
            <w:rStyle w:val="Hyperlink"/>
            <w:noProof/>
          </w:rPr>
          <w:t xml:space="preserve"> storage capacity calculation for the Arbuckle zone A.</w:t>
        </w:r>
        <w:r w:rsidR="004D247B">
          <w:rPr>
            <w:noProof/>
            <w:webHidden/>
          </w:rPr>
          <w:tab/>
        </w:r>
        <w:r w:rsidR="004D247B">
          <w:rPr>
            <w:noProof/>
            <w:webHidden/>
          </w:rPr>
          <w:fldChar w:fldCharType="begin"/>
        </w:r>
        <w:r w:rsidR="004D247B">
          <w:rPr>
            <w:noProof/>
            <w:webHidden/>
          </w:rPr>
          <w:instrText xml:space="preserve"> PAGEREF _Toc120472458 \h </w:instrText>
        </w:r>
        <w:r w:rsidR="004D247B">
          <w:rPr>
            <w:noProof/>
            <w:webHidden/>
          </w:rPr>
        </w:r>
        <w:r w:rsidR="004D247B">
          <w:rPr>
            <w:noProof/>
            <w:webHidden/>
          </w:rPr>
          <w:fldChar w:fldCharType="separate"/>
        </w:r>
        <w:r w:rsidR="00B52D1E">
          <w:rPr>
            <w:noProof/>
            <w:webHidden/>
          </w:rPr>
          <w:t>168</w:t>
        </w:r>
        <w:r w:rsidR="004D247B">
          <w:rPr>
            <w:noProof/>
            <w:webHidden/>
          </w:rPr>
          <w:fldChar w:fldCharType="end"/>
        </w:r>
      </w:hyperlink>
    </w:p>
    <w:p w14:paraId="38FB8BC6" w14:textId="38E33908" w:rsidR="004D247B" w:rsidRDefault="00000000">
      <w:pPr>
        <w:pStyle w:val="TableofFigures"/>
        <w:tabs>
          <w:tab w:val="right" w:leader="dot" w:pos="9350"/>
        </w:tabs>
        <w:rPr>
          <w:rFonts w:asciiTheme="minorHAnsi" w:eastAsiaTheme="minorEastAsia" w:hAnsiTheme="minorHAnsi"/>
          <w:noProof/>
          <w:sz w:val="22"/>
        </w:rPr>
      </w:pPr>
      <w:hyperlink w:anchor="_Toc120472459" w:history="1">
        <w:r w:rsidR="004D247B" w:rsidRPr="00AC5CBB">
          <w:rPr>
            <w:rStyle w:val="Hyperlink"/>
            <w:b/>
            <w:bCs/>
            <w:noProof/>
          </w:rPr>
          <w:t xml:space="preserve">Table 3.2: </w:t>
        </w:r>
        <w:r w:rsidR="004D247B" w:rsidRPr="00AC5CBB">
          <w:rPr>
            <w:rStyle w:val="Hyperlink"/>
            <w:noProof/>
          </w:rPr>
          <w:t>Summary of the values used for the theoretical CO</w:t>
        </w:r>
        <w:r w:rsidR="004D247B" w:rsidRPr="00AC5CBB">
          <w:rPr>
            <w:rStyle w:val="Hyperlink"/>
            <w:noProof/>
            <w:vertAlign w:val="subscript"/>
          </w:rPr>
          <w:t>2</w:t>
        </w:r>
        <w:r w:rsidR="004D247B" w:rsidRPr="00AC5CBB">
          <w:rPr>
            <w:rStyle w:val="Hyperlink"/>
            <w:noProof/>
          </w:rPr>
          <w:t xml:space="preserve"> storage capacity calculation for the entire Arbuckle Group in the study area.</w:t>
        </w:r>
        <w:r w:rsidR="004D247B">
          <w:rPr>
            <w:noProof/>
            <w:webHidden/>
          </w:rPr>
          <w:tab/>
        </w:r>
        <w:r w:rsidR="004D247B">
          <w:rPr>
            <w:noProof/>
            <w:webHidden/>
          </w:rPr>
          <w:fldChar w:fldCharType="begin"/>
        </w:r>
        <w:r w:rsidR="004D247B">
          <w:rPr>
            <w:noProof/>
            <w:webHidden/>
          </w:rPr>
          <w:instrText xml:space="preserve"> PAGEREF _Toc120472459 \h </w:instrText>
        </w:r>
        <w:r w:rsidR="004D247B">
          <w:rPr>
            <w:noProof/>
            <w:webHidden/>
          </w:rPr>
        </w:r>
        <w:r w:rsidR="004D247B">
          <w:rPr>
            <w:noProof/>
            <w:webHidden/>
          </w:rPr>
          <w:fldChar w:fldCharType="separate"/>
        </w:r>
        <w:r w:rsidR="00B52D1E">
          <w:rPr>
            <w:noProof/>
            <w:webHidden/>
          </w:rPr>
          <w:t>169</w:t>
        </w:r>
        <w:r w:rsidR="004D247B">
          <w:rPr>
            <w:noProof/>
            <w:webHidden/>
          </w:rPr>
          <w:fldChar w:fldCharType="end"/>
        </w:r>
      </w:hyperlink>
    </w:p>
    <w:p w14:paraId="0356D5AA" w14:textId="252DEEBE" w:rsidR="00F71E63" w:rsidRDefault="00C31993" w:rsidP="004D247B">
      <w:pPr>
        <w:pStyle w:val="Heading1"/>
      </w:pPr>
      <w:r>
        <w:rPr>
          <w:b w:val="0"/>
        </w:rPr>
        <w:fldChar w:fldCharType="end"/>
      </w:r>
      <w:r w:rsidR="00F115CD">
        <w:br w:type="page"/>
      </w:r>
      <w:bookmarkStart w:id="9" w:name="_Toc121095926"/>
      <w:r w:rsidR="00F71E63">
        <w:lastRenderedPageBreak/>
        <w:t>Abstract</w:t>
      </w:r>
      <w:bookmarkEnd w:id="8"/>
      <w:bookmarkEnd w:id="9"/>
    </w:p>
    <w:p w14:paraId="4772A253" w14:textId="49AFD1A8" w:rsidR="00503F9F" w:rsidRDefault="00503F9F" w:rsidP="00F71E63">
      <w:pPr>
        <w:ind w:firstLine="720"/>
      </w:pPr>
      <w:r>
        <w:t>Quantitative seismic interpretation and geostatistical modeling methods have been widely used for subsurface reservoir characterization. However, the task becomes challenging due to the reservoir complexity and limited well control. To address these challenges, this research explores workflows that combine supervised machine learning, quantitative seismic interpretation, and seismic-constraining reservoir modeling methods to effectively reduce uncertainty in predicting multiscale subsurface heterogeneity. These workflows help mitigate the risks and uncertainties of exploring and developing potential reservoirs for hydrocarbon exploration and production or subsurface carbon sequestration. Techniques applied in this study integrate multiple sources of data to characterize complex reservoirs across different fields in north America. This dissertation presents three case studies combining new and traditional subsurface characterization techniques at different scales. The research starts with supervised machine learning, 3D seismic data, and well-log information to map the seismic scale diagenetic imprint and its corresponding reservoir quality on a Permian Basin reservoir. Then, I present a workflow that integrates core-derived petrophysical measurements, well logs, and pre-stack seismic data through supervised machine learning to map the seismic-scale spatial variability of petrophysically significant facies of a carbonate reservoir targeted for carbon geosequestration. Lastly, I present a seismic-constrained reservoir modeling and simulation workflow that combines the seismic-scale petrophysically defined facies information with well log and core data to map small-scale stratigraphic variability of petrophysical properties, CO</w:t>
      </w:r>
      <w:r w:rsidRPr="008F23C6">
        <w:rPr>
          <w:vertAlign w:val="subscript"/>
        </w:rPr>
        <w:t>2</w:t>
      </w:r>
      <w:r>
        <w:t xml:space="preserve"> storage capacity, and subsurface fluid flow behavior for long-term carbon sequestration. The illustrated workflows showed that the subsurface properties, such as lithology and petrofacies information, could be extracted on </w:t>
      </w:r>
      <w:r w:rsidR="00766104">
        <w:t xml:space="preserve">a </w:t>
      </w:r>
      <w:r>
        <w:t xml:space="preserve">seismic scale with the help of </w:t>
      </w:r>
      <w:r>
        <w:lastRenderedPageBreak/>
        <w:t>supervised machine learning. Additionally, this information can be used to better constrain reservoir models and reduce uncertainty where the well control is sparse.</w:t>
      </w:r>
    </w:p>
    <w:p w14:paraId="3DE58EFF" w14:textId="2F82EDE6" w:rsidR="00503F9F" w:rsidRDefault="00503F9F">
      <w:pPr>
        <w:spacing w:line="240" w:lineRule="auto"/>
        <w:sectPr w:rsidR="00503F9F" w:rsidSect="00297E52">
          <w:footerReference w:type="default" r:id="rId9"/>
          <w:pgSz w:w="12240" w:h="15840"/>
          <w:pgMar w:top="1440" w:right="1440" w:bottom="1440" w:left="1440" w:header="720" w:footer="720" w:gutter="0"/>
          <w:pgNumType w:fmt="lowerRoman" w:start="4"/>
          <w:cols w:space="720"/>
          <w:titlePg/>
          <w:docGrid w:linePitch="360"/>
        </w:sectPr>
      </w:pPr>
    </w:p>
    <w:p w14:paraId="18A5D18E" w14:textId="78AD7201" w:rsidR="004734ED" w:rsidRDefault="004734ED" w:rsidP="009D0E08">
      <w:pPr>
        <w:pStyle w:val="Heading1"/>
      </w:pPr>
      <w:bookmarkStart w:id="10" w:name="_Toc115155607"/>
      <w:bookmarkStart w:id="11" w:name="_Toc121095927"/>
      <w:r>
        <w:lastRenderedPageBreak/>
        <w:t>Introduction</w:t>
      </w:r>
      <w:bookmarkEnd w:id="10"/>
      <w:bookmarkEnd w:id="11"/>
    </w:p>
    <w:p w14:paraId="00CE478A" w14:textId="09D819E2" w:rsidR="00C345B2" w:rsidRDefault="0073028E" w:rsidP="00C345B2">
      <w:pPr>
        <w:ind w:firstLine="720"/>
      </w:pPr>
      <w:r>
        <w:t xml:space="preserve">The effective exploitation of hydrocarbons and </w:t>
      </w:r>
      <w:r w:rsidR="00815E0B">
        <w:t>safe storage of CO</w:t>
      </w:r>
      <w:r w:rsidR="00815E0B" w:rsidRPr="00815E0B">
        <w:rPr>
          <w:vertAlign w:val="subscript"/>
        </w:rPr>
        <w:t>2</w:t>
      </w:r>
      <w:r w:rsidR="00E86646" w:rsidRPr="00E86646">
        <w:t>,</w:t>
      </w:r>
      <w:r w:rsidR="00E86646">
        <w:rPr>
          <w:vertAlign w:val="subscript"/>
        </w:rPr>
        <w:t xml:space="preserve"> </w:t>
      </w:r>
      <w:r w:rsidR="00E86646">
        <w:t>natural gas, or other fluids</w:t>
      </w:r>
      <w:r w:rsidR="00767E31">
        <w:t xml:space="preserve"> requires </w:t>
      </w:r>
      <w:r w:rsidR="005A5141">
        <w:t xml:space="preserve">a robust </w:t>
      </w:r>
      <w:r w:rsidR="00C73F0B">
        <w:t>reservoir</w:t>
      </w:r>
      <w:r w:rsidR="005A5141">
        <w:t xml:space="preserve"> characterization.</w:t>
      </w:r>
      <w:r w:rsidR="007432FB">
        <w:t xml:space="preserve"> An optimal subsurface characterization </w:t>
      </w:r>
      <w:r w:rsidR="002A1A0C">
        <w:t>is</w:t>
      </w:r>
      <w:r w:rsidR="007432FB">
        <w:t xml:space="preserve"> </w:t>
      </w:r>
      <w:r w:rsidR="007F500D">
        <w:t>crucial for</w:t>
      </w:r>
      <w:r w:rsidR="00166EB4">
        <w:t xml:space="preserve"> </w:t>
      </w:r>
      <w:r w:rsidR="007432FB">
        <w:t xml:space="preserve">better </w:t>
      </w:r>
      <w:r w:rsidR="00D524BC">
        <w:t>assessment</w:t>
      </w:r>
      <w:r w:rsidR="007432FB">
        <w:t xml:space="preserve"> of </w:t>
      </w:r>
      <w:r w:rsidR="00327AE9">
        <w:t>reservoir</w:t>
      </w:r>
      <w:r w:rsidR="009860C3">
        <w:t>s by reducing the risk and uncertainty</w:t>
      </w:r>
      <w:r w:rsidR="00C73F0B">
        <w:t xml:space="preserve">, ultimately </w:t>
      </w:r>
      <w:r w:rsidR="002A1A0C">
        <w:t>help</w:t>
      </w:r>
      <w:r w:rsidR="00C345B2">
        <w:t xml:space="preserve">ing the world’s ever-growing energy </w:t>
      </w:r>
      <w:r w:rsidR="00ED4A3A">
        <w:t>demand and</w:t>
      </w:r>
      <w:r w:rsidR="00C345B2">
        <w:t xml:space="preserve"> reaching net-zero emissions to combat global climate change.</w:t>
      </w:r>
    </w:p>
    <w:p w14:paraId="785CE43E" w14:textId="4DA6ACFC" w:rsidR="00AF3C7B" w:rsidRDefault="008964D9" w:rsidP="005F5134">
      <w:pPr>
        <w:ind w:firstLine="720"/>
      </w:pPr>
      <w:r>
        <w:t>Traditional</w:t>
      </w:r>
      <w:r w:rsidR="007F500D">
        <w:t xml:space="preserve"> </w:t>
      </w:r>
      <w:r>
        <w:t xml:space="preserve">3D </w:t>
      </w:r>
      <w:r w:rsidR="00852454">
        <w:t xml:space="preserve">seismic </w:t>
      </w:r>
      <w:r w:rsidR="007F500D">
        <w:t>interpretation</w:t>
      </w:r>
      <w:r>
        <w:t xml:space="preserve"> </w:t>
      </w:r>
      <w:r w:rsidR="006E4AD1">
        <w:t xml:space="preserve">augmented by </w:t>
      </w:r>
      <w:r w:rsidR="00D608EF">
        <w:t xml:space="preserve">seismic </w:t>
      </w:r>
      <w:r>
        <w:t xml:space="preserve">attribute analysis </w:t>
      </w:r>
      <w:r w:rsidR="00A609A5">
        <w:t xml:space="preserve">that comprise the </w:t>
      </w:r>
      <w:r w:rsidR="00E32014">
        <w:t xml:space="preserve">reservoir to define </w:t>
      </w:r>
      <w:r>
        <w:t>stratal geometries, structure</w:t>
      </w:r>
      <w:r w:rsidR="00CA448A">
        <w:t>,</w:t>
      </w:r>
      <w:r>
        <w:t xml:space="preserve"> </w:t>
      </w:r>
      <w:r w:rsidR="00D608EF">
        <w:t>and stratigraphic</w:t>
      </w:r>
      <w:r w:rsidR="00656222">
        <w:t xml:space="preserve"> </w:t>
      </w:r>
      <w:r w:rsidR="00D55482">
        <w:t>features in a depositional environment (Chopra and Marfurt, 2007; Brown,</w:t>
      </w:r>
      <w:r w:rsidR="009A3091">
        <w:t xml:space="preserve"> 2011).</w:t>
      </w:r>
      <w:r w:rsidR="00D55482">
        <w:t xml:space="preserve"> </w:t>
      </w:r>
      <w:r w:rsidR="00660768">
        <w:t xml:space="preserve">Quantitative </w:t>
      </w:r>
      <w:r w:rsidR="00E32014">
        <w:t xml:space="preserve">seismic interpretation </w:t>
      </w:r>
      <w:r w:rsidR="00660768">
        <w:t>techniques such as</w:t>
      </w:r>
      <w:r w:rsidR="000C0907">
        <w:t xml:space="preserve"> impedance</w:t>
      </w:r>
      <w:r w:rsidR="00660768">
        <w:t xml:space="preserve"> inversion, AVO</w:t>
      </w:r>
      <w:r w:rsidR="00CA448A">
        <w:t>,</w:t>
      </w:r>
      <w:r w:rsidR="00660768">
        <w:t xml:space="preserve"> and rock physics modeling </w:t>
      </w:r>
      <w:r w:rsidR="000C0907">
        <w:t xml:space="preserve">provide additional </w:t>
      </w:r>
      <w:r w:rsidR="00660768">
        <w:t>information and provide lithology, reservoir quality</w:t>
      </w:r>
      <w:r w:rsidR="00537320">
        <w:t>,</w:t>
      </w:r>
      <w:r w:rsidR="00660768">
        <w:t xml:space="preserve"> </w:t>
      </w:r>
      <w:r w:rsidR="00CA448A">
        <w:t xml:space="preserve">and </w:t>
      </w:r>
      <w:r w:rsidR="00537320">
        <w:t>pore</w:t>
      </w:r>
      <w:r w:rsidR="00660768">
        <w:t xml:space="preserve"> fluid content for </w:t>
      </w:r>
      <w:r w:rsidR="00A85F55">
        <w:t>silici</w:t>
      </w:r>
      <w:r w:rsidR="00660768">
        <w:t xml:space="preserve">clastic </w:t>
      </w:r>
      <w:r w:rsidR="00DD2827">
        <w:t>reservoirs (Avseth et al., 2001; Chopra and Castagna, 2014)</w:t>
      </w:r>
      <w:r w:rsidR="00660768">
        <w:t>.</w:t>
      </w:r>
      <w:r w:rsidR="00164B74">
        <w:t xml:space="preserve"> </w:t>
      </w:r>
      <w:r w:rsidR="008F778C">
        <w:t>However, quantitative</w:t>
      </w:r>
      <w:r w:rsidR="00C06759">
        <w:t xml:space="preserve"> interpretation of carbonate reservoirs is complicated by </w:t>
      </w:r>
      <w:r w:rsidR="00AB0D70">
        <w:t>complex pore systems (Wang, 1997)</w:t>
      </w:r>
      <w:r w:rsidR="008F778C">
        <w:t xml:space="preserve">, </w:t>
      </w:r>
      <w:r w:rsidR="008542F2">
        <w:t>stiff rock matrices</w:t>
      </w:r>
      <w:r w:rsidR="00CA448A">
        <w:t>,</w:t>
      </w:r>
      <w:r w:rsidR="006A6D67">
        <w:t xml:space="preserve"> and high interval velocities.</w:t>
      </w:r>
      <w:r w:rsidR="008542F2">
        <w:t xml:space="preserve"> (</w:t>
      </w:r>
      <w:r w:rsidR="00E92CF2">
        <w:t>Palaz and Marfurt, 1997</w:t>
      </w:r>
      <w:r w:rsidR="00E81A9C">
        <w:t>; Masaferro et al., 2004).</w:t>
      </w:r>
      <w:r w:rsidR="00A61FD5">
        <w:t xml:space="preserve"> </w:t>
      </w:r>
      <w:r w:rsidR="00621D01">
        <w:t xml:space="preserve">Additionally, </w:t>
      </w:r>
      <w:r w:rsidR="0097390E">
        <w:t xml:space="preserve">while </w:t>
      </w:r>
      <w:r w:rsidR="00291E97">
        <w:t xml:space="preserve">seismic measures </w:t>
      </w:r>
      <w:r w:rsidR="005C76BC">
        <w:t xml:space="preserve">provide </w:t>
      </w:r>
      <w:r w:rsidR="00964828">
        <w:t xml:space="preserve">good lateral information, </w:t>
      </w:r>
      <w:r w:rsidR="00CA448A">
        <w:t xml:space="preserve">the </w:t>
      </w:r>
      <w:r w:rsidR="00964828">
        <w:t xml:space="preserve">vertical resolution </w:t>
      </w:r>
      <w:r w:rsidR="00436846">
        <w:t xml:space="preserve">is </w:t>
      </w:r>
      <w:r w:rsidR="00614276">
        <w:t xml:space="preserve">insufficient </w:t>
      </w:r>
      <w:r w:rsidR="00BB0AAA">
        <w:t xml:space="preserve">enough </w:t>
      </w:r>
      <w:r w:rsidR="00872098">
        <w:t>to</w:t>
      </w:r>
      <w:r w:rsidR="005C76BC">
        <w:t xml:space="preserve"> evaluate small-scale heterogeneity and variability</w:t>
      </w:r>
      <w:r w:rsidR="00436846">
        <w:t>.</w:t>
      </w:r>
      <w:r w:rsidR="00E95883">
        <w:t xml:space="preserve"> </w:t>
      </w:r>
      <w:r w:rsidR="00A13BF1">
        <w:t xml:space="preserve">To </w:t>
      </w:r>
      <w:r w:rsidR="00B26754">
        <w:t>address th</w:t>
      </w:r>
      <w:r w:rsidR="000109B0">
        <w:t>is</w:t>
      </w:r>
      <w:r w:rsidR="00B26754">
        <w:t xml:space="preserve"> small-scale subsurface heterogeneity, multi-scale data from well logs,</w:t>
      </w:r>
      <w:r w:rsidR="00BB27AA">
        <w:t xml:space="preserve"> and</w:t>
      </w:r>
      <w:r w:rsidR="00B26754">
        <w:t xml:space="preserve"> core</w:t>
      </w:r>
      <w:r w:rsidR="00AE23BB">
        <w:t xml:space="preserve"> have been used</w:t>
      </w:r>
      <w:r w:rsidR="00676E94">
        <w:t xml:space="preserve"> </w:t>
      </w:r>
      <w:r w:rsidR="008826FF">
        <w:t>to create reservoir models</w:t>
      </w:r>
      <w:r w:rsidR="00AE23BB">
        <w:t>.</w:t>
      </w:r>
      <w:r w:rsidR="00015A12" w:rsidRPr="00015A12">
        <w:t xml:space="preserve"> </w:t>
      </w:r>
      <w:r w:rsidR="00015A12">
        <w:t xml:space="preserve">Neuhaus et al. (2004) utilized abundant well control to create variograms and performed stochastic </w:t>
      </w:r>
      <w:r w:rsidR="007B776B">
        <w:t>inversion and</w:t>
      </w:r>
      <w:r w:rsidR="00015A12">
        <w:t xml:space="preserve"> incorporated the results as input for further reservoir modeling. Pranter et al. (2004) demonstrated an integrated approach </w:t>
      </w:r>
      <w:r w:rsidR="00F00E25">
        <w:t xml:space="preserve">to identify heterogeneities within </w:t>
      </w:r>
      <w:r w:rsidR="00B9264D">
        <w:t xml:space="preserve">a complex Permian Basin </w:t>
      </w:r>
      <w:r w:rsidR="00015A12">
        <w:t xml:space="preserve">carbonate reservoir. These studies commonly require good well control to </w:t>
      </w:r>
      <w:r w:rsidR="00015A12">
        <w:lastRenderedPageBreak/>
        <w:t>create</w:t>
      </w:r>
      <w:r w:rsidR="00D15BE1">
        <w:t xml:space="preserve"> robust, detailed</w:t>
      </w:r>
      <w:r w:rsidR="00015A12">
        <w:t xml:space="preserve"> geostatistical models.</w:t>
      </w:r>
      <w:r w:rsidR="00594D8B">
        <w:t xml:space="preserve"> </w:t>
      </w:r>
      <w:r w:rsidR="00957E4C">
        <w:t>In this dissertation</w:t>
      </w:r>
      <w:r w:rsidR="00891B6D">
        <w:t xml:space="preserve">, I aim to utilize supervised machine learning </w:t>
      </w:r>
      <w:r w:rsidR="004937E9">
        <w:t xml:space="preserve">workflows </w:t>
      </w:r>
      <w:r w:rsidR="00891B6D">
        <w:t xml:space="preserve">to </w:t>
      </w:r>
      <w:r w:rsidR="00464260">
        <w:t xml:space="preserve">provide more </w:t>
      </w:r>
      <w:r w:rsidR="004937E9">
        <w:t xml:space="preserve">quantitative seismic interpretation </w:t>
      </w:r>
      <w:r w:rsidR="00642ADA">
        <w:t>results</w:t>
      </w:r>
      <w:r w:rsidR="00A26240">
        <w:t xml:space="preserve"> when there is limited well control. I</w:t>
      </w:r>
      <w:r w:rsidR="00F91CB2">
        <w:t xml:space="preserve"> will also explore workflows that</w:t>
      </w:r>
      <w:r w:rsidR="004937E9">
        <w:t xml:space="preserve"> </w:t>
      </w:r>
      <w:r w:rsidR="00E053E3">
        <w:t>integrat</w:t>
      </w:r>
      <w:r w:rsidR="002226E5">
        <w:t>e</w:t>
      </w:r>
      <w:r w:rsidR="004937E9">
        <w:t xml:space="preserve"> </w:t>
      </w:r>
      <w:r w:rsidR="00E053E3">
        <w:t xml:space="preserve">seismic-based </w:t>
      </w:r>
      <w:r w:rsidR="00DC2261">
        <w:t>property</w:t>
      </w:r>
      <w:r w:rsidR="002226E5">
        <w:t xml:space="preserve"> volumes</w:t>
      </w:r>
      <w:r w:rsidR="00F65C06">
        <w:t xml:space="preserve"> with core and well log information</w:t>
      </w:r>
      <w:r w:rsidR="002226E5">
        <w:t xml:space="preserve"> to further constrain reservoir models for a robust reservoir characterization</w:t>
      </w:r>
      <w:r w:rsidR="007A65F7">
        <w:t>.</w:t>
      </w:r>
      <w:r w:rsidR="00594D8B">
        <w:t xml:space="preserve"> </w:t>
      </w:r>
    </w:p>
    <w:p w14:paraId="76A95344" w14:textId="0BCC4128" w:rsidR="001B2CB1" w:rsidRDefault="005320D7" w:rsidP="00974B2F">
      <w:pPr>
        <w:ind w:firstLine="720"/>
      </w:pPr>
      <w:r>
        <w:t xml:space="preserve">In Chapter 1, I </w:t>
      </w:r>
      <w:r w:rsidR="001B2CB1">
        <w:t xml:space="preserve">use </w:t>
      </w:r>
      <w:r w:rsidR="00216D10">
        <w:t xml:space="preserve">a </w:t>
      </w:r>
      <w:r w:rsidR="001B2CB1">
        <w:t xml:space="preserve">combination of </w:t>
      </w:r>
      <w:r w:rsidR="008D3393">
        <w:t xml:space="preserve">post-stack seismic inversion, </w:t>
      </w:r>
      <w:r w:rsidR="006E749D">
        <w:t>probabilistic neural network (PNN)</w:t>
      </w:r>
      <w:r w:rsidR="00673052">
        <w:t>,</w:t>
      </w:r>
      <w:r w:rsidR="006E749D">
        <w:t xml:space="preserve"> and </w:t>
      </w:r>
      <w:r w:rsidR="00DD6B95">
        <w:t>supervised Bayesian classification to map the</w:t>
      </w:r>
      <w:r w:rsidR="008D3393">
        <w:t xml:space="preserve"> lithology</w:t>
      </w:r>
      <w:r w:rsidR="00216D10">
        <w:t xml:space="preserve"> variation and </w:t>
      </w:r>
      <w:r w:rsidR="0060422E">
        <w:t>reservoir quality</w:t>
      </w:r>
      <w:r w:rsidR="008D3393">
        <w:t xml:space="preserve"> controlled by the regional</w:t>
      </w:r>
      <w:r w:rsidR="00DD6B95">
        <w:t xml:space="preserve"> </w:t>
      </w:r>
      <w:r w:rsidR="004717F5">
        <w:t xml:space="preserve">reflux dolomitization </w:t>
      </w:r>
      <w:r w:rsidR="000B6FB0">
        <w:t xml:space="preserve">in the </w:t>
      </w:r>
      <w:r w:rsidR="00EE607F">
        <w:t xml:space="preserve">Midland Basin Leonardian and Wichita </w:t>
      </w:r>
      <w:r w:rsidR="00C12A44">
        <w:t>formations</w:t>
      </w:r>
      <w:r w:rsidR="00EE607F">
        <w:t>.</w:t>
      </w:r>
    </w:p>
    <w:p w14:paraId="6A41FD7F" w14:textId="6E777953" w:rsidR="003205F9" w:rsidRDefault="008D3393" w:rsidP="00974B2F">
      <w:pPr>
        <w:ind w:firstLine="720"/>
        <w:rPr>
          <w:color w:val="000000"/>
        </w:rPr>
      </w:pPr>
      <w:r>
        <w:rPr>
          <w:color w:val="000000"/>
        </w:rPr>
        <w:t xml:space="preserve">In Chapter 2, </w:t>
      </w:r>
      <w:r w:rsidR="003205F9">
        <w:rPr>
          <w:color w:val="000000"/>
        </w:rPr>
        <w:t xml:space="preserve">I </w:t>
      </w:r>
      <w:r w:rsidR="00212510">
        <w:rPr>
          <w:color w:val="000000"/>
        </w:rPr>
        <w:t xml:space="preserve">define core-derived petrophysics-based rock types (petrofacies) and create seismic elastic property volumes </w:t>
      </w:r>
      <w:r w:rsidR="00280DCE">
        <w:rPr>
          <w:color w:val="000000"/>
        </w:rPr>
        <w:t xml:space="preserve">using pre-stack simultaneous inversion </w:t>
      </w:r>
      <w:r w:rsidR="00212510">
        <w:rPr>
          <w:color w:val="000000"/>
        </w:rPr>
        <w:t>to</w:t>
      </w:r>
      <w:r w:rsidR="00280DCE">
        <w:rPr>
          <w:color w:val="000000"/>
        </w:rPr>
        <w:t xml:space="preserve"> train </w:t>
      </w:r>
      <w:r w:rsidR="00673052">
        <w:rPr>
          <w:color w:val="000000"/>
        </w:rPr>
        <w:t xml:space="preserve">a </w:t>
      </w:r>
      <w:r w:rsidR="00280DCE">
        <w:rPr>
          <w:color w:val="000000"/>
        </w:rPr>
        <w:t>supervised random forest classifier</w:t>
      </w:r>
      <w:r w:rsidR="000B267E">
        <w:rPr>
          <w:color w:val="000000"/>
        </w:rPr>
        <w:t xml:space="preserve"> for seismic-scale prediction of 3D petrofacies and individual petrofacies probability volumes. Then, I </w:t>
      </w:r>
      <w:r w:rsidR="00B40563">
        <w:rPr>
          <w:color w:val="000000"/>
        </w:rPr>
        <w:t xml:space="preserve">evaluate results </w:t>
      </w:r>
      <w:r w:rsidR="00BA1542">
        <w:rPr>
          <w:color w:val="000000"/>
        </w:rPr>
        <w:t xml:space="preserve">for </w:t>
      </w:r>
      <w:r w:rsidR="00B40563">
        <w:rPr>
          <w:color w:val="000000"/>
        </w:rPr>
        <w:t>seismic-scale</w:t>
      </w:r>
      <w:r w:rsidR="00BA1542">
        <w:rPr>
          <w:color w:val="000000"/>
        </w:rPr>
        <w:t xml:space="preserve"> assessment of </w:t>
      </w:r>
      <w:r w:rsidR="00B40563">
        <w:rPr>
          <w:color w:val="000000"/>
        </w:rPr>
        <w:t>CO</w:t>
      </w:r>
      <w:r w:rsidR="00B40563" w:rsidRPr="009C53E0">
        <w:rPr>
          <w:color w:val="000000"/>
          <w:vertAlign w:val="subscript"/>
        </w:rPr>
        <w:t>2</w:t>
      </w:r>
      <w:r w:rsidR="00B40563">
        <w:rPr>
          <w:color w:val="000000"/>
        </w:rPr>
        <w:t xml:space="preserve"> injectivity and storage potential of the Arbuckle Group in Wellington Field in southern Kansas.</w:t>
      </w:r>
    </w:p>
    <w:p w14:paraId="26B2F854" w14:textId="25314238" w:rsidR="005C6D87" w:rsidRDefault="00C12A44" w:rsidP="005C6D87">
      <w:pPr>
        <w:ind w:firstLine="720"/>
        <w:rPr>
          <w:color w:val="000000"/>
        </w:rPr>
      </w:pPr>
      <w:r>
        <w:t xml:space="preserve">In Chapter </w:t>
      </w:r>
      <w:r w:rsidR="00974B2F">
        <w:t>3</w:t>
      </w:r>
      <w:r>
        <w:t xml:space="preserve">, </w:t>
      </w:r>
      <w:r w:rsidR="00D447CE">
        <w:t xml:space="preserve">I </w:t>
      </w:r>
      <w:r w:rsidR="00C74A7E">
        <w:t xml:space="preserve">use the </w:t>
      </w:r>
      <w:r w:rsidR="006B4235">
        <w:t xml:space="preserve">seismic-scale petrofacies and probability volumes </w:t>
      </w:r>
      <w:r w:rsidR="002D61B4">
        <w:t xml:space="preserve">from Chapter 2 and combine </w:t>
      </w:r>
      <w:r w:rsidR="0098286B">
        <w:t xml:space="preserve">that information with well log </w:t>
      </w:r>
      <w:r w:rsidR="004771CD">
        <w:t>information</w:t>
      </w:r>
      <w:r w:rsidR="0098286B">
        <w:t xml:space="preserve"> </w:t>
      </w:r>
      <w:r w:rsidR="00233243">
        <w:t>for</w:t>
      </w:r>
      <w:r w:rsidR="0098286B">
        <w:t xml:space="preserve"> </w:t>
      </w:r>
      <w:r w:rsidR="0098286B">
        <w:rPr>
          <w:color w:val="000000"/>
        </w:rPr>
        <w:t>seismic-constrained reservoir model</w:t>
      </w:r>
      <w:r w:rsidR="00233243">
        <w:rPr>
          <w:color w:val="000000"/>
        </w:rPr>
        <w:t>ing</w:t>
      </w:r>
      <w:r w:rsidR="00AA5A92">
        <w:rPr>
          <w:color w:val="000000"/>
        </w:rPr>
        <w:t xml:space="preserve"> </w:t>
      </w:r>
      <w:r w:rsidR="00233243" w:rsidRPr="00EB5572">
        <w:rPr>
          <w:color w:val="000000"/>
        </w:rPr>
        <w:t xml:space="preserve">to </w:t>
      </w:r>
      <w:r w:rsidR="00233243">
        <w:rPr>
          <w:color w:val="000000"/>
        </w:rPr>
        <w:t xml:space="preserve">model </w:t>
      </w:r>
      <w:r w:rsidR="00B40D68">
        <w:rPr>
          <w:color w:val="000000"/>
        </w:rPr>
        <w:t>detailed</w:t>
      </w:r>
      <w:r w:rsidR="00233243">
        <w:rPr>
          <w:color w:val="000000"/>
        </w:rPr>
        <w:t xml:space="preserve"> stratigraphic and spatial variability</w:t>
      </w:r>
      <w:r w:rsidR="00233243" w:rsidRPr="00233243">
        <w:rPr>
          <w:color w:val="000000"/>
        </w:rPr>
        <w:t xml:space="preserve"> </w:t>
      </w:r>
      <w:r w:rsidR="00233243" w:rsidRPr="005F4D43">
        <w:rPr>
          <w:color w:val="000000"/>
        </w:rPr>
        <w:t xml:space="preserve">of petrofacies </w:t>
      </w:r>
      <w:r w:rsidR="00233243">
        <w:rPr>
          <w:color w:val="000000"/>
        </w:rPr>
        <w:t>and corresponding petrophysical properties.</w:t>
      </w:r>
      <w:r w:rsidR="00AA5A92">
        <w:rPr>
          <w:color w:val="000000"/>
        </w:rPr>
        <w:t xml:space="preserve"> </w:t>
      </w:r>
      <w:r w:rsidR="001C6F29">
        <w:rPr>
          <w:color w:val="000000"/>
        </w:rPr>
        <w:t xml:space="preserve">I then select these models to evaluate hypothesized </w:t>
      </w:r>
      <w:r w:rsidR="00A0690A">
        <w:rPr>
          <w:color w:val="000000"/>
        </w:rPr>
        <w:t>CO</w:t>
      </w:r>
      <w:r w:rsidR="00A0690A" w:rsidRPr="00A0690A">
        <w:rPr>
          <w:color w:val="000000"/>
          <w:vertAlign w:val="subscript"/>
        </w:rPr>
        <w:t>2</w:t>
      </w:r>
      <w:r w:rsidR="00A0690A">
        <w:rPr>
          <w:color w:val="000000"/>
        </w:rPr>
        <w:t xml:space="preserve"> plume during </w:t>
      </w:r>
      <w:r w:rsidR="004729BF">
        <w:rPr>
          <w:color w:val="000000"/>
        </w:rPr>
        <w:t>long</w:t>
      </w:r>
      <w:r w:rsidR="00673052">
        <w:rPr>
          <w:color w:val="000000"/>
        </w:rPr>
        <w:t>-</w:t>
      </w:r>
      <w:r w:rsidR="004729BF">
        <w:rPr>
          <w:color w:val="000000"/>
        </w:rPr>
        <w:t>term injection and post-injection periods</w:t>
      </w:r>
      <w:r w:rsidR="00CA1AEF">
        <w:rPr>
          <w:color w:val="000000"/>
        </w:rPr>
        <w:t xml:space="preserve"> using dynamic simulations</w:t>
      </w:r>
      <w:r w:rsidR="004729BF">
        <w:rPr>
          <w:color w:val="000000"/>
        </w:rPr>
        <w:t>.</w:t>
      </w:r>
      <w:bookmarkStart w:id="12" w:name="_Toc115155608"/>
      <w:r w:rsidR="005C6D87">
        <w:rPr>
          <w:color w:val="000000"/>
        </w:rPr>
        <w:t xml:space="preserve"> </w:t>
      </w:r>
      <w:r w:rsidR="005C6D87">
        <w:t xml:space="preserve">Finally, in the last chapter, I summarize the </w:t>
      </w:r>
      <w:r w:rsidR="007F6601">
        <w:t>main</w:t>
      </w:r>
      <w:r w:rsidR="005C6D87">
        <w:t xml:space="preserve"> conclusions based on the results </w:t>
      </w:r>
      <w:r w:rsidR="00673052">
        <w:t>from</w:t>
      </w:r>
      <w:r w:rsidR="005C6D87">
        <w:t xml:space="preserve"> </w:t>
      </w:r>
      <w:r w:rsidR="00D2712D">
        <w:t>previous chapters</w:t>
      </w:r>
      <w:r w:rsidR="005C6D87">
        <w:t xml:space="preserve"> in the dissertation.</w:t>
      </w:r>
    </w:p>
    <w:p w14:paraId="1B236608" w14:textId="1738DBB7" w:rsidR="00D40A32" w:rsidRPr="005C6D87" w:rsidRDefault="00D40A32" w:rsidP="0024110E">
      <w:pPr>
        <w:pStyle w:val="Heading1"/>
        <w:rPr>
          <w:color w:val="000000"/>
        </w:rPr>
      </w:pPr>
      <w:bookmarkStart w:id="13" w:name="_Toc121095928"/>
      <w:r>
        <w:lastRenderedPageBreak/>
        <w:t>References</w:t>
      </w:r>
      <w:bookmarkEnd w:id="12"/>
      <w:bookmarkEnd w:id="13"/>
    </w:p>
    <w:p w14:paraId="2964EDCF" w14:textId="7237FA9E" w:rsidR="00F12027" w:rsidRPr="00122413" w:rsidRDefault="00F12027" w:rsidP="00F12027">
      <w:pPr>
        <w:spacing w:before="0" w:after="160"/>
        <w:ind w:left="810" w:hanging="810"/>
      </w:pPr>
      <w:r w:rsidRPr="00122413">
        <w:t>Avseth, P., T. Mukerji, A. Jørstad, G. Mavko, and T. Veggeland, 2001, Seismic reservoir mapping from 3-D AVO in a North Sea turbidite system:</w:t>
      </w:r>
      <w:r>
        <w:t xml:space="preserve"> </w:t>
      </w:r>
      <w:r w:rsidRPr="00122413">
        <w:t xml:space="preserve">Geophysics, 66, 1157–1176, doi: </w:t>
      </w:r>
      <w:r w:rsidRPr="00A12720">
        <w:t>10.1190/1.1487063</w:t>
      </w:r>
      <w:r>
        <w:t>.</w:t>
      </w:r>
    </w:p>
    <w:p w14:paraId="3DD3DDA8" w14:textId="1FD28C84" w:rsidR="00F00C93" w:rsidRDefault="00F00C93" w:rsidP="00AC3939">
      <w:pPr>
        <w:ind w:left="810" w:hanging="810"/>
      </w:pPr>
      <w:r>
        <w:t xml:space="preserve">Brown, A. R., 2011, </w:t>
      </w:r>
      <w:r w:rsidRPr="00AC3939">
        <w:t>Interpretation of three-dimensional seismic data</w:t>
      </w:r>
      <w:r>
        <w:t>, Society of Exploration Geophysicists</w:t>
      </w:r>
      <w:r w:rsidR="00AC3939">
        <w:t xml:space="preserve">, doi: </w:t>
      </w:r>
      <w:r w:rsidR="00AC3939" w:rsidRPr="00E57D98">
        <w:t>10.1306/M4271346</w:t>
      </w:r>
      <w:r w:rsidR="00AC3939">
        <w:t>.</w:t>
      </w:r>
    </w:p>
    <w:p w14:paraId="6C1548C2" w14:textId="77777777" w:rsidR="00F646CD" w:rsidRDefault="00F646CD" w:rsidP="00F646CD">
      <w:pPr>
        <w:ind w:left="810" w:hanging="810"/>
      </w:pPr>
      <w:r>
        <w:t>Chopra, S., and K. J. Marfurt, 2007, Seismic Attributes for Prospect Identification and Reservoir Characterization, SEG Geophysical Development Series, 11.</w:t>
      </w:r>
    </w:p>
    <w:p w14:paraId="597579D9" w14:textId="5F13617F" w:rsidR="00AC3939" w:rsidRPr="00AC3939" w:rsidRDefault="00832952" w:rsidP="00AC3939">
      <w:pPr>
        <w:ind w:left="810" w:hanging="810"/>
      </w:pPr>
      <w:r w:rsidRPr="00A571CA">
        <w:rPr>
          <w:rFonts w:cs="Times New Roman"/>
        </w:rPr>
        <w:t>Chopra, S., and J. P. Castagna, 2014, AVO. Soc. Of Exploration Geophysicists</w:t>
      </w:r>
    </w:p>
    <w:p w14:paraId="099F4331" w14:textId="169128E2" w:rsidR="00C34528" w:rsidRDefault="00C34528" w:rsidP="00C34528">
      <w:pPr>
        <w:ind w:left="720" w:hanging="720"/>
      </w:pPr>
      <w:r>
        <w:t>Masaferro, J. L., R. Bourne, and J. C. Jauffred, 2004, Three-dimensional seismic visualization of carbonate reservoirs and structures, in Seismic imaging of carbonate reservoirs and systems: AAPG Memoir 81, p. 11–41.</w:t>
      </w:r>
    </w:p>
    <w:p w14:paraId="5B7FB15A" w14:textId="77777777" w:rsidR="00BD53CF" w:rsidRDefault="00BD53CF" w:rsidP="00BD53CF">
      <w:pPr>
        <w:ind w:left="720" w:hanging="720"/>
      </w:pPr>
      <w:r>
        <w:t>Neuhaus, D., J. Borgomano, J.-C. Jauffred, C. Mercadier, S. Olotu, and J. Grötsch, 2004, Quantitative seismic reservoir characterization of an Oligocene–Miocene carbonate buildup: Malampaya field, Philippines, in Seismic imaging of carbonate reservoirs and systems: AAPG Memoir 81, p. 169–183.</w:t>
      </w:r>
    </w:p>
    <w:p w14:paraId="4A5EE76A" w14:textId="4E0886F3" w:rsidR="00C34528" w:rsidRDefault="0015676B" w:rsidP="00C34528">
      <w:pPr>
        <w:ind w:left="720" w:hanging="720"/>
      </w:pPr>
      <w:r>
        <w:t xml:space="preserve">Palaz, I. and Kurt J. Marfurt, 1997, </w:t>
      </w:r>
      <w:r w:rsidR="006D00FD">
        <w:t>Carbonate Seismology: An Overview</w:t>
      </w:r>
      <w:r w:rsidR="00A1382A">
        <w:t>,</w:t>
      </w:r>
      <w:r w:rsidR="00367515">
        <w:t xml:space="preserve"> </w:t>
      </w:r>
      <w:r w:rsidR="00241ED5" w:rsidRPr="008D6435">
        <w:rPr>
          <w:rFonts w:eastAsia="Times New Roman" w:cs="Times New Roman"/>
          <w:i/>
          <w:iCs/>
          <w:szCs w:val="24"/>
        </w:rPr>
        <w:t>Geophysical Developments Series</w:t>
      </w:r>
      <w:r w:rsidR="00367515">
        <w:rPr>
          <w:rFonts w:eastAsia="Times New Roman" w:cs="Times New Roman"/>
          <w:szCs w:val="24"/>
        </w:rPr>
        <w:t>, No 6,</w:t>
      </w:r>
      <w:r w:rsidR="00367515" w:rsidRPr="00367515">
        <w:t xml:space="preserve"> </w:t>
      </w:r>
      <w:r w:rsidR="00367515">
        <w:t>Society of Exploration Geophysicists</w:t>
      </w:r>
      <w:r w:rsidR="00F061DA">
        <w:t xml:space="preserve">, doi: </w:t>
      </w:r>
      <w:r w:rsidR="00F061DA" w:rsidRPr="00F061DA">
        <w:t>10.1190/1.9781560802099</w:t>
      </w:r>
      <w:r w:rsidR="00F061DA">
        <w:t>.</w:t>
      </w:r>
    </w:p>
    <w:p w14:paraId="184AD377" w14:textId="5F3D7480" w:rsidR="00C34528" w:rsidRDefault="00BD53CF" w:rsidP="00752D0C">
      <w:pPr>
        <w:ind w:left="720" w:hanging="720"/>
      </w:pPr>
      <w:r>
        <w:lastRenderedPageBreak/>
        <w:t>Pranter, M. J., N. F. Hurley, and T. L. Davis, 2004, Sequence-stratigraphic, petrophysical, and multicomponent seismic analysis of a shelf-margin reservoir: San Andres Formation (Permian), Vacuum field, New Mexico, United States, in Seismic imaging of carbonate reservoirs and systems: AAPG Memoir 81, 59–89.</w:t>
      </w:r>
    </w:p>
    <w:p w14:paraId="483AC22C" w14:textId="77777777" w:rsidR="00BD53CF" w:rsidRDefault="00BD53CF" w:rsidP="00BD53CF">
      <w:pPr>
        <w:ind w:left="720" w:hanging="720"/>
      </w:pPr>
      <w:r>
        <w:t>Wang, Z., 1997, Seismic properties of carbonate rocks, in I. Palaz and K. J. Marfurt, eds., Carbonate seismology: SEG Geophysical Developments Series No. 6, 29–52.</w:t>
      </w:r>
    </w:p>
    <w:p w14:paraId="035F235C" w14:textId="28104C65" w:rsidR="00C31993" w:rsidRDefault="00C31993">
      <w:pPr>
        <w:spacing w:line="240" w:lineRule="auto"/>
      </w:pPr>
      <w:r>
        <w:br w:type="page"/>
      </w:r>
    </w:p>
    <w:p w14:paraId="62FF4EA4" w14:textId="55A8A29E" w:rsidR="007F0783" w:rsidRPr="005B15DA" w:rsidRDefault="004C759B" w:rsidP="00857836">
      <w:pPr>
        <w:pStyle w:val="Heading1"/>
        <w:numPr>
          <w:ilvl w:val="0"/>
          <w:numId w:val="37"/>
        </w:numPr>
        <w:jc w:val="center"/>
      </w:pPr>
      <w:bookmarkStart w:id="14" w:name="_Toc115155609"/>
      <w:bookmarkStart w:id="15" w:name="_Toc121095929"/>
      <w:r>
        <w:lastRenderedPageBreak/>
        <w:t xml:space="preserve">: </w:t>
      </w:r>
      <w:r w:rsidR="007F0783" w:rsidRPr="005B15DA">
        <w:t>Dolomitization geometry and reservoir quality from supervised Bayesian classification and probabilistic neural network: Midland Basin Leonardian Wichita and Clearfork Formations*</w:t>
      </w:r>
      <w:bookmarkEnd w:id="14"/>
      <w:bookmarkEnd w:id="15"/>
    </w:p>
    <w:p w14:paraId="7778D552" w14:textId="5878443E" w:rsidR="007F0783" w:rsidRDefault="007F0783" w:rsidP="00262732">
      <w:r>
        <w:t>*</w:t>
      </w:r>
      <w:r w:rsidRPr="00FE1A13">
        <w:t xml:space="preserve">This chapter </w:t>
      </w:r>
      <w:r w:rsidR="00312862">
        <w:t xml:space="preserve">is published </w:t>
      </w:r>
      <w:r w:rsidR="002D2047">
        <w:t>in</w:t>
      </w:r>
      <w:r>
        <w:t xml:space="preserve"> the </w:t>
      </w:r>
      <w:r w:rsidR="00312862">
        <w:t xml:space="preserve">journal, </w:t>
      </w:r>
      <w:r w:rsidRPr="009050A9">
        <w:rPr>
          <w:i/>
          <w:iCs/>
        </w:rPr>
        <w:t>Interpretation</w:t>
      </w:r>
      <w:r w:rsidR="008635AB">
        <w:t>, Vol. 9, No. 2, (</w:t>
      </w:r>
      <w:r w:rsidR="00DA11B7">
        <w:t xml:space="preserve">May 2021); p. </w:t>
      </w:r>
      <w:r w:rsidR="00DA11B7" w:rsidRPr="005859CB">
        <w:rPr>
          <w:i/>
          <w:iCs/>
        </w:rPr>
        <w:t>T585-T598</w:t>
      </w:r>
      <w:r w:rsidR="00527D1A">
        <w:rPr>
          <w:i/>
          <w:iCs/>
        </w:rPr>
        <w:t>:</w:t>
      </w:r>
    </w:p>
    <w:p w14:paraId="719CB2A2" w14:textId="62DFE315" w:rsidR="007F0783" w:rsidRPr="00AD717E" w:rsidRDefault="007F0783" w:rsidP="00262732">
      <w:pPr>
        <w:rPr>
          <w:i/>
          <w:iCs/>
          <w:sz w:val="20"/>
          <w:szCs w:val="18"/>
        </w:rPr>
      </w:pPr>
      <w:r w:rsidRPr="00AD717E">
        <w:rPr>
          <w:i/>
          <w:iCs/>
          <w:sz w:val="20"/>
          <w:szCs w:val="18"/>
        </w:rPr>
        <w:t>Caf, A., B., and J. D. Pigott, 2021, Dolomitization geometry and reservoir quality from supervised Bayesian classification and probabilistic neural networks: Midland Basin Leonardian Wichita and Clear Fork Formations, Interpretation, 9, no. 2, T585-T598, doi:</w:t>
      </w:r>
      <w:hyperlink r:id="rId10" w:history="1">
        <w:r w:rsidRPr="00AD717E">
          <w:rPr>
            <w:i/>
            <w:iCs/>
            <w:sz w:val="20"/>
            <w:szCs w:val="18"/>
          </w:rPr>
          <w:t>10.1190/INT-2020-0204.1</w:t>
        </w:r>
      </w:hyperlink>
      <w:r w:rsidRPr="00AD717E">
        <w:rPr>
          <w:i/>
          <w:iCs/>
          <w:sz w:val="20"/>
          <w:szCs w:val="18"/>
        </w:rPr>
        <w:t xml:space="preserve">. </w:t>
      </w:r>
    </w:p>
    <w:p w14:paraId="7578E2EF" w14:textId="77777777" w:rsidR="00321808" w:rsidRDefault="00321808" w:rsidP="00262732"/>
    <w:p w14:paraId="081CD5A2" w14:textId="17006F10" w:rsidR="00321808" w:rsidRDefault="00321808" w:rsidP="00262732">
      <w:r>
        <w:t xml:space="preserve">*This chapter was presented by invitation </w:t>
      </w:r>
      <w:r w:rsidR="00312862">
        <w:t xml:space="preserve">at the 2020 </w:t>
      </w:r>
      <w:r>
        <w:t xml:space="preserve">AAPG Annual </w:t>
      </w:r>
      <w:r w:rsidR="00312862">
        <w:t xml:space="preserve">Convention </w:t>
      </w:r>
      <w:r>
        <w:t xml:space="preserve">&amp; </w:t>
      </w:r>
      <w:r w:rsidR="00312862">
        <w:t>E</w:t>
      </w:r>
      <w:r>
        <w:t>xhibition:</w:t>
      </w:r>
    </w:p>
    <w:p w14:paraId="553C558F" w14:textId="77777777" w:rsidR="00321808" w:rsidRPr="00AD717E" w:rsidRDefault="00321808" w:rsidP="00262732">
      <w:pPr>
        <w:rPr>
          <w:i/>
          <w:iCs/>
          <w:sz w:val="20"/>
          <w:szCs w:val="18"/>
        </w:rPr>
      </w:pPr>
      <w:r w:rsidRPr="00AD717E">
        <w:rPr>
          <w:i/>
          <w:iCs/>
          <w:sz w:val="20"/>
          <w:szCs w:val="18"/>
        </w:rPr>
        <w:t>Caf, A., B., and J. D. Pigott, 2020, Seismic Determination of Dolomitization and Associated Reservoir Quality Using Supervised Machine Learning Techniques: Lower-Middle Permian Carbonates of the Midland Basin, 2020 AAPG Annual Convention and Exhibition online meeting, September 2020, doi: DOI:10.1306/42565Caf2020.</w:t>
      </w:r>
    </w:p>
    <w:p w14:paraId="56FAFDDD" w14:textId="77777777" w:rsidR="00321808" w:rsidRDefault="00321808" w:rsidP="00262732"/>
    <w:p w14:paraId="1486D776" w14:textId="438B93E5" w:rsidR="006915F8" w:rsidRDefault="006915F8" w:rsidP="00262732">
      <w:r w:rsidRPr="00BA5926">
        <w:t xml:space="preserve">*This chapter was presented by invitation </w:t>
      </w:r>
      <w:r w:rsidR="00312862">
        <w:t>at the</w:t>
      </w:r>
      <w:r w:rsidRPr="00BA5926">
        <w:t xml:space="preserve"> </w:t>
      </w:r>
      <w:r w:rsidR="00312862">
        <w:t xml:space="preserve">2019 </w:t>
      </w:r>
      <w:r w:rsidR="00527D1A">
        <w:t>West Texas Geological Society Fall Symposium</w:t>
      </w:r>
      <w:r w:rsidR="00BA5926">
        <w:t>:</w:t>
      </w:r>
    </w:p>
    <w:p w14:paraId="56EB16D3" w14:textId="44032D4E" w:rsidR="00BA5926" w:rsidRPr="00AD717E" w:rsidRDefault="0087134B" w:rsidP="00262732">
      <w:pPr>
        <w:rPr>
          <w:i/>
          <w:iCs/>
          <w:sz w:val="20"/>
          <w:szCs w:val="18"/>
        </w:rPr>
      </w:pPr>
      <w:r w:rsidRPr="00AD717E">
        <w:rPr>
          <w:i/>
          <w:iCs/>
          <w:sz w:val="20"/>
          <w:szCs w:val="18"/>
        </w:rPr>
        <w:t>Caf, A., B., and J. D. Pigott, 2019, direct 3D Seismic Determination of Dolomitization and Associated Reservoir Quality Using Supervised Bayesian Classification and Probabilistic Neural- Network (PNN): Lower-Middle Permian Carbonates of the Midland Basin</w:t>
      </w:r>
      <w:r w:rsidR="00FE5829" w:rsidRPr="00AD717E">
        <w:rPr>
          <w:i/>
          <w:iCs/>
          <w:sz w:val="20"/>
          <w:szCs w:val="18"/>
        </w:rPr>
        <w:t>, WTGS Fall Symposium</w:t>
      </w:r>
      <w:r w:rsidR="00321808" w:rsidRPr="00AD717E">
        <w:rPr>
          <w:i/>
          <w:iCs/>
          <w:sz w:val="20"/>
          <w:szCs w:val="18"/>
        </w:rPr>
        <w:t>, Midland, TX, September 2019.</w:t>
      </w:r>
    </w:p>
    <w:p w14:paraId="2401F648" w14:textId="7A51FAA6" w:rsidR="00BA5926" w:rsidRDefault="00BA5926" w:rsidP="00BA5926">
      <w:pPr>
        <w:pStyle w:val="NoSpacing"/>
      </w:pPr>
    </w:p>
    <w:p w14:paraId="237DD6D5" w14:textId="1ECCB1A1" w:rsidR="007F0783" w:rsidRDefault="007F0783" w:rsidP="00AD717E">
      <w:pPr>
        <w:autoSpaceDE w:val="0"/>
        <w:autoSpaceDN w:val="0"/>
        <w:adjustRightInd w:val="0"/>
        <w:spacing w:after="0"/>
        <w:rPr>
          <w:rFonts w:cs="Times New Roman"/>
          <w:szCs w:val="24"/>
        </w:rPr>
      </w:pPr>
    </w:p>
    <w:p w14:paraId="2DA76519" w14:textId="77777777" w:rsidR="007F0783" w:rsidRDefault="007F0783" w:rsidP="003700C7">
      <w:pPr>
        <w:pStyle w:val="Heading2"/>
      </w:pPr>
      <w:bookmarkStart w:id="16" w:name="_Toc115155610"/>
      <w:bookmarkStart w:id="17" w:name="_Toc121095930"/>
      <w:r>
        <w:lastRenderedPageBreak/>
        <w:t>Abstract</w:t>
      </w:r>
      <w:bookmarkEnd w:id="16"/>
      <w:bookmarkEnd w:id="17"/>
    </w:p>
    <w:p w14:paraId="09DE4102" w14:textId="33D5B006" w:rsidR="007F0783" w:rsidRPr="00AE49F8" w:rsidRDefault="007F0783" w:rsidP="007F0783">
      <w:pPr>
        <w:ind w:firstLine="720"/>
        <w:rPr>
          <w:color w:val="000000"/>
          <w:szCs w:val="24"/>
        </w:rPr>
      </w:pPr>
      <w:r w:rsidRPr="00AE49F8">
        <w:rPr>
          <w:color w:val="000000"/>
          <w:szCs w:val="24"/>
        </w:rPr>
        <w:t xml:space="preserve">Extensive dolomitization is prevalent in the platform and periplatform carbonates in the Lower-Middle Permian strata in the Midland and greater Permian Basin. Early workers have found that the platform and shelf-top carbonates were dolomitized, whereas slope and basinal carbonates remained calcitic, proposing a reflux dolomitization model as the possible diagenetic mechanism. More importantly, they underline that this dolomitization pattern controls the porosity and forms an updip seal. These studies are predominately conducted using well logs, cores, and outcrop analogs, and although exhibiting high resolution vertically, such determinations are laterally sparse. We have used supervised Bayesian classification and probabilistic neural networks (PNN) on a 3D seismic volume to create an estimation of the most probable distribution of dolomite and limestone within a subsurface 3D volume petrophysically constrained. Combining this lithologic information with porosity, we then illuminate the diagenetic effects on a seismic scale. We started our workflow by deriving lithology classifications from well-log crossplots of neutron porosity and acoustic impedance to determine the a priori proportions of the lithology and the probability density functions calculation for each lithology type. Then, we applied these probability distributions and a priori proportions to 3D seismic volumes of the acoustic impedance and predicted neutron porosity volume to create a lithology volume and probability volumes for each lithology type. The acoustic impedance volume was obtained by model-based poststack inversion, and the neutron porosity volume was obtained by the PNN. Our results best supported a regional reflux dolomitization model, in which the porosity </w:t>
      </w:r>
      <w:r w:rsidR="00A13DDB" w:rsidRPr="00AE49F8">
        <w:rPr>
          <w:color w:val="000000"/>
          <w:szCs w:val="24"/>
        </w:rPr>
        <w:t>increases from shelf to slope while the dolomitization decreases</w:t>
      </w:r>
      <w:r w:rsidRPr="00AE49F8">
        <w:rPr>
          <w:color w:val="000000"/>
          <w:szCs w:val="24"/>
        </w:rPr>
        <w:t xml:space="preserve">, but with sea-level forcing. With this study, we determined that diagenesis and the corresponding reservoir quality in these platforms and periplatform strata can </w:t>
      </w:r>
      <w:r w:rsidRPr="00AE49F8">
        <w:rPr>
          <w:color w:val="000000"/>
          <w:szCs w:val="24"/>
        </w:rPr>
        <w:lastRenderedPageBreak/>
        <w:t>be directly imaged and mapped on a seismic scale by quantitative seismic interpretation and supervised classification methods.</w:t>
      </w:r>
    </w:p>
    <w:p w14:paraId="2E70A3CC" w14:textId="77777777" w:rsidR="007F0783" w:rsidRDefault="007F0783" w:rsidP="003700C7">
      <w:pPr>
        <w:pStyle w:val="Heading2"/>
      </w:pPr>
      <w:bookmarkStart w:id="18" w:name="_Toc115155611"/>
      <w:bookmarkStart w:id="19" w:name="_Toc121095931"/>
      <w:r>
        <w:t>Introduction</w:t>
      </w:r>
      <w:bookmarkEnd w:id="18"/>
      <w:bookmarkEnd w:id="19"/>
    </w:p>
    <w:p w14:paraId="32489A2F" w14:textId="4D0F6FB6" w:rsidR="007F0783" w:rsidRPr="00AE49F8" w:rsidRDefault="007F0783" w:rsidP="007F0783">
      <w:pPr>
        <w:ind w:firstLine="720"/>
        <w:rPr>
          <w:color w:val="000000"/>
          <w:szCs w:val="24"/>
        </w:rPr>
      </w:pPr>
      <w:r w:rsidRPr="00AE49F8">
        <w:rPr>
          <w:color w:val="000000"/>
          <w:szCs w:val="24"/>
        </w:rPr>
        <w:t>In comparison to siliciclastics, carbonate rocks make up only 30% of Phanerozoic sediments (Mackenzie and Morse, 1992) but account for more than half of the proven conventional hydrocarbon reserves (</w:t>
      </w:r>
      <w:hyperlink r:id="rId11" w:anchor="r8" w:history="1">
        <w:r w:rsidRPr="00AE49F8">
          <w:rPr>
            <w:color w:val="000000"/>
            <w:szCs w:val="24"/>
          </w:rPr>
          <w:t>Burchette, 2012</w:t>
        </w:r>
      </w:hyperlink>
      <w:r w:rsidRPr="00AE49F8">
        <w:rPr>
          <w:color w:val="000000"/>
          <w:szCs w:val="24"/>
        </w:rPr>
        <w:t xml:space="preserve">). Although carbonates differ from clastic rocks by depositional </w:t>
      </w:r>
      <w:r w:rsidR="004D247B" w:rsidRPr="00AE49F8">
        <w:rPr>
          <w:color w:val="000000"/>
          <w:szCs w:val="24"/>
        </w:rPr>
        <w:t>environments with</w:t>
      </w:r>
      <w:r w:rsidRPr="00AE49F8">
        <w:rPr>
          <w:color w:val="000000"/>
          <w:szCs w:val="24"/>
        </w:rPr>
        <w:t xml:space="preserve"> carbonates being allochthonous and autochthonous and clastics being allochthonous</w:t>
      </w:r>
      <w:r w:rsidR="00577432">
        <w:rPr>
          <w:color w:val="000000"/>
          <w:szCs w:val="24"/>
        </w:rPr>
        <w:t xml:space="preserve"> </w:t>
      </w:r>
      <w:r w:rsidRPr="00AE49F8">
        <w:rPr>
          <w:color w:val="000000"/>
          <w:szCs w:val="24"/>
        </w:rPr>
        <w:t>carbonates are most impacted by syn- and postdepositional diagenetic processes. These unique differences cause postdepositional reservoir heterogeneity and strongly control the resulting reservoir quality and ultimate recovery and make their exploration and production challenging. This investigation focuses on one specific problem that continues to haunt seismic carbonate exploration: “dolomitization.” That is, can reflection seismic provide information that can create an informative lithofacies-diagenetic geometry, one that can provide a model or models for dolomitic porosity creation/destruction, and in doing so predict before the drill-bit local aspects of a reservoir’s quality down to the bin size?</w:t>
      </w:r>
    </w:p>
    <w:p w14:paraId="264FC515" w14:textId="77777777" w:rsidR="007F0783" w:rsidRPr="002B2077" w:rsidRDefault="007F0783" w:rsidP="007F0783">
      <w:pPr>
        <w:ind w:firstLine="720"/>
        <w:rPr>
          <w:color w:val="000000"/>
          <w:szCs w:val="24"/>
        </w:rPr>
      </w:pPr>
      <w:r w:rsidRPr="002B2077">
        <w:rPr>
          <w:color w:val="000000"/>
          <w:szCs w:val="24"/>
        </w:rPr>
        <w:t>The Midland Basin and the associated shelf margins of the greater Permian Basin in West Texas and southeast New Mexico have been producing oil for more than 80 years and as such form the largest onshore petroleum-producing province in the United States.</w:t>
      </w:r>
    </w:p>
    <w:p w14:paraId="5D487F75" w14:textId="4DD7D7E1" w:rsidR="007F0783" w:rsidRPr="002B2077" w:rsidRDefault="007F0783" w:rsidP="007F0783">
      <w:pPr>
        <w:ind w:firstLine="720"/>
        <w:rPr>
          <w:color w:val="000000"/>
          <w:szCs w:val="24"/>
        </w:rPr>
      </w:pPr>
      <w:r w:rsidRPr="002B2077">
        <w:rPr>
          <w:color w:val="000000"/>
          <w:szCs w:val="24"/>
        </w:rPr>
        <w:t>The Leonardian stratigraphic section in the Midland Basin is approximately 2500–3000 ft (</w:t>
      </w:r>
      <w:r w:rsidR="00577432">
        <w:rPr>
          <w:color w:val="000000"/>
          <w:szCs w:val="24"/>
        </w:rPr>
        <w:t>~</w:t>
      </w:r>
      <w:r w:rsidRPr="002B2077">
        <w:rPr>
          <w:color w:val="000000"/>
          <w:szCs w:val="24"/>
        </w:rPr>
        <w:t>750–900 m) thick and developed reservoirs at depths between 5600 and 7800 ft (</w:t>
      </w:r>
      <w:r w:rsidR="00577432">
        <w:rPr>
          <w:color w:val="000000"/>
          <w:szCs w:val="24"/>
        </w:rPr>
        <w:t>~</w:t>
      </w:r>
      <w:r w:rsidRPr="002B2077">
        <w:rPr>
          <w:color w:val="000000"/>
          <w:szCs w:val="24"/>
        </w:rPr>
        <w:t>1700–2400 m) (</w:t>
      </w:r>
      <w:hyperlink r:id="rId12" w:anchor="r45" w:history="1">
        <w:r w:rsidRPr="002B2077">
          <w:rPr>
            <w:color w:val="000000"/>
            <w:szCs w:val="24"/>
          </w:rPr>
          <w:t>Tyler et al., 1991</w:t>
        </w:r>
      </w:hyperlink>
      <w:r w:rsidRPr="002B2077">
        <w:rPr>
          <w:color w:val="000000"/>
          <w:szCs w:val="24"/>
        </w:rPr>
        <w:t xml:space="preserve">). Leonardian reservoirs have been estimated to contain 14.5 Bbbl of original oil </w:t>
      </w:r>
      <w:r w:rsidRPr="002B2077">
        <w:rPr>
          <w:color w:val="000000"/>
          <w:szCs w:val="24"/>
        </w:rPr>
        <w:lastRenderedPageBreak/>
        <w:t>in place, making up approximately 15% of the total conventional resource in the greater Permian Basin. However, the recovery efficiency of these reservoirs is the lowest in the Permian Basin (</w:t>
      </w:r>
      <w:hyperlink r:id="rId13" w:anchor="r12" w:history="1">
        <w:r w:rsidRPr="002B2077">
          <w:rPr>
            <w:color w:val="000000"/>
            <w:szCs w:val="24"/>
          </w:rPr>
          <w:t>Dutton et al., 2004</w:t>
        </w:r>
      </w:hyperlink>
      <w:r w:rsidRPr="002B2077">
        <w:rPr>
          <w:color w:val="000000"/>
          <w:szCs w:val="24"/>
        </w:rPr>
        <w:t>) owing to the prevalent dolomitization and the resulting highly heterogeneous distribution of reservoir quality. Consequently, understanding the diagenetic mechanism and the resulting distribution of reservoir quality is crucial.</w:t>
      </w:r>
    </w:p>
    <w:p w14:paraId="414E9A9F" w14:textId="77777777" w:rsidR="007F0783" w:rsidRPr="002B2077" w:rsidRDefault="007F0783" w:rsidP="007F0783">
      <w:pPr>
        <w:ind w:firstLine="720"/>
        <w:rPr>
          <w:color w:val="000000"/>
          <w:szCs w:val="24"/>
        </w:rPr>
      </w:pPr>
      <w:r w:rsidRPr="002B2077">
        <w:rPr>
          <w:color w:val="000000"/>
          <w:szCs w:val="24"/>
        </w:rPr>
        <w:t>Dolomitization stands for the mineralogical change from calcium carbonate (calcite) to calcium magnesium carbonate (dolomite). Conventional wisdom suggests that porosity increases when calcite is replaced stoichiometrically “mole-for-mole” to dolomite with an accompanying reduction in the volume of crystals (</w:t>
      </w:r>
      <w:hyperlink r:id="rId14" w:anchor="r52" w:history="1">
        <w:r w:rsidRPr="002B2077">
          <w:rPr>
            <w:color w:val="000000"/>
            <w:szCs w:val="24"/>
          </w:rPr>
          <w:t>Weyl, 1960</w:t>
        </w:r>
      </w:hyperlink>
      <w:r w:rsidRPr="002B2077">
        <w:rPr>
          <w:color w:val="000000"/>
          <w:szCs w:val="24"/>
        </w:rPr>
        <w:t>). However, this is not always the case as when the original structure is preserved and not disrupted (e.g., an ooid, a brachiopod, etc.) the transformation is clearly “volume for volume” (</w:t>
      </w:r>
      <w:hyperlink r:id="rId15" w:anchor="r14" w:history="1">
        <w:r w:rsidRPr="002B2077">
          <w:rPr>
            <w:color w:val="000000"/>
            <w:szCs w:val="24"/>
          </w:rPr>
          <w:t>Folk, 1964</w:t>
        </w:r>
      </w:hyperlink>
      <w:r w:rsidRPr="002B2077">
        <w:rPr>
          <w:color w:val="000000"/>
          <w:szCs w:val="24"/>
        </w:rPr>
        <w:t>). Indeed, the effect of dolomitization on porosity is not always an increase, but it can even become an impermeable barrier (</w:t>
      </w:r>
      <w:hyperlink r:id="rId16" w:anchor="r51" w:history="1">
        <w:r w:rsidRPr="002B2077">
          <w:rPr>
            <w:color w:val="000000"/>
            <w:szCs w:val="24"/>
          </w:rPr>
          <w:t>Warren, 2000</w:t>
        </w:r>
      </w:hyperlink>
      <w:r w:rsidRPr="002B2077">
        <w:rPr>
          <w:color w:val="000000"/>
          <w:szCs w:val="24"/>
        </w:rPr>
        <w:t>). Therefore, dolomitization is highly dependent upon the diagenetic mechanism and the stage of dolomitization (</w:t>
      </w:r>
      <w:hyperlink r:id="rId17" w:anchor="r25" w:history="1">
        <w:r w:rsidRPr="002B2077">
          <w:rPr>
            <w:color w:val="000000"/>
            <w:szCs w:val="24"/>
          </w:rPr>
          <w:t>Land, 1985</w:t>
        </w:r>
      </w:hyperlink>
      <w:r w:rsidRPr="002B2077">
        <w:rPr>
          <w:color w:val="000000"/>
          <w:szCs w:val="24"/>
        </w:rPr>
        <w:t>; </w:t>
      </w:r>
      <w:hyperlink r:id="rId18" w:anchor="r7" w:history="1">
        <w:r w:rsidRPr="002B2077">
          <w:rPr>
            <w:color w:val="000000"/>
            <w:szCs w:val="24"/>
          </w:rPr>
          <w:t>Bebout et al., 1987</w:t>
        </w:r>
      </w:hyperlink>
      <w:r w:rsidRPr="002B2077">
        <w:rPr>
          <w:color w:val="000000"/>
          <w:szCs w:val="24"/>
        </w:rPr>
        <w:t>; </w:t>
      </w:r>
      <w:hyperlink r:id="rId19" w:anchor="r29" w:history="1">
        <w:r w:rsidRPr="002B2077">
          <w:rPr>
            <w:color w:val="000000"/>
            <w:szCs w:val="24"/>
          </w:rPr>
          <w:t>Major et al., 1988</w:t>
        </w:r>
      </w:hyperlink>
      <w:r w:rsidRPr="002B2077">
        <w:rPr>
          <w:color w:val="000000"/>
          <w:szCs w:val="24"/>
        </w:rPr>
        <w:t>; </w:t>
      </w:r>
      <w:hyperlink r:id="rId20" w:anchor="r24" w:history="1">
        <w:r w:rsidRPr="002B2077">
          <w:rPr>
            <w:color w:val="000000"/>
            <w:szCs w:val="24"/>
          </w:rPr>
          <w:t>Kerans et al., 1994</w:t>
        </w:r>
      </w:hyperlink>
      <w:r w:rsidRPr="002B2077">
        <w:rPr>
          <w:color w:val="000000"/>
          <w:szCs w:val="24"/>
        </w:rPr>
        <w:t>; </w:t>
      </w:r>
      <w:hyperlink r:id="rId21" w:anchor="r27" w:history="1">
        <w:r w:rsidRPr="002B2077">
          <w:rPr>
            <w:color w:val="000000"/>
            <w:szCs w:val="24"/>
          </w:rPr>
          <w:t>Lucia and Major, 1994</w:t>
        </w:r>
      </w:hyperlink>
      <w:r w:rsidRPr="002B2077">
        <w:rPr>
          <w:color w:val="000000"/>
          <w:szCs w:val="24"/>
        </w:rPr>
        <w:t>; </w:t>
      </w:r>
      <w:hyperlink r:id="rId22" w:anchor="r43" w:history="1">
        <w:r w:rsidRPr="002B2077">
          <w:rPr>
            <w:color w:val="000000"/>
            <w:szCs w:val="24"/>
          </w:rPr>
          <w:t>Sun, 1995</w:t>
        </w:r>
      </w:hyperlink>
      <w:r w:rsidRPr="002B2077">
        <w:rPr>
          <w:color w:val="000000"/>
          <w:szCs w:val="24"/>
        </w:rPr>
        <w:t>).</w:t>
      </w:r>
    </w:p>
    <w:p w14:paraId="7F8EADE9" w14:textId="77777777" w:rsidR="007F0783" w:rsidRPr="002B2077" w:rsidRDefault="007F0783" w:rsidP="007F0783">
      <w:pPr>
        <w:ind w:firstLine="720"/>
        <w:rPr>
          <w:color w:val="000000"/>
          <w:szCs w:val="24"/>
        </w:rPr>
      </w:pPr>
      <w:r w:rsidRPr="002B2077">
        <w:rPr>
          <w:color w:val="000000"/>
          <w:szCs w:val="24"/>
        </w:rPr>
        <w:t>Studies focused on Leonardian carbonates in the Midland Basin (</w:t>
      </w:r>
      <w:hyperlink r:id="rId23" w:anchor="r32" w:history="1">
        <w:r w:rsidRPr="002B2077">
          <w:rPr>
            <w:color w:val="000000"/>
            <w:szCs w:val="24"/>
          </w:rPr>
          <w:t>Mazzullo and Reid 1989</w:t>
        </w:r>
      </w:hyperlink>
      <w:r w:rsidRPr="002B2077">
        <w:rPr>
          <w:color w:val="000000"/>
          <w:szCs w:val="24"/>
        </w:rPr>
        <w:t>; </w:t>
      </w:r>
      <w:hyperlink r:id="rId24" w:anchor="r54" w:history="1">
        <w:r w:rsidRPr="002B2077">
          <w:rPr>
            <w:color w:val="000000"/>
            <w:szCs w:val="24"/>
          </w:rPr>
          <w:t>Ye and Mazzullo, 1993</w:t>
        </w:r>
      </w:hyperlink>
      <w:r w:rsidRPr="002B2077">
        <w:rPr>
          <w:color w:val="000000"/>
          <w:szCs w:val="24"/>
        </w:rPr>
        <w:t>; </w:t>
      </w:r>
      <w:hyperlink r:id="rId25" w:anchor="r31" w:history="1">
        <w:r w:rsidRPr="002B2077">
          <w:rPr>
            <w:color w:val="000000"/>
            <w:szCs w:val="24"/>
          </w:rPr>
          <w:t>Mazzullo, 1994</w:t>
        </w:r>
      </w:hyperlink>
      <w:r w:rsidRPr="002B2077">
        <w:rPr>
          <w:color w:val="000000"/>
          <w:szCs w:val="24"/>
        </w:rPr>
        <w:t>; </w:t>
      </w:r>
      <w:hyperlink r:id="rId26" w:anchor="r39" w:history="1">
        <w:r w:rsidRPr="002B2077">
          <w:rPr>
            <w:color w:val="000000"/>
            <w:szCs w:val="24"/>
          </w:rPr>
          <w:t>Saller and Henderson, 1998</w:t>
        </w:r>
      </w:hyperlink>
      <w:r w:rsidRPr="002B2077">
        <w:rPr>
          <w:color w:val="000000"/>
          <w:szCs w:val="24"/>
        </w:rPr>
        <w:t>; </w:t>
      </w:r>
      <w:hyperlink r:id="rId27" w:anchor="r37" w:history="1">
        <w:r w:rsidRPr="002B2077">
          <w:rPr>
            <w:color w:val="000000"/>
            <w:szCs w:val="24"/>
          </w:rPr>
          <w:t>Saller, 2004</w:t>
        </w:r>
      </w:hyperlink>
      <w:r w:rsidRPr="002B2077">
        <w:rPr>
          <w:color w:val="000000"/>
          <w:szCs w:val="24"/>
        </w:rPr>
        <w:t>, </w:t>
      </w:r>
      <w:hyperlink r:id="rId28" w:anchor="r38" w:history="1">
        <w:r w:rsidRPr="002B2077">
          <w:rPr>
            <w:color w:val="000000"/>
            <w:szCs w:val="24"/>
          </w:rPr>
          <w:t>2013</w:t>
        </w:r>
      </w:hyperlink>
      <w:r w:rsidRPr="002B2077">
        <w:rPr>
          <w:color w:val="000000"/>
          <w:szCs w:val="24"/>
        </w:rPr>
        <w:t>) stated that extensive dolomitization is prevalent in the platform and periplatform carbonates in the Lower-Middle Permian strata in the Midland and greater Permian Basin. Furthermore, these studies pointed out that the platform and slope carbonates are almost entirely dolomitized and progressively transitioned into limestone distally.</w:t>
      </w:r>
    </w:p>
    <w:p w14:paraId="1FB2AFEB" w14:textId="77777777" w:rsidR="007F0783" w:rsidRPr="002B2077" w:rsidRDefault="00000000" w:rsidP="007F0783">
      <w:pPr>
        <w:ind w:firstLine="720"/>
        <w:rPr>
          <w:color w:val="000000"/>
          <w:szCs w:val="24"/>
        </w:rPr>
      </w:pPr>
      <w:hyperlink r:id="rId29" w:anchor="r39" w:history="1">
        <w:r w:rsidR="007F0783" w:rsidRPr="002B2077">
          <w:rPr>
            <w:color w:val="000000"/>
            <w:szCs w:val="24"/>
          </w:rPr>
          <w:t>Saller and Henderson (1998)</w:t>
        </w:r>
      </w:hyperlink>
      <w:r w:rsidR="007F0783" w:rsidRPr="002B2077">
        <w:rPr>
          <w:color w:val="000000"/>
          <w:szCs w:val="24"/>
        </w:rPr>
        <w:t> and </w:t>
      </w:r>
      <w:hyperlink r:id="rId30" w:anchor="r37" w:history="1">
        <w:r w:rsidR="007F0783" w:rsidRPr="002B2077">
          <w:rPr>
            <w:color w:val="000000"/>
            <w:szCs w:val="24"/>
          </w:rPr>
          <w:t>Saller (2004)</w:t>
        </w:r>
      </w:hyperlink>
      <w:r w:rsidR="007F0783" w:rsidRPr="002B2077">
        <w:rPr>
          <w:color w:val="000000"/>
          <w:szCs w:val="24"/>
        </w:rPr>
        <w:t> suggest that dolomitization in Lower-Middle Permian carbonates is caused by hypersaline brines flowing from the platform interior toward the slope and basin, pointing out that the possible diagenetic mechanism is “reflux dolomitization” (</w:t>
      </w:r>
      <w:hyperlink r:id="rId31" w:anchor="r1" w:history="1">
        <w:r w:rsidR="007F0783" w:rsidRPr="002B2077">
          <w:rPr>
            <w:color w:val="000000"/>
            <w:szCs w:val="24"/>
          </w:rPr>
          <w:t>Adams and Rhodes, 1960</w:t>
        </w:r>
      </w:hyperlink>
      <w:r w:rsidR="007F0783" w:rsidRPr="002B2077">
        <w:rPr>
          <w:color w:val="000000"/>
          <w:szCs w:val="24"/>
        </w:rPr>
        <w:t>). They also conclude that this diagenetic pattern is the main control of the porosity, with the resulting porosity increase from the platform interior toward the platform margin and slope.</w:t>
      </w:r>
    </w:p>
    <w:p w14:paraId="25138FFB" w14:textId="77777777" w:rsidR="007F0783" w:rsidRPr="002B2077" w:rsidRDefault="007F0783" w:rsidP="007F0783">
      <w:pPr>
        <w:ind w:firstLine="720"/>
        <w:rPr>
          <w:color w:val="000000"/>
          <w:szCs w:val="24"/>
        </w:rPr>
      </w:pPr>
      <w:r w:rsidRPr="002B2077">
        <w:rPr>
          <w:color w:val="000000"/>
          <w:szCs w:val="24"/>
        </w:rPr>
        <w:t>Almost all previous studies have focused on diagenetic mechanisms, and the distribution of reservoir quality of Lower-Middle Permian reservoirs was studied with an abundance of well logs, core, and outcrop analogs to create highly detailed geologic models. Though they exhibit high resolution vertically, the lateral resolution was limited, being highly dependent on well control. Therefore, in areas with sparse well control, interwell uncertainty is evident. This study aims to use the seismic information to bridge the gap between the wells and reduce the uncertainty where the well data are limited.</w:t>
      </w:r>
    </w:p>
    <w:p w14:paraId="7A876034" w14:textId="77777777" w:rsidR="007F0783" w:rsidRPr="002B2077" w:rsidRDefault="007F0783" w:rsidP="007F0783">
      <w:pPr>
        <w:ind w:firstLine="720"/>
        <w:rPr>
          <w:color w:val="000000"/>
          <w:szCs w:val="24"/>
        </w:rPr>
      </w:pPr>
      <w:r w:rsidRPr="002B2077">
        <w:rPr>
          <w:color w:val="000000"/>
          <w:szCs w:val="24"/>
        </w:rPr>
        <w:t>Supervised Bayesian classification has been used in various geoscience problems, especially for identifying pay zones from nonpay lithologies and petrophysics-based facies classifications (among others, </w:t>
      </w:r>
      <w:hyperlink r:id="rId32" w:anchor="r5" w:history="1">
        <w:r w:rsidRPr="002B2077">
          <w:rPr>
            <w:color w:val="000000"/>
            <w:szCs w:val="24"/>
          </w:rPr>
          <w:t>Avseth et al., 2001</w:t>
        </w:r>
      </w:hyperlink>
      <w:r w:rsidRPr="002B2077">
        <w:rPr>
          <w:color w:val="000000"/>
          <w:szCs w:val="24"/>
        </w:rPr>
        <w:t>; </w:t>
      </w:r>
      <w:hyperlink r:id="rId33" w:anchor="r41" w:history="1">
        <w:r w:rsidRPr="002B2077">
          <w:rPr>
            <w:color w:val="000000"/>
            <w:szCs w:val="24"/>
          </w:rPr>
          <w:t>Sengupta and Bachrach, 2007</w:t>
        </w:r>
      </w:hyperlink>
      <w:r w:rsidRPr="002B2077">
        <w:rPr>
          <w:color w:val="000000"/>
          <w:szCs w:val="24"/>
        </w:rPr>
        <w:t>; </w:t>
      </w:r>
      <w:hyperlink r:id="rId34" w:anchor="r33" w:history="1">
        <w:r w:rsidRPr="002B2077">
          <w:rPr>
            <w:color w:val="000000"/>
            <w:szCs w:val="24"/>
          </w:rPr>
          <w:t>Nieto et al., 2013</w:t>
        </w:r>
      </w:hyperlink>
      <w:r w:rsidRPr="002B2077">
        <w:rPr>
          <w:color w:val="000000"/>
          <w:szCs w:val="24"/>
        </w:rPr>
        <w:t>). These types of rock-physics-based lithology prediction workflows use the integration of well logs, inversion results, and seismic interpretation to provide a robust estimate of the most probable lithofacies and the uncertainties associated with the prediction by using a fully Bayesian approach.</w:t>
      </w:r>
    </w:p>
    <w:p w14:paraId="3682AACB" w14:textId="77777777" w:rsidR="007F0783" w:rsidRPr="002B2077" w:rsidRDefault="007F0783" w:rsidP="007F0783">
      <w:pPr>
        <w:ind w:firstLine="720"/>
        <w:rPr>
          <w:color w:val="000000"/>
          <w:szCs w:val="24"/>
        </w:rPr>
      </w:pPr>
      <w:r w:rsidRPr="002B2077">
        <w:rPr>
          <w:color w:val="000000"/>
          <w:szCs w:val="24"/>
        </w:rPr>
        <w:t xml:space="preserve">For this study, a similar approach was adopted to predict the most probable volumes of limestone, dolomite, and shale to map dolomitization on a seismic scale. To combine the lithology </w:t>
      </w:r>
      <w:r w:rsidRPr="002B2077">
        <w:rPr>
          <w:color w:val="000000"/>
          <w:szCs w:val="24"/>
        </w:rPr>
        <w:lastRenderedPageBreak/>
        <w:t>information with porosity, a probabilistic neural network (PNN) was used to predict total porosity, ultimately to reveal the effects of the diagenesis upon the reservoir quality in Leonardian carbonates at the Eastern Shelf of the Midland Basin.</w:t>
      </w:r>
    </w:p>
    <w:p w14:paraId="4DDF09FB" w14:textId="77777777" w:rsidR="007F0783" w:rsidRPr="002B2077" w:rsidRDefault="007F0783" w:rsidP="003700C7">
      <w:pPr>
        <w:pStyle w:val="Heading2"/>
        <w:rPr>
          <w:sz w:val="24"/>
          <w:szCs w:val="24"/>
        </w:rPr>
      </w:pPr>
      <w:bookmarkStart w:id="20" w:name="_Toc115155612"/>
      <w:bookmarkStart w:id="21" w:name="_Toc121095932"/>
      <w:r w:rsidRPr="002B2077">
        <w:rPr>
          <w:sz w:val="24"/>
          <w:szCs w:val="24"/>
        </w:rPr>
        <w:t>Geologic setting</w:t>
      </w:r>
      <w:bookmarkEnd w:id="20"/>
      <w:bookmarkEnd w:id="21"/>
    </w:p>
    <w:p w14:paraId="008ED308" w14:textId="77777777" w:rsidR="007F0783" w:rsidRPr="002B2077" w:rsidRDefault="007F0783" w:rsidP="007F0783">
      <w:pPr>
        <w:ind w:firstLine="720"/>
        <w:rPr>
          <w:szCs w:val="24"/>
        </w:rPr>
      </w:pPr>
      <w:r w:rsidRPr="002B2077">
        <w:rPr>
          <w:szCs w:val="24"/>
        </w:rPr>
        <w:t>The Permian Basin is one of the largest sedimentary basins in North America. It spans an area of 6000 mi</w:t>
      </w:r>
      <w:r w:rsidRPr="00353234">
        <w:rPr>
          <w:szCs w:val="24"/>
          <w:vertAlign w:val="superscript"/>
        </w:rPr>
        <w:t>2</w:t>
      </w:r>
      <w:r w:rsidRPr="002B2077">
        <w:rPr>
          <w:szCs w:val="24"/>
        </w:rPr>
        <w:t> and includes all or parts of 52 counties of West Texas and southeast New Mexico. Structurally, the Permian Basin is bounded on the south by the Marathon-Ouachita Fold Belt, on the west by the Diablo Platform and Pedernales Uplift, on the north by the Matador Arch, and on the east by the Eastern Shelf and the west flank of the Bend Arch (</w:t>
      </w:r>
      <w:hyperlink r:id="rId35" w:anchor="r6" w:history="1">
        <w:r w:rsidRPr="002B2077">
          <w:rPr>
            <w:szCs w:val="24"/>
          </w:rPr>
          <w:t>Ball, 1995</w:t>
        </w:r>
      </w:hyperlink>
      <w:r w:rsidRPr="002B2077">
        <w:rPr>
          <w:szCs w:val="24"/>
        </w:rPr>
        <w:t>).</w:t>
      </w:r>
    </w:p>
    <w:p w14:paraId="02427C27" w14:textId="77777777" w:rsidR="007F0783" w:rsidRPr="002B2077" w:rsidRDefault="007F0783" w:rsidP="007F0783">
      <w:pPr>
        <w:ind w:firstLine="720"/>
        <w:rPr>
          <w:szCs w:val="24"/>
        </w:rPr>
      </w:pPr>
      <w:r w:rsidRPr="002B2077">
        <w:rPr>
          <w:szCs w:val="24"/>
        </w:rPr>
        <w:t>The Midland Basin is located on the east side of the Permian Basin and is bounded by the Central Basin Platform on the west, by Eastern Shelf on the east, by the Ozona Arch and Ouachita-Marathon Fold Belt and the Matador Arch to the south and north, respectively (</w:t>
      </w:r>
      <w:hyperlink r:id="rId36" w:anchor="r50" w:history="1">
        <w:r w:rsidRPr="002B2077">
          <w:rPr>
            <w:szCs w:val="24"/>
          </w:rPr>
          <w:t>Ward et al., 1986</w:t>
        </w:r>
      </w:hyperlink>
      <w:r w:rsidRPr="002B2077">
        <w:rPr>
          <w:szCs w:val="24"/>
        </w:rPr>
        <w:t>). The Eastern Shelf lies west of the Bend Arch and Llano uplift and extends westward to the eastern edge of the Midland Basin. The northern limits are the Knox-Baylor Basin and the Matador Arch with the Val Verde Basin being the southern boundary.</w:t>
      </w:r>
    </w:p>
    <w:p w14:paraId="4BA19805" w14:textId="77777777" w:rsidR="007F0783" w:rsidRPr="002B2077" w:rsidRDefault="007F0783" w:rsidP="007F0783">
      <w:pPr>
        <w:ind w:firstLine="720"/>
        <w:rPr>
          <w:szCs w:val="24"/>
        </w:rPr>
      </w:pPr>
      <w:r w:rsidRPr="002B2077">
        <w:rPr>
          <w:szCs w:val="24"/>
        </w:rPr>
        <w:t>The history of the Permian Basin can be subdivided into three distinct stages (</w:t>
      </w:r>
      <w:hyperlink r:id="rId37" w:anchor="r2" w:history="1">
        <w:r w:rsidRPr="002B2077">
          <w:rPr>
            <w:szCs w:val="24"/>
          </w:rPr>
          <w:t>Adams, 1965</w:t>
        </w:r>
      </w:hyperlink>
      <w:r w:rsidRPr="002B2077">
        <w:rPr>
          <w:szCs w:val="24"/>
        </w:rPr>
        <w:t>; </w:t>
      </w:r>
      <w:hyperlink r:id="rId38" w:anchor="r19" w:history="1">
        <w:r w:rsidRPr="002B2077">
          <w:rPr>
            <w:szCs w:val="24"/>
          </w:rPr>
          <w:t>Hills, 1985</w:t>
        </w:r>
      </w:hyperlink>
      <w:r w:rsidRPr="002B2077">
        <w:rPr>
          <w:szCs w:val="24"/>
        </w:rPr>
        <w:t>; </w:t>
      </w:r>
      <w:hyperlink r:id="rId39" w:anchor="r50" w:history="1">
        <w:r w:rsidRPr="002B2077">
          <w:rPr>
            <w:szCs w:val="24"/>
          </w:rPr>
          <w:t>Ward et al., 1986</w:t>
        </w:r>
      </w:hyperlink>
      <w:r w:rsidRPr="002B2077">
        <w:rPr>
          <w:szCs w:val="24"/>
        </w:rPr>
        <w:t>; </w:t>
      </w:r>
      <w:hyperlink r:id="rId40" w:anchor="r40" w:history="1">
        <w:r w:rsidRPr="002B2077">
          <w:rPr>
            <w:szCs w:val="24"/>
          </w:rPr>
          <w:t>Sarg et al., 1999</w:t>
        </w:r>
      </w:hyperlink>
      <w:r w:rsidRPr="002B2077">
        <w:rPr>
          <w:szCs w:val="24"/>
        </w:rPr>
        <w:t>). During Cambrian to Mississippian time, the ancestral Permian Basin, called the Tobosa Basin, is formed by weak crustal extension and low subsidence. The Tobosa Basin was filled by passive margin shallow marine carbonates and shales (</w:t>
      </w:r>
      <w:hyperlink r:id="rId41" w:anchor="r21" w:history="1">
        <w:r w:rsidRPr="002B2077">
          <w:rPr>
            <w:szCs w:val="24"/>
          </w:rPr>
          <w:t>Horak, 1985</w:t>
        </w:r>
      </w:hyperlink>
      <w:r w:rsidRPr="002B2077">
        <w:rPr>
          <w:szCs w:val="24"/>
        </w:rPr>
        <w:t xml:space="preserve">). During the Mid-to-Late Mississippian, the Tobosa Basin was divided by the formation of a central high, effectively initiating the formation of the Delaware Basin, Central </w:t>
      </w:r>
      <w:r w:rsidRPr="002B2077">
        <w:rPr>
          <w:szCs w:val="24"/>
        </w:rPr>
        <w:lastRenderedPageBreak/>
        <w:t>Basin Platform, and Midland Basin. From the Late Mississippian until the end of the Pennsylvanian, the Ouachita Orogeny fragmented the Tobosa Basin into a series of horsts and grabens along high-angle reverse faults (</w:t>
      </w:r>
      <w:hyperlink r:id="rId42" w:anchor="r19" w:history="1">
        <w:r w:rsidRPr="002B2077">
          <w:rPr>
            <w:szCs w:val="24"/>
          </w:rPr>
          <w:t>Hills, 1985</w:t>
        </w:r>
      </w:hyperlink>
      <w:r w:rsidRPr="002B2077">
        <w:rPr>
          <w:szCs w:val="24"/>
        </w:rPr>
        <w:t>; </w:t>
      </w:r>
      <w:hyperlink r:id="rId43" w:anchor="r21" w:history="1">
        <w:r w:rsidRPr="002B2077">
          <w:rPr>
            <w:szCs w:val="24"/>
          </w:rPr>
          <w:t>Horak, 1985</w:t>
        </w:r>
      </w:hyperlink>
      <w:r w:rsidRPr="002B2077">
        <w:rPr>
          <w:szCs w:val="24"/>
        </w:rPr>
        <w:t>). At this time, carbonate shelves began to form along the margins of the newly formed basins and were intermixed with siliciclastic sediment throughout the filling of the basins (</w:t>
      </w:r>
      <w:hyperlink r:id="rId44" w:anchor="r13" w:history="1">
        <w:r w:rsidRPr="002B2077">
          <w:rPr>
            <w:szCs w:val="24"/>
          </w:rPr>
          <w:t>Flamm, 2008</w:t>
        </w:r>
      </w:hyperlink>
      <w:r w:rsidRPr="002B2077">
        <w:rPr>
          <w:szCs w:val="24"/>
        </w:rPr>
        <w:t>). The Middle Permian to the early Triassic interval was characterized by relative tectonic stability and rapid subsidence during which most of the subbasins within the Permian Basin were filled (</w:t>
      </w:r>
      <w:hyperlink r:id="rId45" w:anchor="r13" w:history="1">
        <w:r w:rsidRPr="002B2077">
          <w:rPr>
            <w:szCs w:val="24"/>
          </w:rPr>
          <w:t>Flamm, 2008</w:t>
        </w:r>
      </w:hyperlink>
      <w:r w:rsidRPr="002B2077">
        <w:rPr>
          <w:szCs w:val="24"/>
        </w:rPr>
        <w:t>). As the Delaware and Midland Basins subsided, the central basin platform continued to rise several thousand feet (</w:t>
      </w:r>
      <w:hyperlink r:id="rId46" w:anchor="r21" w:history="1">
        <w:r w:rsidRPr="002B2077">
          <w:rPr>
            <w:szCs w:val="24"/>
          </w:rPr>
          <w:t>Horak, 1985</w:t>
        </w:r>
      </w:hyperlink>
      <w:r w:rsidRPr="002B2077">
        <w:rPr>
          <w:szCs w:val="24"/>
        </w:rPr>
        <w:t>). Since the beginning of the Triassic, the Permian Basin has been tilted to the east as the western edge of the basin was uplifted approximately 9000 ft (2743 m), half of which is the result of uplifting during the Laramide orogeny (</w:t>
      </w:r>
      <w:hyperlink r:id="rId47" w:anchor="r21" w:history="1">
        <w:r w:rsidRPr="002B2077">
          <w:rPr>
            <w:szCs w:val="24"/>
          </w:rPr>
          <w:t>Horak, 1985</w:t>
        </w:r>
      </w:hyperlink>
      <w:r w:rsidRPr="002B2077">
        <w:rPr>
          <w:szCs w:val="24"/>
        </w:rPr>
        <w:t>). In the Late Permian, the basin became restricted from the sea by the possible closure of the Hovie Channel and the evaporates deposited.</w:t>
      </w:r>
    </w:p>
    <w:p w14:paraId="1151D178" w14:textId="55E288B8" w:rsidR="007F0783" w:rsidRPr="002B2077" w:rsidRDefault="007F0783" w:rsidP="007F0783">
      <w:pPr>
        <w:ind w:firstLine="720"/>
        <w:rPr>
          <w:szCs w:val="24"/>
        </w:rPr>
      </w:pPr>
      <w:r w:rsidRPr="002B2077">
        <w:rPr>
          <w:szCs w:val="24"/>
        </w:rPr>
        <w:t>The study area is located in Scurry County, Texas, along the eastern shelf of the Midland Basin (Figure </w:t>
      </w:r>
      <w:r w:rsidR="00DE4F4D">
        <w:rPr>
          <w:szCs w:val="24"/>
        </w:rPr>
        <w:t>1.</w:t>
      </w:r>
      <w:hyperlink r:id="rId48" w:history="1">
        <w:r w:rsidRPr="002B2077">
          <w:rPr>
            <w:szCs w:val="24"/>
          </w:rPr>
          <w:t>1</w:t>
        </w:r>
      </w:hyperlink>
      <w:r w:rsidRPr="002B2077">
        <w:rPr>
          <w:szCs w:val="24"/>
        </w:rPr>
        <w:t>). The regional stratigraphy of the study area comprises units from Ordovician to Permian age. The primary target unit of petroleum exploration of the study area is the Late Pennsylvanian to Early Permian-aged Horseshoe Atoll reefal buildup.</w:t>
      </w:r>
    </w:p>
    <w:p w14:paraId="0ADDA511" w14:textId="2A3FBF99" w:rsidR="007F0783" w:rsidRDefault="007F0783" w:rsidP="007F0783">
      <w:pPr>
        <w:ind w:firstLine="720"/>
        <w:rPr>
          <w:szCs w:val="24"/>
        </w:rPr>
      </w:pPr>
      <w:r w:rsidRPr="002B2077">
        <w:rPr>
          <w:szCs w:val="24"/>
        </w:rPr>
        <w:t>The interval of interest in this study is the Leonardian-aged Wichita and Clear Fork Formations (Figure </w:t>
      </w:r>
      <w:r w:rsidR="00DE4F4D">
        <w:rPr>
          <w:szCs w:val="24"/>
        </w:rPr>
        <w:t>1.</w:t>
      </w:r>
      <w:hyperlink r:id="rId49" w:history="1">
        <w:r w:rsidRPr="002B2077">
          <w:rPr>
            <w:szCs w:val="24"/>
          </w:rPr>
          <w:t>2</w:t>
        </w:r>
      </w:hyperlink>
      <w:r w:rsidRPr="002B2077">
        <w:rPr>
          <w:szCs w:val="24"/>
        </w:rPr>
        <w:t>). Rocks made up the Leonardian strata consist of vertically stacked, progradational, and aggradational platform-to-basin sequences dominated by dolomite, limestone, and shales. These rocks were cyclic alterations of peritidal, tidal-flat deposits and subtidal carbonates deposited in shallow-water, restricted, low-energy platforms in an arid climatic setting (</w:t>
      </w:r>
      <w:hyperlink r:id="rId50" w:anchor="r34" w:history="1">
        <w:r w:rsidRPr="002B2077">
          <w:rPr>
            <w:szCs w:val="24"/>
          </w:rPr>
          <w:t>Presley, 1987</w:t>
        </w:r>
      </w:hyperlink>
      <w:r w:rsidRPr="002B2077">
        <w:rPr>
          <w:szCs w:val="24"/>
        </w:rPr>
        <w:t>; </w:t>
      </w:r>
      <w:hyperlink r:id="rId51" w:anchor="r35" w:history="1">
        <w:r w:rsidRPr="002B2077">
          <w:rPr>
            <w:szCs w:val="24"/>
          </w:rPr>
          <w:t>Ruppel, 1992</w:t>
        </w:r>
      </w:hyperlink>
      <w:r w:rsidRPr="002B2077">
        <w:rPr>
          <w:szCs w:val="24"/>
        </w:rPr>
        <w:t>; </w:t>
      </w:r>
      <w:hyperlink r:id="rId52" w:anchor="r54" w:history="1">
        <w:r w:rsidRPr="002B2077">
          <w:rPr>
            <w:szCs w:val="24"/>
          </w:rPr>
          <w:t>Ye and Mazzullo, 1993</w:t>
        </w:r>
      </w:hyperlink>
      <w:r w:rsidRPr="002B2077">
        <w:rPr>
          <w:szCs w:val="24"/>
        </w:rPr>
        <w:t>; </w:t>
      </w:r>
      <w:hyperlink r:id="rId53" w:anchor="r3" w:history="1">
        <w:r w:rsidRPr="002B2077">
          <w:rPr>
            <w:szCs w:val="24"/>
          </w:rPr>
          <w:t>Atchley et al., 1999</w:t>
        </w:r>
      </w:hyperlink>
      <w:r w:rsidRPr="002B2077">
        <w:rPr>
          <w:szCs w:val="24"/>
        </w:rPr>
        <w:t>).</w:t>
      </w:r>
    </w:p>
    <w:p w14:paraId="6AA6294B" w14:textId="112D71B6" w:rsidR="00B053E5" w:rsidRPr="002B2077" w:rsidRDefault="00B053E5" w:rsidP="007F0783">
      <w:pPr>
        <w:ind w:firstLine="720"/>
        <w:rPr>
          <w:szCs w:val="24"/>
        </w:rPr>
      </w:pPr>
      <w:r>
        <w:lastRenderedPageBreak/>
        <w:t>The progradational nature of the Leonardian strata in the study area is characterized by abrupt stratigraphic discontinuities, detrital carbonates, and distinct clinoformal geometries (Hamlin and Baumgardner, 2013). Seismic stratigraphic interpretation of the Leonardian section reveals shelf progradation dominated by clino</w:t>
      </w:r>
      <w:r w:rsidR="009B428B">
        <w:t>formal features divided by seismic parasequence boundaries. These parasequence boundaries reflect the relative sea-level cyclicity, with a series of alternating lowstand and highstands (Figure 1.3).</w:t>
      </w:r>
    </w:p>
    <w:p w14:paraId="741220B0" w14:textId="77777777" w:rsidR="007F0783" w:rsidRDefault="007F0783" w:rsidP="003700C7">
      <w:pPr>
        <w:pStyle w:val="Heading2"/>
        <w:rPr>
          <w:rFonts w:eastAsia="Times New Roman"/>
        </w:rPr>
      </w:pPr>
      <w:bookmarkStart w:id="22" w:name="_Toc115155613"/>
      <w:bookmarkStart w:id="23" w:name="_Toc121095933"/>
      <w:r>
        <w:rPr>
          <w:rFonts w:eastAsia="Times New Roman"/>
        </w:rPr>
        <w:t>Available Data</w:t>
      </w:r>
      <w:bookmarkEnd w:id="22"/>
      <w:bookmarkEnd w:id="23"/>
    </w:p>
    <w:p w14:paraId="767D03E2" w14:textId="77777777" w:rsidR="007F0783" w:rsidRPr="00EC5DBB" w:rsidRDefault="007F0783" w:rsidP="007F0783">
      <w:pPr>
        <w:ind w:firstLine="720"/>
      </w:pPr>
      <w:r w:rsidRPr="00EC5DBB">
        <w:t>For this study, a prestack time-migrated, and common-depth point stacked 3D seismic survey was used. The seismic survey was acquired with a vibroseis with a sweep of 8–90 Hz, a 2 ms sample rate, and processed with a bin size of 82.5 × 82.5 ft (25 × 25 m). The survey consists of 442 inlines and 418 crosslines, and a record length of 3 s. The approximate area of the seismic survey is 25 mi</w:t>
      </w:r>
      <w:r w:rsidRPr="00353234">
        <w:rPr>
          <w:vertAlign w:val="superscript"/>
        </w:rPr>
        <w:t>2</w:t>
      </w:r>
      <w:r w:rsidRPr="00EC5DBB">
        <w:t> (approximately 65 km</w:t>
      </w:r>
      <w:r w:rsidRPr="00353234">
        <w:rPr>
          <w:vertAlign w:val="superscript"/>
        </w:rPr>
        <w:t>2</w:t>
      </w:r>
      <w:r w:rsidRPr="00EC5DBB">
        <w:t>). The vertical resolution (equals to one-fourth) of a wavelength of seismic data is 100 ft (approximately 30 m).</w:t>
      </w:r>
    </w:p>
    <w:p w14:paraId="350AF05C" w14:textId="77777777" w:rsidR="007F0783" w:rsidRPr="00EC5DBB" w:rsidRDefault="007F0783" w:rsidP="007F0783">
      <w:pPr>
        <w:ind w:firstLine="720"/>
      </w:pPr>
      <w:r w:rsidRPr="00EC5DBB">
        <w:t>Along with the seismic survey, seven wells were selected for this study. These wells were selected based on the log quality and depth penetration of interest. A suite of conventional wireline logs includes gamma ray, caliper, shallow and deep resistivity, neutron porosity, density, sonic, and photoelectric factor logs. Neutron porosity and gamma-ray logs were normalized to eliminate the differences in measurement caused by different logging tools and operators. Synthetic seismograms were also generated to tie these wells to seismic.</w:t>
      </w:r>
    </w:p>
    <w:p w14:paraId="7FB3CB9D" w14:textId="77777777" w:rsidR="007F0783" w:rsidRDefault="007F0783" w:rsidP="003700C7">
      <w:pPr>
        <w:pStyle w:val="Heading2"/>
      </w:pPr>
      <w:bookmarkStart w:id="24" w:name="_Toc115155614"/>
      <w:bookmarkStart w:id="25" w:name="_Toc121095934"/>
      <w:r>
        <w:lastRenderedPageBreak/>
        <w:t>Methods</w:t>
      </w:r>
      <w:bookmarkEnd w:id="24"/>
      <w:bookmarkEnd w:id="25"/>
    </w:p>
    <w:p w14:paraId="2F975034" w14:textId="536BCCCE" w:rsidR="007F0783" w:rsidRDefault="007F0783" w:rsidP="007F0783">
      <w:pPr>
        <w:ind w:firstLine="720"/>
        <w:rPr>
          <w:color w:val="000000"/>
        </w:rPr>
      </w:pPr>
      <w:r>
        <w:rPr>
          <w:color w:val="000000"/>
        </w:rPr>
        <w:t>The workflow followed for this study is illustrated in Figure </w:t>
      </w:r>
      <w:r w:rsidR="00FD445E">
        <w:rPr>
          <w:color w:val="000000"/>
        </w:rPr>
        <w:t>1.</w:t>
      </w:r>
      <w:hyperlink r:id="rId54" w:history="1">
        <w:r w:rsidRPr="008C5B73">
          <w:rPr>
            <w:color w:val="000000"/>
          </w:rPr>
          <w:t>4</w:t>
        </w:r>
      </w:hyperlink>
      <w:r>
        <w:rPr>
          <w:color w:val="000000"/>
        </w:rPr>
        <w:t>. The approach to the problem starts with deriving lithology classifications from well-log crossplots, which will define the “a priori” proportions of the lithologies and with creating probability density functions (PDFs) to define the likelihood of each lithology in the attribute space. Once the prior lithology proportions and their probabilities within the seismic volumes were defined, the last step was to apply these to full inversion volumes to generate probability volumes for each lithology and the most probable lithology volume (</w:t>
      </w:r>
      <w:hyperlink r:id="rId55" w:anchor="r9" w:history="1">
        <w:r w:rsidRPr="00233954">
          <w:rPr>
            <w:color w:val="000000"/>
          </w:rPr>
          <w:t>Coulon et al., 2006</w:t>
        </w:r>
      </w:hyperlink>
      <w:r>
        <w:rPr>
          <w:color w:val="000000"/>
        </w:rPr>
        <w:t>; </w:t>
      </w:r>
      <w:hyperlink r:id="rId56" w:anchor="r10" w:history="1">
        <w:r w:rsidRPr="00233954">
          <w:rPr>
            <w:color w:val="000000"/>
          </w:rPr>
          <w:t>Doyen, 2006</w:t>
        </w:r>
      </w:hyperlink>
      <w:r>
        <w:rPr>
          <w:color w:val="000000"/>
        </w:rPr>
        <w:t>; </w:t>
      </w:r>
      <w:hyperlink r:id="rId57" w:anchor="r33" w:history="1">
        <w:r w:rsidRPr="00233954">
          <w:rPr>
            <w:color w:val="000000"/>
          </w:rPr>
          <w:t>Nieto et al., 2013</w:t>
        </w:r>
      </w:hyperlink>
      <w:r>
        <w:rPr>
          <w:color w:val="000000"/>
        </w:rPr>
        <w:t>). Seismic volumes needed to train the Bayesian classification and create the lithology classification (acoustic impedance and neutron porosity volumes) were derived from post stack acoustic impedance inversion and the PNN. Finally, the resulting lithology volume was combined with the total porosity volume to combine the lithology with the porosity information.</w:t>
      </w:r>
    </w:p>
    <w:p w14:paraId="5AECB2A1" w14:textId="77777777" w:rsidR="007F0783" w:rsidRPr="00793907" w:rsidRDefault="007F0783" w:rsidP="005F3383">
      <w:pPr>
        <w:pStyle w:val="Heading3"/>
      </w:pPr>
      <w:bookmarkStart w:id="26" w:name="_Toc115155615"/>
      <w:bookmarkStart w:id="27" w:name="_Toc121095935"/>
      <w:r w:rsidRPr="00793907">
        <w:t>Supervised Bayesian classification for lithology prediction</w:t>
      </w:r>
      <w:bookmarkEnd w:id="26"/>
      <w:bookmarkEnd w:id="27"/>
    </w:p>
    <w:p w14:paraId="458DBF3A" w14:textId="77777777" w:rsidR="007F0783" w:rsidRDefault="007F0783" w:rsidP="007F0783">
      <w:pPr>
        <w:ind w:firstLine="720"/>
        <w:rPr>
          <w:color w:val="000000"/>
        </w:rPr>
      </w:pPr>
      <w:r>
        <w:rPr>
          <w:color w:val="000000"/>
        </w:rPr>
        <w:t>Supervised Bayesian classification (</w:t>
      </w:r>
      <w:hyperlink r:id="rId58" w:anchor="r10" w:history="1">
        <w:r w:rsidRPr="00744D73">
          <w:rPr>
            <w:color w:val="000000"/>
          </w:rPr>
          <w:t>Doyen, 2006</w:t>
        </w:r>
      </w:hyperlink>
      <w:r>
        <w:rPr>
          <w:color w:val="000000"/>
        </w:rPr>
        <w:t>; </w:t>
      </w:r>
      <w:hyperlink r:id="rId59" w:anchor="r15" w:history="1">
        <w:r w:rsidRPr="00744D73">
          <w:rPr>
            <w:color w:val="000000"/>
          </w:rPr>
          <w:t>Grana, 2013</w:t>
        </w:r>
      </w:hyperlink>
      <w:r>
        <w:rPr>
          <w:color w:val="000000"/>
        </w:rPr>
        <w:t>; </w:t>
      </w:r>
      <w:hyperlink r:id="rId60" w:anchor="r33" w:history="1">
        <w:r w:rsidRPr="00744D73">
          <w:rPr>
            <w:color w:val="000000"/>
          </w:rPr>
          <w:t>Nieto et al., 2013</w:t>
        </w:r>
      </w:hyperlink>
      <w:r>
        <w:rPr>
          <w:color w:val="000000"/>
        </w:rPr>
        <w:t>) uses well logs and a set of seismic attributes to provide an estimate of the most probable lithology and uncertainties associated with predicted lithology class. This method is based on Bayes’ theorem, which can be expressed as:</w:t>
      </w:r>
    </w:p>
    <w:p w14:paraId="69EDEDC2" w14:textId="77777777" w:rsidR="007F0783" w:rsidRPr="00C44341" w:rsidRDefault="00000000" w:rsidP="007F0783">
      <w:pPr>
        <w:jc w:val="center"/>
        <w:rPr>
          <w:rFonts w:eastAsiaTheme="minorEastAsia" w:cs="Times New Roman"/>
          <w:iCs/>
          <w:sz w:val="28"/>
          <w:szCs w:val="28"/>
        </w:rPr>
      </w:pPr>
      <m:oMathPara>
        <m:oMath>
          <m:eqArr>
            <m:eqArrPr>
              <m:maxDist m:val="1"/>
              <m:ctrlPr>
                <w:rPr>
                  <w:rFonts w:ascii="Cambria Math" w:hAnsi="Cambria Math" w:cs="Times New Roman"/>
                  <w:i/>
                  <w:iCs/>
                  <w:szCs w:val="24"/>
                </w:rPr>
              </m:ctrlPr>
            </m:eqArrPr>
            <m:e>
              <m:r>
                <w:rPr>
                  <w:rFonts w:ascii="Cambria Math" w:hAnsi="Cambria Math" w:cs="Times New Roman"/>
                  <w:szCs w:val="24"/>
                </w:rPr>
                <m:t>p</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c</m:t>
                      </m:r>
                    </m:e>
                    <m:sub>
                      <m:r>
                        <w:rPr>
                          <w:rFonts w:ascii="Cambria Math" w:hAnsi="Cambria Math" w:cs="Times New Roman"/>
                          <w:szCs w:val="24"/>
                        </w:rPr>
                        <m:t>i</m:t>
                      </m:r>
                    </m:sub>
                  </m:sSub>
                </m:e>
                <m:e>
                  <m:r>
                    <w:rPr>
                      <w:rFonts w:ascii="Cambria Math" w:hAnsi="Cambria Math" w:cs="Times New Roman"/>
                      <w:szCs w:val="24"/>
                    </w:rPr>
                    <m:t>X</m:t>
                  </m:r>
                </m:e>
              </m:d>
              <m:r>
                <w:rPr>
                  <w:rFonts w:ascii="Cambria Math" w:hAnsi="Cambria Math" w:cs="Times New Roman"/>
                  <w:szCs w:val="24"/>
                </w:rPr>
                <m:t>=</m:t>
              </m:r>
              <m:f>
                <m:fPr>
                  <m:ctrlPr>
                    <w:rPr>
                      <w:rFonts w:ascii="Cambria Math" w:hAnsi="Cambria Math" w:cs="Times New Roman"/>
                      <w:i/>
                      <w:iCs/>
                      <w:szCs w:val="24"/>
                    </w:rPr>
                  </m:ctrlPr>
                </m:fPr>
                <m:num>
                  <m:r>
                    <w:rPr>
                      <w:rFonts w:ascii="Cambria Math" w:hAnsi="Cambria Math" w:cs="Times New Roman"/>
                      <w:szCs w:val="24"/>
                    </w:rPr>
                    <m:t>p</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X|c</m:t>
                          </m:r>
                        </m:e>
                        <m:sub>
                          <m:r>
                            <w:rPr>
                              <w:rFonts w:ascii="Cambria Math" w:hAnsi="Cambria Math" w:cs="Times New Roman"/>
                              <w:szCs w:val="24"/>
                            </w:rPr>
                            <m:t>i</m:t>
                          </m:r>
                        </m:sub>
                      </m:sSub>
                    </m:e>
                  </m:d>
                  <m:r>
                    <w:rPr>
                      <w:rFonts w:ascii="Cambria Math" w:hAnsi="Cambria Math" w:cs="Times New Roman"/>
                      <w:szCs w:val="24"/>
                    </w:rPr>
                    <m:t>*p</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C</m:t>
                          </m:r>
                        </m:e>
                        <m:sub>
                          <m:r>
                            <w:rPr>
                              <w:rFonts w:ascii="Cambria Math" w:hAnsi="Cambria Math" w:cs="Times New Roman"/>
                              <w:szCs w:val="24"/>
                            </w:rPr>
                            <m:t>i</m:t>
                          </m:r>
                        </m:sub>
                      </m:sSub>
                    </m:e>
                  </m:d>
                </m:num>
                <m:den>
                  <m:r>
                    <w:rPr>
                      <w:rFonts w:ascii="Cambria Math" w:hAnsi="Cambria Math" w:cs="Times New Roman"/>
                      <w:szCs w:val="24"/>
                    </w:rPr>
                    <m:t>p</m:t>
                  </m:r>
                  <m:d>
                    <m:dPr>
                      <m:ctrlPr>
                        <w:rPr>
                          <w:rFonts w:ascii="Cambria Math" w:hAnsi="Cambria Math" w:cs="Times New Roman"/>
                          <w:i/>
                          <w:iCs/>
                          <w:szCs w:val="24"/>
                        </w:rPr>
                      </m:ctrlPr>
                    </m:dPr>
                    <m:e>
                      <m:r>
                        <w:rPr>
                          <w:rFonts w:ascii="Cambria Math" w:hAnsi="Cambria Math" w:cs="Times New Roman"/>
                          <w:szCs w:val="24"/>
                        </w:rPr>
                        <m:t>X</m:t>
                      </m:r>
                    </m:e>
                  </m:d>
                </m:den>
              </m:f>
              <m:r>
                <w:rPr>
                  <w:rFonts w:ascii="Cambria Math" w:hAnsi="Cambria Math" w:cs="Times New Roman"/>
                  <w:szCs w:val="24"/>
                </w:rPr>
                <m:t xml:space="preserve"> #</m:t>
              </m:r>
              <m:d>
                <m:dPr>
                  <m:ctrlPr>
                    <w:rPr>
                      <w:rFonts w:ascii="Cambria Math" w:hAnsi="Cambria Math" w:cs="Times New Roman"/>
                      <w:i/>
                      <w:iCs/>
                      <w:szCs w:val="24"/>
                    </w:rPr>
                  </m:ctrlPr>
                </m:dPr>
                <m:e>
                  <m:r>
                    <w:rPr>
                      <w:rFonts w:ascii="Cambria Math" w:hAnsi="Cambria Math" w:cs="Times New Roman"/>
                      <w:szCs w:val="24"/>
                    </w:rPr>
                    <m:t>1</m:t>
                  </m:r>
                </m:e>
              </m:d>
            </m:e>
          </m:eqArr>
        </m:oMath>
      </m:oMathPara>
    </w:p>
    <w:p w14:paraId="67C71593" w14:textId="77777777" w:rsidR="007F0783" w:rsidRPr="003A4045" w:rsidRDefault="007F0783" w:rsidP="007F0783">
      <w:pPr>
        <w:ind w:firstLine="720"/>
        <w:rPr>
          <w:color w:val="000000"/>
        </w:rPr>
      </w:pPr>
      <w:r w:rsidRPr="003A4045">
        <w:rPr>
          <w:color w:val="000000"/>
        </w:rPr>
        <w:t>where </w:t>
      </w:r>
      <m:oMath>
        <m:sSub>
          <m:sSubPr>
            <m:ctrlPr>
              <w:rPr>
                <w:rFonts w:ascii="Cambria Math" w:hAnsi="Cambria Math" w:cs="Times New Roman"/>
                <w:i/>
                <w:iCs/>
                <w:szCs w:val="24"/>
              </w:rPr>
            </m:ctrlPr>
          </m:sSubPr>
          <m:e>
            <m:r>
              <w:rPr>
                <w:rFonts w:ascii="Cambria Math" w:hAnsi="Cambria Math" w:cs="Times New Roman"/>
                <w:szCs w:val="24"/>
              </w:rPr>
              <m:t>c</m:t>
            </m:r>
          </m:e>
          <m:sub>
            <m:r>
              <w:rPr>
                <w:rFonts w:ascii="Cambria Math" w:hAnsi="Cambria Math" w:cs="Times New Roman"/>
                <w:szCs w:val="24"/>
              </w:rPr>
              <m:t>i</m:t>
            </m:r>
          </m:sub>
        </m:sSub>
      </m:oMath>
      <w:r w:rsidRPr="003A4045">
        <w:rPr>
          <w:color w:val="000000"/>
        </w:rPr>
        <w:t> represents the ith lithology (e.g., dolomite, limestone, or shale), </w:t>
      </w:r>
      <m:oMath>
        <m:r>
          <w:rPr>
            <w:rFonts w:ascii="Cambria Math" w:hAnsi="Cambria Math" w:cs="Times New Roman"/>
            <w:szCs w:val="24"/>
          </w:rPr>
          <m:t>X</m:t>
        </m:r>
      </m:oMath>
      <w:r w:rsidRPr="003A4045">
        <w:rPr>
          <w:color w:val="000000"/>
        </w:rPr>
        <w:t> is the seismic attribute vector (crossplot of the attribute pairs), and </w:t>
      </w:r>
      <m:oMath>
        <m:r>
          <w:rPr>
            <w:rFonts w:ascii="Cambria Math" w:hAnsi="Cambria Math" w:cs="Times New Roman"/>
            <w:szCs w:val="24"/>
          </w:rPr>
          <m:t>p</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C</m:t>
                </m:r>
              </m:e>
              <m:sub>
                <m:r>
                  <w:rPr>
                    <w:rFonts w:ascii="Cambria Math" w:hAnsi="Cambria Math" w:cs="Times New Roman"/>
                    <w:szCs w:val="24"/>
                  </w:rPr>
                  <m:t>i</m:t>
                </m:r>
              </m:sub>
            </m:sSub>
          </m:e>
        </m:d>
      </m:oMath>
      <w:r w:rsidRPr="003A4045">
        <w:rPr>
          <w:color w:val="000000"/>
        </w:rPr>
        <w:t xml:space="preserve"> is the prior probability for </w:t>
      </w:r>
      <w:r w:rsidRPr="003A4045">
        <w:rPr>
          <w:color w:val="000000"/>
        </w:rPr>
        <w:lastRenderedPageBreak/>
        <w:t>lithology ci (e.g., the probability of limestone in general). Importantly, a principal assumption is that the probabilistic occurrences of these lithology classes are independent of each other. But because of the mixing of mineralogies (e.g., calcite to magnesian calcite to dolomite) or of difficulties in discretizing their detection, as a first approximation, one states that </w:t>
      </w:r>
      <m:oMath>
        <m:r>
          <w:rPr>
            <w:rFonts w:ascii="Cambria Math" w:hAnsi="Cambria Math" w:cs="Times New Roman"/>
            <w:szCs w:val="24"/>
          </w:rPr>
          <m:t>p</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X|c</m:t>
                </m:r>
              </m:e>
              <m:sub>
                <m:r>
                  <w:rPr>
                    <w:rFonts w:ascii="Cambria Math" w:hAnsi="Cambria Math" w:cs="Times New Roman"/>
                    <w:szCs w:val="24"/>
                  </w:rPr>
                  <m:t>i</m:t>
                </m:r>
              </m:sub>
            </m:sSub>
          </m:e>
        </m:d>
      </m:oMath>
      <w:r w:rsidRPr="003A4045">
        <w:rPr>
          <w:color w:val="000000"/>
        </w:rPr>
        <w:t> is the probability of attribute set </w:t>
      </w:r>
      <m:oMath>
        <m:r>
          <w:rPr>
            <w:rFonts w:ascii="Cambria Math" w:hAnsi="Cambria Math" w:cs="Times New Roman"/>
            <w:szCs w:val="24"/>
          </w:rPr>
          <m:t>X</m:t>
        </m:r>
      </m:oMath>
      <w:r w:rsidRPr="003A4045">
        <w:rPr>
          <w:color w:val="000000"/>
        </w:rPr>
        <w:t> with the knowledge that the class is </w:t>
      </w:r>
      <m:oMath>
        <m:sSub>
          <m:sSubPr>
            <m:ctrlPr>
              <w:rPr>
                <w:rFonts w:ascii="Cambria Math" w:hAnsi="Cambria Math" w:cs="Times New Roman"/>
                <w:i/>
                <w:iCs/>
                <w:szCs w:val="24"/>
              </w:rPr>
            </m:ctrlPr>
          </m:sSubPr>
          <m:e>
            <m:r>
              <w:rPr>
                <w:rFonts w:ascii="Cambria Math" w:hAnsi="Cambria Math" w:cs="Times New Roman"/>
                <w:szCs w:val="24"/>
              </w:rPr>
              <m:t>c</m:t>
            </m:r>
          </m:e>
          <m:sub>
            <m:r>
              <w:rPr>
                <w:rFonts w:ascii="Cambria Math" w:hAnsi="Cambria Math" w:cs="Times New Roman"/>
                <w:szCs w:val="24"/>
              </w:rPr>
              <m:t>i</m:t>
            </m:r>
          </m:sub>
        </m:sSub>
      </m:oMath>
      <w:r w:rsidRPr="003A4045">
        <w:rPr>
          <w:color w:val="000000"/>
        </w:rPr>
        <w:t> (distribution of limestone in the attribute crossplot space). This is also called the “likelihood function.” The term </w:t>
      </w:r>
      <m:oMath>
        <m:r>
          <w:rPr>
            <w:rFonts w:ascii="Cambria Math" w:hAnsi="Cambria Math" w:cs="Times New Roman"/>
            <w:szCs w:val="24"/>
          </w:rPr>
          <m:t>p</m:t>
        </m:r>
        <m:d>
          <m:dPr>
            <m:ctrlPr>
              <w:rPr>
                <w:rFonts w:ascii="Cambria Math" w:hAnsi="Cambria Math" w:cs="Times New Roman"/>
                <w:i/>
                <w:iCs/>
                <w:szCs w:val="24"/>
              </w:rPr>
            </m:ctrlPr>
          </m:dPr>
          <m:e>
            <m:r>
              <w:rPr>
                <w:rFonts w:ascii="Cambria Math" w:hAnsi="Cambria Math" w:cs="Times New Roman"/>
                <w:szCs w:val="24"/>
              </w:rPr>
              <m:t>X</m:t>
            </m:r>
          </m:e>
        </m:d>
      </m:oMath>
      <w:r w:rsidRPr="003A4045">
        <w:rPr>
          <w:color w:val="000000"/>
        </w:rPr>
        <w:t> is the probability of attribute vector </w:t>
      </w:r>
      <m:oMath>
        <m:r>
          <w:rPr>
            <w:rFonts w:ascii="Cambria Math" w:hAnsi="Cambria Math" w:cs="Times New Roman"/>
            <w:szCs w:val="24"/>
          </w:rPr>
          <m:t>X</m:t>
        </m:r>
      </m:oMath>
      <w:r w:rsidRPr="003A4045">
        <w:rPr>
          <w:color w:val="000000"/>
        </w:rPr>
        <w:t>. For the lithology prediction workflow used, </w:t>
      </w:r>
      <m:oMath>
        <m:r>
          <w:rPr>
            <w:rFonts w:ascii="Cambria Math" w:hAnsi="Cambria Math" w:cs="Times New Roman"/>
            <w:szCs w:val="24"/>
          </w:rPr>
          <m:t>p</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C</m:t>
                </m:r>
              </m:e>
              <m:sub>
                <m:r>
                  <w:rPr>
                    <w:rFonts w:ascii="Cambria Math" w:hAnsi="Cambria Math" w:cs="Times New Roman"/>
                    <w:szCs w:val="24"/>
                  </w:rPr>
                  <m:t>i</m:t>
                </m:r>
              </m:sub>
            </m:sSub>
          </m:e>
        </m:d>
      </m:oMath>
      <w:r w:rsidRPr="003A4045">
        <w:rPr>
          <w:color w:val="000000"/>
        </w:rPr>
        <w:t> is the input created by the user (lithology or petrofacies logs) and </w:t>
      </w:r>
      <m:oMath>
        <m:r>
          <w:rPr>
            <w:rFonts w:ascii="Cambria Math" w:hAnsi="Cambria Math" w:cs="Times New Roman"/>
            <w:szCs w:val="24"/>
          </w:rPr>
          <m:t>p</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X|c</m:t>
                </m:r>
              </m:e>
              <m:sub>
                <m:r>
                  <w:rPr>
                    <w:rFonts w:ascii="Cambria Math" w:hAnsi="Cambria Math" w:cs="Times New Roman"/>
                    <w:szCs w:val="24"/>
                  </w:rPr>
                  <m:t>i</m:t>
                </m:r>
              </m:sub>
            </m:sSub>
          </m:e>
        </m:d>
      </m:oMath>
      <w:r w:rsidRPr="003A4045">
        <w:rPr>
          <w:color w:val="000000"/>
        </w:rPr>
        <w:t> is computed from PDFs.</w:t>
      </w:r>
    </w:p>
    <w:p w14:paraId="5B938A08" w14:textId="313EB43B" w:rsidR="007F0783" w:rsidRPr="003A4045" w:rsidRDefault="007F0783" w:rsidP="007F0783">
      <w:pPr>
        <w:ind w:firstLine="720"/>
        <w:rPr>
          <w:color w:val="000000"/>
        </w:rPr>
      </w:pPr>
      <w:r w:rsidRPr="003A4045">
        <w:rPr>
          <w:color w:val="000000"/>
        </w:rPr>
        <w:t>As the first step in this lithology prediction method to map the dolomitization in the study area, lithology logs were created. This task can be achieved by applying discrete cutoff values to wireline logs for each lithology type. This can be achieved by defining clusters for each lithology type in the well-log crossplots. However, and with bearing upon the assumption of the validity of the independence of the classes, it must be noted that true lithology and facies information can only be determined from cores or cuttings (</w:t>
      </w:r>
      <w:hyperlink r:id="rId61" w:anchor="r33" w:history="1">
        <w:r w:rsidRPr="003A4045">
          <w:rPr>
            <w:color w:val="000000"/>
          </w:rPr>
          <w:t>Nieto et al., 2013</w:t>
        </w:r>
      </w:hyperlink>
      <w:r w:rsidRPr="003A4045">
        <w:rPr>
          <w:color w:val="000000"/>
        </w:rPr>
        <w:t>). Fortunately, among various attempts to create lithology classifications using different well-log pairs, the neutron porosity and acoustic impedance crossplot yielded the highest cluster separation between limestone, dolomite, and shale and is therefore used to create lithology logs. Figure </w:t>
      </w:r>
      <w:r w:rsidR="00FD445E">
        <w:rPr>
          <w:color w:val="000000"/>
        </w:rPr>
        <w:t>1.</w:t>
      </w:r>
      <w:hyperlink r:id="rId62" w:history="1">
        <w:r w:rsidRPr="003A4045">
          <w:rPr>
            <w:color w:val="000000"/>
          </w:rPr>
          <w:t>5</w:t>
        </w:r>
      </w:hyperlink>
      <w:r w:rsidRPr="003A4045">
        <w:rPr>
          <w:color w:val="000000"/>
        </w:rPr>
        <w:t> shows the crossplot between acoustic impedance and neutron porosity logs, color-coded by the photoelectric factor for well 6. Although limestone and dolomite have a similar range of acoustic impedance, the neutron porosity values</w:t>
      </w:r>
      <w:r w:rsidRPr="003A4045">
        <w:rPr>
          <w:rFonts w:eastAsia="Times New Roman" w:cs="Times New Roman"/>
          <w:color w:val="000000"/>
          <w:szCs w:val="24"/>
        </w:rPr>
        <w:t xml:space="preserve"> help to distinguish </w:t>
      </w:r>
      <w:r w:rsidRPr="003A4045">
        <w:rPr>
          <w:color w:val="000000"/>
        </w:rPr>
        <w:t xml:space="preserve">the two lithology types as two independent classes. Furthermore, values assigned as shale can easily be distinguished in the crossplot by having low acoustic impedance </w:t>
      </w:r>
      <w:r w:rsidRPr="003A4045">
        <w:rPr>
          <w:color w:val="000000"/>
        </w:rPr>
        <w:lastRenderedPageBreak/>
        <w:t>values and the highest neutron porosity values. The results of this method were also compared to “quick-look” lithology results to ensure the validity of the classifications (Figure </w:t>
      </w:r>
      <w:r w:rsidR="00FD445E">
        <w:rPr>
          <w:color w:val="000000"/>
        </w:rPr>
        <w:t>1.</w:t>
      </w:r>
      <w:hyperlink r:id="rId63" w:history="1">
        <w:r w:rsidRPr="003A4045">
          <w:rPr>
            <w:color w:val="000000"/>
          </w:rPr>
          <w:t>6</w:t>
        </w:r>
      </w:hyperlink>
      <w:r w:rsidRPr="003A4045">
        <w:rPr>
          <w:color w:val="000000"/>
        </w:rPr>
        <w:t>).</w:t>
      </w:r>
    </w:p>
    <w:p w14:paraId="462348BF" w14:textId="77777777" w:rsidR="007F0783" w:rsidRDefault="007F0783" w:rsidP="007F0783">
      <w:pPr>
        <w:ind w:firstLine="720"/>
        <w:rPr>
          <w:color w:val="000000"/>
        </w:rPr>
      </w:pPr>
      <w:r>
        <w:rPr>
          <w:color w:val="000000"/>
        </w:rPr>
        <w:t>After defining prior proportions of lithology by creating crossplot lithology logs, the next step was to define the “likelihood” of each lithology for the given sample within the attribute space. This can be done by calculating PDFs. PDFs can be built by convolving the data point in the crossplot with an operator (</w:t>
      </w:r>
      <w:hyperlink r:id="rId64" w:anchor="r33" w:history="1">
        <w:r w:rsidRPr="0047411C">
          <w:rPr>
            <w:color w:val="000000"/>
          </w:rPr>
          <w:t>Nieto et al., 2013</w:t>
        </w:r>
      </w:hyperlink>
      <w:r>
        <w:rPr>
          <w:color w:val="000000"/>
        </w:rPr>
        <w:t>). PDFs provide the likelihood of each lithology for the given point in our crossplot space. A 2D PDF can be expressed as (after </w:t>
      </w:r>
      <w:hyperlink r:id="rId65" w:anchor="r15" w:history="1">
        <w:r w:rsidRPr="0047411C">
          <w:rPr>
            <w:color w:val="000000"/>
          </w:rPr>
          <w:t>Grana, 2013</w:t>
        </w:r>
      </w:hyperlink>
      <w:r>
        <w:rPr>
          <w:color w:val="000000"/>
        </w:rPr>
        <w:t>):</w:t>
      </w:r>
    </w:p>
    <w:p w14:paraId="52AA9A2F" w14:textId="77777777" w:rsidR="007F0783" w:rsidRPr="00EB2D6E" w:rsidRDefault="00000000" w:rsidP="007F0783">
      <w:pPr>
        <w:jc w:val="center"/>
        <w:rPr>
          <w:rFonts w:cs="Times New Roman"/>
          <w:szCs w:val="24"/>
        </w:rPr>
      </w:pPr>
      <m:oMathPara>
        <m:oMath>
          <m:eqArr>
            <m:eqArrPr>
              <m:maxDist m:val="1"/>
              <m:ctrlPr>
                <w:rPr>
                  <w:rFonts w:ascii="Cambria Math" w:hAnsi="Cambria Math" w:cs="Times New Roman"/>
                  <w:i/>
                  <w:iCs/>
                  <w:szCs w:val="24"/>
                </w:rPr>
              </m:ctrlPr>
            </m:eqArrPr>
            <m:e>
              <m:r>
                <w:rPr>
                  <w:rFonts w:ascii="Cambria Math" w:hAnsi="Cambria Math" w:cs="Times New Roman"/>
                  <w:szCs w:val="24"/>
                </w:rPr>
                <m:t>PDF</m:t>
              </m:r>
              <m:d>
                <m:dPr>
                  <m:ctrlPr>
                    <w:rPr>
                      <w:rFonts w:ascii="Cambria Math" w:hAnsi="Cambria Math" w:cs="Times New Roman"/>
                      <w:i/>
                      <w:iCs/>
                      <w:szCs w:val="24"/>
                    </w:rPr>
                  </m:ctrlPr>
                </m:dPr>
                <m:e>
                  <m:r>
                    <w:rPr>
                      <w:rFonts w:ascii="Cambria Math" w:hAnsi="Cambria Math" w:cs="Times New Roman"/>
                      <w:szCs w:val="24"/>
                    </w:rPr>
                    <m:t>x,y</m:t>
                  </m:r>
                </m:e>
              </m:d>
              <m:r>
                <w:rPr>
                  <w:rFonts w:ascii="Cambria Math" w:hAnsi="Cambria Math" w:cs="Times New Roman"/>
                  <w:szCs w:val="24"/>
                </w:rPr>
                <m:t>=</m:t>
              </m:r>
              <m:f>
                <m:fPr>
                  <m:ctrlPr>
                    <w:rPr>
                      <w:rFonts w:ascii="Cambria Math" w:hAnsi="Cambria Math" w:cs="Times New Roman"/>
                      <w:i/>
                      <w:iCs/>
                      <w:szCs w:val="24"/>
                    </w:rPr>
                  </m:ctrlPr>
                </m:fPr>
                <m:num>
                  <m:r>
                    <w:rPr>
                      <w:rFonts w:ascii="Cambria Math" w:hAnsi="Cambria Math" w:cs="Times New Roman"/>
                      <w:szCs w:val="24"/>
                    </w:rPr>
                    <m:t>1</m:t>
                  </m:r>
                </m:num>
                <m:den>
                  <m:r>
                    <w:rPr>
                      <w:rFonts w:ascii="Cambria Math" w:hAnsi="Cambria Math" w:cs="Times New Roman"/>
                      <w:szCs w:val="24"/>
                    </w:rPr>
                    <m:t>nh</m:t>
                  </m:r>
                </m:den>
              </m:f>
              <m:nary>
                <m:naryPr>
                  <m:chr m:val="∑"/>
                  <m:ctrlPr>
                    <w:rPr>
                      <w:rFonts w:ascii="Cambria Math" w:hAnsi="Cambria Math" w:cs="Times New Roman"/>
                      <w:i/>
                      <w:iCs/>
                      <w:szCs w:val="24"/>
                    </w:rPr>
                  </m:ctrlPr>
                </m:naryPr>
                <m:sub>
                  <m:r>
                    <w:rPr>
                      <w:rFonts w:ascii="Cambria Math" w:hAnsi="Cambria Math" w:cs="Times New Roman"/>
                      <w:szCs w:val="24"/>
                    </w:rPr>
                    <m:t>i=1</m:t>
                  </m:r>
                </m:sub>
                <m:sup>
                  <m:r>
                    <w:rPr>
                      <w:rFonts w:ascii="Cambria Math" w:hAnsi="Cambria Math" w:cs="Times New Roman"/>
                      <w:szCs w:val="24"/>
                    </w:rPr>
                    <m:t>n</m:t>
                  </m:r>
                </m:sup>
                <m:e>
                  <m:r>
                    <w:rPr>
                      <w:rFonts w:ascii="Cambria Math" w:hAnsi="Cambria Math" w:cs="Times New Roman"/>
                      <w:szCs w:val="24"/>
                    </w:rPr>
                    <m:t>K</m:t>
                  </m:r>
                </m:e>
              </m:nary>
              <m:d>
                <m:dPr>
                  <m:ctrlPr>
                    <w:rPr>
                      <w:rFonts w:ascii="Cambria Math" w:hAnsi="Cambria Math" w:cs="Times New Roman"/>
                      <w:i/>
                      <w:iCs/>
                      <w:szCs w:val="24"/>
                    </w:rPr>
                  </m:ctrlPr>
                </m:dPr>
                <m:e>
                  <m:f>
                    <m:fPr>
                      <m:ctrlPr>
                        <w:rPr>
                          <w:rFonts w:ascii="Cambria Math" w:hAnsi="Cambria Math" w:cs="Times New Roman"/>
                          <w:i/>
                          <w:iCs/>
                          <w:szCs w:val="24"/>
                        </w:rPr>
                      </m:ctrlPr>
                    </m:fPr>
                    <m:num>
                      <m:r>
                        <w:rPr>
                          <w:rFonts w:ascii="Cambria Math" w:hAnsi="Cambria Math" w:cs="Times New Roman"/>
                          <w:szCs w:val="24"/>
                        </w:rPr>
                        <m:t>x-</m:t>
                      </m:r>
                      <m:sSub>
                        <m:sSubPr>
                          <m:ctrlPr>
                            <w:rPr>
                              <w:rFonts w:ascii="Cambria Math" w:hAnsi="Cambria Math" w:cs="Times New Roman"/>
                              <w:i/>
                              <w:iCs/>
                              <w:szCs w:val="24"/>
                            </w:rPr>
                          </m:ctrlPr>
                        </m:sSubPr>
                        <m:e>
                          <m:r>
                            <w:rPr>
                              <w:rFonts w:ascii="Cambria Math" w:hAnsi="Cambria Math" w:cs="Times New Roman"/>
                              <w:szCs w:val="24"/>
                            </w:rPr>
                            <m:t>x</m:t>
                          </m:r>
                        </m:e>
                        <m:sub>
                          <m:r>
                            <w:rPr>
                              <w:rFonts w:ascii="Cambria Math" w:hAnsi="Cambria Math" w:cs="Times New Roman"/>
                              <w:szCs w:val="24"/>
                            </w:rPr>
                            <m:t>i</m:t>
                          </m:r>
                        </m:sub>
                      </m:sSub>
                    </m:num>
                    <m:den>
                      <m:sSub>
                        <m:sSubPr>
                          <m:ctrlPr>
                            <w:rPr>
                              <w:rFonts w:ascii="Cambria Math" w:hAnsi="Cambria Math" w:cs="Times New Roman"/>
                              <w:i/>
                              <w:iCs/>
                              <w:szCs w:val="24"/>
                            </w:rPr>
                          </m:ctrlPr>
                        </m:sSubPr>
                        <m:e>
                          <m:r>
                            <w:rPr>
                              <w:rFonts w:ascii="Cambria Math" w:hAnsi="Cambria Math" w:cs="Times New Roman"/>
                              <w:szCs w:val="24"/>
                            </w:rPr>
                            <m:t>h</m:t>
                          </m:r>
                        </m:e>
                        <m:sub>
                          <m:r>
                            <w:rPr>
                              <w:rFonts w:ascii="Cambria Math" w:hAnsi="Cambria Math" w:cs="Times New Roman"/>
                              <w:szCs w:val="24"/>
                            </w:rPr>
                            <m:t>x</m:t>
                          </m:r>
                        </m:sub>
                      </m:sSub>
                    </m:den>
                  </m:f>
                </m:e>
              </m:d>
              <m:r>
                <w:rPr>
                  <w:rFonts w:ascii="Cambria Math" w:hAnsi="Cambria Math" w:cs="Times New Roman"/>
                  <w:szCs w:val="24"/>
                </w:rPr>
                <m:t>K</m:t>
              </m:r>
              <m:d>
                <m:dPr>
                  <m:ctrlPr>
                    <w:rPr>
                      <w:rFonts w:ascii="Cambria Math" w:hAnsi="Cambria Math" w:cs="Times New Roman"/>
                      <w:i/>
                      <w:iCs/>
                      <w:szCs w:val="24"/>
                    </w:rPr>
                  </m:ctrlPr>
                </m:dPr>
                <m:e>
                  <m:f>
                    <m:fPr>
                      <m:ctrlPr>
                        <w:rPr>
                          <w:rFonts w:ascii="Cambria Math" w:hAnsi="Cambria Math" w:cs="Times New Roman"/>
                          <w:i/>
                          <w:iCs/>
                          <w:szCs w:val="24"/>
                        </w:rPr>
                      </m:ctrlPr>
                    </m:fPr>
                    <m:num>
                      <m:r>
                        <w:rPr>
                          <w:rFonts w:ascii="Cambria Math" w:hAnsi="Cambria Math" w:cs="Times New Roman"/>
                          <w:szCs w:val="24"/>
                        </w:rPr>
                        <m:t>y-</m:t>
                      </m:r>
                      <m:sSub>
                        <m:sSubPr>
                          <m:ctrlPr>
                            <w:rPr>
                              <w:rFonts w:ascii="Cambria Math" w:hAnsi="Cambria Math" w:cs="Times New Roman"/>
                              <w:i/>
                              <w:iCs/>
                              <w:szCs w:val="24"/>
                            </w:rPr>
                          </m:ctrlPr>
                        </m:sSubPr>
                        <m:e>
                          <m:r>
                            <w:rPr>
                              <w:rFonts w:ascii="Cambria Math" w:hAnsi="Cambria Math" w:cs="Times New Roman"/>
                              <w:szCs w:val="24"/>
                            </w:rPr>
                            <m:t>y</m:t>
                          </m:r>
                        </m:e>
                        <m:sub>
                          <m:r>
                            <w:rPr>
                              <w:rFonts w:ascii="Cambria Math" w:hAnsi="Cambria Math" w:cs="Times New Roman"/>
                              <w:szCs w:val="24"/>
                            </w:rPr>
                            <m:t>i</m:t>
                          </m:r>
                        </m:sub>
                      </m:sSub>
                    </m:num>
                    <m:den>
                      <m:sSub>
                        <m:sSubPr>
                          <m:ctrlPr>
                            <w:rPr>
                              <w:rFonts w:ascii="Cambria Math" w:hAnsi="Cambria Math" w:cs="Times New Roman"/>
                              <w:i/>
                              <w:iCs/>
                              <w:szCs w:val="24"/>
                            </w:rPr>
                          </m:ctrlPr>
                        </m:sSubPr>
                        <m:e>
                          <m:r>
                            <w:rPr>
                              <w:rFonts w:ascii="Cambria Math" w:hAnsi="Cambria Math" w:cs="Times New Roman"/>
                              <w:szCs w:val="24"/>
                            </w:rPr>
                            <m:t>h</m:t>
                          </m:r>
                        </m:e>
                        <m:sub>
                          <m:r>
                            <w:rPr>
                              <w:rFonts w:ascii="Cambria Math" w:hAnsi="Cambria Math" w:cs="Times New Roman"/>
                              <w:szCs w:val="24"/>
                            </w:rPr>
                            <m:t>y</m:t>
                          </m:r>
                        </m:sub>
                      </m:sSub>
                    </m:den>
                  </m:f>
                </m:e>
              </m:d>
              <m:r>
                <w:rPr>
                  <w:rFonts w:ascii="Cambria Math" w:hAnsi="Cambria Math" w:cs="Times New Roman"/>
                  <w:szCs w:val="24"/>
                </w:rPr>
                <m:t>##(#2)</m:t>
              </m:r>
            </m:e>
          </m:eqArr>
        </m:oMath>
      </m:oMathPara>
    </w:p>
    <w:p w14:paraId="75E9CBE5" w14:textId="77777777" w:rsidR="007F0783" w:rsidRPr="0047411C" w:rsidRDefault="007F0783" w:rsidP="007F0783">
      <w:pPr>
        <w:ind w:firstLine="720"/>
        <w:rPr>
          <w:color w:val="000000"/>
        </w:rPr>
      </w:pPr>
    </w:p>
    <w:p w14:paraId="254013B1" w14:textId="77777777" w:rsidR="007F0783" w:rsidRPr="009C2D0F" w:rsidRDefault="007F0783" w:rsidP="007F0783">
      <w:pPr>
        <w:ind w:firstLine="720"/>
        <w:rPr>
          <w:rFonts w:eastAsia="Times New Roman" w:cs="Times New Roman"/>
          <w:color w:val="000000"/>
          <w:szCs w:val="24"/>
        </w:rPr>
      </w:pPr>
      <w:r w:rsidRPr="009C2D0F">
        <w:rPr>
          <w:rFonts w:eastAsia="Times New Roman" w:cs="Times New Roman"/>
          <w:color w:val="000000"/>
          <w:szCs w:val="24"/>
        </w:rPr>
        <w:t>where </w:t>
      </w:r>
      <m:oMath>
        <m:sSub>
          <m:sSubPr>
            <m:ctrlPr>
              <w:rPr>
                <w:rFonts w:ascii="Cambria Math" w:hAnsi="Cambria Math" w:cs="Times New Roman"/>
                <w:i/>
                <w:iCs/>
                <w:szCs w:val="24"/>
              </w:rPr>
            </m:ctrlPr>
          </m:sSubPr>
          <m:e>
            <m:r>
              <w:rPr>
                <w:rFonts w:ascii="Cambria Math" w:hAnsi="Cambria Math" w:cs="Times New Roman"/>
                <w:szCs w:val="24"/>
              </w:rPr>
              <m:t>x</m:t>
            </m:r>
          </m:e>
          <m:sub>
            <m:r>
              <w:rPr>
                <w:rFonts w:ascii="Cambria Math" w:hAnsi="Cambria Math" w:cs="Times New Roman"/>
                <w:szCs w:val="24"/>
              </w:rPr>
              <m:t>i</m:t>
            </m:r>
          </m:sub>
        </m:sSub>
      </m:oMath>
      <w:r w:rsidRPr="009C2D0F">
        <w:rPr>
          <w:rFonts w:eastAsia="Times New Roman" w:cs="Times New Roman"/>
          <w:color w:val="000000"/>
          <w:szCs w:val="24"/>
        </w:rPr>
        <w:t>,</w:t>
      </w:r>
      <w:r w:rsidRPr="009C2D0F">
        <w:rPr>
          <w:rFonts w:ascii="Cambria Math" w:hAnsi="Cambria Math" w:cs="Times New Roman"/>
          <w:i/>
          <w:iCs/>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y</m:t>
            </m:r>
          </m:e>
          <m:sub>
            <m:r>
              <w:rPr>
                <w:rFonts w:ascii="Cambria Math" w:hAnsi="Cambria Math" w:cs="Times New Roman"/>
                <w:szCs w:val="24"/>
              </w:rPr>
              <m:t>i</m:t>
            </m:r>
          </m:sub>
        </m:sSub>
      </m:oMath>
      <w:r w:rsidRPr="009C2D0F">
        <w:rPr>
          <w:rFonts w:eastAsia="Times New Roman" w:cs="Times New Roman"/>
          <w:color w:val="000000"/>
          <w:szCs w:val="24"/>
        </w:rPr>
        <w:t> represent the observed values of attributes in the crossplot space, h is the smoothing operator defined by the interpreter, and </w:t>
      </w:r>
      <m:oMath>
        <m:r>
          <w:rPr>
            <w:rFonts w:ascii="Cambria Math" w:hAnsi="Cambria Math" w:cs="Times New Roman"/>
            <w:szCs w:val="24"/>
          </w:rPr>
          <m:t>K</m:t>
        </m:r>
      </m:oMath>
      <w:r w:rsidRPr="009C2D0F">
        <w:rPr>
          <w:rFonts w:eastAsia="Times New Roman" w:cs="Times New Roman"/>
          <w:color w:val="000000"/>
          <w:szCs w:val="24"/>
        </w:rPr>
        <w:t> is the kernel operator.</w:t>
      </w:r>
    </w:p>
    <w:p w14:paraId="26403EC0" w14:textId="77777777" w:rsidR="007F0783" w:rsidRPr="009C2D0F" w:rsidRDefault="007F0783" w:rsidP="007F0783">
      <w:pPr>
        <w:ind w:firstLine="720"/>
        <w:rPr>
          <w:rFonts w:eastAsia="Times New Roman" w:cs="Times New Roman"/>
          <w:color w:val="000000"/>
          <w:szCs w:val="24"/>
        </w:rPr>
      </w:pPr>
      <w:r w:rsidRPr="009C2D0F">
        <w:rPr>
          <w:rFonts w:eastAsia="Times New Roman" w:cs="Times New Roman"/>
          <w:color w:val="000000"/>
          <w:szCs w:val="24"/>
        </w:rPr>
        <w:t>The kernel operator in the commercial software package used in this study uses the Epanechnikov kernel (</w:t>
      </w:r>
      <w:hyperlink r:id="rId66" w:anchor="r10" w:history="1">
        <w:r w:rsidRPr="009C2D0F">
          <w:rPr>
            <w:rFonts w:eastAsia="Times New Roman" w:cs="Times New Roman"/>
            <w:color w:val="000000"/>
            <w:szCs w:val="24"/>
          </w:rPr>
          <w:t>Doyen, 2006</w:t>
        </w:r>
      </w:hyperlink>
      <w:r w:rsidRPr="009C2D0F">
        <w:rPr>
          <w:rFonts w:eastAsia="Times New Roman" w:cs="Times New Roman"/>
          <w:color w:val="000000"/>
          <w:szCs w:val="24"/>
        </w:rPr>
        <w:t>), which can be defined as</w:t>
      </w:r>
      <w:r>
        <w:rPr>
          <w:rFonts w:eastAsia="Times New Roman" w:cs="Times New Roman"/>
          <w:color w:val="000000"/>
          <w:szCs w:val="24"/>
        </w:rPr>
        <w:t>:</w:t>
      </w:r>
    </w:p>
    <w:p w14:paraId="09B4103D" w14:textId="77777777" w:rsidR="007F0783" w:rsidRPr="00612728" w:rsidRDefault="00000000" w:rsidP="007F0783">
      <w:pPr>
        <w:rPr>
          <w:rFonts w:eastAsiaTheme="minorEastAsia" w:cs="Times New Roman"/>
          <w:iCs/>
          <w:szCs w:val="24"/>
        </w:rPr>
      </w:pPr>
      <m:oMathPara>
        <m:oMathParaPr>
          <m:jc m:val="left"/>
        </m:oMathParaPr>
        <m:oMath>
          <m:eqArr>
            <m:eqArrPr>
              <m:maxDist m:val="1"/>
              <m:ctrlPr>
                <w:rPr>
                  <w:rFonts w:ascii="Cambria Math" w:eastAsiaTheme="minorEastAsia" w:hAnsi="Cambria Math" w:cs="Times New Roman"/>
                  <w:i/>
                  <w:iCs/>
                  <w:szCs w:val="24"/>
                </w:rPr>
              </m:ctrlPr>
            </m:eqArrPr>
            <m:e>
              <m:r>
                <w:rPr>
                  <w:rFonts w:ascii="Cambria Math" w:eastAsiaTheme="minorEastAsia" w:hAnsi="Cambria Math" w:cs="Times New Roman"/>
                  <w:szCs w:val="24"/>
                </w:rPr>
                <m:t>K</m:t>
              </m:r>
              <m:d>
                <m:dPr>
                  <m:ctrlPr>
                    <w:rPr>
                      <w:rFonts w:ascii="Cambria Math" w:eastAsiaTheme="minorEastAsia" w:hAnsi="Cambria Math" w:cs="Times New Roman"/>
                      <w:i/>
                      <w:iCs/>
                      <w:szCs w:val="24"/>
                    </w:rPr>
                  </m:ctrlPr>
                </m:dPr>
                <m:e>
                  <m:r>
                    <w:rPr>
                      <w:rFonts w:ascii="Cambria Math" w:eastAsiaTheme="minorEastAsia" w:hAnsi="Cambria Math" w:cs="Times New Roman"/>
                      <w:szCs w:val="24"/>
                    </w:rPr>
                    <m:t>x</m:t>
                  </m:r>
                </m:e>
              </m:d>
              <m:r>
                <w:rPr>
                  <w:rFonts w:ascii="Cambria Math" w:eastAsiaTheme="minorEastAsia" w:hAnsi="Cambria Math" w:cs="Times New Roman"/>
                  <w:szCs w:val="24"/>
                </w:rPr>
                <m:t>=</m:t>
              </m:r>
              <m:d>
                <m:dPr>
                  <m:begChr m:val="{"/>
                  <m:endChr m:val=""/>
                  <m:ctrlPr>
                    <w:rPr>
                      <w:rFonts w:ascii="Cambria Math" w:eastAsiaTheme="minorEastAsia" w:hAnsi="Cambria Math" w:cs="Times New Roman"/>
                      <w:i/>
                      <w:iCs/>
                      <w:szCs w:val="24"/>
                    </w:rPr>
                  </m:ctrlPr>
                </m:dPr>
                <m:e>
                  <m:eqArr>
                    <m:eqArrPr>
                      <m:ctrlPr>
                        <w:rPr>
                          <w:rFonts w:ascii="Cambria Math" w:eastAsiaTheme="minorEastAsia" w:hAnsi="Cambria Math" w:cs="Times New Roman"/>
                          <w:i/>
                          <w:iCs/>
                          <w:szCs w:val="24"/>
                        </w:rPr>
                      </m:ctrlPr>
                    </m:eqArrPr>
                    <m:e>
                      <m:f>
                        <m:fPr>
                          <m:ctrlPr>
                            <w:rPr>
                              <w:rFonts w:ascii="Cambria Math" w:eastAsiaTheme="minorEastAsia" w:hAnsi="Cambria Math" w:cs="Times New Roman"/>
                              <w:i/>
                              <w:iCs/>
                              <w:szCs w:val="24"/>
                            </w:rPr>
                          </m:ctrlPr>
                        </m:fPr>
                        <m:num>
                          <m:r>
                            <w:rPr>
                              <w:rFonts w:ascii="Cambria Math" w:eastAsiaTheme="minorEastAsia" w:hAnsi="Cambria Math" w:cs="Times New Roman"/>
                              <w:szCs w:val="24"/>
                            </w:rPr>
                            <m:t>3</m:t>
                          </m:r>
                        </m:num>
                        <m:den>
                          <m:r>
                            <w:rPr>
                              <w:rFonts w:ascii="Cambria Math" w:eastAsiaTheme="minorEastAsia" w:hAnsi="Cambria Math" w:cs="Times New Roman"/>
                              <w:szCs w:val="24"/>
                            </w:rPr>
                            <m:t>4</m:t>
                          </m:r>
                        </m:den>
                      </m:f>
                      <m:r>
                        <w:rPr>
                          <w:rFonts w:ascii="Cambria Math" w:eastAsiaTheme="minorEastAsia" w:hAnsi="Cambria Math" w:cs="Times New Roman"/>
                          <w:szCs w:val="24"/>
                        </w:rPr>
                        <m:t>*</m:t>
                      </m:r>
                      <m:d>
                        <m:dPr>
                          <m:ctrlPr>
                            <w:rPr>
                              <w:rFonts w:ascii="Cambria Math" w:eastAsiaTheme="minorEastAsia" w:hAnsi="Cambria Math" w:cs="Times New Roman"/>
                              <w:i/>
                              <w:iCs/>
                              <w:szCs w:val="24"/>
                            </w:rPr>
                          </m:ctrlPr>
                        </m:dPr>
                        <m:e>
                          <m:r>
                            <w:rPr>
                              <w:rFonts w:ascii="Cambria Math" w:eastAsiaTheme="minorEastAsia" w:hAnsi="Cambria Math" w:cs="Times New Roman"/>
                              <w:szCs w:val="24"/>
                            </w:rPr>
                            <m:t>1+</m:t>
                          </m:r>
                          <m:sSup>
                            <m:sSupPr>
                              <m:ctrlPr>
                                <w:rPr>
                                  <w:rFonts w:ascii="Cambria Math" w:eastAsiaTheme="minorEastAsia" w:hAnsi="Cambria Math" w:cs="Times New Roman"/>
                                  <w:i/>
                                  <w:iCs/>
                                  <w:szCs w:val="24"/>
                                </w:rPr>
                              </m:ctrlPr>
                            </m:sSupPr>
                            <m:e>
                              <m:r>
                                <w:rPr>
                                  <w:rFonts w:ascii="Cambria Math" w:eastAsiaTheme="minorEastAsia" w:hAnsi="Cambria Math" w:cs="Times New Roman"/>
                                  <w:szCs w:val="24"/>
                                </w:rPr>
                                <m:t>x</m:t>
                              </m:r>
                            </m:e>
                            <m:sup>
                              <m:r>
                                <w:rPr>
                                  <w:rFonts w:ascii="Cambria Math" w:eastAsiaTheme="minorEastAsia" w:hAnsi="Cambria Math" w:cs="Times New Roman"/>
                                  <w:szCs w:val="24"/>
                                </w:rPr>
                                <m:t>2</m:t>
                              </m:r>
                            </m:sup>
                          </m:sSup>
                        </m:e>
                      </m:d>
                      <m:r>
                        <w:rPr>
                          <w:rFonts w:ascii="Cambria Math" w:eastAsiaTheme="minorEastAsia" w:hAnsi="Cambria Math" w:cs="Times New Roman"/>
                          <w:szCs w:val="24"/>
                        </w:rPr>
                        <m:t>, for -1≤x≤1,</m:t>
                      </m:r>
                    </m:e>
                    <m:e>
                      <m:r>
                        <w:rPr>
                          <w:rFonts w:ascii="Cambria Math" w:eastAsiaTheme="minorEastAsia" w:hAnsi="Cambria Math" w:cs="Times New Roman"/>
                          <w:szCs w:val="24"/>
                        </w:rPr>
                        <m:t> </m:t>
                      </m:r>
                      <m:ctrlPr>
                        <w:rPr>
                          <w:rFonts w:ascii="Cambria Math" w:eastAsia="Cambria Math" w:hAnsi="Cambria Math" w:cs="Cambria Math"/>
                          <w:i/>
                          <w:szCs w:val="24"/>
                        </w:rPr>
                      </m:ctrlPr>
                    </m:e>
                    <m:e>
                      <m:r>
                        <w:rPr>
                          <w:rFonts w:ascii="Cambria Math" w:eastAsiaTheme="minorEastAsia" w:hAnsi="Cambria Math" w:cs="Times New Roman"/>
                          <w:szCs w:val="24"/>
                        </w:rPr>
                        <m:t>0                                     otherwise.  </m:t>
                      </m:r>
                    </m:e>
                  </m:eqArr>
                </m:e>
              </m:d>
              <m:r>
                <w:rPr>
                  <w:rFonts w:ascii="Cambria Math" w:eastAsiaTheme="minorEastAsia" w:hAnsi="Cambria Math" w:cs="Times New Roman"/>
                  <w:szCs w:val="24"/>
                </w:rPr>
                <m:t>#</m:t>
              </m:r>
              <m:d>
                <m:dPr>
                  <m:ctrlPr>
                    <w:rPr>
                      <w:rFonts w:ascii="Cambria Math" w:eastAsiaTheme="minorEastAsia" w:hAnsi="Cambria Math" w:cs="Times New Roman"/>
                      <w:i/>
                      <w:iCs/>
                      <w:szCs w:val="24"/>
                    </w:rPr>
                  </m:ctrlPr>
                </m:dPr>
                <m:e>
                  <m:r>
                    <w:rPr>
                      <w:rFonts w:ascii="Cambria Math" w:eastAsiaTheme="minorEastAsia" w:hAnsi="Cambria Math" w:cs="Times New Roman"/>
                      <w:szCs w:val="24"/>
                    </w:rPr>
                    <m:t>3</m:t>
                  </m:r>
                </m:e>
              </m:d>
            </m:e>
          </m:eqArr>
        </m:oMath>
      </m:oMathPara>
    </w:p>
    <w:p w14:paraId="5BDFA862" w14:textId="27353547" w:rsidR="007F0783" w:rsidRDefault="007F0783" w:rsidP="007F0783">
      <w:pPr>
        <w:ind w:firstLine="720"/>
      </w:pPr>
      <w:r w:rsidRPr="00EB7AE4">
        <w:rPr>
          <w:color w:val="000000"/>
        </w:rPr>
        <w:t>Figure </w:t>
      </w:r>
      <w:r w:rsidR="00FD445E">
        <w:rPr>
          <w:color w:val="000000"/>
        </w:rPr>
        <w:t>1.</w:t>
      </w:r>
      <w:hyperlink r:id="rId67" w:history="1">
        <w:r w:rsidRPr="00EB7AE4">
          <w:rPr>
            <w:color w:val="000000"/>
          </w:rPr>
          <w:t>7</w:t>
        </w:r>
      </w:hyperlink>
      <w:r w:rsidRPr="00EB7AE4">
        <w:rPr>
          <w:color w:val="000000"/>
        </w:rPr>
        <w:t> shows the PDFs computed from the upscaled lithology logs. Contours at each cluster represent the probability density value of samples belonging to a particular lithology. In other words, centers of each cluster</w:t>
      </w:r>
      <w:r>
        <w:t xml:space="preserve"> would have a 100% probability of being limestone, dolomite, </w:t>
      </w:r>
      <w:r>
        <w:lastRenderedPageBreak/>
        <w:t>or shale, whereas probabilities decrease away from centers and reach 0% on the outermost contour. This construct provides a measure of confidence in lithology classification by handling uncertainties associated with the overlaps between lithology classes in the attribute crossplot space.</w:t>
      </w:r>
    </w:p>
    <w:p w14:paraId="2E4BA898" w14:textId="77777777" w:rsidR="007F0783" w:rsidRDefault="007F0783" w:rsidP="007F0783">
      <w:pPr>
        <w:ind w:firstLine="720"/>
      </w:pPr>
      <w:r w:rsidRPr="00EB7AE4">
        <w:t>To train the supervised Bayesian classification and predict the 3D volume of lithology, a supervised Bayesian classification workflow requires the same type of input attribute set that is used to create the lithology logs. Therefore, 3D volumes of acoustic impedance and neutron porosity are needed because lithology logs were derived from crossplotting neutron porosity and acoustic impedance logs. The acoustic impedance volume is obtained by poststack inversion, and a neutron porosity volume is subsequently predicted via PNN.</w:t>
      </w:r>
    </w:p>
    <w:p w14:paraId="278FA5C3" w14:textId="3E4152CB" w:rsidR="007F0783" w:rsidRDefault="005F3383" w:rsidP="005F3383">
      <w:pPr>
        <w:pStyle w:val="Heading3"/>
      </w:pPr>
      <w:bookmarkStart w:id="28" w:name="_Toc115155616"/>
      <w:bookmarkStart w:id="29" w:name="_Toc121095936"/>
      <w:r>
        <w:t>Post-stack</w:t>
      </w:r>
      <w:r w:rsidR="007F0783">
        <w:t xml:space="preserve"> inversion for acoustic impedance</w:t>
      </w:r>
      <w:bookmarkEnd w:id="28"/>
      <w:bookmarkEnd w:id="29"/>
    </w:p>
    <w:p w14:paraId="4CD6FBD0" w14:textId="06A8B1E5" w:rsidR="007F0783" w:rsidRDefault="007F0783" w:rsidP="007F0783">
      <w:pPr>
        <w:ind w:firstLine="720"/>
      </w:pPr>
      <w:r>
        <w:rPr>
          <w:color w:val="000000"/>
        </w:rPr>
        <w:t xml:space="preserve">Unlike seismic amplitude, which measures relative changes in rock properties, seismic inversion is directly correlated to the rock properties of each layer such as lithology and porosity </w:t>
      </w:r>
      <w:r w:rsidRPr="008D7170">
        <w:t>(</w:t>
      </w:r>
      <w:hyperlink r:id="rId68" w:anchor="r44" w:history="1">
        <w:r w:rsidRPr="008D7170">
          <w:t>Swisi, 2009</w:t>
        </w:r>
      </w:hyperlink>
      <w:r w:rsidRPr="008D7170">
        <w:t>). Impedance is defined as the product of the intrinsic properties of rock such as the P-wave velocity and density. Seismic inversion can be defined as a process that creates “broadband” acoustic impedance values of the earth from the seismic reflection volumes. Besides being a lithology and porosity indicator, one of the other benefits of inversion can be an increase in seismic resolution (</w:t>
      </w:r>
      <w:hyperlink r:id="rId69" w:anchor="r48" w:history="1">
        <w:r w:rsidRPr="008D7170">
          <w:t>Veeken and Da Silva, 2004</w:t>
        </w:r>
      </w:hyperlink>
      <w:r w:rsidRPr="008D7170">
        <w:t>). Additionally, the inverted data can have more accurate thickness determination estimates below the tuning thickness and may even increase the accuracy above tuning (</w:t>
      </w:r>
      <w:hyperlink r:id="rId70" w:anchor="r18" w:history="1">
        <w:r w:rsidRPr="008D7170">
          <w:t>Hill, 2005</w:t>
        </w:r>
      </w:hyperlink>
      <w:r w:rsidRPr="008D7170">
        <w:t xml:space="preserve">). For this lithology classification study, the required acoustic impedance was created by “model-based” poststack inversion. This method requires an initial geologic model to be built by using interpreted horizons and low frequency filtered impedance logs to constrain the band limit and the distribution of acoustic impedance. This model is built by </w:t>
      </w:r>
      <w:r w:rsidRPr="008D7170">
        <w:lastRenderedPageBreak/>
        <w:t>extrapolating the filtered impedance logs throughout the volume using the seismic horizons. The extrapolation is done by weighting the log values inversely proportional to the square of the distance from wells. Next, a synthetic trace is generated by convolving the model values with a wavelet and it is then compared with the equivalent seismic trace. If the difference is small, the model trace is taken as the final solution. If the model trace differs significantly from the equivalent seismic trace, the impedance model is perturbed iteratively until the error between synthetic generated from the perturbed model and the original seismic trace reaches a minimum (</w:t>
      </w:r>
      <w:hyperlink r:id="rId71" w:anchor="r36" w:history="1">
        <w:r w:rsidRPr="008D7170">
          <w:t>Russell, 2004</w:t>
        </w:r>
      </w:hyperlink>
      <w:r w:rsidRPr="008D7170">
        <w:t>; </w:t>
      </w:r>
      <w:hyperlink r:id="rId72" w:anchor="r48" w:history="1">
        <w:r w:rsidRPr="008D7170">
          <w:t>Veeken and Da Silva, 2004</w:t>
        </w:r>
      </w:hyperlink>
      <w:r w:rsidRPr="008D7170">
        <w:t>). Figure </w:t>
      </w:r>
      <w:r w:rsidR="00515B03">
        <w:t>1.</w:t>
      </w:r>
      <w:hyperlink r:id="rId73" w:history="1">
        <w:r w:rsidRPr="008D7170">
          <w:t>8</w:t>
        </w:r>
      </w:hyperlink>
      <w:r w:rsidRPr="008D7170">
        <w:t> shows the results of the inversion process from arbitrary lines through wells 2 and 3. The impedance values can be observed to decrease from the platform interior (well 3) to the slope (well 2).</w:t>
      </w:r>
    </w:p>
    <w:p w14:paraId="6E872976" w14:textId="77777777" w:rsidR="007F0783" w:rsidRDefault="007F0783" w:rsidP="005F3383">
      <w:pPr>
        <w:pStyle w:val="Heading3"/>
      </w:pPr>
      <w:bookmarkStart w:id="30" w:name="_Toc115155617"/>
      <w:bookmarkStart w:id="31" w:name="_Toc121095937"/>
      <w:r>
        <w:t>PNN for NPHI and total porosity volume prediction</w:t>
      </w:r>
      <w:bookmarkEnd w:id="30"/>
      <w:bookmarkEnd w:id="31"/>
    </w:p>
    <w:p w14:paraId="524E77F8" w14:textId="1ECB413D" w:rsidR="007F0783" w:rsidRPr="00AE3AFD" w:rsidRDefault="007F0783" w:rsidP="007F0783">
      <w:pPr>
        <w:ind w:firstLine="720"/>
      </w:pPr>
      <w:r>
        <w:t>The second component required for the Bayesian lithology classification is the neutron porosity (NPHI) volume. To predict the 3D volume of neutron porosity, the PNN method (</w:t>
      </w:r>
      <w:hyperlink r:id="rId74" w:anchor="r30" w:history="1">
        <w:r w:rsidRPr="00AE3AFD">
          <w:t>Masters, 1995</w:t>
        </w:r>
      </w:hyperlink>
      <w:r>
        <w:t>; </w:t>
      </w:r>
      <w:hyperlink r:id="rId75" w:anchor="r42" w:history="1">
        <w:r w:rsidRPr="00AE3AFD">
          <w:t>Specht, 1995</w:t>
        </w:r>
      </w:hyperlink>
      <w:r>
        <w:t>; </w:t>
      </w:r>
      <w:hyperlink r:id="rId76" w:anchor="r17" w:history="1">
        <w:r w:rsidRPr="00AE3AFD">
          <w:t>Hampson et al., 2001</w:t>
        </w:r>
      </w:hyperlink>
      <w:r>
        <w:t>) is used. This method combines a set of seismic attributes and a target log (neutron porosity) to predict a 3D volume of neutron porosity. Neural networks can enable seismic data to be related to porosity without explicitly defining parameters such as water content, lithology, or pore pressure. Additionally, neural networks can incorporate an interval of seismic data rather than a single sample value to predict porosity values (</w:t>
      </w:r>
      <w:hyperlink r:id="rId77" w:anchor="r20" w:history="1">
        <w:r w:rsidRPr="00AE3AFD">
          <w:t>Himmer and Link, 1997</w:t>
        </w:r>
      </w:hyperlink>
      <w:r>
        <w:t>). The procedure of neural network porosity prediction performed in this study can be divided into three steps (Figure </w:t>
      </w:r>
      <w:r w:rsidR="00515B03">
        <w:t>1.</w:t>
      </w:r>
      <w:hyperlink r:id="rId78" w:history="1">
        <w:r w:rsidRPr="00AE3AFD">
          <w:t>4</w:t>
        </w:r>
      </w:hyperlink>
      <w:r>
        <w:t>) (</w:t>
      </w:r>
      <w:hyperlink r:id="rId79" w:anchor="r17" w:history="1">
        <w:r w:rsidRPr="00AE3AFD">
          <w:t>Hampson et al., 2001</w:t>
        </w:r>
      </w:hyperlink>
      <w:r>
        <w:t>; </w:t>
      </w:r>
      <w:hyperlink r:id="rId80" w:anchor="r49" w:history="1">
        <w:r w:rsidRPr="00AE3AFD">
          <w:t>Verma et al., 2016</w:t>
        </w:r>
      </w:hyperlink>
      <w:r>
        <w:t>).</w:t>
      </w:r>
    </w:p>
    <w:p w14:paraId="275D58B6" w14:textId="118AB892" w:rsidR="007F0783" w:rsidRDefault="007F0783" w:rsidP="007F0783">
      <w:pPr>
        <w:ind w:firstLine="720"/>
      </w:pPr>
      <w:r>
        <w:t xml:space="preserve">The first step is to define the input attributes and the appropriate convolutional operator (or operator length) that controls how many neighboring samples of seismic attributes are to be related </w:t>
      </w:r>
      <w:r>
        <w:lastRenderedPageBreak/>
        <w:t>to each sample in the target log. The objective of the first step is to derive a linear multiattribute transform between a subset of attributes and the target log values (in this case, neutron porosity), defined by the convolutional operator. The decision of valid operator length choice is important owing to differences in frequency between the target logs and the seismic data. An optimum set of attributes and convolutional operator length would yield a minimum validation error. Extending the operator length is equivalent to adding attributes at adjacent stratal slices to the stepwise linear regression workflow, increasing the chances for </w:t>
      </w:r>
      <w:hyperlink r:id="rId81" w:anchor="r23" w:history="1">
        <w:r w:rsidRPr="00AE3AFD">
          <w:t>Kalkomey’s (1997)</w:t>
        </w:r>
      </w:hyperlink>
      <w:r>
        <w:t> false-positive correlation or as what is often termed “overtraining.” Figure </w:t>
      </w:r>
      <w:r w:rsidR="00515B03">
        <w:t>1.</w:t>
      </w:r>
      <w:hyperlink r:id="rId82" w:history="1">
        <w:r w:rsidRPr="00AE3AFD">
          <w:t>9</w:t>
        </w:r>
      </w:hyperlink>
      <w:r>
        <w:t> shows the training and validation errors plotted against the number of attributes. Table </w:t>
      </w:r>
      <w:hyperlink r:id="rId83" w:history="1">
        <w:r w:rsidRPr="00AE3AFD">
          <w:t>1</w:t>
        </w:r>
      </w:hyperlink>
      <w:r>
        <w:t> shows the training and validation errors of the corresponding attributes. Note that using more than four attributes decreased the training error while causing the validation error to increase. Therefore, the four attributes used in the training were colored inversion with added background model, envelope, relative acoustic impedance, and average frequency.</w:t>
      </w:r>
    </w:p>
    <w:p w14:paraId="4320FC02" w14:textId="77777777" w:rsidR="007F0783" w:rsidRPr="005C0406" w:rsidRDefault="007F0783" w:rsidP="007F0783">
      <w:pPr>
        <w:ind w:firstLine="720"/>
      </w:pPr>
      <w:r w:rsidRPr="005C0406">
        <w:t>The second step in the process is to train the PNN with the given set of attributes and a specified operator length. This process produces nonlinear regression between a set of attributes and the target log.</w:t>
      </w:r>
    </w:p>
    <w:p w14:paraId="6370B3EA" w14:textId="4C099AB7" w:rsidR="007F0783" w:rsidRPr="008D7170" w:rsidRDefault="007F0783" w:rsidP="007F0783">
      <w:pPr>
        <w:ind w:firstLine="720"/>
      </w:pPr>
      <w:r w:rsidRPr="005C0406">
        <w:t>After training the neural network, the final step is the application of the trained neural network to generate the 3D volume of neutron porosity and validate the results. For this study, six wells are used for neural network training, whereas one “blind” well that was not used in the training is used for validation. Figure </w:t>
      </w:r>
      <w:r w:rsidR="00515B03">
        <w:t>1.</w:t>
      </w:r>
      <w:hyperlink r:id="rId84" w:history="1">
        <w:r w:rsidRPr="005C0406">
          <w:t>10</w:t>
        </w:r>
      </w:hyperlink>
      <w:r w:rsidRPr="005C0406">
        <w:t> reveals the validation result from the blind well and the crossplot between the predicted neutron porosity from the neural network and the actual neutron porosity from the well logs. The correlation is 85%. Figure </w:t>
      </w:r>
      <w:r w:rsidR="00515B03">
        <w:t>1.</w:t>
      </w:r>
      <w:hyperlink r:id="rId85" w:history="1">
        <w:r w:rsidRPr="005C0406">
          <w:t>11</w:t>
        </w:r>
      </w:hyperlink>
      <w:r w:rsidRPr="005C0406">
        <w:t xml:space="preserve"> shows the resulting predicted </w:t>
      </w:r>
      <w:r w:rsidRPr="005C0406">
        <w:lastRenderedPageBreak/>
        <w:t>neutron porosity values extracted along an arbitrary line passing through well 6. To investigate the dolomitization and the associated reservoir quality in the study area, the total porosity volume was also estimated using the same approach. The total porosity logs were calculated by using neutron and density porosity logs with the given formula:</w:t>
      </w:r>
    </w:p>
    <w:p w14:paraId="75B2F404" w14:textId="77777777" w:rsidR="007F0783" w:rsidRPr="00A52BBB" w:rsidRDefault="00000000" w:rsidP="007F0783">
      <w:pPr>
        <w:spacing w:line="240" w:lineRule="auto"/>
        <w:rPr>
          <w:rFonts w:eastAsiaTheme="minorEastAsia" w:cs="Times New Roman"/>
          <w:iCs/>
          <w:szCs w:val="24"/>
        </w:rPr>
      </w:pPr>
      <m:oMathPara>
        <m:oMath>
          <m:eqArr>
            <m:eqArrPr>
              <m:maxDist m:val="1"/>
              <m:ctrlPr>
                <w:rPr>
                  <w:rFonts w:ascii="Cambria Math" w:hAnsi="Cambria Math" w:cs="Times New Roman"/>
                  <w:i/>
                  <w:iCs/>
                  <w:szCs w:val="24"/>
                </w:rPr>
              </m:ctrlPr>
            </m:eqArrPr>
            <m:e>
              <m:sSub>
                <m:sSubPr>
                  <m:ctrlPr>
                    <w:rPr>
                      <w:rFonts w:ascii="Cambria Math" w:hAnsi="Cambria Math" w:cs="Times New Roman"/>
                      <w:i/>
                      <w:iCs/>
                      <w:szCs w:val="24"/>
                    </w:rPr>
                  </m:ctrlPr>
                </m:sSubPr>
                <m:e>
                  <m:r>
                    <w:rPr>
                      <w:rFonts w:ascii="Cambria Math" w:hAnsi="Cambria Math" w:cs="Times New Roman"/>
                      <w:szCs w:val="24"/>
                    </w:rPr>
                    <m:t>∅</m:t>
                  </m:r>
                </m:e>
                <m:sub>
                  <m:r>
                    <w:rPr>
                      <w:rFonts w:ascii="Cambria Math" w:hAnsi="Cambria Math" w:cs="Times New Roman"/>
                      <w:szCs w:val="24"/>
                    </w:rPr>
                    <m:t>total</m:t>
                  </m:r>
                </m:sub>
              </m:sSub>
              <m:r>
                <w:rPr>
                  <w:rFonts w:ascii="Cambria Math" w:hAnsi="Cambria Math" w:cs="Times New Roman"/>
                  <w:szCs w:val="24"/>
                </w:rPr>
                <m:t>=</m:t>
              </m:r>
              <m:rad>
                <m:radPr>
                  <m:degHide m:val="1"/>
                  <m:ctrlPr>
                    <w:rPr>
                      <w:rFonts w:ascii="Cambria Math" w:hAnsi="Cambria Math" w:cs="Times New Roman"/>
                      <w:i/>
                      <w:iCs/>
                      <w:szCs w:val="24"/>
                    </w:rPr>
                  </m:ctrlPr>
                </m:radPr>
                <m:deg/>
                <m:e>
                  <m:f>
                    <m:fPr>
                      <m:ctrlPr>
                        <w:rPr>
                          <w:rFonts w:ascii="Cambria Math" w:hAnsi="Cambria Math" w:cs="Times New Roman"/>
                          <w:i/>
                          <w:iCs/>
                          <w:szCs w:val="24"/>
                        </w:rPr>
                      </m:ctrlPr>
                    </m:fPr>
                    <m:num>
                      <m:sSubSup>
                        <m:sSubSupPr>
                          <m:ctrlPr>
                            <w:rPr>
                              <w:rFonts w:ascii="Cambria Math" w:hAnsi="Cambria Math" w:cs="Times New Roman"/>
                              <w:i/>
                              <w:iCs/>
                              <w:szCs w:val="24"/>
                            </w:rPr>
                          </m:ctrlPr>
                        </m:sSubSupPr>
                        <m:e>
                          <m:r>
                            <w:rPr>
                              <w:rFonts w:ascii="Cambria Math" w:hAnsi="Cambria Math" w:cs="Times New Roman"/>
                              <w:szCs w:val="24"/>
                            </w:rPr>
                            <m:t>∅</m:t>
                          </m:r>
                        </m:e>
                        <m:sub>
                          <m:r>
                            <w:rPr>
                              <w:rFonts w:ascii="Cambria Math" w:hAnsi="Cambria Math" w:cs="Times New Roman"/>
                              <w:szCs w:val="24"/>
                            </w:rPr>
                            <m:t>neutron</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iCs/>
                              <w:szCs w:val="24"/>
                            </w:rPr>
                          </m:ctrlPr>
                        </m:sSubSupPr>
                        <m:e>
                          <m:r>
                            <w:rPr>
                              <w:rFonts w:ascii="Cambria Math" w:hAnsi="Cambria Math" w:cs="Times New Roman"/>
                              <w:szCs w:val="24"/>
                            </w:rPr>
                            <m:t>∅</m:t>
                          </m:r>
                        </m:e>
                        <m:sub>
                          <m:r>
                            <w:rPr>
                              <w:rFonts w:ascii="Cambria Math" w:hAnsi="Cambria Math" w:cs="Times New Roman"/>
                              <w:szCs w:val="24"/>
                            </w:rPr>
                            <m:t>density</m:t>
                          </m:r>
                        </m:sub>
                        <m:sup>
                          <m:r>
                            <w:rPr>
                              <w:rFonts w:ascii="Cambria Math" w:hAnsi="Cambria Math" w:cs="Times New Roman"/>
                              <w:szCs w:val="24"/>
                            </w:rPr>
                            <m:t>2</m:t>
                          </m:r>
                        </m:sup>
                      </m:sSubSup>
                    </m:num>
                    <m:den>
                      <m:r>
                        <w:rPr>
                          <w:rFonts w:ascii="Cambria Math" w:hAnsi="Cambria Math" w:cs="Times New Roman"/>
                          <w:szCs w:val="24"/>
                        </w:rPr>
                        <m:t>2</m:t>
                      </m:r>
                    </m:den>
                  </m:f>
                </m:e>
              </m:rad>
              <m:r>
                <w:rPr>
                  <w:rFonts w:ascii="Cambria Math" w:hAnsi="Cambria Math" w:cs="Times New Roman"/>
                  <w:szCs w:val="24"/>
                </w:rPr>
                <m:t>#</m:t>
              </m:r>
              <m:d>
                <m:dPr>
                  <m:ctrlPr>
                    <w:rPr>
                      <w:rFonts w:ascii="Cambria Math" w:hAnsi="Cambria Math" w:cs="Times New Roman"/>
                      <w:i/>
                      <w:iCs/>
                      <w:szCs w:val="24"/>
                    </w:rPr>
                  </m:ctrlPr>
                </m:dPr>
                <m:e>
                  <m:r>
                    <w:rPr>
                      <w:rFonts w:ascii="Cambria Math" w:cs="Times New Roman"/>
                      <w:szCs w:val="24"/>
                    </w:rPr>
                    <m:t>4</m:t>
                  </m:r>
                </m:e>
              </m:d>
            </m:e>
          </m:eqArr>
        </m:oMath>
      </m:oMathPara>
    </w:p>
    <w:p w14:paraId="6D483FC0" w14:textId="77777777" w:rsidR="007F0783" w:rsidRDefault="007F0783" w:rsidP="007F0783">
      <w:pPr>
        <w:ind w:firstLine="720"/>
      </w:pPr>
    </w:p>
    <w:p w14:paraId="07C2A429" w14:textId="6CB1E5C8" w:rsidR="007F0783" w:rsidRDefault="007F0783" w:rsidP="007F0783">
      <w:pPr>
        <w:ind w:firstLine="720"/>
      </w:pPr>
      <w:r w:rsidRPr="00973323">
        <w:t>The predicted total porosity volume will subsequently be used together with the lithology volume to investigate the effect of the dolomitization on reservoir quality. Figure </w:t>
      </w:r>
      <w:r w:rsidR="00515B03">
        <w:t>1.</w:t>
      </w:r>
      <w:hyperlink r:id="rId86" w:history="1">
        <w:r w:rsidRPr="00973323">
          <w:t>12</w:t>
        </w:r>
      </w:hyperlink>
      <w:r w:rsidRPr="00973323">
        <w:t> shows the optimum number of attributes used for neural network training. These attributes are the acoustic impedance volume from poststack inversion, the quadrature trace (the Hilbert-transformed seismic volume), 0/10–50/60 Hz, and the band-pass-filtered seismic volume. Table </w:t>
      </w:r>
      <w:hyperlink r:id="rId87" w:history="1">
        <w:r w:rsidRPr="00973323">
          <w:t>2</w:t>
        </w:r>
      </w:hyperlink>
      <w:r w:rsidRPr="00973323">
        <w:t> shows the corresponding training and validation errors for these attributes. The training and validation of the neural network can be seen in Figure </w:t>
      </w:r>
      <w:r w:rsidR="00515B03">
        <w:t>1.</w:t>
      </w:r>
      <w:hyperlink r:id="rId88" w:history="1">
        <w:r w:rsidRPr="00973323">
          <w:t>13</w:t>
        </w:r>
      </w:hyperlink>
      <w:r w:rsidRPr="00973323">
        <w:t>. The validation correlation is 81%. The result of the predicted total porosity volume is displayed in an arbitrary vertical slice through well 6 (Figure </w:t>
      </w:r>
      <w:r w:rsidR="00515B03">
        <w:t>1.</w:t>
      </w:r>
      <w:hyperlink r:id="rId89" w:history="1">
        <w:r w:rsidRPr="00973323">
          <w:t>14</w:t>
        </w:r>
      </w:hyperlink>
      <w:r w:rsidRPr="00973323">
        <w:t>).</w:t>
      </w:r>
    </w:p>
    <w:p w14:paraId="512072AA" w14:textId="77777777" w:rsidR="007F0783" w:rsidRDefault="007F0783" w:rsidP="005F3383">
      <w:pPr>
        <w:pStyle w:val="Heading3"/>
      </w:pPr>
      <w:bookmarkStart w:id="32" w:name="_Toc115155618"/>
      <w:bookmarkStart w:id="33" w:name="_Toc121095938"/>
      <w:r>
        <w:t>Application and quality control of the Bayesian lithology classification</w:t>
      </w:r>
      <w:bookmarkEnd w:id="32"/>
      <w:bookmarkEnd w:id="33"/>
    </w:p>
    <w:p w14:paraId="64DBBF51" w14:textId="337F65C8" w:rsidR="007F0783" w:rsidRDefault="007F0783" w:rsidP="007F0783">
      <w:pPr>
        <w:ind w:firstLine="720"/>
        <w:rPr>
          <w:rFonts w:cs="Times New Roman"/>
          <w:szCs w:val="24"/>
        </w:rPr>
      </w:pPr>
      <w:r>
        <w:t xml:space="preserve">With </w:t>
      </w:r>
      <w:r w:rsidR="00515B03">
        <w:t>all</w:t>
      </w:r>
      <w:r>
        <w:t xml:space="preserve"> the necessary components available, the supervised Bayesian classification was trained and applied to create a lithology volume and associated uncertainties with the classification. This part of the workflow uses the upscaled a priori lithology proportions from lithology logs and PDFs that are generated earlier.</w:t>
      </w:r>
    </w:p>
    <w:p w14:paraId="5D478547" w14:textId="011D28D7" w:rsidR="007F0783" w:rsidRDefault="007F0783" w:rsidP="007F0783">
      <w:pPr>
        <w:ind w:firstLine="720"/>
      </w:pPr>
      <w:r>
        <w:lastRenderedPageBreak/>
        <w:t>To quality control (QC) the lithology classification results, and to evaluate the principal assumption of independence of classes, a confusion matrix was created (Table </w:t>
      </w:r>
      <w:r w:rsidR="00515B03">
        <w:t>1.</w:t>
      </w:r>
      <w:hyperlink r:id="rId90" w:history="1">
        <w:r w:rsidRPr="00D4212C">
          <w:t>3</w:t>
        </w:r>
      </w:hyperlink>
      <w:r>
        <w:t>). The confusion matrix shows the match between the actual lithology from well logs and the predicted lithology class. The diagonal elements of the matrix show the accuracy of the classification, whereas the off-diagonal elements quantify the misclassification or “confusion” of classification with other lithology classes. For example, limestone was correctly classified as limestone 83% of the time and misclassified (confused) as dolomite 11% of the time.</w:t>
      </w:r>
    </w:p>
    <w:p w14:paraId="56B48244" w14:textId="6734D951" w:rsidR="009241E4" w:rsidRDefault="00C83508" w:rsidP="007F0783">
      <w:pPr>
        <w:ind w:firstLine="720"/>
      </w:pPr>
      <w:r>
        <w:t>After training and QC, supervised Bayesian classification was applied to inverted volumes of acoustic impedance and neutron porosity to generate the volume of most probable lithology and probabilities of each lithology class. Figure 1.15 shows the results of the supervised Bayesian classification results at an arbitrary line through well 6. Output volumes obtained from the supervised Bayesian classification are the probability volumes of limestone, dolomite, shale, and the most probable lithology volumes. Probability volumes are helpful by providing a measure of confidence for the lithology classification. Additionally, this information can also be useful as a possible indicator of areas where there is a mixture of lithology.</w:t>
      </w:r>
    </w:p>
    <w:p w14:paraId="2766B4E1" w14:textId="77777777" w:rsidR="009241E4" w:rsidRDefault="009241E4" w:rsidP="007F0783">
      <w:pPr>
        <w:ind w:firstLine="720"/>
      </w:pPr>
    </w:p>
    <w:p w14:paraId="1BD0E27E" w14:textId="77777777" w:rsidR="007F0783" w:rsidRDefault="007F0783" w:rsidP="005F3383">
      <w:pPr>
        <w:pStyle w:val="Heading2"/>
      </w:pPr>
      <w:bookmarkStart w:id="34" w:name="_Toc115155619"/>
      <w:bookmarkStart w:id="35" w:name="_Toc121095939"/>
      <w:r>
        <w:t>Results and discussion</w:t>
      </w:r>
      <w:bookmarkEnd w:id="34"/>
      <w:bookmarkEnd w:id="35"/>
    </w:p>
    <w:p w14:paraId="378DAC41" w14:textId="77777777" w:rsidR="007F0783" w:rsidRPr="008E4B18" w:rsidRDefault="007F0783" w:rsidP="007F0783">
      <w:pPr>
        <w:ind w:firstLine="720"/>
      </w:pPr>
      <w:r w:rsidRPr="008E4B18">
        <w:t xml:space="preserve">The most probable lithology volume and associated probability volumes were interpreted together with the predicted total porosity volume to assess the diagenetic mechanism, spatial distribution of the lithology, and its associated reservoir quality in the study area. It must be noted that the predicted total porosity volume was derived from porosity logs that were not corrected for </w:t>
      </w:r>
      <w:r w:rsidRPr="008E4B18">
        <w:lastRenderedPageBreak/>
        <w:t>the clay-bound water. Therefore, the predicted porosity values are possibly overestimated for the intervals with a high shale content.</w:t>
      </w:r>
    </w:p>
    <w:p w14:paraId="51160118" w14:textId="44A2D06A" w:rsidR="007F0783" w:rsidRDefault="007F0783" w:rsidP="007F0783">
      <w:pPr>
        <w:ind w:firstLine="720"/>
        <w:rPr>
          <w:color w:val="000000"/>
        </w:rPr>
      </w:pPr>
      <w:r w:rsidRPr="008E4B18">
        <w:t>East–west arbitrary cross sections taken from lithology and total porosity volumes (Figure </w:t>
      </w:r>
      <w:r w:rsidR="00515B03">
        <w:t>1.</w:t>
      </w:r>
      <w:hyperlink r:id="rId91" w:history="1">
        <w:r w:rsidRPr="008E4B18">
          <w:t>16</w:t>
        </w:r>
      </w:hyperlink>
      <w:r w:rsidRPr="008E4B18">
        <w:t>) indicate that the platform interior is mainly dolomite with very low porosity, whereas the platform margin and slope are limestone with the porosity increasing basinward. The same outputs were also extracted on the seismic sequence boundary SS3 surface (Figure </w:t>
      </w:r>
      <w:r w:rsidR="00593534">
        <w:t>1.</w:t>
      </w:r>
      <w:hyperlink r:id="rId92" w:history="1">
        <w:r w:rsidRPr="008E4B18">
          <w:t>17</w:t>
        </w:r>
      </w:hyperlink>
      <w:r w:rsidRPr="008E4B18">
        <w:t>). The results indicate that the probability of limestone and total porosity increases from the shelf interior to the slope whereas the dolomite probability decreases. This observation might suggest that the degree of dolomitization is decreasing from the shelf interior to the slope. However, upon closer examination, these results complicate a single diagenetic mecha</w:t>
      </w:r>
      <w:r>
        <w:rPr>
          <w:color w:val="000000"/>
        </w:rPr>
        <w:t xml:space="preserve">nism for Lower to Middle Leonardian carbonates on the Midland Basin periplatform. </w:t>
      </w:r>
    </w:p>
    <w:p w14:paraId="5434DA7F" w14:textId="7E78808C" w:rsidR="007F0783" w:rsidRPr="008E4B18" w:rsidRDefault="007F0783" w:rsidP="007F0783">
      <w:pPr>
        <w:ind w:firstLine="720"/>
      </w:pPr>
      <w:r w:rsidRPr="0088756E">
        <w:t>As a first-order observation, the probabilities of limestone and dolomite in Figures </w:t>
      </w:r>
      <w:r w:rsidR="00061D17">
        <w:t>1.</w:t>
      </w:r>
      <w:hyperlink r:id="rId93" w:history="1">
        <w:r w:rsidRPr="0088756E">
          <w:t>15</w:t>
        </w:r>
      </w:hyperlink>
      <w:r w:rsidR="00061D17">
        <w:t xml:space="preserve"> to 1.</w:t>
      </w:r>
      <w:hyperlink r:id="rId94" w:history="1">
        <w:r w:rsidRPr="0088756E">
          <w:t>17</w:t>
        </w:r>
      </w:hyperlink>
      <w:r w:rsidRPr="0088756E">
        <w:t> are antithetic. In general, the limestone probabilities are highest in the periplatform and the lowest on the platform and dolomites exhibit higher probabilities on the platform and lower on the periplatform. As mentioned earlier, the reflux dolomitization mechanism would be consistent with dense hypersaline brines in restricted lagoons and tidal flats on the shelf refluxing toward the basin and would provide for the most dolomite precipitation to occur in the proximal parts of the system (the shelf). If massive, this would cause the most porosity occlusion to accompany the highest dolomitization on the shelf. According to the model, the continuation of refluxing brines with decreasing dolomite saturation results in gradually less dolomite replacement and increasing porosity toward the slope and basin (</w:t>
      </w:r>
      <w:hyperlink r:id="rId95" w:anchor="r39" w:history="1">
        <w:r w:rsidRPr="0088756E">
          <w:t>Saller and Henderson, 1998</w:t>
        </w:r>
      </w:hyperlink>
      <w:r w:rsidRPr="0088756E">
        <w:t>; </w:t>
      </w:r>
      <w:hyperlink r:id="rId96" w:anchor="r22" w:history="1">
        <w:r w:rsidRPr="0088756E">
          <w:t>Jones and Xiao, 2005</w:t>
        </w:r>
      </w:hyperlink>
      <w:r w:rsidRPr="0088756E">
        <w:t>; Figure </w:t>
      </w:r>
      <w:r w:rsidR="00061D17">
        <w:t>1.</w:t>
      </w:r>
      <w:hyperlink r:id="rId97" w:history="1">
        <w:r w:rsidRPr="0088756E">
          <w:t>18</w:t>
        </w:r>
      </w:hyperlink>
      <w:r w:rsidRPr="0088756E">
        <w:t>).</w:t>
      </w:r>
    </w:p>
    <w:p w14:paraId="0AAF1FBE" w14:textId="77777777" w:rsidR="007F0783" w:rsidRPr="0088756E" w:rsidRDefault="007F0783" w:rsidP="007F0783">
      <w:pPr>
        <w:ind w:firstLine="720"/>
      </w:pPr>
      <w:r w:rsidRPr="0088756E">
        <w:lastRenderedPageBreak/>
        <w:t>However, the geometries of the limestones and dolostones shown in Figures </w:t>
      </w:r>
      <w:hyperlink r:id="rId98" w:history="1">
        <w:r w:rsidRPr="0088756E">
          <w:t>15</w:t>
        </w:r>
      </w:hyperlink>
      <w:r w:rsidRPr="0088756E">
        <w:t>–</w:t>
      </w:r>
      <w:hyperlink r:id="rId99" w:history="1">
        <w:r w:rsidRPr="0088756E">
          <w:t>17</w:t>
        </w:r>
      </w:hyperlink>
      <w:r w:rsidRPr="0088756E">
        <w:t> offer complications to a singular model of dolomitization. For example, the observed periplatform dolomite and limestones show alternating “stringer”-like features.</w:t>
      </w:r>
    </w:p>
    <w:p w14:paraId="7B617B2F" w14:textId="77777777" w:rsidR="007F0783" w:rsidRDefault="007F0783" w:rsidP="007F0783">
      <w:pPr>
        <w:ind w:firstLine="720"/>
      </w:pPr>
      <w:r w:rsidRPr="0088756E">
        <w:t>One possible observation is that during lowstands, the limestones dominate and during highstands, the dolomites are not only on the platform but then appear to prograde out on the periplatform as stringers. Such geometries strongly suggest a sea-level forcing of dolomitization occurrence (</w:t>
      </w:r>
      <w:hyperlink r:id="rId100" w:anchor="r46" w:history="1">
        <w:r w:rsidRPr="0088756E">
          <w:t>Vahrenkamp et al., 1991</w:t>
        </w:r>
      </w:hyperlink>
      <w:r w:rsidRPr="0088756E">
        <w:t>) and at least two possible mechanisms for dolomite periplatform dispersal. An alternative is that, during highstands with an elevated hydrologic head, dolomites would form on the periplatform through the mixing of freshwaters with marine waters (</w:t>
      </w:r>
      <w:hyperlink r:id="rId101" w:anchor="r4" w:history="1">
        <w:r w:rsidRPr="0088756E">
          <w:t>Austin and Pigott, 2007</w:t>
        </w:r>
      </w:hyperlink>
      <w:r w:rsidRPr="0088756E">
        <w:t>) but during lowstands, the previously deposited dolomite is transported detritally (</w:t>
      </w:r>
      <w:hyperlink r:id="rId102" w:anchor="r53" w:history="1">
        <w:r w:rsidRPr="0088756E">
          <w:t>Wiggins and Harris, 1985</w:t>
        </w:r>
      </w:hyperlink>
      <w:r w:rsidRPr="0088756E">
        <w:t>). Petrographic analysis of cores and cuttings from wells penetrating the Lower Clear Fork platform and periplatform by </w:t>
      </w:r>
      <w:hyperlink r:id="rId103" w:anchor="r26" w:history="1">
        <w:r w:rsidRPr="0088756E">
          <w:t>Landreth (1977)</w:t>
        </w:r>
      </w:hyperlink>
      <w:r w:rsidRPr="0088756E">
        <w:t> confirms the geometry presented by this seismic of tight dolostones on the shelf and less dolomite and greater porosity on the slope. </w:t>
      </w:r>
      <w:hyperlink r:id="rId104" w:anchor="r26" w:history="1">
        <w:r w:rsidRPr="0088756E">
          <w:t>Landreth (1977)</w:t>
        </w:r>
      </w:hyperlink>
      <w:r w:rsidRPr="0088756E">
        <w:t> even goes on to suggest that the alternating diagenetic trends seen on the periplatform might have been related to eustatic fluctuations. In any case, the reflux model better explains the platform dolomitization and only with future integrated petrography with isotopic analysis could one discern better the paragenesis and appropriate model or models for these dolomite occurrences.</w:t>
      </w:r>
    </w:p>
    <w:p w14:paraId="65BFBEFF" w14:textId="77777777" w:rsidR="007F0783" w:rsidRDefault="007F0783" w:rsidP="005F3383">
      <w:pPr>
        <w:pStyle w:val="Heading2"/>
        <w:rPr>
          <w:rFonts w:eastAsiaTheme="minorHAnsi"/>
        </w:rPr>
      </w:pPr>
      <w:bookmarkStart w:id="36" w:name="_Toc115155620"/>
      <w:bookmarkStart w:id="37" w:name="_Toc121095940"/>
      <w:r>
        <w:rPr>
          <w:rFonts w:eastAsiaTheme="minorHAnsi"/>
        </w:rPr>
        <w:t>Conclusions</w:t>
      </w:r>
      <w:bookmarkEnd w:id="36"/>
      <w:bookmarkEnd w:id="37"/>
    </w:p>
    <w:p w14:paraId="47370879" w14:textId="1697513A" w:rsidR="007F0783" w:rsidRPr="00FF4D0F" w:rsidRDefault="007F0783" w:rsidP="00FF4D0F">
      <w:pPr>
        <w:ind w:firstLine="720"/>
        <w:rPr>
          <w:color w:val="000000"/>
        </w:rPr>
      </w:pPr>
      <w:r>
        <w:rPr>
          <w:color w:val="000000"/>
        </w:rPr>
        <w:t xml:space="preserve">Integration of supervised Bayesian classification and PNN study in the Midland Basin demonstrates that the dolomitization and corresponding reservoir quality can be extracted from seismic data with sparse well control. Additionally, when combined with the seismic stratigraphic </w:t>
      </w:r>
      <w:r>
        <w:rPr>
          <w:color w:val="000000"/>
        </w:rPr>
        <w:lastRenderedPageBreak/>
        <w:t>analysis, the results generally support a regional reflux dolomitization model on the platform, in which the porosity is increasing from the shelf to the slope concomitant with dolomitization decreasing and on the periplatform responding to variations in sea level.</w:t>
      </w:r>
    </w:p>
    <w:p w14:paraId="254CE78B" w14:textId="77777777" w:rsidR="007F0783" w:rsidRPr="00FB118A" w:rsidRDefault="007F0783" w:rsidP="005F3383">
      <w:pPr>
        <w:pStyle w:val="Heading2"/>
        <w:rPr>
          <w:rFonts w:eastAsiaTheme="minorHAnsi"/>
        </w:rPr>
      </w:pPr>
      <w:bookmarkStart w:id="38" w:name="_Toc115155621"/>
      <w:bookmarkStart w:id="39" w:name="_Toc121095941"/>
      <w:r w:rsidRPr="00FB118A">
        <w:rPr>
          <w:rFonts w:eastAsiaTheme="minorHAnsi"/>
        </w:rPr>
        <w:t>Acknowledgments</w:t>
      </w:r>
      <w:bookmarkEnd w:id="38"/>
      <w:bookmarkEnd w:id="39"/>
    </w:p>
    <w:p w14:paraId="125B9451" w14:textId="2D95EA86" w:rsidR="00F84AD4" w:rsidRDefault="007F0783" w:rsidP="007F0783">
      <w:pPr>
        <w:ind w:firstLine="720"/>
      </w:pPr>
      <w:r>
        <w:t>A</w:t>
      </w:r>
      <w:r w:rsidRPr="00FB118A">
        <w:t>uthors thank CML Exploration for donation of the seismic data to be used in the study. The authors would also like to thank H. Bedle, D. Dewagowda, K. J. Marfurt, and M. Pranter. This study is conducted using Schlumberger’s Petrel and CGG’s Hampson &amp; Russell software.</w:t>
      </w:r>
    </w:p>
    <w:p w14:paraId="6B52E102" w14:textId="77777777" w:rsidR="00FF4D0F" w:rsidRDefault="00FF4D0F" w:rsidP="007F0783">
      <w:pPr>
        <w:ind w:firstLine="720"/>
      </w:pPr>
    </w:p>
    <w:p w14:paraId="5E55B294" w14:textId="77777777" w:rsidR="007F0783" w:rsidRDefault="007F0783" w:rsidP="005F3383">
      <w:pPr>
        <w:pStyle w:val="Heading2"/>
        <w:rPr>
          <w:rFonts w:eastAsiaTheme="minorHAnsi"/>
        </w:rPr>
      </w:pPr>
      <w:bookmarkStart w:id="40" w:name="_Toc115155622"/>
      <w:bookmarkStart w:id="41" w:name="_Toc121095942"/>
      <w:r>
        <w:rPr>
          <w:rFonts w:eastAsiaTheme="minorHAnsi"/>
        </w:rPr>
        <w:t>References</w:t>
      </w:r>
      <w:bookmarkEnd w:id="40"/>
      <w:bookmarkEnd w:id="41"/>
    </w:p>
    <w:p w14:paraId="18B0B8BA" w14:textId="77777777" w:rsidR="007F0783" w:rsidRPr="00E63D76" w:rsidRDefault="007F0783" w:rsidP="00122413">
      <w:pPr>
        <w:ind w:left="810" w:hanging="810"/>
      </w:pPr>
      <w:r w:rsidRPr="00E63D76">
        <w:t>Adams, E. A., and M. L. Rhodes, 1960, Dolomitization by seepage refluxion: AAPG Bulletin, 44, 1912–1920, </w:t>
      </w:r>
      <w:r>
        <w:t xml:space="preserve">doi: </w:t>
      </w:r>
      <w:r w:rsidRPr="006B7A78">
        <w:t>/10.1306/0BDA6263-16BD-11D7-8645000102C1865D</w:t>
      </w:r>
      <w:r>
        <w:t>.</w:t>
      </w:r>
    </w:p>
    <w:p w14:paraId="4EAB6CB2" w14:textId="544CBE6D" w:rsidR="007F0783" w:rsidRPr="00122413" w:rsidRDefault="007F0783" w:rsidP="00122413">
      <w:pPr>
        <w:spacing w:before="0" w:after="160"/>
        <w:ind w:left="810" w:hanging="810"/>
      </w:pPr>
      <w:r w:rsidRPr="00122413">
        <w:t>Adams, J. E., 1965, Stratigraphic-tectonic development of Delaware Basin: AAPG Bulletin, 49, 2140–2148, doi: 10.1306/A6633888-16C0-11D7-8645000102C1865D.</w:t>
      </w:r>
    </w:p>
    <w:p w14:paraId="2175BA30" w14:textId="77777777" w:rsidR="007F0783" w:rsidRPr="00122413" w:rsidRDefault="007F0783" w:rsidP="00122413">
      <w:pPr>
        <w:spacing w:before="0" w:after="160"/>
        <w:ind w:left="810" w:hanging="810"/>
      </w:pPr>
      <w:r w:rsidRPr="00122413">
        <w:t>Atchley, S. C., M. G. Kozar, and L. A. Yose, 1999, A predictive model for reservoir characterization in the Permian (Leonardian) Clear Fork and Glorieta Formations, Robertson Field area, west Texas: AAPG Bulletin, 83, 1031–1056, doi: 10.1306/E4FD2E65-1732-11D7-8645000102C1865D.</w:t>
      </w:r>
    </w:p>
    <w:p w14:paraId="3C748EE4" w14:textId="77777777" w:rsidR="007F0783" w:rsidRPr="00122413" w:rsidRDefault="007F0783" w:rsidP="00122413">
      <w:pPr>
        <w:spacing w:before="0" w:after="160"/>
        <w:ind w:left="810" w:hanging="810"/>
      </w:pPr>
      <w:r w:rsidRPr="00122413">
        <w:t>Austin, S. E., and J. D. Pigott, 2007, Eustatic sea level-influenced heterogeneous dolomitization of the Hope Gate Formation, Discovery Bay, Jamaica: GSA Denver Annual Meeting Paper No. 54-11.</w:t>
      </w:r>
    </w:p>
    <w:p w14:paraId="5E9A974B" w14:textId="77777777" w:rsidR="007F0783" w:rsidRPr="00122413" w:rsidRDefault="007F0783" w:rsidP="00122413">
      <w:pPr>
        <w:spacing w:before="0" w:after="160"/>
        <w:ind w:left="810" w:hanging="810"/>
      </w:pPr>
      <w:r w:rsidRPr="00122413">
        <w:lastRenderedPageBreak/>
        <w:t xml:space="preserve">Avseth, P., T. Mukerji, A. Jørstad, G. Mavko, and T. Veggeland, 2001, Seismic reservoir mapping from 3-D AVO in a North Sea turbidite system: Geophysics, 66, 1157–1176, doi: </w:t>
      </w:r>
      <w:r w:rsidRPr="00A12720">
        <w:t>10.1190/1.1487063</w:t>
      </w:r>
      <w:r>
        <w:t>.</w:t>
      </w:r>
    </w:p>
    <w:p w14:paraId="6BAB099C" w14:textId="77777777" w:rsidR="007F0783" w:rsidRPr="00122413" w:rsidRDefault="007F0783" w:rsidP="00122413">
      <w:pPr>
        <w:spacing w:before="0" w:after="160"/>
        <w:ind w:left="810" w:hanging="810"/>
      </w:pPr>
      <w:r w:rsidRPr="00122413">
        <w:t>Ball, M., 1995, Permian Basin Province (044), in D. L. Gautier, G. I. Dolton, K. T. Takahashi, and K. L. Varnes, eds., National assessment of United States oil and gas resources: Results, methodology, and supporting data: U.S. Geological Survey, U.S. Geological Survey Digital Data Series DDS-30.</w:t>
      </w:r>
    </w:p>
    <w:p w14:paraId="1B9C9F0F" w14:textId="77777777" w:rsidR="007F0783" w:rsidRPr="00122413" w:rsidRDefault="007F0783" w:rsidP="00122413">
      <w:pPr>
        <w:spacing w:before="0" w:after="160"/>
        <w:ind w:left="810" w:hanging="810"/>
      </w:pPr>
      <w:r w:rsidRPr="00122413">
        <w:t>Bebout, D. G., F. J. Lucia, C. R. Hocott, G. E. Fogg, and G. W. Vander Stoep, 1987, Characterization of the Grayburg reservoir, University Lands Dune field, Crane County, Texas: The University of Texas at Austin, Bureau of Economic Geology Report of Investigations, No. 168.</w:t>
      </w:r>
    </w:p>
    <w:p w14:paraId="628EBFD0" w14:textId="77777777" w:rsidR="007F0783" w:rsidRPr="00122413" w:rsidRDefault="007F0783" w:rsidP="00122413">
      <w:pPr>
        <w:spacing w:before="0" w:after="160"/>
        <w:ind w:left="810" w:hanging="810"/>
      </w:pPr>
      <w:r w:rsidRPr="00122413">
        <w:t>Burchette, T. P., 2012, Carbonate rocks and petroleum reservoirs: A geological perspective from the industry: Geological Society, London, Special Publications.</w:t>
      </w:r>
    </w:p>
    <w:p w14:paraId="196185B3" w14:textId="77777777" w:rsidR="007F0783" w:rsidRPr="00122413" w:rsidRDefault="007F0783" w:rsidP="00122413">
      <w:pPr>
        <w:spacing w:before="0" w:after="160"/>
        <w:ind w:left="810" w:hanging="810"/>
      </w:pPr>
      <w:r w:rsidRPr="00122413">
        <w:t>Coulon, J.-P., Y. Lafet, B. Deschizeaux, P. M. Doyen, and P. Duboz, 2006, Stratigraphic elastic inversion for seismic lithology discrimination in a turbidite reservoir: 76th Annual International Meeting, SEG, Expanded Abstracts, 2092–2096, doi: 10.1190/1.2369949.</w:t>
      </w:r>
    </w:p>
    <w:p w14:paraId="4D52F686" w14:textId="77777777" w:rsidR="007F0783" w:rsidRPr="00122413" w:rsidRDefault="007F0783" w:rsidP="00122413">
      <w:pPr>
        <w:spacing w:before="0" w:after="160"/>
        <w:ind w:left="810" w:hanging="810"/>
      </w:pPr>
      <w:r w:rsidRPr="00122413">
        <w:t>Doyen, P. M., 2006, Seismic reservoir characterization: An earth modelling perspective: EAGE Publications B.V., EAGE Education Tour Series.</w:t>
      </w:r>
    </w:p>
    <w:p w14:paraId="02C84C00" w14:textId="77777777" w:rsidR="007F0783" w:rsidRPr="00122413" w:rsidRDefault="007F0783" w:rsidP="00122413">
      <w:pPr>
        <w:spacing w:before="0" w:after="160"/>
        <w:ind w:left="810" w:hanging="810"/>
      </w:pPr>
      <w:r w:rsidRPr="00122413">
        <w:t xml:space="preserve">Dutton, S. P., E. M. Kim, R. F. Broadhead, C. L. Breton, W. D. Raatz, S. C. Ruppel, and C. Kerans, 2004, Play analysis and digital portfolio of major oil reservoirs in the Permian Basin: </w:t>
      </w:r>
      <w:r w:rsidRPr="00122413">
        <w:lastRenderedPageBreak/>
        <w:t>Application and transfer of advanced geological and engineering technologies for incremental production opportunities: University of Texas.</w:t>
      </w:r>
    </w:p>
    <w:p w14:paraId="59183CE4" w14:textId="77777777" w:rsidR="007F0783" w:rsidRPr="00122413" w:rsidRDefault="007F0783" w:rsidP="00122413">
      <w:pPr>
        <w:spacing w:before="0" w:after="160"/>
        <w:ind w:left="810" w:hanging="810"/>
      </w:pPr>
      <w:r w:rsidRPr="00122413">
        <w:t>Flamm, D. S., 2008, Wolfcampian development of the nose of the Eastern Shelf of the Midland Basin, Glasscock, Sterling, and Reagan Counties, Texas: M.S. thesis, Brigham Young University.</w:t>
      </w:r>
    </w:p>
    <w:p w14:paraId="11E4ED12" w14:textId="77777777" w:rsidR="007F0783" w:rsidRPr="00122413" w:rsidRDefault="007F0783" w:rsidP="00122413">
      <w:pPr>
        <w:spacing w:before="0" w:after="160"/>
        <w:ind w:left="810" w:hanging="810"/>
      </w:pPr>
      <w:r w:rsidRPr="00122413">
        <w:t>Folk, R. L., 1964, Some aspects of recrystallization in ancient limestones, in L. C. Pray and R. C. Murray, eds., Dolomitization and limestone diagenesis: Society for Sedimentary Geology, Special Publications 13, 14–48.</w:t>
      </w:r>
    </w:p>
    <w:p w14:paraId="166787C9" w14:textId="77777777" w:rsidR="007F0783" w:rsidRPr="00122413" w:rsidRDefault="007F0783" w:rsidP="00122413">
      <w:pPr>
        <w:spacing w:before="0" w:after="160"/>
        <w:ind w:left="810" w:hanging="810"/>
      </w:pPr>
      <w:r w:rsidRPr="00122413">
        <w:t>Grana, D., 2013, Bayesian inversion methods for seismic reservoir characterization and time-lapse studies: Ph.D. thesis, Stanford University.</w:t>
      </w:r>
    </w:p>
    <w:p w14:paraId="1CD0DEFF" w14:textId="77777777" w:rsidR="007F0783" w:rsidRPr="00122413" w:rsidRDefault="007F0783" w:rsidP="00122413">
      <w:pPr>
        <w:spacing w:before="0" w:after="160"/>
        <w:ind w:left="810" w:hanging="810"/>
      </w:pPr>
      <w:r w:rsidRPr="00122413">
        <w:t>Hamlin, H. S., and R. W. Baumgardner, 2013, Wolfberry (Wolfcampian-Leonardian) deep-water depositional systems in the Midland Basin: Stratigraphy, lithofacies, reservoirs, and source rocks: Bureau of Economic Geology.</w:t>
      </w:r>
    </w:p>
    <w:p w14:paraId="1407A03A" w14:textId="77777777" w:rsidR="007F0783" w:rsidRPr="00122413" w:rsidRDefault="007F0783" w:rsidP="00122413">
      <w:pPr>
        <w:spacing w:before="0" w:after="160"/>
        <w:ind w:left="810" w:hanging="810"/>
      </w:pPr>
      <w:r w:rsidRPr="00122413">
        <w:t xml:space="preserve">Hampson, D. J., S. Schuelke, and J. Quirein, 2001, Use of multiattribute transforms to predict log properties from seismic data: Geophysics, 66, 220–236, doi: </w:t>
      </w:r>
      <w:r w:rsidRPr="00035DDC">
        <w:t>10.1190/1.1444899</w:t>
      </w:r>
      <w:r>
        <w:t>.</w:t>
      </w:r>
      <w:r w:rsidRPr="00122413">
        <w:t xml:space="preserve"> </w:t>
      </w:r>
    </w:p>
    <w:p w14:paraId="039A7E68" w14:textId="77777777" w:rsidR="007F0783" w:rsidRPr="00122413" w:rsidRDefault="007F0783" w:rsidP="00122413">
      <w:pPr>
        <w:spacing w:before="0" w:after="160"/>
        <w:ind w:left="810" w:hanging="810"/>
      </w:pPr>
      <w:r w:rsidRPr="00122413">
        <w:t xml:space="preserve">Hill, S. J., 2005, Inversion-based thickness determination: The Leading Edge, 24, 477–480, doi: </w:t>
      </w:r>
      <w:r w:rsidRPr="00E77E6C">
        <w:t>10.1190/1.1926799</w:t>
      </w:r>
      <w:r>
        <w:t>.</w:t>
      </w:r>
    </w:p>
    <w:p w14:paraId="58F00B22" w14:textId="77777777" w:rsidR="007F0783" w:rsidRPr="00122413" w:rsidRDefault="007F0783" w:rsidP="00122413">
      <w:pPr>
        <w:spacing w:before="0" w:after="160"/>
        <w:ind w:left="810" w:hanging="810"/>
      </w:pPr>
      <w:r w:rsidRPr="00122413">
        <w:t>Hills, J. M., 1985, Structural evolution of the Permian basin of West Texas and New Mexico, in P. A. Dickerson and W. R. Muehlberger, eds., Structure and tectonics of trans-Pecos Texas: West Texas Geological Society Field Conference, Publication 85-81, 89–99.</w:t>
      </w:r>
    </w:p>
    <w:p w14:paraId="0BE80FC4" w14:textId="77777777" w:rsidR="007F0783" w:rsidRPr="00122413" w:rsidRDefault="007F0783" w:rsidP="00122413">
      <w:pPr>
        <w:spacing w:before="0" w:after="160"/>
        <w:ind w:left="810" w:hanging="810"/>
      </w:pPr>
      <w:r w:rsidRPr="00122413">
        <w:lastRenderedPageBreak/>
        <w:t>Himmer, P., and C. Link, 1997, Reservoir porosity prediction from 3-D seismic data using neural networks: 67th Annual International Meeting, SEG, Expanded Abstracts, 842–845, doi: 10.1190/1.1886145.</w:t>
      </w:r>
    </w:p>
    <w:p w14:paraId="60B181B5" w14:textId="77777777" w:rsidR="007F0783" w:rsidRPr="00122413" w:rsidRDefault="007F0783" w:rsidP="00122413">
      <w:pPr>
        <w:spacing w:before="0" w:after="160"/>
        <w:ind w:left="810" w:hanging="810"/>
      </w:pPr>
      <w:r w:rsidRPr="00122413">
        <w:t>Horak, R. L., 1985, Tectonic and hydrocarbon maturation history in the Permian Basin: Oil and Gas Journal, 83, 124–129.</w:t>
      </w:r>
    </w:p>
    <w:p w14:paraId="14C9DCBD" w14:textId="77777777" w:rsidR="007F0783" w:rsidRPr="00122413" w:rsidRDefault="007F0783" w:rsidP="00122413">
      <w:pPr>
        <w:spacing w:before="0" w:after="160"/>
        <w:ind w:left="810" w:hanging="810"/>
      </w:pPr>
      <w:r w:rsidRPr="00122413">
        <w:t xml:space="preserve">Jones, G. D., and Y. Xiao, 2005, Dolomitization, anhydrite cementation, and porosity evolution in a reflux system: Insights from reactive transport models: AAPG Bulletin, 89, 577–601, doi: 10.1306/12010404078. </w:t>
      </w:r>
    </w:p>
    <w:p w14:paraId="1F260C4A" w14:textId="77777777" w:rsidR="007F0783" w:rsidRPr="00122413" w:rsidRDefault="007F0783" w:rsidP="00122413">
      <w:pPr>
        <w:spacing w:before="0" w:after="160"/>
        <w:ind w:left="810" w:hanging="810"/>
      </w:pPr>
      <w:r w:rsidRPr="00122413">
        <w:t>Kalkomey, C. T., 1997, Potential risks when using seismic attributes as predictors of reservoir properties: The Leading Edge, 16, 247–251, doi: 10.1190/1.1437610</w:t>
      </w:r>
    </w:p>
    <w:p w14:paraId="11B22D41" w14:textId="77777777" w:rsidR="007F0783" w:rsidRPr="00122413" w:rsidRDefault="007F0783" w:rsidP="00122413">
      <w:pPr>
        <w:spacing w:before="0" w:after="160"/>
        <w:ind w:left="810" w:hanging="810"/>
      </w:pPr>
      <w:r w:rsidRPr="00122413">
        <w:t xml:space="preserve">Kerans, C., F. J. Lucia, and R. K. Senger, 1994, Integrated characterization of carbonate ramp reservoirs using Permian San Andres Formation outcrop analogs: AAPG Bulletin, 78, 181–216, doi: 10.1306/BDFF905A-1718-11D7-8645000102C1865D. </w:t>
      </w:r>
    </w:p>
    <w:p w14:paraId="7B7EDD31" w14:textId="77777777" w:rsidR="007F0783" w:rsidRPr="00122413" w:rsidRDefault="007F0783" w:rsidP="00122413">
      <w:pPr>
        <w:spacing w:before="0" w:after="160"/>
        <w:ind w:left="810" w:hanging="810"/>
      </w:pPr>
      <w:r w:rsidRPr="00122413">
        <w:t xml:space="preserve">Land, L. S., 1985, The origin of massive dolomite: Summary and suggestion: Journal of Geological Education, 33, 112–125, doi: 10.5408/0022-1368-33.2.112. </w:t>
      </w:r>
    </w:p>
    <w:p w14:paraId="4CF8A50C" w14:textId="77777777" w:rsidR="007F0783" w:rsidRPr="00122413" w:rsidRDefault="007F0783" w:rsidP="00122413">
      <w:pPr>
        <w:spacing w:before="0" w:after="160"/>
        <w:ind w:left="810" w:hanging="810"/>
      </w:pPr>
      <w:r w:rsidRPr="00122413">
        <w:t>Landreth, R. A., 1977, Depositional environments and diagenesis of the lower clear fork group, Mitchell County, Texas: M.S. thesis, Texas Tech.</w:t>
      </w:r>
    </w:p>
    <w:p w14:paraId="79E0AE20" w14:textId="77777777" w:rsidR="007F0783" w:rsidRPr="00122413" w:rsidRDefault="007F0783" w:rsidP="00122413">
      <w:pPr>
        <w:spacing w:before="0" w:after="160"/>
        <w:ind w:left="810" w:hanging="810"/>
      </w:pPr>
      <w:r w:rsidRPr="00122413">
        <w:t xml:space="preserve">Lucia, F. J., and R. P. Major, 1994, Porosity evolution through hypersaline reflux dolomitization, in B. Purser, M. Tucker, and D. Zenger, eds., Dolomites: International Association of Sedimentologists Special Publication 21, 325–341, doi: 10.1002/9781444304077.ch18 </w:t>
      </w:r>
    </w:p>
    <w:p w14:paraId="3B84E9A0" w14:textId="77777777" w:rsidR="007F0783" w:rsidRPr="00122413" w:rsidRDefault="007F0783" w:rsidP="00122413">
      <w:pPr>
        <w:spacing w:before="0" w:after="160"/>
        <w:ind w:left="810" w:hanging="810"/>
      </w:pPr>
      <w:r w:rsidRPr="00122413">
        <w:lastRenderedPageBreak/>
        <w:t xml:space="preserve">Mackenzie, F. T., and J. W. Morse, 1992, Sedimentary carbonates through Phanerozoic time: Geochimica et Cosmochimica Acta, 56, 3281–3295, doi: 10.1016/0016-7037(92)90305-3. </w:t>
      </w:r>
    </w:p>
    <w:p w14:paraId="75037D75" w14:textId="77777777" w:rsidR="007F0783" w:rsidRPr="00122413" w:rsidRDefault="007F0783" w:rsidP="00122413">
      <w:pPr>
        <w:spacing w:before="0" w:after="160"/>
        <w:ind w:left="810" w:hanging="810"/>
      </w:pPr>
      <w:r w:rsidRPr="00122413">
        <w:t xml:space="preserve">Major, R. P., D. G. Bebout, and F. J. Lucia, 1988, Depositional facies and porosity distribution, Permian (Guadalupian) San Andres and Grayburg Formations, P.J.W.D.M. field complex, Central Basin Platform, West Texas, giant oil and gas fields: SEPM Core Workshop Notes 12, 615–648, doi: /10.2110/cor.88.12.0615. </w:t>
      </w:r>
    </w:p>
    <w:p w14:paraId="21F0E5A5" w14:textId="77777777" w:rsidR="007F0783" w:rsidRPr="00122413" w:rsidRDefault="007F0783" w:rsidP="00122413">
      <w:pPr>
        <w:spacing w:before="0" w:after="160"/>
        <w:ind w:left="810" w:hanging="810"/>
      </w:pPr>
      <w:r w:rsidRPr="00122413">
        <w:t>Masters, T., 1995, Advanced algorithms for neural networks: John Wiley &amp; Sons Inc.</w:t>
      </w:r>
    </w:p>
    <w:p w14:paraId="31A6B366" w14:textId="77777777" w:rsidR="007F0783" w:rsidRPr="00122413" w:rsidRDefault="007F0783" w:rsidP="00122413">
      <w:pPr>
        <w:spacing w:before="0" w:after="160"/>
        <w:ind w:left="810" w:hanging="810"/>
      </w:pPr>
      <w:r w:rsidRPr="00122413">
        <w:t xml:space="preserve">Mazzullo, S. J., 1994, Dolomitization of periplatform carbonates (Lower Permian, Leonardian), Midland basin, Texas: Carbonates and Evaporites, 9, 95–112, doi: 10.1007/BF03175189. </w:t>
      </w:r>
    </w:p>
    <w:p w14:paraId="633D1C54" w14:textId="77777777" w:rsidR="007F0783" w:rsidRPr="00122413" w:rsidRDefault="007F0783" w:rsidP="00122413">
      <w:pPr>
        <w:spacing w:before="0" w:after="160"/>
        <w:ind w:left="810" w:hanging="810"/>
      </w:pPr>
      <w:r w:rsidRPr="00122413">
        <w:t xml:space="preserve">Mazzullo, S. J., and A. M. Reid, 1989, Lower Permian platform and basin depositional systems, northern Midland Basin, Texas, in P. D. Crevello, J. L. Wilson, J. F. Sarg, and J. F. Read, eds., Controls on carbonate platforms and basin development: Special Publications: SEPM, 305–320, doi: 10.2110/pec.89.44.0305. </w:t>
      </w:r>
    </w:p>
    <w:p w14:paraId="3A74BF46" w14:textId="77777777" w:rsidR="007F0783" w:rsidRPr="00122413" w:rsidRDefault="007F0783" w:rsidP="00122413">
      <w:pPr>
        <w:spacing w:before="0" w:after="160"/>
        <w:ind w:left="810" w:hanging="810"/>
      </w:pPr>
      <w:r w:rsidRPr="00122413">
        <w:t>Nieto, J., B. Batlai, and F. Delbecq, 2013, Seismic lithology prediction: A Monterey Shale gas case study: CSEG Recorder, 38, 34–43.</w:t>
      </w:r>
    </w:p>
    <w:p w14:paraId="2BDAA477" w14:textId="77777777" w:rsidR="007F0783" w:rsidRPr="00122413" w:rsidRDefault="007F0783" w:rsidP="00122413">
      <w:pPr>
        <w:spacing w:before="0" w:after="160"/>
        <w:ind w:left="810" w:hanging="810"/>
      </w:pPr>
      <w:r w:rsidRPr="00122413">
        <w:t>Presley, M. W., 1987, Evolution of Permian evaporite basin in Texas panhandle: AAPG Bulletin, 71, 167–190, doi: 10.1306/94886D67-1704-11D7-8645000102C1865D.</w:t>
      </w:r>
    </w:p>
    <w:p w14:paraId="7DE4405E" w14:textId="77777777" w:rsidR="007F0783" w:rsidRPr="00122413" w:rsidRDefault="007F0783" w:rsidP="00122413">
      <w:pPr>
        <w:spacing w:before="0" w:after="160"/>
        <w:ind w:left="810" w:hanging="810"/>
      </w:pPr>
      <w:r w:rsidRPr="00122413">
        <w:t xml:space="preserve">Ruppel, S. C., 1992, Styles of deposition and diagenesis in Leonardian carbonate reservoirs in west Texas: Implications for improved reservoir characterization: Annual Exhibition and Technical Conference, SPE, Extended Abstracts, 313–320, doi: 10.2118/24691-MS. </w:t>
      </w:r>
    </w:p>
    <w:p w14:paraId="38865FDE" w14:textId="77777777" w:rsidR="007F0783" w:rsidRPr="00122413" w:rsidRDefault="007F0783" w:rsidP="00122413">
      <w:pPr>
        <w:spacing w:before="0" w:after="160"/>
        <w:ind w:left="810" w:hanging="810"/>
      </w:pPr>
      <w:r w:rsidRPr="00122413">
        <w:lastRenderedPageBreak/>
        <w:t>Russell, B. H., 2004, The application of multivariate statistics and neural networks to the prediction of reservoir parameters using seismic attributes: Ph.D. dissertation, University of Calgary.</w:t>
      </w:r>
    </w:p>
    <w:p w14:paraId="16189C18" w14:textId="77777777" w:rsidR="007F0783" w:rsidRPr="00122413" w:rsidRDefault="007F0783" w:rsidP="00122413">
      <w:pPr>
        <w:spacing w:before="0" w:after="160"/>
        <w:ind w:left="810" w:hanging="810"/>
      </w:pPr>
      <w:r w:rsidRPr="00122413">
        <w:t>Russell, B., D. Hampson, and B. Bankhead, 2006, An inversion primer, CSEG Recorder Special Edition, no. 1, 96–103.</w:t>
      </w:r>
    </w:p>
    <w:p w14:paraId="49291365" w14:textId="77777777" w:rsidR="007F0783" w:rsidRPr="00122413" w:rsidRDefault="007F0783" w:rsidP="00122413">
      <w:pPr>
        <w:spacing w:before="0" w:after="160"/>
        <w:ind w:left="810" w:hanging="810"/>
      </w:pPr>
      <w:r w:rsidRPr="00122413">
        <w:t>Saller, A. H., 2004, Paleozoic dolomite reservoirs in the Permian Basin, SW USA: Stratigraphic distribution, porosity, permeability, and production: Geological Society, London, Special Publications 235, 309–323.</w:t>
      </w:r>
    </w:p>
    <w:p w14:paraId="47D9D8E4" w14:textId="77777777" w:rsidR="007F0783" w:rsidRPr="00122413" w:rsidRDefault="007F0783" w:rsidP="00122413">
      <w:pPr>
        <w:spacing w:before="0" w:after="160"/>
        <w:ind w:left="810" w:hanging="810"/>
      </w:pPr>
      <w:r w:rsidRPr="00122413">
        <w:t>Saller, A. H., 2013, Diagenetic evolution of porosity in carbonates during burial: AAPG Search and Discovery Article #50779.</w:t>
      </w:r>
    </w:p>
    <w:p w14:paraId="0B627C72" w14:textId="77777777" w:rsidR="007F0783" w:rsidRPr="00122413" w:rsidRDefault="007F0783" w:rsidP="00122413">
      <w:pPr>
        <w:spacing w:before="0" w:after="160"/>
        <w:ind w:left="810" w:hanging="810"/>
      </w:pPr>
      <w:r w:rsidRPr="00122413">
        <w:t xml:space="preserve">Saller, A. H., and N. Henderson, 1998, Distribution of porosity and permeability in platform dolomites: Insight from the Permian of West Texas: AAPG Bulletin, 82, 1528–1550, doi: </w:t>
      </w:r>
      <w:r w:rsidRPr="00347C8D">
        <w:t xml:space="preserve"> </w:t>
      </w:r>
      <w:r w:rsidRPr="00122413">
        <w:t xml:space="preserve">10.1306/1D9BCB01-172D-11D7-8645000102C1865D. </w:t>
      </w:r>
    </w:p>
    <w:p w14:paraId="5C4CDE2E" w14:textId="77777777" w:rsidR="007F0783" w:rsidRPr="00122413" w:rsidRDefault="007F0783" w:rsidP="00122413">
      <w:pPr>
        <w:spacing w:before="0" w:after="160"/>
        <w:ind w:left="810" w:hanging="810"/>
      </w:pPr>
      <w:r w:rsidRPr="00122413">
        <w:t>Sarg, J. F., J. R. Markello, and L. J. Weber, 1999, The second-order cycle, carbonate platform growth, and reservoir, source, and trap prediction, Advances in carbonate sequence stratigraphy: Application to reservoirs, outcrops, and models, P. M. Harris and J. A. Toni Simo: Special Publication: SEPM Society for Sedimentary Geology 63, 11–34.</w:t>
      </w:r>
    </w:p>
    <w:p w14:paraId="0BF47078" w14:textId="77777777" w:rsidR="007F0783" w:rsidRPr="00122413" w:rsidRDefault="007F0783" w:rsidP="00122413">
      <w:pPr>
        <w:spacing w:before="0" w:after="160"/>
        <w:ind w:left="810" w:hanging="810"/>
      </w:pPr>
      <w:r w:rsidRPr="00122413">
        <w:t xml:space="preserve">Sengupta, M., and R. Bachrach, 2007, Uncertainty in seismic-based pay volume estimation: Analysis using rock physics and Bayesian statistics: The Leading Edge, 26, 184–189, doi: 10.1190/1.2542449. </w:t>
      </w:r>
    </w:p>
    <w:p w14:paraId="3B8B5255" w14:textId="77777777" w:rsidR="007F0783" w:rsidRPr="00122413" w:rsidRDefault="007F0783" w:rsidP="00122413">
      <w:pPr>
        <w:spacing w:before="0" w:after="160"/>
        <w:ind w:left="810" w:hanging="810"/>
      </w:pPr>
      <w:r w:rsidRPr="00122413">
        <w:t>Specht, D. F., 1995, Probabilistic neural networks and general regression neural networks, in C. H. Chen, ed., Fuzzy logic and neural network handbook: McGraw-Hill Inc., 301–344.</w:t>
      </w:r>
    </w:p>
    <w:p w14:paraId="6AE25D32" w14:textId="77777777" w:rsidR="007F0783" w:rsidRPr="00122413" w:rsidRDefault="007F0783" w:rsidP="00122413">
      <w:pPr>
        <w:spacing w:before="0" w:after="160"/>
        <w:ind w:left="810" w:hanging="810"/>
      </w:pPr>
      <w:r w:rsidRPr="00122413">
        <w:lastRenderedPageBreak/>
        <w:t xml:space="preserve">Sun, S. Q., 1995, Dolomite reservoirs: Porosity evolution and reservoir characteristics: AAPG Bulletin, 79, 186–204, doi: 10.1306/8D2B14EE-171E-11D7-8645000102C1865D. </w:t>
      </w:r>
    </w:p>
    <w:p w14:paraId="091E2A99" w14:textId="77777777" w:rsidR="007F0783" w:rsidRPr="00122413" w:rsidRDefault="007F0783" w:rsidP="00122413">
      <w:pPr>
        <w:spacing w:before="0" w:after="160"/>
        <w:ind w:left="810" w:hanging="810"/>
      </w:pPr>
      <w:r w:rsidRPr="00122413">
        <w:t>Swisi, A., 2009, Post- and pre-stack attribute analysis and inversion of Blackfoot 3D seismic dataset: M.S. thesis, The University of Saskatchewan.</w:t>
      </w:r>
    </w:p>
    <w:p w14:paraId="6554E48E" w14:textId="74D7EEC0" w:rsidR="007F0783" w:rsidRPr="00E63D76" w:rsidRDefault="007F0783" w:rsidP="00122413">
      <w:pPr>
        <w:spacing w:before="0" w:after="160"/>
        <w:ind w:left="810" w:hanging="810"/>
        <w:rPr>
          <w:rFonts w:cs="Times New Roman"/>
          <w:color w:val="auto"/>
          <w:szCs w:val="24"/>
        </w:rPr>
      </w:pPr>
      <w:r w:rsidRPr="00122413">
        <w:t>Tyler, N., D. G. Bebout, C. M. Garrett Jr., E. H. Guevara, C. R. Hocott, M. H. Holtz, S. D. Hovorka, C. Kerans, F. J. Lucia, R. P. Major, S. C. Ruppel, and G. W. Vander Stoep, 1991, Integrated characterization of Permian Basin reservoirs, University Lands, West Texas: Targeting the</w:t>
      </w:r>
      <w:r w:rsidRPr="00E63D76">
        <w:rPr>
          <w:rFonts w:cs="Times New Roman"/>
          <w:color w:val="auto"/>
          <w:szCs w:val="24"/>
        </w:rPr>
        <w:t xml:space="preserve"> remaining resource for advanced oil recovery: The University of Texas at Austin, Bureau of Economic Geology, Report of Investigations No. 203. </w:t>
      </w:r>
    </w:p>
    <w:p w14:paraId="04D1058A" w14:textId="395AB32B" w:rsidR="007F0783" w:rsidRPr="004B6343" w:rsidRDefault="007F0783" w:rsidP="004B6343">
      <w:pPr>
        <w:spacing w:before="0" w:after="160"/>
        <w:ind w:left="810" w:hanging="810"/>
      </w:pPr>
      <w:r w:rsidRPr="004B6343">
        <w:t>Vahrenkamp, V. C., P. K. Swart, and J. Ruiz, 1991, Episodic dolomitization of late Cenozoic carbonates in the Bahamas</w:t>
      </w:r>
      <w:r w:rsidR="004B6343" w:rsidRPr="004B6343">
        <w:t xml:space="preserve">; </w:t>
      </w:r>
      <w:r w:rsidRPr="004B6343">
        <w:t>Evidence from strontium isotopes: Journal</w:t>
      </w:r>
      <w:r w:rsidR="004B6343">
        <w:t xml:space="preserve"> of</w:t>
      </w:r>
      <w:r w:rsidRPr="004B6343">
        <w:t xml:space="preserve"> Sedimentary Petrology, 61,</w:t>
      </w:r>
      <w:r w:rsidR="004B6343">
        <w:t xml:space="preserve"> </w:t>
      </w:r>
      <w:r w:rsidR="00AC2463">
        <w:t>No</w:t>
      </w:r>
      <w:r w:rsidR="004B6343">
        <w:t>.6,</w:t>
      </w:r>
      <w:r w:rsidRPr="004B6343">
        <w:t xml:space="preserve"> 1002–1014, doi: 10.23867/RI0203D. </w:t>
      </w:r>
    </w:p>
    <w:p w14:paraId="61CE2C76" w14:textId="120BE877" w:rsidR="007F0783" w:rsidRPr="00E63D76" w:rsidRDefault="007F0783" w:rsidP="002F0FC8">
      <w:pPr>
        <w:spacing w:before="0" w:after="160"/>
        <w:ind w:left="810" w:hanging="810"/>
      </w:pPr>
      <w:r w:rsidRPr="00E63D76">
        <w:t xml:space="preserve">Veeken, P. C. H., and M. da Silva, 2004, Seismic inversion and some of their constraints: First Break, 22, </w:t>
      </w:r>
      <w:r w:rsidR="00AC2463">
        <w:t xml:space="preserve">No. 6, </w:t>
      </w:r>
      <w:r w:rsidRPr="00E63D76">
        <w:t>47–70, </w:t>
      </w:r>
      <w:r>
        <w:t xml:space="preserve">doi: </w:t>
      </w:r>
      <w:r w:rsidRPr="00347C8D">
        <w:t>/10.3997/1365-2397.2004011</w:t>
      </w:r>
      <w:r>
        <w:t>.</w:t>
      </w:r>
      <w:r w:rsidRPr="00E63D76">
        <w:t xml:space="preserve"> </w:t>
      </w:r>
    </w:p>
    <w:p w14:paraId="3D8CA6F3" w14:textId="77777777" w:rsidR="007F0783" w:rsidRPr="002F0FC8" w:rsidRDefault="007F0783" w:rsidP="002F0FC8">
      <w:pPr>
        <w:spacing w:before="0" w:after="160"/>
        <w:ind w:left="810" w:hanging="810"/>
      </w:pPr>
      <w:r w:rsidRPr="002F0FC8">
        <w:t xml:space="preserve">Verma, S., T. Zhao, K. J. Marfurt, and D. Devegowda, 2016, Estimation of TOC and brittleness volume: Interpretation, 4, no. 3, T373–T385, doi: 10.1190/INT-2015-0166.1. </w:t>
      </w:r>
    </w:p>
    <w:p w14:paraId="57ED8A53" w14:textId="77777777" w:rsidR="007F0783" w:rsidRPr="00122413" w:rsidRDefault="007F0783" w:rsidP="00122413">
      <w:pPr>
        <w:spacing w:before="0" w:after="160"/>
        <w:ind w:left="810" w:hanging="810"/>
      </w:pPr>
      <w:r w:rsidRPr="00122413">
        <w:t xml:space="preserve">Ward, R. F., C. Kendall, and P. M. Harris, 1986, Upper Permian (Guadalupian) facies and their association with hydrocarbons Permian Basin, West Texas and New Mexico: AAPG Bulletin, 70, 239–262, doi: 10.1306/9488566F-1704-11D7-8645000102C1865D. </w:t>
      </w:r>
    </w:p>
    <w:p w14:paraId="4EE06805" w14:textId="77777777" w:rsidR="007F0783" w:rsidRPr="00122413" w:rsidRDefault="007F0783" w:rsidP="00122413">
      <w:pPr>
        <w:spacing w:before="0" w:after="160"/>
        <w:ind w:left="810" w:hanging="810"/>
      </w:pPr>
      <w:r w:rsidRPr="00122413">
        <w:t xml:space="preserve">Warren, J., 2000, Dolomite: Occurrence, evolution and economically important associations: Earth-Science Reviews, 52, 1–81, doi: 10.1016/S0012-8252(00)00022-2. </w:t>
      </w:r>
    </w:p>
    <w:p w14:paraId="120367CD" w14:textId="77777777" w:rsidR="007F0783" w:rsidRPr="00122413" w:rsidRDefault="007F0783" w:rsidP="00122413">
      <w:pPr>
        <w:spacing w:before="0" w:after="160"/>
        <w:ind w:left="810" w:hanging="810"/>
      </w:pPr>
      <w:r w:rsidRPr="00122413">
        <w:lastRenderedPageBreak/>
        <w:t>Weyl, P. K., 1960, Porosity through dolomitization: Conservation-of-mass requirements: Journal of Sedimentary Research, 30, 85–90.</w:t>
      </w:r>
    </w:p>
    <w:p w14:paraId="27B1F11A" w14:textId="77777777" w:rsidR="007F0783" w:rsidRPr="00122413" w:rsidRDefault="007F0783" w:rsidP="00122413">
      <w:pPr>
        <w:spacing w:before="0" w:after="160"/>
        <w:ind w:left="810" w:hanging="810"/>
      </w:pPr>
      <w:r w:rsidRPr="00122413">
        <w:t xml:space="preserve">Wiggins, W. D., and P. M. Harris, 1985, Burial diagenetic sequence in deep-water allochthonous dolomites, Permian Bone Spring Formation, southeast New Mexico, in P. D. Crevello and P. M. Harris, eds., Deep-water carbonates: Buildups, turbidites, debris flows and chalks: SEPM Core Workshop 6, 140–173, doi: /10.2110/cor.85.06.0140. </w:t>
      </w:r>
    </w:p>
    <w:p w14:paraId="0DCA996D" w14:textId="77777777" w:rsidR="0046687C" w:rsidRDefault="007F0783" w:rsidP="00122413">
      <w:pPr>
        <w:spacing w:before="0" w:after="160"/>
        <w:ind w:left="810" w:hanging="810"/>
      </w:pPr>
      <w:r w:rsidRPr="00122413">
        <w:t>Ye, Q., and S. J. Mazzullo, 1993, Dolomitization of lower Permian platform facies, Wichita Formation, north platform, Midland basin, Texas: Carbonates and Evaporites, 8, 55–70, doi: 10.1007/BF03175163.</w:t>
      </w:r>
    </w:p>
    <w:p w14:paraId="50722229" w14:textId="77777777" w:rsidR="0046687C" w:rsidRDefault="0046687C">
      <w:pPr>
        <w:spacing w:line="240" w:lineRule="auto"/>
      </w:pPr>
      <w:r>
        <w:br w:type="page"/>
      </w:r>
    </w:p>
    <w:p w14:paraId="4FA6D7FD" w14:textId="03F6E2F5" w:rsidR="007F0783" w:rsidRDefault="007F0783" w:rsidP="005F3383">
      <w:pPr>
        <w:pStyle w:val="Heading2"/>
      </w:pPr>
      <w:bookmarkStart w:id="42" w:name="_Toc115155623"/>
      <w:bookmarkStart w:id="43" w:name="_Toc117342364"/>
      <w:bookmarkStart w:id="44" w:name="_Toc121095943"/>
      <w:r>
        <w:lastRenderedPageBreak/>
        <w:t xml:space="preserve">Chapter 1 </w:t>
      </w:r>
      <w:r w:rsidRPr="00CF264F">
        <w:t>Figures</w:t>
      </w:r>
      <w:bookmarkEnd w:id="42"/>
      <w:bookmarkEnd w:id="43"/>
      <w:bookmarkEnd w:id="44"/>
    </w:p>
    <w:p w14:paraId="47E167F0" w14:textId="77777777" w:rsidR="0069593D" w:rsidRDefault="007F0783" w:rsidP="0069593D">
      <w:pPr>
        <w:keepNext/>
        <w:tabs>
          <w:tab w:val="left" w:pos="9270"/>
        </w:tabs>
        <w:jc w:val="center"/>
      </w:pPr>
      <w:r>
        <w:rPr>
          <w:noProof/>
        </w:rPr>
        <w:drawing>
          <wp:inline distT="0" distB="0" distL="0" distR="0" wp14:anchorId="499909F7" wp14:editId="0F201D67">
            <wp:extent cx="5761355" cy="5956300"/>
            <wp:effectExtent l="0" t="0" r="0" b="6350"/>
            <wp:docPr id="11" name="Picture 1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map&#10;&#10;Description automatically generat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61355" cy="5956300"/>
                    </a:xfrm>
                    <a:prstGeom prst="rect">
                      <a:avLst/>
                    </a:prstGeom>
                    <a:noFill/>
                  </pic:spPr>
                </pic:pic>
              </a:graphicData>
            </a:graphic>
          </wp:inline>
        </w:drawing>
      </w:r>
    </w:p>
    <w:p w14:paraId="1270F76A" w14:textId="0906BFC7" w:rsidR="007F0783" w:rsidRPr="00A300BA" w:rsidRDefault="0069593D" w:rsidP="007F0783">
      <w:pPr>
        <w:pStyle w:val="Caption"/>
      </w:pPr>
      <w:bookmarkStart w:id="45" w:name="_Toc121095096"/>
      <w:r w:rsidRPr="00E8368F">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w:t>
      </w:r>
      <w:r w:rsidR="00D532BC">
        <w:rPr>
          <w:b/>
          <w:bCs/>
        </w:rPr>
        <w:fldChar w:fldCharType="end"/>
      </w:r>
      <w:bookmarkStart w:id="46" w:name="_Toc117342246"/>
      <w:bookmarkStart w:id="47" w:name="_Toc117376613"/>
      <w:r w:rsidR="004C759B" w:rsidRPr="00E8368F">
        <w:rPr>
          <w:b/>
          <w:bCs/>
        </w:rPr>
        <w:t>:</w:t>
      </w:r>
      <w:r w:rsidR="004C759B">
        <w:t xml:space="preserve"> </w:t>
      </w:r>
      <w:r w:rsidR="007F0783" w:rsidRPr="00A300BA">
        <w:t>Paleogeographic map showing the main provinces of the Permian Basin during the Early Permian time. The study area is located in Scurry County, Texas. The approximate location of the study area is denoted by the red star.</w:t>
      </w:r>
      <w:bookmarkEnd w:id="45"/>
      <w:bookmarkEnd w:id="46"/>
      <w:bookmarkEnd w:id="47"/>
    </w:p>
    <w:p w14:paraId="12D04FB6" w14:textId="77777777" w:rsidR="007F0783" w:rsidRDefault="007F0783" w:rsidP="007F0783"/>
    <w:p w14:paraId="710888A0" w14:textId="77777777" w:rsidR="004C759B" w:rsidRDefault="007F0783" w:rsidP="004C759B">
      <w:pPr>
        <w:keepNext/>
        <w:jc w:val="center"/>
      </w:pPr>
      <w:r>
        <w:rPr>
          <w:noProof/>
        </w:rPr>
        <w:lastRenderedPageBreak/>
        <w:drawing>
          <wp:inline distT="0" distB="0" distL="0" distR="0" wp14:anchorId="5E14B5A2" wp14:editId="47293470">
            <wp:extent cx="4712335" cy="649859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712335" cy="6498590"/>
                    </a:xfrm>
                    <a:prstGeom prst="rect">
                      <a:avLst/>
                    </a:prstGeom>
                    <a:noFill/>
                  </pic:spPr>
                </pic:pic>
              </a:graphicData>
            </a:graphic>
          </wp:inline>
        </w:drawing>
      </w:r>
    </w:p>
    <w:p w14:paraId="6C852697" w14:textId="67329AD8" w:rsidR="007F0783" w:rsidRPr="00826376" w:rsidRDefault="004C759B" w:rsidP="004C759B">
      <w:pPr>
        <w:pStyle w:val="Caption"/>
      </w:pPr>
      <w:bookmarkStart w:id="48" w:name="_Toc121095097"/>
      <w:r w:rsidRPr="00E8368F">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2</w:t>
      </w:r>
      <w:r w:rsidR="00D532BC">
        <w:rPr>
          <w:b/>
          <w:bCs/>
        </w:rPr>
        <w:fldChar w:fldCharType="end"/>
      </w:r>
      <w:r w:rsidRPr="00E8368F">
        <w:rPr>
          <w:b/>
          <w:bCs/>
        </w:rPr>
        <w:t>:</w:t>
      </w:r>
      <w:r>
        <w:t xml:space="preserve"> </w:t>
      </w:r>
      <w:bookmarkStart w:id="49" w:name="_Toc117342247"/>
      <w:bookmarkStart w:id="50" w:name="_Toc117376614"/>
      <w:r w:rsidR="007F0783">
        <w:t>Simplified stratigraphic chart showing the regional stratigraphy of the Midland Basin and the Eastern Shelf (modified after </w:t>
      </w:r>
      <w:hyperlink r:id="rId107" w:anchor="r6" w:history="1">
        <w:r w:rsidR="007F0783" w:rsidRPr="00826376">
          <w:rPr>
            <w:szCs w:val="22"/>
          </w:rPr>
          <w:t>Ball, 1995</w:t>
        </w:r>
      </w:hyperlink>
      <w:r w:rsidR="007F0783">
        <w:t>). The interval of interest for this study is the Leonardian Wichita and Clear Fork Formations (the red square).</w:t>
      </w:r>
      <w:bookmarkEnd w:id="48"/>
      <w:bookmarkEnd w:id="49"/>
      <w:bookmarkEnd w:id="50"/>
    </w:p>
    <w:p w14:paraId="4B265D13" w14:textId="77777777" w:rsidR="007F0783" w:rsidRDefault="007F0783" w:rsidP="007F0783">
      <w:pPr>
        <w:sectPr w:rsidR="007F0783" w:rsidSect="00153CC3">
          <w:pgSz w:w="12240" w:h="15840"/>
          <w:pgMar w:top="1440" w:right="1440" w:bottom="1440" w:left="1440" w:header="720" w:footer="720" w:gutter="0"/>
          <w:pgNumType w:start="1"/>
          <w:cols w:space="720"/>
          <w:titlePg/>
          <w:docGrid w:linePitch="360"/>
        </w:sectPr>
      </w:pPr>
    </w:p>
    <w:p w14:paraId="03894B9C" w14:textId="77777777" w:rsidR="008B645C" w:rsidRDefault="007F0783" w:rsidP="008B645C">
      <w:pPr>
        <w:keepNext/>
      </w:pPr>
      <w:r>
        <w:rPr>
          <w:noProof/>
        </w:rPr>
        <w:lastRenderedPageBreak/>
        <w:drawing>
          <wp:inline distT="0" distB="0" distL="0" distR="0" wp14:anchorId="2F945A76" wp14:editId="695F396E">
            <wp:extent cx="8229600" cy="4350899"/>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250955" cy="4362189"/>
                    </a:xfrm>
                    <a:prstGeom prst="rect">
                      <a:avLst/>
                    </a:prstGeom>
                    <a:noFill/>
                  </pic:spPr>
                </pic:pic>
              </a:graphicData>
            </a:graphic>
          </wp:inline>
        </w:drawing>
      </w:r>
    </w:p>
    <w:p w14:paraId="68C9581E" w14:textId="26542B63" w:rsidR="007F0783" w:rsidRDefault="008B645C" w:rsidP="009E750C">
      <w:pPr>
        <w:pStyle w:val="Caption"/>
      </w:pPr>
      <w:bookmarkStart w:id="51" w:name="_Toc121095098"/>
      <w:r w:rsidRPr="00E8368F">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3</w:t>
      </w:r>
      <w:r w:rsidR="00D532BC">
        <w:rPr>
          <w:b/>
          <w:bCs/>
        </w:rPr>
        <w:fldChar w:fldCharType="end"/>
      </w:r>
      <w:r w:rsidRPr="00E8368F">
        <w:rPr>
          <w:b/>
          <w:bCs/>
        </w:rPr>
        <w:t>:</w:t>
      </w:r>
      <w:r>
        <w:t xml:space="preserve"> </w:t>
      </w:r>
      <w:bookmarkStart w:id="52" w:name="_Toc117342248"/>
      <w:bookmarkStart w:id="53" w:name="_Toc117376615"/>
      <w:r w:rsidR="007F0783" w:rsidRPr="00ED2547">
        <w:t>Seismic stratigraphic interpretation of east–west arbitrary line illustrating the progradation-retrogradation episodes of the Leonardian platform carbonates with distinct clinoformal geometries. Four complete seismic sequences were interpreted within the Leonardian section (LST, lowstand systems tract; TST, transgressive systems tract; HST, highstand systems tract; SS1-5, seismic sequence boundaries; and MFS, maximum flooding surface).</w:t>
      </w:r>
      <w:bookmarkEnd w:id="51"/>
      <w:bookmarkEnd w:id="52"/>
      <w:bookmarkEnd w:id="53"/>
    </w:p>
    <w:p w14:paraId="1AC95E1A" w14:textId="77777777" w:rsidR="00991160" w:rsidRDefault="007F0783" w:rsidP="00991160">
      <w:pPr>
        <w:keepNext/>
      </w:pPr>
      <w:r>
        <w:rPr>
          <w:noProof/>
        </w:rPr>
        <w:lastRenderedPageBreak/>
        <w:drawing>
          <wp:inline distT="0" distB="0" distL="0" distR="0" wp14:anchorId="052B25A1" wp14:editId="634F3DD8">
            <wp:extent cx="8255379" cy="4380647"/>
            <wp:effectExtent l="0" t="0" r="0" b="127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277937" cy="4392617"/>
                    </a:xfrm>
                    <a:prstGeom prst="rect">
                      <a:avLst/>
                    </a:prstGeom>
                    <a:noFill/>
                  </pic:spPr>
                </pic:pic>
              </a:graphicData>
            </a:graphic>
          </wp:inline>
        </w:drawing>
      </w:r>
    </w:p>
    <w:p w14:paraId="1B76C796" w14:textId="6D57664C" w:rsidR="007F0783" w:rsidRPr="00991160" w:rsidRDefault="00991160" w:rsidP="007F0783">
      <w:pPr>
        <w:pStyle w:val="Caption"/>
        <w:rPr>
          <w:b/>
          <w:bCs/>
        </w:rPr>
        <w:sectPr w:rsidR="007F0783" w:rsidRPr="00991160" w:rsidSect="00297E52">
          <w:pgSz w:w="15840" w:h="12240" w:orient="landscape"/>
          <w:pgMar w:top="1440" w:right="1440" w:bottom="1440" w:left="1440" w:header="720" w:footer="720" w:gutter="0"/>
          <w:cols w:space="720"/>
          <w:docGrid w:linePitch="360"/>
        </w:sectPr>
      </w:pPr>
      <w:bookmarkStart w:id="54" w:name="_Toc121095099"/>
      <w:r w:rsidRPr="00991160">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4</w:t>
      </w:r>
      <w:r w:rsidR="00D532BC">
        <w:rPr>
          <w:b/>
          <w:bCs/>
        </w:rPr>
        <w:fldChar w:fldCharType="end"/>
      </w:r>
      <w:r w:rsidRPr="00991160">
        <w:rPr>
          <w:b/>
          <w:bCs/>
        </w:rPr>
        <w:t xml:space="preserve">: </w:t>
      </w:r>
      <w:bookmarkStart w:id="55" w:name="_Toc117342249"/>
      <w:bookmarkStart w:id="56" w:name="_Toc117376616"/>
      <w:r w:rsidR="007F0783">
        <w:t>Generalized workflow showing the three main steps followed in this study. These steps are the (left) model-based poststack inversion (after </w:t>
      </w:r>
      <w:hyperlink r:id="rId110" w:anchor="r300" w:history="1">
        <w:r w:rsidR="007F0783" w:rsidRPr="000E263D">
          <w:t>Russel et al., 2006</w:t>
        </w:r>
      </w:hyperlink>
      <w:r w:rsidR="007F0783">
        <w:t>), (middle) Bayesian supervised classification (after </w:t>
      </w:r>
      <w:hyperlink r:id="rId111" w:anchor="r33" w:history="1">
        <w:r w:rsidR="007F0783" w:rsidRPr="000E263D">
          <w:t>Nieto et al., 2013</w:t>
        </w:r>
      </w:hyperlink>
      <w:r w:rsidR="007F0783">
        <w:t>), and (right) PNN for porosity prediction (after </w:t>
      </w:r>
      <w:hyperlink r:id="rId112" w:anchor="r49" w:history="1">
        <w:r w:rsidR="007F0783" w:rsidRPr="000E263D">
          <w:t>Verma et al., 2016</w:t>
        </w:r>
      </w:hyperlink>
      <w:r w:rsidR="007F0783">
        <w:t>).</w:t>
      </w:r>
      <w:bookmarkEnd w:id="54"/>
      <w:bookmarkEnd w:id="55"/>
      <w:bookmarkEnd w:id="56"/>
    </w:p>
    <w:p w14:paraId="01DF9371" w14:textId="35CDF578" w:rsidR="00991160" w:rsidRDefault="00CC6005" w:rsidP="00991160">
      <w:pPr>
        <w:keepNext/>
        <w:spacing w:line="240" w:lineRule="auto"/>
      </w:pPr>
      <w:r>
        <w:rPr>
          <w:noProof/>
        </w:rPr>
        <w:lastRenderedPageBreak/>
        <w:drawing>
          <wp:inline distT="0" distB="0" distL="0" distR="0" wp14:anchorId="717241C3" wp14:editId="752A7871">
            <wp:extent cx="5927107" cy="47288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35066" cy="4735195"/>
                    </a:xfrm>
                    <a:prstGeom prst="rect">
                      <a:avLst/>
                    </a:prstGeom>
                    <a:noFill/>
                  </pic:spPr>
                </pic:pic>
              </a:graphicData>
            </a:graphic>
          </wp:inline>
        </w:drawing>
      </w:r>
    </w:p>
    <w:p w14:paraId="6E8BDD72" w14:textId="45B3C052" w:rsidR="007F0783" w:rsidRPr="00991160" w:rsidRDefault="00991160" w:rsidP="00991160">
      <w:pPr>
        <w:pStyle w:val="Caption"/>
        <w:rPr>
          <w:b/>
          <w:bCs/>
        </w:rPr>
        <w:sectPr w:rsidR="007F0783" w:rsidRPr="00991160" w:rsidSect="00086BA9">
          <w:type w:val="continuous"/>
          <w:pgSz w:w="12240" w:h="15840"/>
          <w:pgMar w:top="1440" w:right="1440" w:bottom="1440" w:left="1440" w:header="720" w:footer="720" w:gutter="0"/>
          <w:cols w:space="720"/>
          <w:docGrid w:linePitch="360"/>
        </w:sectPr>
      </w:pPr>
      <w:bookmarkStart w:id="57" w:name="_Toc121095100"/>
      <w:r w:rsidRPr="00991160">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5</w:t>
      </w:r>
      <w:r w:rsidR="00D532BC">
        <w:rPr>
          <w:b/>
          <w:bCs/>
        </w:rPr>
        <w:fldChar w:fldCharType="end"/>
      </w:r>
      <w:r w:rsidRPr="00991160">
        <w:rPr>
          <w:b/>
          <w:bCs/>
        </w:rPr>
        <w:t>:</w:t>
      </w:r>
      <w:bookmarkStart w:id="58" w:name="_Toc117342250"/>
      <w:bookmarkStart w:id="59" w:name="_Toc117376617"/>
      <w:r>
        <w:rPr>
          <w:b/>
          <w:bCs/>
        </w:rPr>
        <w:t xml:space="preserve"> </w:t>
      </w:r>
      <w:r w:rsidR="007F0783">
        <w:t>Crossplot of acoustic impedance and neutron porosity logs, color-coded by photoelectric factor log showing distinct separations interpreted as limestone, dolomite, and shale.</w:t>
      </w:r>
      <w:bookmarkEnd w:id="57"/>
      <w:bookmarkEnd w:id="58"/>
      <w:bookmarkEnd w:id="59"/>
    </w:p>
    <w:p w14:paraId="7D9BC12E" w14:textId="77777777" w:rsidR="00991160" w:rsidRDefault="007F0783" w:rsidP="00991160">
      <w:pPr>
        <w:keepNext/>
        <w:spacing w:line="259" w:lineRule="auto"/>
        <w:jc w:val="left"/>
      </w:pPr>
      <w:r>
        <w:rPr>
          <w:noProof/>
          <w:color w:val="000000"/>
          <w:sz w:val="22"/>
        </w:rPr>
        <w:lastRenderedPageBreak/>
        <w:drawing>
          <wp:inline distT="0" distB="0" distL="0" distR="0" wp14:anchorId="66DDC94F" wp14:editId="6580D109">
            <wp:extent cx="8229600" cy="4381520"/>
            <wp:effectExtent l="0" t="0" r="0" b="0"/>
            <wp:docPr id="8" name="Picture 8" descr="Schematic,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hematic, timeline&#10;&#10;Description automatically generated with medium confidence"/>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254109" cy="4394569"/>
                    </a:xfrm>
                    <a:prstGeom prst="rect">
                      <a:avLst/>
                    </a:prstGeom>
                    <a:noFill/>
                  </pic:spPr>
                </pic:pic>
              </a:graphicData>
            </a:graphic>
          </wp:inline>
        </w:drawing>
      </w:r>
    </w:p>
    <w:p w14:paraId="5C6BEDAE" w14:textId="4D54D397" w:rsidR="007F0783" w:rsidRPr="00991160" w:rsidRDefault="00991160" w:rsidP="007F0783">
      <w:pPr>
        <w:pStyle w:val="Caption"/>
        <w:jc w:val="left"/>
        <w:rPr>
          <w:b/>
          <w:bCs/>
        </w:rPr>
        <w:sectPr w:rsidR="007F0783" w:rsidRPr="00991160" w:rsidSect="00086BA9">
          <w:type w:val="continuous"/>
          <w:pgSz w:w="15840" w:h="12240" w:orient="landscape"/>
          <w:pgMar w:top="1440" w:right="1440" w:bottom="1440" w:left="1440" w:header="720" w:footer="720" w:gutter="0"/>
          <w:cols w:space="720"/>
          <w:docGrid w:linePitch="360"/>
        </w:sectPr>
      </w:pPr>
      <w:bookmarkStart w:id="60" w:name="_Toc121095101"/>
      <w:r w:rsidRPr="00991160">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6</w:t>
      </w:r>
      <w:r w:rsidR="00D532BC">
        <w:rPr>
          <w:b/>
          <w:bCs/>
        </w:rPr>
        <w:fldChar w:fldCharType="end"/>
      </w:r>
      <w:r w:rsidRPr="00991160">
        <w:rPr>
          <w:b/>
          <w:bCs/>
        </w:rPr>
        <w:t xml:space="preserve">: </w:t>
      </w:r>
      <w:bookmarkStart w:id="61" w:name="_Toc117342251"/>
      <w:bookmarkStart w:id="62" w:name="_Toc117376618"/>
      <w:r w:rsidR="007F0783" w:rsidRPr="00ED2547">
        <w:t xml:space="preserve">East–west cross section of wells showing the lithology logs together with a suite of well logs (track 1, overlay of </w:t>
      </w:r>
      <w:r>
        <w:t>G</w:t>
      </w:r>
      <w:r w:rsidR="007F0783" w:rsidRPr="00ED2547">
        <w:t xml:space="preserve">amma </w:t>
      </w:r>
      <w:r>
        <w:t>R</w:t>
      </w:r>
      <w:r w:rsidR="007F0783" w:rsidRPr="00ED2547">
        <w:t xml:space="preserve">ay and </w:t>
      </w:r>
      <w:r>
        <w:t>C</w:t>
      </w:r>
      <w:r w:rsidR="007F0783" w:rsidRPr="00ED2547">
        <w:t xml:space="preserve">aliper; track 2, overlay of </w:t>
      </w:r>
      <w:r>
        <w:t>N</w:t>
      </w:r>
      <w:r w:rsidR="007F0783" w:rsidRPr="00ED2547">
        <w:t xml:space="preserve">eutron and </w:t>
      </w:r>
      <w:r>
        <w:t>D</w:t>
      </w:r>
      <w:r w:rsidR="007F0783" w:rsidRPr="00ED2547">
        <w:t xml:space="preserve">ensity porosity logs; track 3, </w:t>
      </w:r>
      <w:r>
        <w:t>T</w:t>
      </w:r>
      <w:r w:rsidR="007F0783" w:rsidRPr="00ED2547">
        <w:t xml:space="preserve">otal porosity; track 4, </w:t>
      </w:r>
      <w:r>
        <w:t>P</w:t>
      </w:r>
      <w:r w:rsidR="007F0783" w:rsidRPr="00ED2547">
        <w:t xml:space="preserve">hotoelectric </w:t>
      </w:r>
      <w:r>
        <w:t>F</w:t>
      </w:r>
      <w:r w:rsidR="007F0783" w:rsidRPr="00ED2547">
        <w:t xml:space="preserve">actor </w:t>
      </w:r>
      <w:r>
        <w:t>L</w:t>
      </w:r>
      <w:r w:rsidR="007F0783" w:rsidRPr="00ED2547">
        <w:t xml:space="preserve">og; track 5, </w:t>
      </w:r>
      <w:r>
        <w:t>A</w:t>
      </w:r>
      <w:r w:rsidR="007F0783" w:rsidRPr="00ED2547">
        <w:t xml:space="preserve">coustic </w:t>
      </w:r>
      <w:r>
        <w:t>I</w:t>
      </w:r>
      <w:r w:rsidR="007F0783" w:rsidRPr="00ED2547">
        <w:t xml:space="preserve">mpedance; and track 6, </w:t>
      </w:r>
      <w:r>
        <w:t>L</w:t>
      </w:r>
      <w:r w:rsidR="007F0783" w:rsidRPr="00ED2547">
        <w:t>ithology).</w:t>
      </w:r>
      <w:bookmarkEnd w:id="60"/>
      <w:bookmarkEnd w:id="61"/>
      <w:bookmarkEnd w:id="62"/>
    </w:p>
    <w:p w14:paraId="7D817392" w14:textId="77777777" w:rsidR="00892A04" w:rsidRDefault="007F0783" w:rsidP="00D76E31">
      <w:pPr>
        <w:pStyle w:val="Caption"/>
        <w:keepNext/>
        <w:jc w:val="center"/>
      </w:pPr>
      <w:r>
        <w:rPr>
          <w:i/>
          <w:iCs w:val="0"/>
          <w:noProof/>
          <w:color w:val="000000"/>
          <w:sz w:val="22"/>
          <w:szCs w:val="22"/>
        </w:rPr>
        <w:lastRenderedPageBreak/>
        <w:drawing>
          <wp:inline distT="0" distB="0" distL="0" distR="0" wp14:anchorId="19E03158" wp14:editId="48D1C619">
            <wp:extent cx="5803064" cy="5858540"/>
            <wp:effectExtent l="0" t="0" r="7620" b="889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13542" cy="5869118"/>
                    </a:xfrm>
                    <a:prstGeom prst="rect">
                      <a:avLst/>
                    </a:prstGeom>
                    <a:noFill/>
                  </pic:spPr>
                </pic:pic>
              </a:graphicData>
            </a:graphic>
          </wp:inline>
        </w:drawing>
      </w:r>
    </w:p>
    <w:p w14:paraId="52954131" w14:textId="04CF7E9B" w:rsidR="007F0783" w:rsidRPr="00892A04" w:rsidRDefault="00892A04" w:rsidP="007F0783">
      <w:pPr>
        <w:pStyle w:val="Caption"/>
        <w:jc w:val="left"/>
        <w:rPr>
          <w:b/>
          <w:bCs/>
        </w:rPr>
        <w:sectPr w:rsidR="007F0783" w:rsidRPr="00892A04" w:rsidSect="00086BA9">
          <w:type w:val="continuous"/>
          <w:pgSz w:w="12240" w:h="15840"/>
          <w:pgMar w:top="1440" w:right="1440" w:bottom="1440" w:left="1440" w:header="720" w:footer="720" w:gutter="0"/>
          <w:cols w:space="720"/>
          <w:docGrid w:linePitch="360"/>
        </w:sectPr>
      </w:pPr>
      <w:bookmarkStart w:id="63" w:name="_Toc121095102"/>
      <w:r w:rsidRPr="00892A04">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7</w:t>
      </w:r>
      <w:r w:rsidR="00D532BC">
        <w:rPr>
          <w:b/>
          <w:bCs/>
        </w:rPr>
        <w:fldChar w:fldCharType="end"/>
      </w:r>
      <w:r w:rsidRPr="00892A04">
        <w:rPr>
          <w:b/>
          <w:bCs/>
        </w:rPr>
        <w:t>:</w:t>
      </w:r>
      <w:bookmarkStart w:id="64" w:name="_Toc117342252"/>
      <w:bookmarkStart w:id="65" w:name="_Toc117376619"/>
      <w:r>
        <w:rPr>
          <w:b/>
          <w:bCs/>
        </w:rPr>
        <w:t xml:space="preserve"> </w:t>
      </w:r>
      <w:r w:rsidR="007F0783" w:rsidRPr="00ED2547">
        <w:t>PDFs calculated from upscaled well logs for each lithology type</w:t>
      </w:r>
      <w:r w:rsidR="007F0783">
        <w:rPr>
          <w:i/>
          <w:iCs w:val="0"/>
          <w:color w:val="000000"/>
          <w:sz w:val="22"/>
          <w:szCs w:val="22"/>
        </w:rPr>
        <w:t>.</w:t>
      </w:r>
      <w:bookmarkEnd w:id="63"/>
      <w:bookmarkEnd w:id="64"/>
      <w:bookmarkEnd w:id="65"/>
    </w:p>
    <w:p w14:paraId="1418807E" w14:textId="4B80F6F6" w:rsidR="00892A04" w:rsidRPr="00086302" w:rsidRDefault="00086302" w:rsidP="00086302">
      <w:pPr>
        <w:pStyle w:val="Caption"/>
        <w:keepNext/>
      </w:pPr>
      <w:r>
        <w:rPr>
          <w:noProof/>
        </w:rPr>
        <w:lastRenderedPageBreak/>
        <w:drawing>
          <wp:inline distT="0" distB="0" distL="0" distR="0" wp14:anchorId="354FC80E" wp14:editId="53C7235D">
            <wp:extent cx="7572798" cy="3467266"/>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590138" cy="3475205"/>
                    </a:xfrm>
                    <a:prstGeom prst="rect">
                      <a:avLst/>
                    </a:prstGeom>
                    <a:noFill/>
                  </pic:spPr>
                </pic:pic>
              </a:graphicData>
            </a:graphic>
          </wp:inline>
        </w:drawing>
      </w:r>
    </w:p>
    <w:p w14:paraId="7BF62CD2" w14:textId="42D7E619" w:rsidR="007F0783" w:rsidRDefault="00892A04" w:rsidP="007F0783">
      <w:pPr>
        <w:pStyle w:val="Caption"/>
        <w:jc w:val="left"/>
        <w:sectPr w:rsidR="007F0783" w:rsidSect="00086BA9">
          <w:type w:val="continuous"/>
          <w:pgSz w:w="15840" w:h="12240" w:orient="landscape"/>
          <w:pgMar w:top="1440" w:right="1440" w:bottom="1440" w:left="1440" w:header="720" w:footer="720" w:gutter="0"/>
          <w:cols w:space="720"/>
          <w:docGrid w:linePitch="360"/>
        </w:sectPr>
      </w:pPr>
      <w:bookmarkStart w:id="66" w:name="_Toc121095103"/>
      <w:r w:rsidRPr="00892A04">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8</w:t>
      </w:r>
      <w:r w:rsidR="00D532BC">
        <w:rPr>
          <w:b/>
          <w:bCs/>
        </w:rPr>
        <w:fldChar w:fldCharType="end"/>
      </w:r>
      <w:r w:rsidRPr="00892A04">
        <w:rPr>
          <w:b/>
          <w:bCs/>
        </w:rPr>
        <w:t>:</w:t>
      </w:r>
      <w:bookmarkStart w:id="67" w:name="_Toc117342253"/>
      <w:bookmarkStart w:id="68" w:name="_Toc117376620"/>
      <w:r>
        <w:t xml:space="preserve"> </w:t>
      </w:r>
      <w:r w:rsidR="007F0783" w:rsidRPr="00ED2547">
        <w:t xml:space="preserve">QC of the </w:t>
      </w:r>
      <w:r w:rsidRPr="00ED2547">
        <w:t>post</w:t>
      </w:r>
      <w:r>
        <w:t>-</w:t>
      </w:r>
      <w:r w:rsidRPr="00ED2547">
        <w:t>stack</w:t>
      </w:r>
      <w:r w:rsidR="007F0783" w:rsidRPr="00ED2547">
        <w:t xml:space="preserve"> inversion results extracted at well locations 2 and 3. Note the high impedance values of the Leonardian section at the platform interior (well 3), which decrease toward the slope (well 2).</w:t>
      </w:r>
      <w:bookmarkEnd w:id="66"/>
      <w:bookmarkEnd w:id="67"/>
      <w:bookmarkEnd w:id="68"/>
    </w:p>
    <w:p w14:paraId="07EEAEF8" w14:textId="77777777" w:rsidR="0006286D" w:rsidRDefault="007F0783" w:rsidP="0006286D">
      <w:pPr>
        <w:pStyle w:val="Caption"/>
        <w:keepNext/>
      </w:pPr>
      <w:r>
        <w:rPr>
          <w:noProof/>
        </w:rPr>
        <w:lastRenderedPageBreak/>
        <w:drawing>
          <wp:inline distT="0" distB="0" distL="0" distR="0" wp14:anchorId="133B486E" wp14:editId="64565B68">
            <wp:extent cx="5880538" cy="4201787"/>
            <wp:effectExtent l="0" t="0" r="6350" b="889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97675" cy="4214032"/>
                    </a:xfrm>
                    <a:prstGeom prst="rect">
                      <a:avLst/>
                    </a:prstGeom>
                    <a:noFill/>
                  </pic:spPr>
                </pic:pic>
              </a:graphicData>
            </a:graphic>
          </wp:inline>
        </w:drawing>
      </w:r>
    </w:p>
    <w:p w14:paraId="778BDD98" w14:textId="656BC9F7" w:rsidR="007F0783" w:rsidRPr="006A74D6" w:rsidRDefault="0006286D" w:rsidP="007F0783">
      <w:pPr>
        <w:pStyle w:val="Caption"/>
        <w:sectPr w:rsidR="007F0783" w:rsidRPr="006A74D6" w:rsidSect="00086BA9">
          <w:type w:val="continuous"/>
          <w:pgSz w:w="12240" w:h="15840"/>
          <w:pgMar w:top="1440" w:right="1440" w:bottom="1440" w:left="1440" w:header="720" w:footer="720" w:gutter="0"/>
          <w:cols w:space="720"/>
          <w:docGrid w:linePitch="360"/>
        </w:sectPr>
      </w:pPr>
      <w:bookmarkStart w:id="69" w:name="_Toc121095104"/>
      <w:r w:rsidRPr="0006286D">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9</w:t>
      </w:r>
      <w:r w:rsidR="00D532BC">
        <w:rPr>
          <w:b/>
          <w:bCs/>
        </w:rPr>
        <w:fldChar w:fldCharType="end"/>
      </w:r>
      <w:r w:rsidRPr="0006286D">
        <w:rPr>
          <w:b/>
          <w:bCs/>
        </w:rPr>
        <w:t>:</w:t>
      </w:r>
      <w:bookmarkStart w:id="70" w:name="_Toc117342254"/>
      <w:bookmarkStart w:id="71" w:name="_Toc117376621"/>
      <w:r>
        <w:t xml:space="preserve"> </w:t>
      </w:r>
      <w:r w:rsidR="007F0783">
        <w:rPr>
          <w:color w:val="000000"/>
          <w:sz w:val="22"/>
          <w:szCs w:val="22"/>
        </w:rPr>
        <w:t>Selection of the optimum number of attributes for PNN neutron porosity volume prediction. The training and validation errors are plotted against the number of attributes. Note the increase in validation error after four attributes, indicating overtraining.</w:t>
      </w:r>
      <w:bookmarkEnd w:id="69"/>
      <w:bookmarkEnd w:id="70"/>
      <w:bookmarkEnd w:id="71"/>
    </w:p>
    <w:p w14:paraId="033D23A7" w14:textId="77777777" w:rsidR="0006286D" w:rsidRDefault="007F0783" w:rsidP="0006286D">
      <w:pPr>
        <w:pStyle w:val="Caption"/>
        <w:keepNext/>
      </w:pPr>
      <w:r>
        <w:rPr>
          <w:noProof/>
        </w:rPr>
        <w:lastRenderedPageBreak/>
        <w:drawing>
          <wp:inline distT="0" distB="0" distL="0" distR="0" wp14:anchorId="5FFD8E81" wp14:editId="1D50D005">
            <wp:extent cx="8178033" cy="4812457"/>
            <wp:effectExtent l="0" t="0" r="0" b="7620"/>
            <wp:docPr id="17" name="Picture 1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207309" cy="4829685"/>
                    </a:xfrm>
                    <a:prstGeom prst="rect">
                      <a:avLst/>
                    </a:prstGeom>
                    <a:noFill/>
                  </pic:spPr>
                </pic:pic>
              </a:graphicData>
            </a:graphic>
          </wp:inline>
        </w:drawing>
      </w:r>
    </w:p>
    <w:p w14:paraId="22C1AD74" w14:textId="6548FC7E" w:rsidR="007F0783" w:rsidRPr="0006286D" w:rsidRDefault="0006286D" w:rsidP="0006286D">
      <w:pPr>
        <w:pStyle w:val="Caption"/>
        <w:rPr>
          <w:b/>
          <w:bCs/>
        </w:rPr>
      </w:pPr>
      <w:bookmarkStart w:id="72" w:name="_Toc121095105"/>
      <w:r w:rsidRPr="0006286D">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10</w:t>
      </w:r>
      <w:r w:rsidR="00D532BC">
        <w:rPr>
          <w:b/>
          <w:bCs/>
        </w:rPr>
        <w:fldChar w:fldCharType="end"/>
      </w:r>
      <w:r w:rsidRPr="0006286D">
        <w:rPr>
          <w:b/>
          <w:bCs/>
        </w:rPr>
        <w:t>:</w:t>
      </w:r>
      <w:bookmarkStart w:id="73" w:name="_Toc117342255"/>
      <w:bookmarkStart w:id="74" w:name="_Toc117376622"/>
      <w:r>
        <w:rPr>
          <w:b/>
          <w:bCs/>
        </w:rPr>
        <w:t xml:space="preserve"> </w:t>
      </w:r>
      <w:r w:rsidR="007F0783">
        <w:t>Validation results of the PNN neutron porosity volume prediction. (a) Crossplot between the actual and predicted neutron porosity values shows an 85% correlation. (b) Blind well (well 6) validation of the PNN results.</w:t>
      </w:r>
      <w:bookmarkEnd w:id="72"/>
      <w:bookmarkEnd w:id="73"/>
      <w:bookmarkEnd w:id="74"/>
      <w:r w:rsidR="007F0783" w:rsidRPr="00ED2547">
        <w:t xml:space="preserve"> </w:t>
      </w:r>
    </w:p>
    <w:p w14:paraId="61915FC3" w14:textId="77777777" w:rsidR="0006286D" w:rsidRDefault="007F0783" w:rsidP="0006286D">
      <w:pPr>
        <w:keepNext/>
      </w:pPr>
      <w:r>
        <w:rPr>
          <w:noProof/>
        </w:rPr>
        <w:lastRenderedPageBreak/>
        <w:drawing>
          <wp:inline distT="0" distB="0" distL="0" distR="0" wp14:anchorId="40490B89" wp14:editId="125BD457">
            <wp:extent cx="7893170" cy="4893178"/>
            <wp:effectExtent l="0" t="0" r="0" b="317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7953846" cy="4930793"/>
                    </a:xfrm>
                    <a:prstGeom prst="rect">
                      <a:avLst/>
                    </a:prstGeom>
                    <a:noFill/>
                  </pic:spPr>
                </pic:pic>
              </a:graphicData>
            </a:graphic>
          </wp:inline>
        </w:drawing>
      </w:r>
    </w:p>
    <w:p w14:paraId="4AFBFB64" w14:textId="23978F97" w:rsidR="007F0783" w:rsidRPr="0006286D" w:rsidRDefault="0006286D" w:rsidP="007F0783">
      <w:pPr>
        <w:pStyle w:val="Caption"/>
        <w:rPr>
          <w:b/>
          <w:bCs/>
        </w:rPr>
      </w:pPr>
      <w:bookmarkStart w:id="75" w:name="_Toc121095106"/>
      <w:r w:rsidRPr="0006286D">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11</w:t>
      </w:r>
      <w:r w:rsidR="00D532BC">
        <w:rPr>
          <w:b/>
          <w:bCs/>
        </w:rPr>
        <w:fldChar w:fldCharType="end"/>
      </w:r>
      <w:r w:rsidRPr="0006286D">
        <w:rPr>
          <w:b/>
          <w:bCs/>
        </w:rPr>
        <w:t>:</w:t>
      </w:r>
      <w:bookmarkStart w:id="76" w:name="_Toc117342256"/>
      <w:bookmarkStart w:id="77" w:name="_Toc117376623"/>
      <w:r>
        <w:rPr>
          <w:b/>
          <w:bCs/>
        </w:rPr>
        <w:t xml:space="preserve"> </w:t>
      </w:r>
      <w:r w:rsidR="007F0783" w:rsidRPr="00A11ED4">
        <w:t>Arbitrary line through the blind validation well (well 6) showing the PNN neutron porosity volume prediction result.</w:t>
      </w:r>
      <w:bookmarkEnd w:id="75"/>
      <w:bookmarkEnd w:id="76"/>
      <w:bookmarkEnd w:id="77"/>
    </w:p>
    <w:p w14:paraId="3FE8082A" w14:textId="77777777" w:rsidR="007F0783" w:rsidRDefault="007F0783" w:rsidP="007F0783">
      <w:pPr>
        <w:sectPr w:rsidR="007F0783" w:rsidSect="00086BA9">
          <w:type w:val="continuous"/>
          <w:pgSz w:w="15840" w:h="12240" w:orient="landscape"/>
          <w:pgMar w:top="1440" w:right="1440" w:bottom="1440" w:left="1440" w:header="720" w:footer="720" w:gutter="0"/>
          <w:cols w:space="720"/>
          <w:docGrid w:linePitch="360"/>
        </w:sectPr>
      </w:pPr>
    </w:p>
    <w:p w14:paraId="4A8A21DC" w14:textId="77777777" w:rsidR="0006286D" w:rsidRDefault="007F0783" w:rsidP="0006286D">
      <w:pPr>
        <w:keepNext/>
      </w:pPr>
      <w:r>
        <w:rPr>
          <w:noProof/>
        </w:rPr>
        <w:lastRenderedPageBreak/>
        <w:drawing>
          <wp:inline distT="0" distB="0" distL="0" distR="0" wp14:anchorId="04CD01BD" wp14:editId="47C85A5E">
            <wp:extent cx="5885643" cy="4887438"/>
            <wp:effectExtent l="0" t="0" r="1270" b="889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03151" cy="4901976"/>
                    </a:xfrm>
                    <a:prstGeom prst="rect">
                      <a:avLst/>
                    </a:prstGeom>
                    <a:noFill/>
                  </pic:spPr>
                </pic:pic>
              </a:graphicData>
            </a:graphic>
          </wp:inline>
        </w:drawing>
      </w:r>
    </w:p>
    <w:p w14:paraId="3BE6E643" w14:textId="77D4F7BE" w:rsidR="007F0783" w:rsidRPr="0006286D" w:rsidRDefault="0006286D" w:rsidP="007F0783">
      <w:pPr>
        <w:pStyle w:val="Caption"/>
        <w:rPr>
          <w:b/>
          <w:bCs/>
        </w:rPr>
        <w:sectPr w:rsidR="007F0783" w:rsidRPr="0006286D" w:rsidSect="00086BA9">
          <w:type w:val="continuous"/>
          <w:pgSz w:w="12240" w:h="15840"/>
          <w:pgMar w:top="1440" w:right="1440" w:bottom="1440" w:left="1440" w:header="720" w:footer="720" w:gutter="0"/>
          <w:cols w:space="720"/>
          <w:docGrid w:linePitch="360"/>
        </w:sectPr>
      </w:pPr>
      <w:bookmarkStart w:id="78" w:name="_Toc121095107"/>
      <w:r w:rsidRPr="0006286D">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12</w:t>
      </w:r>
      <w:r w:rsidR="00D532BC">
        <w:rPr>
          <w:b/>
          <w:bCs/>
        </w:rPr>
        <w:fldChar w:fldCharType="end"/>
      </w:r>
      <w:r w:rsidRPr="0006286D">
        <w:rPr>
          <w:b/>
          <w:bCs/>
        </w:rPr>
        <w:t xml:space="preserve">: </w:t>
      </w:r>
      <w:bookmarkStart w:id="79" w:name="_Toc117342257"/>
      <w:bookmarkStart w:id="80" w:name="_Toc117376624"/>
      <w:r w:rsidR="007F0783" w:rsidRPr="009F0274">
        <w:t>Selection of the optimum number of attributes for the PNN total porosity volume prediction. The training and validation error curves indicate that using three attributes yields the lowest validation error.</w:t>
      </w:r>
      <w:bookmarkEnd w:id="78"/>
      <w:bookmarkEnd w:id="79"/>
      <w:bookmarkEnd w:id="80"/>
    </w:p>
    <w:p w14:paraId="40EEE92E" w14:textId="77777777" w:rsidR="0006286D" w:rsidRDefault="007F0783" w:rsidP="0006286D">
      <w:pPr>
        <w:pStyle w:val="Caption"/>
        <w:keepNext/>
        <w:jc w:val="center"/>
      </w:pPr>
      <w:r>
        <w:rPr>
          <w:noProof/>
        </w:rPr>
        <w:lastRenderedPageBreak/>
        <w:drawing>
          <wp:inline distT="0" distB="0" distL="0" distR="0" wp14:anchorId="6C3FB684" wp14:editId="2B307F53">
            <wp:extent cx="8010243" cy="4873925"/>
            <wp:effectExtent l="0" t="0" r="0" b="3175"/>
            <wp:docPr id="18" name="Picture 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038749" cy="4891270"/>
                    </a:xfrm>
                    <a:prstGeom prst="rect">
                      <a:avLst/>
                    </a:prstGeom>
                    <a:noFill/>
                  </pic:spPr>
                </pic:pic>
              </a:graphicData>
            </a:graphic>
          </wp:inline>
        </w:drawing>
      </w:r>
    </w:p>
    <w:p w14:paraId="72D67A8F" w14:textId="3CF36BC1" w:rsidR="007F0783" w:rsidRDefault="0006286D" w:rsidP="007F0783">
      <w:pPr>
        <w:pStyle w:val="Caption"/>
        <w:sectPr w:rsidR="007F0783" w:rsidSect="00086BA9">
          <w:type w:val="continuous"/>
          <w:pgSz w:w="15840" w:h="12240" w:orient="landscape"/>
          <w:pgMar w:top="1440" w:right="1440" w:bottom="1440" w:left="1440" w:header="720" w:footer="720" w:gutter="0"/>
          <w:cols w:space="720"/>
          <w:docGrid w:linePitch="360"/>
        </w:sectPr>
      </w:pPr>
      <w:bookmarkStart w:id="81" w:name="_Toc121095108"/>
      <w:r w:rsidRPr="0006286D">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13</w:t>
      </w:r>
      <w:r w:rsidR="00D532BC">
        <w:rPr>
          <w:b/>
          <w:bCs/>
        </w:rPr>
        <w:fldChar w:fldCharType="end"/>
      </w:r>
      <w:r w:rsidRPr="0006286D">
        <w:rPr>
          <w:b/>
          <w:bCs/>
        </w:rPr>
        <w:t>:</w:t>
      </w:r>
      <w:r>
        <w:t xml:space="preserve"> </w:t>
      </w:r>
      <w:bookmarkStart w:id="82" w:name="_Toc117342258"/>
      <w:bookmarkStart w:id="83" w:name="_Toc117376625"/>
      <w:r w:rsidR="007F0783" w:rsidRPr="00AE02BA">
        <w:t>Validation results of the PNN total porosity prediction volume. (Left) A crossplot between the actual and predicted total porosity values shows an 81% correlation. (Right) Blind well validation of the PNN results.</w:t>
      </w:r>
      <w:bookmarkEnd w:id="81"/>
      <w:bookmarkEnd w:id="82"/>
      <w:bookmarkEnd w:id="83"/>
    </w:p>
    <w:p w14:paraId="2A9950ED" w14:textId="77777777" w:rsidR="007371BE" w:rsidRDefault="007F0783" w:rsidP="007371BE">
      <w:pPr>
        <w:pStyle w:val="Caption"/>
        <w:keepNext/>
        <w:jc w:val="center"/>
      </w:pPr>
      <w:r>
        <w:rPr>
          <w:noProof/>
        </w:rPr>
        <w:lastRenderedPageBreak/>
        <w:drawing>
          <wp:inline distT="0" distB="0" distL="0" distR="0" wp14:anchorId="2282DB90" wp14:editId="1DCFDD96">
            <wp:extent cx="7546760" cy="4891177"/>
            <wp:effectExtent l="0" t="0" r="0" b="5080"/>
            <wp:docPr id="19" name="Picture 1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with medium confidence"/>
                    <pic:cNvPicPr>
                      <a:picLocks noChangeAspect="1" noChangeArrowheads="1"/>
                    </pic:cNvPicPr>
                  </pic:nvPicPr>
                  <pic:blipFill rotWithShape="1">
                    <a:blip r:embed="rId122">
                      <a:extLst>
                        <a:ext uri="{28A0092B-C50C-407E-A947-70E740481C1C}">
                          <a14:useLocalDpi xmlns:a14="http://schemas.microsoft.com/office/drawing/2010/main" val="0"/>
                        </a:ext>
                      </a:extLst>
                    </a:blip>
                    <a:srcRect/>
                    <a:stretch/>
                  </pic:blipFill>
                  <pic:spPr bwMode="auto">
                    <a:xfrm>
                      <a:off x="0" y="0"/>
                      <a:ext cx="7573406" cy="4908446"/>
                    </a:xfrm>
                    <a:prstGeom prst="rect">
                      <a:avLst/>
                    </a:prstGeom>
                    <a:noFill/>
                    <a:ln>
                      <a:noFill/>
                    </a:ln>
                    <a:extLst>
                      <a:ext uri="{53640926-AAD7-44D8-BBD7-CCE9431645EC}">
                        <a14:shadowObscured xmlns:a14="http://schemas.microsoft.com/office/drawing/2010/main"/>
                      </a:ext>
                    </a:extLst>
                  </pic:spPr>
                </pic:pic>
              </a:graphicData>
            </a:graphic>
          </wp:inline>
        </w:drawing>
      </w:r>
    </w:p>
    <w:p w14:paraId="1C437FC7" w14:textId="32D38B58" w:rsidR="007F0783" w:rsidRPr="007371BE" w:rsidRDefault="007371BE" w:rsidP="007F0783">
      <w:pPr>
        <w:pStyle w:val="Caption"/>
        <w:rPr>
          <w:b/>
          <w:bCs/>
        </w:rPr>
        <w:sectPr w:rsidR="007F0783" w:rsidRPr="007371BE" w:rsidSect="00086BA9">
          <w:type w:val="continuous"/>
          <w:pgSz w:w="15840" w:h="12240" w:orient="landscape"/>
          <w:pgMar w:top="1440" w:right="1440" w:bottom="1440" w:left="1440" w:header="720" w:footer="720" w:gutter="0"/>
          <w:cols w:space="720"/>
          <w:docGrid w:linePitch="360"/>
        </w:sectPr>
      </w:pPr>
      <w:bookmarkStart w:id="84" w:name="_Toc121095109"/>
      <w:r w:rsidRPr="007371BE">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14</w:t>
      </w:r>
      <w:r w:rsidR="00D532BC">
        <w:rPr>
          <w:b/>
          <w:bCs/>
        </w:rPr>
        <w:fldChar w:fldCharType="end"/>
      </w:r>
      <w:r w:rsidRPr="007371BE">
        <w:rPr>
          <w:b/>
          <w:bCs/>
        </w:rPr>
        <w:t>:</w:t>
      </w:r>
      <w:bookmarkStart w:id="85" w:name="_Toc117342259"/>
      <w:bookmarkStart w:id="86" w:name="_Toc117376626"/>
      <w:r>
        <w:rPr>
          <w:b/>
          <w:bCs/>
        </w:rPr>
        <w:t xml:space="preserve"> </w:t>
      </w:r>
      <w:r w:rsidR="007F0783" w:rsidRPr="001649BD">
        <w:t>The arbitrary line through the blind validation well (well 6) showing the PNN total porosity volume prediction results.</w:t>
      </w:r>
      <w:bookmarkEnd w:id="84"/>
      <w:bookmarkEnd w:id="85"/>
      <w:bookmarkEnd w:id="86"/>
    </w:p>
    <w:p w14:paraId="31187470" w14:textId="4EB79461" w:rsidR="007371BE" w:rsidRDefault="00455852" w:rsidP="007371BE">
      <w:pPr>
        <w:pStyle w:val="Caption"/>
        <w:keepNext/>
        <w:jc w:val="center"/>
      </w:pPr>
      <w:r>
        <w:rPr>
          <w:noProof/>
        </w:rPr>
        <w:lastRenderedPageBreak/>
        <w:drawing>
          <wp:inline distT="0" distB="0" distL="0" distR="0" wp14:anchorId="30A385A1" wp14:editId="20BBAFB2">
            <wp:extent cx="8111453" cy="4868333"/>
            <wp:effectExtent l="0" t="0" r="444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132678" cy="4881072"/>
                    </a:xfrm>
                    <a:prstGeom prst="rect">
                      <a:avLst/>
                    </a:prstGeom>
                    <a:noFill/>
                  </pic:spPr>
                </pic:pic>
              </a:graphicData>
            </a:graphic>
          </wp:inline>
        </w:drawing>
      </w:r>
    </w:p>
    <w:p w14:paraId="0F56082A" w14:textId="6FC55241" w:rsidR="007F0783" w:rsidRDefault="007371BE" w:rsidP="007F0783">
      <w:pPr>
        <w:pStyle w:val="Caption"/>
        <w:sectPr w:rsidR="007F0783" w:rsidSect="00086BA9">
          <w:type w:val="continuous"/>
          <w:pgSz w:w="15840" w:h="12240" w:orient="landscape"/>
          <w:pgMar w:top="1440" w:right="1440" w:bottom="1440" w:left="1440" w:header="720" w:footer="720" w:gutter="0"/>
          <w:cols w:space="720"/>
          <w:docGrid w:linePitch="360"/>
        </w:sectPr>
      </w:pPr>
      <w:bookmarkStart w:id="87" w:name="_Toc121095110"/>
      <w:r w:rsidRPr="007371BE">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15</w:t>
      </w:r>
      <w:r w:rsidR="00D532BC">
        <w:rPr>
          <w:b/>
          <w:bCs/>
        </w:rPr>
        <w:fldChar w:fldCharType="end"/>
      </w:r>
      <w:r w:rsidRPr="007371BE">
        <w:rPr>
          <w:b/>
          <w:bCs/>
        </w:rPr>
        <w:t>:</w:t>
      </w:r>
      <w:bookmarkStart w:id="88" w:name="_Toc117342260"/>
      <w:bookmarkStart w:id="89" w:name="_Toc117376627"/>
      <w:r>
        <w:t xml:space="preserve"> </w:t>
      </w:r>
      <w:r w:rsidR="007F0783" w:rsidRPr="00B714FA">
        <w:t>Supervised Bayesian classification results at an arbitrary line through well 6. The output volumes are the probabilities of each lithology type and the most probable lithology volume: (a) probability of limestone, (b) probability of dolomite, (c) probability of shale, and (d) the most probable lithology volume.</w:t>
      </w:r>
      <w:bookmarkEnd w:id="87"/>
      <w:bookmarkEnd w:id="88"/>
      <w:bookmarkEnd w:id="89"/>
    </w:p>
    <w:p w14:paraId="0044DDBC" w14:textId="3229A80D" w:rsidR="00523731" w:rsidRDefault="00DF4B26" w:rsidP="00523731">
      <w:pPr>
        <w:keepNext/>
        <w:tabs>
          <w:tab w:val="left" w:pos="9270"/>
        </w:tabs>
      </w:pPr>
      <w:r>
        <w:rPr>
          <w:noProof/>
        </w:rPr>
        <w:lastRenderedPageBreak/>
        <w:drawing>
          <wp:inline distT="0" distB="0" distL="0" distR="0" wp14:anchorId="66A0FDD4" wp14:editId="12E8DBEE">
            <wp:extent cx="5918245" cy="4913207"/>
            <wp:effectExtent l="0" t="0" r="635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927741" cy="4921090"/>
                    </a:xfrm>
                    <a:prstGeom prst="rect">
                      <a:avLst/>
                    </a:prstGeom>
                    <a:noFill/>
                  </pic:spPr>
                </pic:pic>
              </a:graphicData>
            </a:graphic>
          </wp:inline>
        </w:drawing>
      </w:r>
    </w:p>
    <w:p w14:paraId="4B84D175" w14:textId="79D60225" w:rsidR="007F0783" w:rsidRDefault="00523731" w:rsidP="007F0783">
      <w:pPr>
        <w:pStyle w:val="Caption"/>
        <w:rPr>
          <w:rStyle w:val="Strong"/>
          <w:b w:val="0"/>
          <w:bCs w:val="0"/>
        </w:rPr>
      </w:pPr>
      <w:bookmarkStart w:id="90" w:name="_Toc121095111"/>
      <w:r w:rsidRPr="00421332">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16</w:t>
      </w:r>
      <w:r w:rsidR="00D532BC">
        <w:rPr>
          <w:b/>
          <w:bCs/>
        </w:rPr>
        <w:fldChar w:fldCharType="end"/>
      </w:r>
      <w:r w:rsidRPr="00421332">
        <w:rPr>
          <w:b/>
          <w:bCs/>
        </w:rPr>
        <w:t>:</w:t>
      </w:r>
      <w:bookmarkStart w:id="91" w:name="_Toc117342261"/>
      <w:bookmarkStart w:id="92" w:name="_Toc117376628"/>
      <w:r w:rsidR="00421332">
        <w:t xml:space="preserve"> </w:t>
      </w:r>
      <w:r w:rsidR="007F0783" w:rsidRPr="00371387">
        <w:rPr>
          <w:rStyle w:val="Strong"/>
          <w:b w:val="0"/>
          <w:bCs w:val="0"/>
        </w:rPr>
        <w:t>Lower to Middle Permian sections through arbitrary lines from the most probable lithology and PNN predicted total porosity volumes. The arbitrary line showing the most probable lithology co-rendered with the seismic amplitude values. Note that the platform interior and shelf is dominantly dolomite, whereas the slope is limestone</w:t>
      </w:r>
      <w:r w:rsidR="00421332">
        <w:rPr>
          <w:rStyle w:val="Strong"/>
          <w:b w:val="0"/>
          <w:bCs w:val="0"/>
        </w:rPr>
        <w:t xml:space="preserve"> </w:t>
      </w:r>
      <w:r w:rsidR="00421332" w:rsidRPr="00371387">
        <w:rPr>
          <w:rStyle w:val="Strong"/>
          <w:b w:val="0"/>
          <w:bCs w:val="0"/>
        </w:rPr>
        <w:t>(</w:t>
      </w:r>
      <w:r w:rsidR="00421332">
        <w:rPr>
          <w:rStyle w:val="Strong"/>
          <w:b w:val="0"/>
          <w:bCs w:val="0"/>
        </w:rPr>
        <w:t>Upper image</w:t>
      </w:r>
      <w:r w:rsidR="00421332" w:rsidRPr="00371387">
        <w:rPr>
          <w:rStyle w:val="Strong"/>
          <w:b w:val="0"/>
          <w:bCs w:val="0"/>
        </w:rPr>
        <w:t>)</w:t>
      </w:r>
      <w:r w:rsidR="00421332">
        <w:rPr>
          <w:rStyle w:val="Strong"/>
          <w:b w:val="0"/>
          <w:bCs w:val="0"/>
        </w:rPr>
        <w:t xml:space="preserve">. </w:t>
      </w:r>
      <w:r w:rsidR="007F0783" w:rsidRPr="00371387">
        <w:rPr>
          <w:rStyle w:val="Strong"/>
          <w:b w:val="0"/>
          <w:bCs w:val="0"/>
        </w:rPr>
        <w:t xml:space="preserve">The predicted total porosity extracted on the same arbitrary line showing increasing porosity from shelf to </w:t>
      </w:r>
      <w:r w:rsidR="0046687C" w:rsidRPr="00371387">
        <w:rPr>
          <w:rStyle w:val="Strong"/>
          <w:b w:val="0"/>
          <w:bCs w:val="0"/>
        </w:rPr>
        <w:t>slope (</w:t>
      </w:r>
      <w:r w:rsidR="00421332">
        <w:rPr>
          <w:rStyle w:val="Strong"/>
          <w:b w:val="0"/>
          <w:bCs w:val="0"/>
        </w:rPr>
        <w:t>Lower Image</w:t>
      </w:r>
      <w:r w:rsidR="00421332" w:rsidRPr="00371387">
        <w:rPr>
          <w:rStyle w:val="Strong"/>
          <w:b w:val="0"/>
          <w:bCs w:val="0"/>
        </w:rPr>
        <w:t>)</w:t>
      </w:r>
      <w:r w:rsidR="007F0783" w:rsidRPr="00371387">
        <w:rPr>
          <w:rStyle w:val="Strong"/>
          <w:b w:val="0"/>
          <w:bCs w:val="0"/>
        </w:rPr>
        <w:t>.</w:t>
      </w:r>
      <w:bookmarkEnd w:id="90"/>
      <w:bookmarkEnd w:id="91"/>
      <w:bookmarkEnd w:id="92"/>
      <w:r w:rsidR="007F0783">
        <w:rPr>
          <w:rStyle w:val="Strong"/>
          <w:b w:val="0"/>
          <w:bCs w:val="0"/>
        </w:rPr>
        <w:br w:type="page"/>
      </w:r>
    </w:p>
    <w:p w14:paraId="5545EF11" w14:textId="77777777" w:rsidR="00CA44D2" w:rsidRDefault="007F0783" w:rsidP="00CA44D2">
      <w:pPr>
        <w:pStyle w:val="Caption"/>
        <w:keepNext/>
      </w:pPr>
      <w:r>
        <w:rPr>
          <w:noProof/>
        </w:rPr>
        <w:lastRenderedPageBreak/>
        <w:drawing>
          <wp:inline distT="0" distB="0" distL="0" distR="0" wp14:anchorId="3A20114B" wp14:editId="7B443F36">
            <wp:extent cx="5912498" cy="4267200"/>
            <wp:effectExtent l="0" t="0" r="0" b="0"/>
            <wp:docPr id="22" name="Picture 22"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surface chart&#10;&#10;Description automatically generated"/>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31103" cy="4280628"/>
                    </a:xfrm>
                    <a:prstGeom prst="rect">
                      <a:avLst/>
                    </a:prstGeom>
                    <a:noFill/>
                  </pic:spPr>
                </pic:pic>
              </a:graphicData>
            </a:graphic>
          </wp:inline>
        </w:drawing>
      </w:r>
    </w:p>
    <w:p w14:paraId="4016B6B6" w14:textId="24973B30" w:rsidR="007F0783" w:rsidRPr="00CA44D2" w:rsidRDefault="00CA44D2" w:rsidP="007F0783">
      <w:pPr>
        <w:pStyle w:val="Caption"/>
        <w:rPr>
          <w:b/>
          <w:bCs/>
        </w:rPr>
      </w:pPr>
      <w:bookmarkStart w:id="93" w:name="_Toc121095112"/>
      <w:r w:rsidRPr="00CA44D2">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17</w:t>
      </w:r>
      <w:r w:rsidR="00D532BC">
        <w:rPr>
          <w:b/>
          <w:bCs/>
        </w:rPr>
        <w:fldChar w:fldCharType="end"/>
      </w:r>
      <w:r w:rsidRPr="00CA44D2">
        <w:rPr>
          <w:b/>
          <w:bCs/>
        </w:rPr>
        <w:t>:</w:t>
      </w:r>
      <w:bookmarkStart w:id="94" w:name="_Toc117342262"/>
      <w:bookmarkStart w:id="95" w:name="_Toc117376629"/>
      <w:r>
        <w:rPr>
          <w:b/>
          <w:bCs/>
        </w:rPr>
        <w:t xml:space="preserve"> </w:t>
      </w:r>
      <w:r w:rsidR="007F0783" w:rsidRPr="00361F5E">
        <w:t>Supervised Bayesian classification and PNN total porosity prediction results extracted on the SS3 surface. Note (a) the increasing limestone probability from the shelf to slope. (b) Extracted dolomite probability values show the opposite trend where the shelf top has a high probability of dolomite, decreasing distally to the down-slope direction. (c) The most probable lithology surface shows that the dominant lithology of the shelf is dolomite, whereas the slope is mainly composed of limestone. (d) Extracted PNN total porosity values showing the porosity increase from the shelf to the slope.</w:t>
      </w:r>
      <w:bookmarkEnd w:id="93"/>
      <w:bookmarkEnd w:id="94"/>
      <w:bookmarkEnd w:id="95"/>
      <w:r w:rsidR="007F0783">
        <w:br w:type="page"/>
      </w:r>
    </w:p>
    <w:p w14:paraId="42C6E0EA" w14:textId="77777777" w:rsidR="00A3544C" w:rsidRDefault="007F0783" w:rsidP="00A3544C">
      <w:pPr>
        <w:pStyle w:val="Caption"/>
        <w:keepNext/>
        <w:tabs>
          <w:tab w:val="left" w:pos="9270"/>
        </w:tabs>
      </w:pPr>
      <w:r>
        <w:rPr>
          <w:noProof/>
        </w:rPr>
        <w:lastRenderedPageBreak/>
        <w:drawing>
          <wp:inline distT="0" distB="0" distL="0" distR="0" wp14:anchorId="0439FA13" wp14:editId="3F3B5D54">
            <wp:extent cx="5868212" cy="255905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899424" cy="2572661"/>
                    </a:xfrm>
                    <a:prstGeom prst="rect">
                      <a:avLst/>
                    </a:prstGeom>
                    <a:noFill/>
                  </pic:spPr>
                </pic:pic>
              </a:graphicData>
            </a:graphic>
          </wp:inline>
        </w:drawing>
      </w:r>
    </w:p>
    <w:p w14:paraId="4BE28513" w14:textId="27ED1F57" w:rsidR="007F0783" w:rsidRPr="00A3544C" w:rsidRDefault="00A3544C" w:rsidP="007F0783">
      <w:pPr>
        <w:pStyle w:val="Caption"/>
        <w:rPr>
          <w:b/>
          <w:bCs/>
        </w:rPr>
      </w:pPr>
      <w:bookmarkStart w:id="96" w:name="_Toc121095113"/>
      <w:r w:rsidRPr="00A3544C">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1</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18</w:t>
      </w:r>
      <w:r w:rsidR="00D532BC">
        <w:rPr>
          <w:b/>
          <w:bCs/>
        </w:rPr>
        <w:fldChar w:fldCharType="end"/>
      </w:r>
      <w:r w:rsidRPr="00A3544C">
        <w:rPr>
          <w:b/>
          <w:bCs/>
        </w:rPr>
        <w:t xml:space="preserve">: </w:t>
      </w:r>
      <w:bookmarkStart w:id="97" w:name="_Toc117342263"/>
      <w:bookmarkStart w:id="98" w:name="_Toc117376630"/>
      <w:r w:rsidR="007F0783" w:rsidRPr="00194E5E">
        <w:t>A conceptual model of reflux dolomitization. Note that the platform interior is mainly replaced with nonporous dolomite due to the cementation proximal to the brine source, whereas the porosity increases basinward with a decreasing degree of dolomitization (modified after </w:t>
      </w:r>
      <w:hyperlink r:id="rId127" w:anchor="r22" w:history="1">
        <w:r w:rsidR="007F0783" w:rsidRPr="00AA35F6">
          <w:t>Jones and Xiao, 2005</w:t>
        </w:r>
      </w:hyperlink>
      <w:r w:rsidR="007F0783" w:rsidRPr="00194E5E">
        <w:t>; </w:t>
      </w:r>
      <w:hyperlink r:id="rId128" w:anchor="r38" w:history="1">
        <w:r w:rsidR="007F0783" w:rsidRPr="00AA35F6">
          <w:t>Saller, 2013</w:t>
        </w:r>
      </w:hyperlink>
      <w:r w:rsidR="007F0783" w:rsidRPr="00194E5E">
        <w:t>).</w:t>
      </w:r>
      <w:bookmarkEnd w:id="96"/>
      <w:bookmarkEnd w:id="97"/>
      <w:bookmarkEnd w:id="98"/>
      <w:r w:rsidR="007F0783">
        <w:br w:type="page"/>
      </w:r>
    </w:p>
    <w:p w14:paraId="4C1807A3" w14:textId="77777777" w:rsidR="007F0783" w:rsidRDefault="007F0783" w:rsidP="005F3383">
      <w:pPr>
        <w:pStyle w:val="Heading2"/>
      </w:pPr>
      <w:bookmarkStart w:id="99" w:name="_Toc115155624"/>
      <w:bookmarkStart w:id="100" w:name="_Toc121095944"/>
      <w:r>
        <w:lastRenderedPageBreak/>
        <w:t>Chapter 1 Tables</w:t>
      </w:r>
      <w:bookmarkEnd w:id="99"/>
      <w:bookmarkEnd w:id="100"/>
    </w:p>
    <w:tbl>
      <w:tblPr>
        <w:tblW w:w="5000" w:type="pct"/>
        <w:tblCellMar>
          <w:left w:w="0" w:type="dxa"/>
          <w:right w:w="0" w:type="dxa"/>
        </w:tblCellMar>
        <w:tblLook w:val="0420" w:firstRow="1" w:lastRow="0" w:firstColumn="0" w:lastColumn="0" w:noHBand="0" w:noVBand="1"/>
      </w:tblPr>
      <w:tblGrid>
        <w:gridCol w:w="2266"/>
        <w:gridCol w:w="2135"/>
        <w:gridCol w:w="2363"/>
        <w:gridCol w:w="2576"/>
      </w:tblGrid>
      <w:tr w:rsidR="007F0783" w:rsidRPr="00A75B04" w14:paraId="70408B09" w14:textId="77777777" w:rsidTr="00607746">
        <w:trPr>
          <w:trHeight w:val="653"/>
        </w:trPr>
        <w:tc>
          <w:tcPr>
            <w:tcW w:w="12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E9DAF8" w14:textId="77777777" w:rsidR="007F0783" w:rsidRPr="00575E44" w:rsidRDefault="007F0783" w:rsidP="00620605">
            <w:pPr>
              <w:spacing w:after="0" w:line="240" w:lineRule="auto"/>
              <w:jc w:val="center"/>
              <w:rPr>
                <w:rFonts w:ascii="Arial" w:eastAsia="Times New Roman" w:hAnsi="Arial" w:cs="Arial"/>
                <w:b/>
                <w:bCs/>
                <w:color w:val="auto"/>
                <w:sz w:val="36"/>
                <w:szCs w:val="36"/>
              </w:rPr>
            </w:pPr>
            <w:r w:rsidRPr="00575E44">
              <w:rPr>
                <w:rFonts w:ascii="Arial" w:eastAsia="Times New Roman" w:hAnsi="Arial" w:cs="Arial"/>
                <w:b/>
                <w:bCs/>
                <w:color w:val="000000" w:themeColor="dark1"/>
                <w:kern w:val="24"/>
                <w:szCs w:val="24"/>
              </w:rPr>
              <w:t>Target</w:t>
            </w:r>
          </w:p>
        </w:tc>
        <w:tc>
          <w:tcPr>
            <w:tcW w:w="11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82455E" w14:textId="77777777" w:rsidR="007F0783" w:rsidRPr="00575E44" w:rsidRDefault="007F0783" w:rsidP="00620605">
            <w:pPr>
              <w:spacing w:after="0" w:line="240" w:lineRule="auto"/>
              <w:jc w:val="center"/>
              <w:rPr>
                <w:rFonts w:ascii="Arial" w:eastAsia="Times New Roman" w:hAnsi="Arial" w:cs="Arial"/>
                <w:b/>
                <w:bCs/>
                <w:color w:val="auto"/>
                <w:sz w:val="36"/>
                <w:szCs w:val="36"/>
              </w:rPr>
            </w:pPr>
            <w:r w:rsidRPr="00575E44">
              <w:rPr>
                <w:rFonts w:ascii="Arial" w:eastAsia="Times New Roman" w:hAnsi="Arial" w:cs="Arial"/>
                <w:b/>
                <w:bCs/>
                <w:color w:val="000000" w:themeColor="dark1"/>
                <w:kern w:val="24"/>
                <w:szCs w:val="24"/>
              </w:rPr>
              <w:t>Final Attribute</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AC08DB" w14:textId="77777777" w:rsidR="007F0783" w:rsidRPr="00575E44" w:rsidRDefault="007F0783" w:rsidP="00620605">
            <w:pPr>
              <w:spacing w:after="0" w:line="240" w:lineRule="auto"/>
              <w:jc w:val="center"/>
              <w:rPr>
                <w:rFonts w:ascii="Arial" w:eastAsia="Times New Roman" w:hAnsi="Arial" w:cs="Arial"/>
                <w:b/>
                <w:bCs/>
                <w:color w:val="auto"/>
                <w:sz w:val="36"/>
                <w:szCs w:val="36"/>
              </w:rPr>
            </w:pPr>
            <w:r w:rsidRPr="00575E44">
              <w:rPr>
                <w:rFonts w:ascii="Arial" w:eastAsia="Times New Roman" w:hAnsi="Arial" w:cs="Arial"/>
                <w:b/>
                <w:bCs/>
                <w:color w:val="000000" w:themeColor="dark1"/>
                <w:kern w:val="24"/>
                <w:szCs w:val="24"/>
              </w:rPr>
              <w:t xml:space="preserve"> Training Error (v/v)</w:t>
            </w:r>
          </w:p>
        </w:tc>
        <w:tc>
          <w:tcPr>
            <w:tcW w:w="13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DC8E00" w14:textId="77777777" w:rsidR="007F0783" w:rsidRPr="00575E44" w:rsidRDefault="007F0783" w:rsidP="00620605">
            <w:pPr>
              <w:spacing w:after="0" w:line="240" w:lineRule="auto"/>
              <w:jc w:val="center"/>
              <w:rPr>
                <w:rFonts w:ascii="Arial" w:eastAsia="Times New Roman" w:hAnsi="Arial" w:cs="Arial"/>
                <w:b/>
                <w:bCs/>
                <w:color w:val="auto"/>
                <w:sz w:val="36"/>
                <w:szCs w:val="36"/>
              </w:rPr>
            </w:pPr>
            <w:r w:rsidRPr="00575E44">
              <w:rPr>
                <w:rFonts w:ascii="Arial" w:eastAsia="Times New Roman" w:hAnsi="Arial" w:cs="Arial"/>
                <w:b/>
                <w:bCs/>
                <w:color w:val="000000" w:themeColor="dark1"/>
                <w:kern w:val="24"/>
                <w:szCs w:val="24"/>
              </w:rPr>
              <w:t>Validation Error (v/v)</w:t>
            </w:r>
          </w:p>
        </w:tc>
      </w:tr>
      <w:tr w:rsidR="007F0783" w:rsidRPr="00A75B04" w14:paraId="50DAFC2E" w14:textId="77777777" w:rsidTr="00ED5E62">
        <w:trPr>
          <w:trHeight w:val="684"/>
        </w:trPr>
        <w:tc>
          <w:tcPr>
            <w:tcW w:w="121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722CDD4"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Neutron Porosity</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D3F3E12"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Colored Inversion- Absolute Impedance</w:t>
            </w:r>
          </w:p>
        </w:tc>
        <w:tc>
          <w:tcPr>
            <w:tcW w:w="126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E3CFC59"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0.046053</w:t>
            </w:r>
          </w:p>
        </w:tc>
        <w:tc>
          <w:tcPr>
            <w:tcW w:w="137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4A9CAEF"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0.047575</w:t>
            </w:r>
          </w:p>
        </w:tc>
      </w:tr>
      <w:tr w:rsidR="007F0783" w:rsidRPr="00A75B04" w14:paraId="116470DD" w14:textId="77777777" w:rsidTr="00ED5E62">
        <w:trPr>
          <w:trHeight w:val="451"/>
        </w:trPr>
        <w:tc>
          <w:tcPr>
            <w:tcW w:w="121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C0943E1"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Neutron Porosity</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A7E0068"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Envelope</w:t>
            </w:r>
          </w:p>
        </w:tc>
        <w:tc>
          <w:tcPr>
            <w:tcW w:w="126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EE25E64"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0.040881</w:t>
            </w:r>
          </w:p>
        </w:tc>
        <w:tc>
          <w:tcPr>
            <w:tcW w:w="137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D4BD62D"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0.042741</w:t>
            </w:r>
          </w:p>
        </w:tc>
      </w:tr>
      <w:tr w:rsidR="007F0783" w:rsidRPr="00A75B04" w14:paraId="2000E182" w14:textId="77777777" w:rsidTr="00ED5E62">
        <w:trPr>
          <w:trHeight w:val="498"/>
        </w:trPr>
        <w:tc>
          <w:tcPr>
            <w:tcW w:w="121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54A9325"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Neutron Porosity</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8FBC983"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Relative Acoustic Impedance</w:t>
            </w:r>
          </w:p>
        </w:tc>
        <w:tc>
          <w:tcPr>
            <w:tcW w:w="126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E6E5C9D"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0.039697</w:t>
            </w:r>
          </w:p>
        </w:tc>
        <w:tc>
          <w:tcPr>
            <w:tcW w:w="137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AE3CB73"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0.042486</w:t>
            </w:r>
          </w:p>
        </w:tc>
      </w:tr>
      <w:tr w:rsidR="007F0783" w:rsidRPr="00A75B04" w14:paraId="605DC742" w14:textId="77777777" w:rsidTr="00ED5E62">
        <w:trPr>
          <w:trHeight w:val="576"/>
        </w:trPr>
        <w:tc>
          <w:tcPr>
            <w:tcW w:w="121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CD7ECD3"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Neutron Porosity</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2A5481F"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Average Frequency</w:t>
            </w:r>
          </w:p>
        </w:tc>
        <w:tc>
          <w:tcPr>
            <w:tcW w:w="126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9CCB58F" w14:textId="77777777" w:rsidR="007F0783" w:rsidRPr="00ED5E62" w:rsidRDefault="007F0783" w:rsidP="00620605">
            <w:pPr>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0.039299</w:t>
            </w:r>
          </w:p>
        </w:tc>
        <w:tc>
          <w:tcPr>
            <w:tcW w:w="1379"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D5E2928" w14:textId="77777777" w:rsidR="007F0783" w:rsidRPr="00ED5E62" w:rsidRDefault="007F0783" w:rsidP="00E91309">
            <w:pPr>
              <w:keepNext/>
              <w:spacing w:after="0" w:line="240" w:lineRule="auto"/>
              <w:jc w:val="center"/>
              <w:rPr>
                <w:rFonts w:ascii="Arial" w:eastAsia="Times New Roman" w:hAnsi="Arial" w:cs="Arial"/>
                <w:color w:val="auto"/>
                <w:sz w:val="36"/>
                <w:szCs w:val="36"/>
              </w:rPr>
            </w:pPr>
            <w:r w:rsidRPr="00ED5E62">
              <w:rPr>
                <w:rFonts w:ascii="Arial" w:eastAsia="Times New Roman" w:hAnsi="Arial" w:cs="Arial"/>
                <w:color w:val="000000" w:themeColor="dark1"/>
                <w:kern w:val="24"/>
                <w:szCs w:val="24"/>
              </w:rPr>
              <w:t>0.042381</w:t>
            </w:r>
          </w:p>
        </w:tc>
      </w:tr>
    </w:tbl>
    <w:p w14:paraId="194BEB26" w14:textId="77777777" w:rsidR="00E91309" w:rsidRDefault="00E91309" w:rsidP="00E91309">
      <w:pPr>
        <w:pStyle w:val="Caption"/>
      </w:pPr>
    </w:p>
    <w:p w14:paraId="356CF908" w14:textId="314A03A1" w:rsidR="007F0783" w:rsidRPr="005233AA" w:rsidRDefault="00E91309" w:rsidP="007F0783">
      <w:pPr>
        <w:pStyle w:val="Caption"/>
      </w:pPr>
      <w:bookmarkStart w:id="101" w:name="_Toc120472453"/>
      <w:r w:rsidRPr="00E91309">
        <w:rPr>
          <w:b/>
          <w:bCs/>
        </w:rPr>
        <w:t xml:space="preserve">Table </w:t>
      </w:r>
      <w:r w:rsidR="00E242D6">
        <w:rPr>
          <w:b/>
          <w:bCs/>
        </w:rPr>
        <w:fldChar w:fldCharType="begin"/>
      </w:r>
      <w:r w:rsidR="00E242D6">
        <w:rPr>
          <w:b/>
          <w:bCs/>
        </w:rPr>
        <w:instrText xml:space="preserve"> STYLEREF 1 \s </w:instrText>
      </w:r>
      <w:r w:rsidR="00E242D6">
        <w:rPr>
          <w:b/>
          <w:bCs/>
        </w:rPr>
        <w:fldChar w:fldCharType="separate"/>
      </w:r>
      <w:r w:rsidR="00B52D1E">
        <w:rPr>
          <w:b/>
          <w:bCs/>
          <w:noProof/>
        </w:rPr>
        <w:t>1</w:t>
      </w:r>
      <w:r w:rsidR="00E242D6">
        <w:rPr>
          <w:b/>
          <w:bCs/>
        </w:rPr>
        <w:fldChar w:fldCharType="end"/>
      </w:r>
      <w:r w:rsidR="00E242D6">
        <w:rPr>
          <w:b/>
          <w:bCs/>
        </w:rPr>
        <w:t>.</w:t>
      </w:r>
      <w:r w:rsidR="00E242D6">
        <w:rPr>
          <w:b/>
          <w:bCs/>
        </w:rPr>
        <w:fldChar w:fldCharType="begin"/>
      </w:r>
      <w:r w:rsidR="00E242D6">
        <w:rPr>
          <w:b/>
          <w:bCs/>
        </w:rPr>
        <w:instrText xml:space="preserve"> SEQ Table \* ARABIC \s 1 </w:instrText>
      </w:r>
      <w:r w:rsidR="00E242D6">
        <w:rPr>
          <w:b/>
          <w:bCs/>
        </w:rPr>
        <w:fldChar w:fldCharType="separate"/>
      </w:r>
      <w:r w:rsidR="00B52D1E">
        <w:rPr>
          <w:b/>
          <w:bCs/>
          <w:noProof/>
        </w:rPr>
        <w:t>1</w:t>
      </w:r>
      <w:r w:rsidR="00E242D6">
        <w:rPr>
          <w:b/>
          <w:bCs/>
        </w:rPr>
        <w:fldChar w:fldCharType="end"/>
      </w:r>
      <w:r w:rsidRPr="00E91309">
        <w:rPr>
          <w:b/>
          <w:bCs/>
        </w:rPr>
        <w:t>:</w:t>
      </w:r>
      <w:r>
        <w:t xml:space="preserve"> </w:t>
      </w:r>
      <w:r w:rsidR="007F0783" w:rsidRPr="005233AA">
        <w:t>Training and validation errors of the attributes used in the PNN training for neutron porosity volume prediction.</w:t>
      </w:r>
      <w:bookmarkEnd w:id="101"/>
    </w:p>
    <w:p w14:paraId="309A8139" w14:textId="77777777" w:rsidR="007F0783" w:rsidRDefault="007F0783" w:rsidP="007F0783">
      <w:pPr>
        <w:spacing w:line="259" w:lineRule="auto"/>
        <w:jc w:val="left"/>
        <w:rPr>
          <w:iCs/>
          <w:szCs w:val="18"/>
        </w:rPr>
      </w:pPr>
      <w:r>
        <w:br w:type="page"/>
      </w:r>
    </w:p>
    <w:tbl>
      <w:tblPr>
        <w:tblW w:w="5000" w:type="pct"/>
        <w:tblCellMar>
          <w:left w:w="0" w:type="dxa"/>
          <w:right w:w="0" w:type="dxa"/>
        </w:tblCellMar>
        <w:tblLook w:val="0420" w:firstRow="1" w:lastRow="0" w:firstColumn="0" w:lastColumn="0" w:noHBand="0" w:noVBand="1"/>
      </w:tblPr>
      <w:tblGrid>
        <w:gridCol w:w="2269"/>
        <w:gridCol w:w="2143"/>
        <w:gridCol w:w="2363"/>
        <w:gridCol w:w="2565"/>
      </w:tblGrid>
      <w:tr w:rsidR="007F0783" w:rsidRPr="00A01F40" w14:paraId="07B4827D" w14:textId="77777777" w:rsidTr="00607746">
        <w:trPr>
          <w:trHeight w:val="611"/>
        </w:trPr>
        <w:tc>
          <w:tcPr>
            <w:tcW w:w="121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25C2EF7" w14:textId="77777777" w:rsidR="007F0783" w:rsidRPr="00575E44" w:rsidRDefault="007F0783" w:rsidP="00620605">
            <w:pPr>
              <w:spacing w:after="0" w:line="240" w:lineRule="auto"/>
              <w:jc w:val="center"/>
              <w:rPr>
                <w:rFonts w:ascii="Arial" w:eastAsia="Times New Roman" w:hAnsi="Arial" w:cs="Arial"/>
                <w:b/>
                <w:bCs/>
                <w:color w:val="auto"/>
                <w:sz w:val="36"/>
                <w:szCs w:val="36"/>
              </w:rPr>
            </w:pPr>
            <w:r w:rsidRPr="00575E44">
              <w:rPr>
                <w:rFonts w:ascii="Arial" w:eastAsia="Times New Roman" w:hAnsi="Arial" w:cs="Arial"/>
                <w:b/>
                <w:bCs/>
                <w:color w:val="000000"/>
                <w:kern w:val="24"/>
                <w:szCs w:val="24"/>
              </w:rPr>
              <w:lastRenderedPageBreak/>
              <w:t>Target</w:t>
            </w:r>
          </w:p>
        </w:tc>
        <w:tc>
          <w:tcPr>
            <w:tcW w:w="11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82899B" w14:textId="77777777" w:rsidR="007F0783" w:rsidRPr="00575E44" w:rsidRDefault="007F0783" w:rsidP="00620605">
            <w:pPr>
              <w:spacing w:after="0" w:line="240" w:lineRule="auto"/>
              <w:jc w:val="center"/>
              <w:rPr>
                <w:rFonts w:ascii="Arial" w:eastAsia="Times New Roman" w:hAnsi="Arial" w:cs="Arial"/>
                <w:b/>
                <w:bCs/>
                <w:color w:val="auto"/>
                <w:sz w:val="36"/>
                <w:szCs w:val="36"/>
              </w:rPr>
            </w:pPr>
            <w:r w:rsidRPr="00575E44">
              <w:rPr>
                <w:rFonts w:ascii="Arial" w:eastAsia="Times New Roman" w:hAnsi="Arial" w:cs="Arial"/>
                <w:b/>
                <w:bCs/>
                <w:color w:val="000000"/>
                <w:kern w:val="24"/>
                <w:szCs w:val="24"/>
              </w:rPr>
              <w:t>Final Attribute</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E5CAE9" w14:textId="77777777" w:rsidR="007F0783" w:rsidRPr="00575E44" w:rsidRDefault="007F0783" w:rsidP="00620605">
            <w:pPr>
              <w:spacing w:after="0" w:line="240" w:lineRule="auto"/>
              <w:jc w:val="center"/>
              <w:rPr>
                <w:rFonts w:ascii="Arial" w:eastAsia="Times New Roman" w:hAnsi="Arial" w:cs="Arial"/>
                <w:b/>
                <w:bCs/>
                <w:color w:val="auto"/>
                <w:sz w:val="36"/>
                <w:szCs w:val="36"/>
              </w:rPr>
            </w:pPr>
            <w:r w:rsidRPr="00575E44">
              <w:rPr>
                <w:rFonts w:ascii="Arial" w:eastAsia="Times New Roman" w:hAnsi="Arial" w:cs="Arial"/>
                <w:b/>
                <w:bCs/>
                <w:color w:val="000000"/>
                <w:kern w:val="24"/>
                <w:szCs w:val="24"/>
              </w:rPr>
              <w:t xml:space="preserve"> Training Error (v/v)</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A6310C" w14:textId="77777777" w:rsidR="007F0783" w:rsidRPr="00575E44" w:rsidRDefault="007F0783" w:rsidP="00620605">
            <w:pPr>
              <w:spacing w:after="0" w:line="240" w:lineRule="auto"/>
              <w:jc w:val="center"/>
              <w:rPr>
                <w:rFonts w:ascii="Arial" w:eastAsia="Times New Roman" w:hAnsi="Arial" w:cs="Arial"/>
                <w:b/>
                <w:bCs/>
                <w:color w:val="auto"/>
                <w:sz w:val="36"/>
                <w:szCs w:val="36"/>
              </w:rPr>
            </w:pPr>
            <w:r w:rsidRPr="00575E44">
              <w:rPr>
                <w:rFonts w:ascii="Arial" w:eastAsia="Times New Roman" w:hAnsi="Arial" w:cs="Arial"/>
                <w:b/>
                <w:bCs/>
                <w:color w:val="000000"/>
                <w:kern w:val="24"/>
                <w:szCs w:val="24"/>
              </w:rPr>
              <w:t>Validation Error (v/v)</w:t>
            </w:r>
          </w:p>
        </w:tc>
      </w:tr>
      <w:tr w:rsidR="007F0783" w:rsidRPr="00A01F40" w14:paraId="752B6035" w14:textId="77777777" w:rsidTr="00ED5E62">
        <w:trPr>
          <w:trHeight w:val="1100"/>
        </w:trPr>
        <w:tc>
          <w:tcPr>
            <w:tcW w:w="121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2FEA2D1"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Total Porosity</w:t>
            </w:r>
          </w:p>
        </w:tc>
        <w:tc>
          <w:tcPr>
            <w:tcW w:w="114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DB9089C"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Acoustic Impedance- Post Stack Inversion</w:t>
            </w:r>
          </w:p>
        </w:tc>
        <w:tc>
          <w:tcPr>
            <w:tcW w:w="126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E8C3CF5"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0.039087</w:t>
            </w:r>
          </w:p>
        </w:tc>
        <w:tc>
          <w:tcPr>
            <w:tcW w:w="137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50B7F9D"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0.041144</w:t>
            </w:r>
          </w:p>
        </w:tc>
      </w:tr>
      <w:tr w:rsidR="007F0783" w:rsidRPr="00A01F40" w14:paraId="3631C452" w14:textId="77777777" w:rsidTr="00ED5E62">
        <w:trPr>
          <w:trHeight w:val="611"/>
        </w:trPr>
        <w:tc>
          <w:tcPr>
            <w:tcW w:w="121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C16B79C"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Total Porosity</w:t>
            </w:r>
          </w:p>
        </w:tc>
        <w:tc>
          <w:tcPr>
            <w:tcW w:w="114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E8E93F2"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Quadrature Trace</w:t>
            </w:r>
          </w:p>
        </w:tc>
        <w:tc>
          <w:tcPr>
            <w:tcW w:w="126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ECE6E33"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0.038250</w:t>
            </w:r>
          </w:p>
        </w:tc>
        <w:tc>
          <w:tcPr>
            <w:tcW w:w="137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06678B6"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0.040695</w:t>
            </w:r>
          </w:p>
        </w:tc>
      </w:tr>
      <w:tr w:rsidR="007F0783" w:rsidRPr="00A01F40" w14:paraId="73EA4E62" w14:textId="77777777" w:rsidTr="00ED5E62">
        <w:trPr>
          <w:trHeight w:val="611"/>
        </w:trPr>
        <w:tc>
          <w:tcPr>
            <w:tcW w:w="121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E454E57"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Total Porosity</w:t>
            </w:r>
          </w:p>
        </w:tc>
        <w:tc>
          <w:tcPr>
            <w:tcW w:w="114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3DB1D33"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Filter 0/10-50/60</w:t>
            </w:r>
          </w:p>
        </w:tc>
        <w:tc>
          <w:tcPr>
            <w:tcW w:w="126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7FBECD7" w14:textId="77777777" w:rsidR="007F0783" w:rsidRPr="00A01F40" w:rsidRDefault="007F0783" w:rsidP="00620605">
            <w:pPr>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0.037826</w:t>
            </w:r>
          </w:p>
        </w:tc>
        <w:tc>
          <w:tcPr>
            <w:tcW w:w="137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6B9E09B" w14:textId="77777777" w:rsidR="007F0783" w:rsidRPr="00A01F40" w:rsidRDefault="007F0783" w:rsidP="00E91309">
            <w:pPr>
              <w:keepNext/>
              <w:spacing w:after="0" w:line="240" w:lineRule="auto"/>
              <w:jc w:val="center"/>
              <w:rPr>
                <w:rFonts w:ascii="Arial" w:eastAsia="Times New Roman" w:hAnsi="Arial" w:cs="Arial"/>
                <w:color w:val="auto"/>
                <w:sz w:val="36"/>
                <w:szCs w:val="36"/>
              </w:rPr>
            </w:pPr>
            <w:r w:rsidRPr="00A01F40">
              <w:rPr>
                <w:rFonts w:ascii="Arial" w:eastAsia="Times New Roman" w:hAnsi="Arial" w:cs="Arial"/>
                <w:color w:val="000000"/>
                <w:kern w:val="24"/>
                <w:szCs w:val="24"/>
              </w:rPr>
              <w:t>0.040555</w:t>
            </w:r>
          </w:p>
        </w:tc>
      </w:tr>
    </w:tbl>
    <w:p w14:paraId="789CEB0D" w14:textId="77777777" w:rsidR="00E91309" w:rsidRDefault="00E91309" w:rsidP="00E91309">
      <w:pPr>
        <w:pStyle w:val="Caption"/>
      </w:pPr>
    </w:p>
    <w:p w14:paraId="3C6353F7" w14:textId="6FFF8D2B" w:rsidR="00C021C9" w:rsidRDefault="00E91309" w:rsidP="007F0783">
      <w:pPr>
        <w:pStyle w:val="Caption"/>
      </w:pPr>
      <w:bookmarkStart w:id="102" w:name="_Toc120472454"/>
      <w:r w:rsidRPr="00E91309">
        <w:rPr>
          <w:b/>
          <w:bCs/>
        </w:rPr>
        <w:t xml:space="preserve">Table </w:t>
      </w:r>
      <w:r w:rsidR="00E242D6">
        <w:rPr>
          <w:b/>
          <w:bCs/>
        </w:rPr>
        <w:fldChar w:fldCharType="begin"/>
      </w:r>
      <w:r w:rsidR="00E242D6">
        <w:rPr>
          <w:b/>
          <w:bCs/>
        </w:rPr>
        <w:instrText xml:space="preserve"> STYLEREF 1 \s </w:instrText>
      </w:r>
      <w:r w:rsidR="00E242D6">
        <w:rPr>
          <w:b/>
          <w:bCs/>
        </w:rPr>
        <w:fldChar w:fldCharType="separate"/>
      </w:r>
      <w:r w:rsidR="00B52D1E">
        <w:rPr>
          <w:b/>
          <w:bCs/>
          <w:noProof/>
        </w:rPr>
        <w:t>1</w:t>
      </w:r>
      <w:r w:rsidR="00E242D6">
        <w:rPr>
          <w:b/>
          <w:bCs/>
        </w:rPr>
        <w:fldChar w:fldCharType="end"/>
      </w:r>
      <w:r w:rsidR="00E242D6">
        <w:rPr>
          <w:b/>
          <w:bCs/>
        </w:rPr>
        <w:t>.</w:t>
      </w:r>
      <w:r w:rsidR="00E242D6">
        <w:rPr>
          <w:b/>
          <w:bCs/>
        </w:rPr>
        <w:fldChar w:fldCharType="begin"/>
      </w:r>
      <w:r w:rsidR="00E242D6">
        <w:rPr>
          <w:b/>
          <w:bCs/>
        </w:rPr>
        <w:instrText xml:space="preserve"> SEQ Table \* ARABIC \s 1 </w:instrText>
      </w:r>
      <w:r w:rsidR="00E242D6">
        <w:rPr>
          <w:b/>
          <w:bCs/>
        </w:rPr>
        <w:fldChar w:fldCharType="separate"/>
      </w:r>
      <w:r w:rsidR="00B52D1E">
        <w:rPr>
          <w:b/>
          <w:bCs/>
          <w:noProof/>
        </w:rPr>
        <w:t>2</w:t>
      </w:r>
      <w:r w:rsidR="00E242D6">
        <w:rPr>
          <w:b/>
          <w:bCs/>
        </w:rPr>
        <w:fldChar w:fldCharType="end"/>
      </w:r>
      <w:r w:rsidRPr="00E91309">
        <w:rPr>
          <w:b/>
          <w:bCs/>
        </w:rPr>
        <w:t xml:space="preserve">: </w:t>
      </w:r>
      <w:r>
        <w:rPr>
          <w:b/>
          <w:bCs/>
        </w:rPr>
        <w:t>T</w:t>
      </w:r>
      <w:r w:rsidR="007F0783" w:rsidRPr="00A01F40">
        <w:t>raining and validation errors of the attributes used in the PNN training for total porosity volume prediction</w:t>
      </w:r>
      <w:r>
        <w:t>.</w:t>
      </w:r>
      <w:bookmarkEnd w:id="102"/>
    </w:p>
    <w:p w14:paraId="1426C880" w14:textId="77777777" w:rsidR="00C021C9" w:rsidRDefault="00C021C9">
      <w:pPr>
        <w:spacing w:line="240" w:lineRule="auto"/>
        <w:rPr>
          <w:iCs/>
          <w:szCs w:val="18"/>
        </w:rPr>
      </w:pPr>
      <w:r>
        <w:br w:type="page"/>
      </w:r>
    </w:p>
    <w:tbl>
      <w:tblPr>
        <w:tblW w:w="5000" w:type="pct"/>
        <w:tblLook w:val="04A0" w:firstRow="1" w:lastRow="0" w:firstColumn="1" w:lastColumn="0" w:noHBand="0" w:noVBand="1"/>
      </w:tblPr>
      <w:tblGrid>
        <w:gridCol w:w="1451"/>
        <w:gridCol w:w="2003"/>
        <w:gridCol w:w="2268"/>
        <w:gridCol w:w="1947"/>
        <w:gridCol w:w="1681"/>
      </w:tblGrid>
      <w:tr w:rsidR="00033E5C" w:rsidRPr="00033E5C" w14:paraId="69F18513" w14:textId="77777777" w:rsidTr="00607746">
        <w:trPr>
          <w:trHeight w:val="615"/>
        </w:trPr>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0277F" w14:textId="77777777" w:rsidR="00033E5C" w:rsidRPr="00033E5C" w:rsidRDefault="00033E5C" w:rsidP="00033E5C">
            <w:pPr>
              <w:spacing w:before="0" w:after="0" w:line="240" w:lineRule="auto"/>
              <w:jc w:val="left"/>
              <w:rPr>
                <w:rFonts w:ascii="Calibri" w:eastAsia="Times New Roman" w:hAnsi="Calibri" w:cs="Calibri"/>
                <w:color w:val="000000"/>
                <w:sz w:val="22"/>
              </w:rPr>
            </w:pPr>
            <w:r w:rsidRPr="00033E5C">
              <w:rPr>
                <w:rFonts w:ascii="Calibri" w:eastAsia="Times New Roman" w:hAnsi="Calibri" w:cs="Calibri"/>
                <w:color w:val="000000"/>
                <w:sz w:val="22"/>
              </w:rPr>
              <w:lastRenderedPageBreak/>
              <w:t> </w:t>
            </w:r>
          </w:p>
        </w:tc>
        <w:tc>
          <w:tcPr>
            <w:tcW w:w="1071" w:type="pct"/>
            <w:tcBorders>
              <w:top w:val="single" w:sz="4" w:space="0" w:color="auto"/>
              <w:left w:val="nil"/>
              <w:bottom w:val="single" w:sz="4" w:space="0" w:color="auto"/>
              <w:right w:val="single" w:sz="4" w:space="0" w:color="auto"/>
            </w:tcBorders>
            <w:shd w:val="clear" w:color="auto" w:fill="auto"/>
            <w:noWrap/>
            <w:vAlign w:val="bottom"/>
            <w:hideMark/>
          </w:tcPr>
          <w:p w14:paraId="49D82181" w14:textId="77777777" w:rsidR="00033E5C" w:rsidRPr="00033E5C" w:rsidRDefault="00033E5C" w:rsidP="00033E5C">
            <w:pPr>
              <w:spacing w:before="0" w:after="0" w:line="240" w:lineRule="auto"/>
              <w:jc w:val="left"/>
              <w:rPr>
                <w:rFonts w:ascii="Calibri" w:eastAsia="Times New Roman" w:hAnsi="Calibri" w:cs="Calibri"/>
                <w:color w:val="000000"/>
                <w:sz w:val="22"/>
              </w:rPr>
            </w:pPr>
            <w:r w:rsidRPr="00033E5C">
              <w:rPr>
                <w:rFonts w:ascii="Calibri" w:eastAsia="Times New Roman" w:hAnsi="Calibri" w:cs="Calibri"/>
                <w:color w:val="000000"/>
                <w:sz w:val="22"/>
              </w:rPr>
              <w:t> </w:t>
            </w:r>
          </w:p>
        </w:tc>
        <w:tc>
          <w:tcPr>
            <w:tcW w:w="3153"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038A4123" w14:textId="77777777" w:rsidR="00033E5C" w:rsidRPr="00607746" w:rsidRDefault="00033E5C" w:rsidP="00033E5C">
            <w:pPr>
              <w:spacing w:before="0" w:after="0" w:line="240" w:lineRule="auto"/>
              <w:jc w:val="center"/>
              <w:rPr>
                <w:rFonts w:ascii="Arial" w:eastAsia="Times New Roman" w:hAnsi="Arial" w:cs="Arial"/>
                <w:b/>
                <w:bCs/>
                <w:color w:val="000000"/>
                <w:szCs w:val="24"/>
              </w:rPr>
            </w:pPr>
            <w:r w:rsidRPr="00607746">
              <w:rPr>
                <w:rFonts w:ascii="Arial" w:eastAsia="Times New Roman" w:hAnsi="Arial" w:cs="Arial"/>
                <w:b/>
                <w:bCs/>
                <w:color w:val="000000"/>
                <w:szCs w:val="24"/>
              </w:rPr>
              <w:t>Predicted Lithology</w:t>
            </w:r>
          </w:p>
        </w:tc>
      </w:tr>
      <w:tr w:rsidR="00033E5C" w:rsidRPr="00033E5C" w14:paraId="4624897A" w14:textId="77777777" w:rsidTr="00607746">
        <w:trPr>
          <w:trHeight w:val="315"/>
        </w:trPr>
        <w:tc>
          <w:tcPr>
            <w:tcW w:w="776"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18B0DEE" w14:textId="77777777" w:rsidR="00033E5C" w:rsidRPr="00607746" w:rsidRDefault="00033E5C" w:rsidP="00033E5C">
            <w:pPr>
              <w:spacing w:before="0" w:after="0" w:line="240" w:lineRule="auto"/>
              <w:jc w:val="center"/>
              <w:rPr>
                <w:rFonts w:ascii="Arial" w:eastAsia="Times New Roman" w:hAnsi="Arial" w:cs="Arial"/>
                <w:b/>
                <w:bCs/>
                <w:color w:val="000000"/>
                <w:szCs w:val="24"/>
              </w:rPr>
            </w:pPr>
            <w:r w:rsidRPr="00607746">
              <w:rPr>
                <w:rFonts w:ascii="Arial" w:eastAsia="Times New Roman" w:hAnsi="Arial" w:cs="Arial"/>
                <w:b/>
                <w:bCs/>
                <w:color w:val="000000"/>
                <w:szCs w:val="24"/>
              </w:rPr>
              <w:t>Lithology Logs</w:t>
            </w:r>
          </w:p>
        </w:tc>
        <w:tc>
          <w:tcPr>
            <w:tcW w:w="1071" w:type="pct"/>
            <w:tcBorders>
              <w:top w:val="nil"/>
              <w:left w:val="nil"/>
              <w:bottom w:val="single" w:sz="4" w:space="0" w:color="auto"/>
              <w:right w:val="single" w:sz="4" w:space="0" w:color="auto"/>
            </w:tcBorders>
            <w:shd w:val="clear" w:color="auto" w:fill="auto"/>
            <w:noWrap/>
            <w:vAlign w:val="bottom"/>
            <w:hideMark/>
          </w:tcPr>
          <w:p w14:paraId="7EA2501A" w14:textId="77777777" w:rsidR="00033E5C" w:rsidRPr="00033E5C" w:rsidRDefault="00033E5C" w:rsidP="00033E5C">
            <w:pPr>
              <w:spacing w:before="0" w:after="0" w:line="240" w:lineRule="auto"/>
              <w:jc w:val="left"/>
              <w:rPr>
                <w:rFonts w:ascii="Arial" w:eastAsia="Times New Roman" w:hAnsi="Arial" w:cs="Arial"/>
                <w:color w:val="000000"/>
                <w:szCs w:val="24"/>
              </w:rPr>
            </w:pPr>
            <w:r w:rsidRPr="00033E5C">
              <w:rPr>
                <w:rFonts w:ascii="Arial" w:eastAsia="Times New Roman" w:hAnsi="Arial" w:cs="Arial"/>
                <w:color w:val="000000"/>
                <w:szCs w:val="24"/>
              </w:rPr>
              <w:t> </w:t>
            </w:r>
          </w:p>
        </w:tc>
        <w:tc>
          <w:tcPr>
            <w:tcW w:w="1213" w:type="pct"/>
            <w:tcBorders>
              <w:top w:val="nil"/>
              <w:left w:val="nil"/>
              <w:bottom w:val="single" w:sz="4" w:space="0" w:color="auto"/>
              <w:right w:val="single" w:sz="4" w:space="0" w:color="auto"/>
            </w:tcBorders>
            <w:shd w:val="clear" w:color="auto" w:fill="auto"/>
            <w:noWrap/>
            <w:vAlign w:val="center"/>
            <w:hideMark/>
          </w:tcPr>
          <w:p w14:paraId="33E80456"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Limestone</w:t>
            </w:r>
          </w:p>
        </w:tc>
        <w:tc>
          <w:tcPr>
            <w:tcW w:w="1041" w:type="pct"/>
            <w:tcBorders>
              <w:top w:val="nil"/>
              <w:left w:val="nil"/>
              <w:bottom w:val="single" w:sz="4" w:space="0" w:color="auto"/>
              <w:right w:val="single" w:sz="4" w:space="0" w:color="auto"/>
            </w:tcBorders>
            <w:shd w:val="clear" w:color="auto" w:fill="auto"/>
            <w:noWrap/>
            <w:vAlign w:val="center"/>
            <w:hideMark/>
          </w:tcPr>
          <w:p w14:paraId="66FB19B4"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Dolomite</w:t>
            </w:r>
          </w:p>
        </w:tc>
        <w:tc>
          <w:tcPr>
            <w:tcW w:w="899" w:type="pct"/>
            <w:tcBorders>
              <w:top w:val="nil"/>
              <w:left w:val="nil"/>
              <w:bottom w:val="single" w:sz="4" w:space="0" w:color="auto"/>
              <w:right w:val="single" w:sz="4" w:space="0" w:color="auto"/>
            </w:tcBorders>
            <w:shd w:val="clear" w:color="auto" w:fill="auto"/>
            <w:noWrap/>
            <w:vAlign w:val="center"/>
            <w:hideMark/>
          </w:tcPr>
          <w:p w14:paraId="4A15ECA6"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Shale</w:t>
            </w:r>
          </w:p>
        </w:tc>
      </w:tr>
      <w:tr w:rsidR="00033E5C" w:rsidRPr="00033E5C" w14:paraId="4BF44624" w14:textId="77777777" w:rsidTr="00607746">
        <w:trPr>
          <w:trHeight w:val="499"/>
        </w:trPr>
        <w:tc>
          <w:tcPr>
            <w:tcW w:w="776" w:type="pct"/>
            <w:vMerge/>
            <w:tcBorders>
              <w:top w:val="nil"/>
              <w:left w:val="single" w:sz="4" w:space="0" w:color="auto"/>
              <w:bottom w:val="single" w:sz="4" w:space="0" w:color="auto"/>
              <w:right w:val="single" w:sz="4" w:space="0" w:color="auto"/>
            </w:tcBorders>
            <w:shd w:val="clear" w:color="auto" w:fill="auto"/>
            <w:vAlign w:val="center"/>
            <w:hideMark/>
          </w:tcPr>
          <w:p w14:paraId="02BAD9C0" w14:textId="77777777" w:rsidR="00033E5C" w:rsidRPr="00033E5C" w:rsidRDefault="00033E5C" w:rsidP="00033E5C">
            <w:pPr>
              <w:spacing w:before="0" w:after="0" w:line="240" w:lineRule="auto"/>
              <w:jc w:val="left"/>
              <w:rPr>
                <w:rFonts w:ascii="Arial" w:eastAsia="Times New Roman" w:hAnsi="Arial" w:cs="Arial"/>
                <w:color w:val="000000"/>
                <w:szCs w:val="24"/>
              </w:rPr>
            </w:pPr>
          </w:p>
        </w:tc>
        <w:tc>
          <w:tcPr>
            <w:tcW w:w="1071" w:type="pct"/>
            <w:tcBorders>
              <w:top w:val="nil"/>
              <w:left w:val="nil"/>
              <w:bottom w:val="single" w:sz="4" w:space="0" w:color="auto"/>
              <w:right w:val="single" w:sz="4" w:space="0" w:color="auto"/>
            </w:tcBorders>
            <w:shd w:val="clear" w:color="auto" w:fill="auto"/>
            <w:noWrap/>
            <w:vAlign w:val="center"/>
            <w:hideMark/>
          </w:tcPr>
          <w:p w14:paraId="554058B7"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Limestone</w:t>
            </w:r>
          </w:p>
        </w:tc>
        <w:tc>
          <w:tcPr>
            <w:tcW w:w="1213" w:type="pct"/>
            <w:tcBorders>
              <w:top w:val="nil"/>
              <w:left w:val="nil"/>
              <w:bottom w:val="single" w:sz="4" w:space="0" w:color="auto"/>
              <w:right w:val="single" w:sz="4" w:space="0" w:color="auto"/>
            </w:tcBorders>
            <w:shd w:val="clear" w:color="auto" w:fill="auto"/>
            <w:noWrap/>
            <w:vAlign w:val="center"/>
            <w:hideMark/>
          </w:tcPr>
          <w:p w14:paraId="209846A4" w14:textId="77777777" w:rsidR="00033E5C" w:rsidRPr="00607746" w:rsidRDefault="00033E5C" w:rsidP="00033E5C">
            <w:pPr>
              <w:spacing w:before="0" w:after="0" w:line="240" w:lineRule="auto"/>
              <w:jc w:val="center"/>
              <w:rPr>
                <w:rFonts w:ascii="Arial" w:eastAsia="Times New Roman" w:hAnsi="Arial" w:cs="Arial"/>
                <w:b/>
                <w:bCs/>
                <w:color w:val="000000"/>
                <w:szCs w:val="24"/>
              </w:rPr>
            </w:pPr>
            <w:r w:rsidRPr="00607746">
              <w:rPr>
                <w:rFonts w:ascii="Arial" w:eastAsia="Times New Roman" w:hAnsi="Arial" w:cs="Arial"/>
                <w:b/>
                <w:bCs/>
                <w:color w:val="000000"/>
                <w:szCs w:val="24"/>
              </w:rPr>
              <w:t>83.87%</w:t>
            </w:r>
          </w:p>
        </w:tc>
        <w:tc>
          <w:tcPr>
            <w:tcW w:w="1041" w:type="pct"/>
            <w:tcBorders>
              <w:top w:val="nil"/>
              <w:left w:val="nil"/>
              <w:bottom w:val="single" w:sz="4" w:space="0" w:color="auto"/>
              <w:right w:val="single" w:sz="4" w:space="0" w:color="auto"/>
            </w:tcBorders>
            <w:shd w:val="clear" w:color="auto" w:fill="auto"/>
            <w:noWrap/>
            <w:vAlign w:val="center"/>
            <w:hideMark/>
          </w:tcPr>
          <w:p w14:paraId="0CDACA1D"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11.43%</w:t>
            </w:r>
          </w:p>
        </w:tc>
        <w:tc>
          <w:tcPr>
            <w:tcW w:w="899" w:type="pct"/>
            <w:tcBorders>
              <w:top w:val="nil"/>
              <w:left w:val="nil"/>
              <w:bottom w:val="single" w:sz="4" w:space="0" w:color="auto"/>
              <w:right w:val="single" w:sz="4" w:space="0" w:color="auto"/>
            </w:tcBorders>
            <w:shd w:val="clear" w:color="auto" w:fill="auto"/>
            <w:noWrap/>
            <w:vAlign w:val="center"/>
            <w:hideMark/>
          </w:tcPr>
          <w:p w14:paraId="4088676B"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4.35%</w:t>
            </w:r>
          </w:p>
        </w:tc>
      </w:tr>
      <w:tr w:rsidR="00033E5C" w:rsidRPr="00033E5C" w14:paraId="6E366F3C" w14:textId="77777777" w:rsidTr="00607746">
        <w:trPr>
          <w:trHeight w:val="499"/>
        </w:trPr>
        <w:tc>
          <w:tcPr>
            <w:tcW w:w="776" w:type="pct"/>
            <w:vMerge/>
            <w:tcBorders>
              <w:top w:val="nil"/>
              <w:left w:val="single" w:sz="4" w:space="0" w:color="auto"/>
              <w:bottom w:val="single" w:sz="4" w:space="0" w:color="auto"/>
              <w:right w:val="single" w:sz="4" w:space="0" w:color="auto"/>
            </w:tcBorders>
            <w:shd w:val="clear" w:color="auto" w:fill="auto"/>
            <w:vAlign w:val="center"/>
            <w:hideMark/>
          </w:tcPr>
          <w:p w14:paraId="7533BDD9" w14:textId="77777777" w:rsidR="00033E5C" w:rsidRPr="00033E5C" w:rsidRDefault="00033E5C" w:rsidP="00033E5C">
            <w:pPr>
              <w:spacing w:before="0" w:after="0" w:line="240" w:lineRule="auto"/>
              <w:jc w:val="left"/>
              <w:rPr>
                <w:rFonts w:ascii="Arial" w:eastAsia="Times New Roman" w:hAnsi="Arial" w:cs="Arial"/>
                <w:color w:val="000000"/>
                <w:szCs w:val="24"/>
              </w:rPr>
            </w:pPr>
          </w:p>
        </w:tc>
        <w:tc>
          <w:tcPr>
            <w:tcW w:w="1071" w:type="pct"/>
            <w:tcBorders>
              <w:top w:val="nil"/>
              <w:left w:val="nil"/>
              <w:bottom w:val="single" w:sz="4" w:space="0" w:color="auto"/>
              <w:right w:val="single" w:sz="4" w:space="0" w:color="auto"/>
            </w:tcBorders>
            <w:shd w:val="clear" w:color="auto" w:fill="auto"/>
            <w:noWrap/>
            <w:vAlign w:val="center"/>
            <w:hideMark/>
          </w:tcPr>
          <w:p w14:paraId="5D0727D0"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Dolomite</w:t>
            </w:r>
          </w:p>
        </w:tc>
        <w:tc>
          <w:tcPr>
            <w:tcW w:w="1213" w:type="pct"/>
            <w:tcBorders>
              <w:top w:val="nil"/>
              <w:left w:val="nil"/>
              <w:bottom w:val="single" w:sz="4" w:space="0" w:color="auto"/>
              <w:right w:val="single" w:sz="4" w:space="0" w:color="auto"/>
            </w:tcBorders>
            <w:shd w:val="clear" w:color="auto" w:fill="auto"/>
            <w:noWrap/>
            <w:vAlign w:val="center"/>
            <w:hideMark/>
          </w:tcPr>
          <w:p w14:paraId="768F4BAC"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7.08%</w:t>
            </w:r>
          </w:p>
        </w:tc>
        <w:tc>
          <w:tcPr>
            <w:tcW w:w="1041" w:type="pct"/>
            <w:tcBorders>
              <w:top w:val="nil"/>
              <w:left w:val="nil"/>
              <w:bottom w:val="single" w:sz="4" w:space="0" w:color="auto"/>
              <w:right w:val="single" w:sz="4" w:space="0" w:color="auto"/>
            </w:tcBorders>
            <w:shd w:val="clear" w:color="auto" w:fill="auto"/>
            <w:noWrap/>
            <w:vAlign w:val="center"/>
            <w:hideMark/>
          </w:tcPr>
          <w:p w14:paraId="72570203" w14:textId="77777777" w:rsidR="00033E5C" w:rsidRPr="00607746" w:rsidRDefault="00033E5C" w:rsidP="00033E5C">
            <w:pPr>
              <w:spacing w:before="0" w:after="0" w:line="240" w:lineRule="auto"/>
              <w:jc w:val="center"/>
              <w:rPr>
                <w:rFonts w:ascii="Arial" w:eastAsia="Times New Roman" w:hAnsi="Arial" w:cs="Arial"/>
                <w:b/>
                <w:bCs/>
                <w:color w:val="000000"/>
                <w:szCs w:val="24"/>
              </w:rPr>
            </w:pPr>
            <w:r w:rsidRPr="00607746">
              <w:rPr>
                <w:rFonts w:ascii="Arial" w:eastAsia="Times New Roman" w:hAnsi="Arial" w:cs="Arial"/>
                <w:b/>
                <w:bCs/>
                <w:color w:val="000000"/>
                <w:szCs w:val="24"/>
              </w:rPr>
              <w:t>81.95%</w:t>
            </w:r>
          </w:p>
        </w:tc>
        <w:tc>
          <w:tcPr>
            <w:tcW w:w="899" w:type="pct"/>
            <w:tcBorders>
              <w:top w:val="nil"/>
              <w:left w:val="nil"/>
              <w:bottom w:val="single" w:sz="4" w:space="0" w:color="auto"/>
              <w:right w:val="single" w:sz="4" w:space="0" w:color="auto"/>
            </w:tcBorders>
            <w:shd w:val="clear" w:color="auto" w:fill="auto"/>
            <w:noWrap/>
            <w:vAlign w:val="center"/>
            <w:hideMark/>
          </w:tcPr>
          <w:p w14:paraId="0EF52919"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4.63%</w:t>
            </w:r>
          </w:p>
        </w:tc>
      </w:tr>
      <w:tr w:rsidR="00033E5C" w:rsidRPr="00033E5C" w14:paraId="026FA4C3" w14:textId="77777777" w:rsidTr="00607746">
        <w:trPr>
          <w:trHeight w:val="499"/>
        </w:trPr>
        <w:tc>
          <w:tcPr>
            <w:tcW w:w="776" w:type="pct"/>
            <w:vMerge/>
            <w:tcBorders>
              <w:top w:val="nil"/>
              <w:left w:val="single" w:sz="4" w:space="0" w:color="auto"/>
              <w:bottom w:val="single" w:sz="4" w:space="0" w:color="auto"/>
              <w:right w:val="single" w:sz="4" w:space="0" w:color="auto"/>
            </w:tcBorders>
            <w:shd w:val="clear" w:color="auto" w:fill="auto"/>
            <w:vAlign w:val="center"/>
            <w:hideMark/>
          </w:tcPr>
          <w:p w14:paraId="395631C1" w14:textId="77777777" w:rsidR="00033E5C" w:rsidRPr="00033E5C" w:rsidRDefault="00033E5C" w:rsidP="00033E5C">
            <w:pPr>
              <w:spacing w:before="0" w:after="0" w:line="240" w:lineRule="auto"/>
              <w:jc w:val="left"/>
              <w:rPr>
                <w:rFonts w:ascii="Arial" w:eastAsia="Times New Roman" w:hAnsi="Arial" w:cs="Arial"/>
                <w:color w:val="000000"/>
                <w:szCs w:val="24"/>
              </w:rPr>
            </w:pPr>
          </w:p>
        </w:tc>
        <w:tc>
          <w:tcPr>
            <w:tcW w:w="1071" w:type="pct"/>
            <w:tcBorders>
              <w:top w:val="nil"/>
              <w:left w:val="nil"/>
              <w:bottom w:val="single" w:sz="4" w:space="0" w:color="auto"/>
              <w:right w:val="single" w:sz="4" w:space="0" w:color="auto"/>
            </w:tcBorders>
            <w:shd w:val="clear" w:color="auto" w:fill="auto"/>
            <w:noWrap/>
            <w:vAlign w:val="center"/>
            <w:hideMark/>
          </w:tcPr>
          <w:p w14:paraId="3ABF94C0"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Shale</w:t>
            </w:r>
          </w:p>
        </w:tc>
        <w:tc>
          <w:tcPr>
            <w:tcW w:w="1213" w:type="pct"/>
            <w:tcBorders>
              <w:top w:val="nil"/>
              <w:left w:val="nil"/>
              <w:bottom w:val="single" w:sz="4" w:space="0" w:color="auto"/>
              <w:right w:val="single" w:sz="4" w:space="0" w:color="auto"/>
            </w:tcBorders>
            <w:shd w:val="clear" w:color="auto" w:fill="auto"/>
            <w:noWrap/>
            <w:vAlign w:val="center"/>
            <w:hideMark/>
          </w:tcPr>
          <w:p w14:paraId="62BA6935"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5.19%</w:t>
            </w:r>
          </w:p>
        </w:tc>
        <w:tc>
          <w:tcPr>
            <w:tcW w:w="1041" w:type="pct"/>
            <w:tcBorders>
              <w:top w:val="nil"/>
              <w:left w:val="nil"/>
              <w:bottom w:val="single" w:sz="4" w:space="0" w:color="auto"/>
              <w:right w:val="single" w:sz="4" w:space="0" w:color="auto"/>
            </w:tcBorders>
            <w:shd w:val="clear" w:color="auto" w:fill="auto"/>
            <w:noWrap/>
            <w:vAlign w:val="center"/>
            <w:hideMark/>
          </w:tcPr>
          <w:p w14:paraId="2462FFD4" w14:textId="77777777" w:rsidR="00033E5C" w:rsidRPr="00033E5C" w:rsidRDefault="00033E5C" w:rsidP="00033E5C">
            <w:pPr>
              <w:spacing w:before="0" w:after="0" w:line="240" w:lineRule="auto"/>
              <w:jc w:val="center"/>
              <w:rPr>
                <w:rFonts w:ascii="Arial" w:eastAsia="Times New Roman" w:hAnsi="Arial" w:cs="Arial"/>
                <w:color w:val="000000"/>
                <w:szCs w:val="24"/>
              </w:rPr>
            </w:pPr>
            <w:r w:rsidRPr="00033E5C">
              <w:rPr>
                <w:rFonts w:ascii="Arial" w:eastAsia="Times New Roman" w:hAnsi="Arial" w:cs="Arial"/>
                <w:color w:val="000000"/>
                <w:szCs w:val="24"/>
              </w:rPr>
              <w:t>0.04%</w:t>
            </w:r>
          </w:p>
        </w:tc>
        <w:tc>
          <w:tcPr>
            <w:tcW w:w="899" w:type="pct"/>
            <w:tcBorders>
              <w:top w:val="nil"/>
              <w:left w:val="nil"/>
              <w:bottom w:val="single" w:sz="4" w:space="0" w:color="auto"/>
              <w:right w:val="single" w:sz="4" w:space="0" w:color="auto"/>
            </w:tcBorders>
            <w:shd w:val="clear" w:color="auto" w:fill="auto"/>
            <w:noWrap/>
            <w:vAlign w:val="center"/>
            <w:hideMark/>
          </w:tcPr>
          <w:p w14:paraId="04FD3F3C" w14:textId="77777777" w:rsidR="00033E5C" w:rsidRPr="00607746" w:rsidRDefault="00033E5C" w:rsidP="00033E5C">
            <w:pPr>
              <w:keepNext/>
              <w:spacing w:before="0" w:after="0" w:line="240" w:lineRule="auto"/>
              <w:jc w:val="center"/>
              <w:rPr>
                <w:rFonts w:ascii="Arial" w:eastAsia="Times New Roman" w:hAnsi="Arial" w:cs="Arial"/>
                <w:b/>
                <w:bCs/>
                <w:color w:val="000000"/>
                <w:szCs w:val="24"/>
              </w:rPr>
            </w:pPr>
            <w:r w:rsidRPr="00607746">
              <w:rPr>
                <w:rFonts w:ascii="Arial" w:eastAsia="Times New Roman" w:hAnsi="Arial" w:cs="Arial"/>
                <w:b/>
                <w:bCs/>
                <w:color w:val="000000"/>
                <w:szCs w:val="24"/>
              </w:rPr>
              <w:t>94.85%</w:t>
            </w:r>
          </w:p>
        </w:tc>
      </w:tr>
    </w:tbl>
    <w:p w14:paraId="3028792D" w14:textId="77777777" w:rsidR="00ED5E62" w:rsidRDefault="00ED5E62" w:rsidP="00033E5C">
      <w:pPr>
        <w:pStyle w:val="Caption"/>
        <w:rPr>
          <w:b/>
          <w:bCs/>
        </w:rPr>
      </w:pPr>
    </w:p>
    <w:p w14:paraId="70151977" w14:textId="4B379D13" w:rsidR="00123EEE" w:rsidRDefault="00033E5C" w:rsidP="00033E5C">
      <w:pPr>
        <w:pStyle w:val="Caption"/>
      </w:pPr>
      <w:bookmarkStart w:id="103" w:name="_Toc120472455"/>
      <w:r w:rsidRPr="00ED5E62">
        <w:rPr>
          <w:b/>
          <w:bCs/>
        </w:rPr>
        <w:t xml:space="preserve">Table </w:t>
      </w:r>
      <w:r w:rsidR="00E242D6">
        <w:rPr>
          <w:b/>
          <w:bCs/>
        </w:rPr>
        <w:fldChar w:fldCharType="begin"/>
      </w:r>
      <w:r w:rsidR="00E242D6">
        <w:rPr>
          <w:b/>
          <w:bCs/>
        </w:rPr>
        <w:instrText xml:space="preserve"> STYLEREF 1 \s </w:instrText>
      </w:r>
      <w:r w:rsidR="00E242D6">
        <w:rPr>
          <w:b/>
          <w:bCs/>
        </w:rPr>
        <w:fldChar w:fldCharType="separate"/>
      </w:r>
      <w:r w:rsidR="00B52D1E">
        <w:rPr>
          <w:b/>
          <w:bCs/>
          <w:noProof/>
        </w:rPr>
        <w:t>1</w:t>
      </w:r>
      <w:r w:rsidR="00E242D6">
        <w:rPr>
          <w:b/>
          <w:bCs/>
        </w:rPr>
        <w:fldChar w:fldCharType="end"/>
      </w:r>
      <w:r w:rsidR="00E242D6">
        <w:rPr>
          <w:b/>
          <w:bCs/>
        </w:rPr>
        <w:t>.</w:t>
      </w:r>
      <w:r w:rsidR="00E242D6">
        <w:rPr>
          <w:b/>
          <w:bCs/>
        </w:rPr>
        <w:fldChar w:fldCharType="begin"/>
      </w:r>
      <w:r w:rsidR="00E242D6">
        <w:rPr>
          <w:b/>
          <w:bCs/>
        </w:rPr>
        <w:instrText xml:space="preserve"> SEQ Table \* ARABIC \s 1 </w:instrText>
      </w:r>
      <w:r w:rsidR="00E242D6">
        <w:rPr>
          <w:b/>
          <w:bCs/>
        </w:rPr>
        <w:fldChar w:fldCharType="separate"/>
      </w:r>
      <w:r w:rsidR="00B52D1E">
        <w:rPr>
          <w:b/>
          <w:bCs/>
          <w:noProof/>
        </w:rPr>
        <w:t>3</w:t>
      </w:r>
      <w:r w:rsidR="00E242D6">
        <w:rPr>
          <w:b/>
          <w:bCs/>
        </w:rPr>
        <w:fldChar w:fldCharType="end"/>
      </w:r>
      <w:r w:rsidRPr="00ED5E62">
        <w:rPr>
          <w:b/>
          <w:bCs/>
        </w:rPr>
        <w:t>:</w:t>
      </w:r>
      <w:r>
        <w:t xml:space="preserve"> </w:t>
      </w:r>
      <w:r w:rsidR="00ED5E62">
        <w:t>Confusion matrix showing the match between the actual lithology (lithology logs) and the predicted lithology.</w:t>
      </w:r>
      <w:bookmarkEnd w:id="103"/>
      <w:r w:rsidR="00FE66B0">
        <w:t xml:space="preserve"> </w:t>
      </w:r>
    </w:p>
    <w:p w14:paraId="55393E1D" w14:textId="12DAD474" w:rsidR="007F0783" w:rsidRDefault="007F0783" w:rsidP="00A91909">
      <w:pPr>
        <w:jc w:val="center"/>
      </w:pPr>
      <w:r>
        <w:br w:type="page"/>
      </w:r>
    </w:p>
    <w:p w14:paraId="57B629B0" w14:textId="547A9CAB" w:rsidR="00C314EF" w:rsidRPr="0069593D" w:rsidRDefault="00240FF3" w:rsidP="007B454C">
      <w:pPr>
        <w:pStyle w:val="Heading1"/>
        <w:numPr>
          <w:ilvl w:val="0"/>
          <w:numId w:val="37"/>
        </w:numPr>
        <w:ind w:left="0" w:firstLine="0"/>
        <w:jc w:val="center"/>
      </w:pPr>
      <w:bookmarkStart w:id="104" w:name="_Toc115155625"/>
      <w:bookmarkStart w:id="105" w:name="_Toc121095945"/>
      <w:r>
        <w:lastRenderedPageBreak/>
        <w:t xml:space="preserve">: </w:t>
      </w:r>
      <w:r w:rsidR="00150105">
        <w:t>Mapping</w:t>
      </w:r>
      <w:r w:rsidR="00F01AE1">
        <w:t xml:space="preserve"> seismic scale petrofacies variability </w:t>
      </w:r>
      <w:r w:rsidR="00030264">
        <w:t>in</w:t>
      </w:r>
      <w:r w:rsidR="00030264" w:rsidRPr="0069593D">
        <w:t xml:space="preserve"> </w:t>
      </w:r>
      <w:r w:rsidR="00C314EF" w:rsidRPr="0069593D">
        <w:t>the Arbuckle Group for CO</w:t>
      </w:r>
      <w:r w:rsidR="00C314EF" w:rsidRPr="0069593D">
        <w:rPr>
          <w:vertAlign w:val="subscript"/>
        </w:rPr>
        <w:t>2</w:t>
      </w:r>
      <w:r w:rsidR="00C314EF" w:rsidRPr="0069593D">
        <w:t xml:space="preserve"> sequestration using </w:t>
      </w:r>
      <w:r w:rsidR="00E66BD2" w:rsidRPr="0069593D">
        <w:t>s</w:t>
      </w:r>
      <w:r w:rsidR="00C314EF" w:rsidRPr="0069593D">
        <w:t>upervised</w:t>
      </w:r>
      <w:r w:rsidR="00E66BD2" w:rsidRPr="0069593D">
        <w:t xml:space="preserve"> machine</w:t>
      </w:r>
      <w:r w:rsidR="00C314EF" w:rsidRPr="0069593D">
        <w:t xml:space="preserve"> </w:t>
      </w:r>
      <w:r w:rsidR="00E66BD2" w:rsidRPr="0069593D">
        <w:t>l</w:t>
      </w:r>
      <w:r w:rsidR="00C314EF" w:rsidRPr="0069593D">
        <w:t>earning: Wellington Field, Kansas</w:t>
      </w:r>
      <w:r w:rsidR="004C0216" w:rsidRPr="0069593D">
        <w:t>*</w:t>
      </w:r>
      <w:bookmarkEnd w:id="104"/>
      <w:bookmarkEnd w:id="105"/>
    </w:p>
    <w:p w14:paraId="5C18B3A6" w14:textId="77777777" w:rsidR="004C0216" w:rsidRPr="004C0216" w:rsidRDefault="004C0216" w:rsidP="004C0216"/>
    <w:p w14:paraId="0B9F48FF" w14:textId="5C79AE15" w:rsidR="004C0216" w:rsidRPr="00967D41" w:rsidRDefault="00E042F0" w:rsidP="008D371C">
      <w:r>
        <w:t>*</w:t>
      </w:r>
      <w:r w:rsidR="004C0216" w:rsidRPr="00967D41">
        <w:t xml:space="preserve">This chapter was presented </w:t>
      </w:r>
      <w:r w:rsidR="00312862">
        <w:t>as</w:t>
      </w:r>
      <w:r w:rsidR="00312862" w:rsidRPr="00967D41">
        <w:t xml:space="preserve"> </w:t>
      </w:r>
      <w:r w:rsidR="00EF5871" w:rsidRPr="00967D41">
        <w:t xml:space="preserve">an invited talk </w:t>
      </w:r>
      <w:r w:rsidR="000832B5">
        <w:t>at</w:t>
      </w:r>
      <w:r w:rsidR="004A425D" w:rsidRPr="00967D41">
        <w:t xml:space="preserve"> </w:t>
      </w:r>
      <w:r w:rsidR="000832B5">
        <w:t xml:space="preserve">the </w:t>
      </w:r>
      <w:r w:rsidR="00FA49E7" w:rsidRPr="00967D41">
        <w:t xml:space="preserve">1st International Meeting for Applied Geoscience and Energy (IMAGE) </w:t>
      </w:r>
      <w:r w:rsidR="00312862">
        <w:t>c</w:t>
      </w:r>
      <w:r w:rsidR="00312862" w:rsidRPr="00967D41">
        <w:t>onference</w:t>
      </w:r>
      <w:r w:rsidR="00312862">
        <w:t xml:space="preserve"> in 2021</w:t>
      </w:r>
      <w:r w:rsidR="00FA49E7" w:rsidRPr="00967D41">
        <w:t>:</w:t>
      </w:r>
    </w:p>
    <w:p w14:paraId="27919E81" w14:textId="3595481F" w:rsidR="001550D9" w:rsidRDefault="00967D41" w:rsidP="008D371C">
      <w:pPr>
        <w:rPr>
          <w:i/>
          <w:iCs/>
          <w:sz w:val="20"/>
          <w:szCs w:val="18"/>
        </w:rPr>
      </w:pPr>
      <w:r w:rsidRPr="00A6021F">
        <w:rPr>
          <w:i/>
          <w:iCs/>
          <w:sz w:val="20"/>
          <w:szCs w:val="18"/>
        </w:rPr>
        <w:t xml:space="preserve">Caf, A., B., </w:t>
      </w:r>
      <w:r w:rsidR="00273157" w:rsidRPr="00A6021F">
        <w:rPr>
          <w:i/>
          <w:iCs/>
          <w:sz w:val="20"/>
          <w:szCs w:val="18"/>
        </w:rPr>
        <w:t>D.</w:t>
      </w:r>
      <w:r w:rsidR="00434DB7" w:rsidRPr="00A6021F">
        <w:rPr>
          <w:i/>
          <w:iCs/>
          <w:sz w:val="20"/>
          <w:szCs w:val="18"/>
        </w:rPr>
        <w:t xml:space="preserve"> Lubo-Robles, K. J. Marfurt, H. Bedle, </w:t>
      </w:r>
      <w:r w:rsidR="0030171B" w:rsidRPr="00A6021F">
        <w:rPr>
          <w:i/>
          <w:iCs/>
          <w:sz w:val="20"/>
          <w:szCs w:val="18"/>
        </w:rPr>
        <w:t>M. J. Pranter</w:t>
      </w:r>
      <w:r w:rsidR="000832B5">
        <w:rPr>
          <w:i/>
          <w:iCs/>
          <w:sz w:val="20"/>
          <w:szCs w:val="18"/>
        </w:rPr>
        <w:t>,</w:t>
      </w:r>
      <w:r w:rsidR="00311EBD" w:rsidRPr="00A6021F">
        <w:rPr>
          <w:i/>
          <w:iCs/>
          <w:sz w:val="20"/>
          <w:szCs w:val="18"/>
        </w:rPr>
        <w:t xml:space="preserve"> and D. Devegowda, 2021, Injectivity and Storage Potential Assessment of </w:t>
      </w:r>
      <w:r w:rsidR="00A6021F" w:rsidRPr="00A6021F">
        <w:rPr>
          <w:i/>
          <w:iCs/>
          <w:sz w:val="20"/>
          <w:szCs w:val="18"/>
        </w:rPr>
        <w:t>the Arbuckle Group for CO2 Sequestration via Supervised Neural Network: Wellington Field, Kansas</w:t>
      </w:r>
      <w:r w:rsidR="00E042F0">
        <w:rPr>
          <w:i/>
          <w:iCs/>
          <w:sz w:val="20"/>
          <w:szCs w:val="18"/>
        </w:rPr>
        <w:t xml:space="preserve">, </w:t>
      </w:r>
      <w:r w:rsidR="00E042F0" w:rsidRPr="00E042F0">
        <w:rPr>
          <w:i/>
          <w:iCs/>
          <w:sz w:val="20"/>
          <w:szCs w:val="18"/>
        </w:rPr>
        <w:t>International Meeting for Applied Geoscience and Energy (IMAGE) Conference</w:t>
      </w:r>
      <w:r w:rsidR="00E042F0">
        <w:rPr>
          <w:i/>
          <w:iCs/>
          <w:sz w:val="20"/>
          <w:szCs w:val="18"/>
        </w:rPr>
        <w:t>, Denver, CO, September 2021.</w:t>
      </w:r>
    </w:p>
    <w:p w14:paraId="2CDF0628" w14:textId="77777777" w:rsidR="001550D9" w:rsidRDefault="001550D9" w:rsidP="008D371C">
      <w:pPr>
        <w:rPr>
          <w:i/>
          <w:iCs/>
          <w:sz w:val="20"/>
          <w:szCs w:val="18"/>
        </w:rPr>
      </w:pPr>
    </w:p>
    <w:p w14:paraId="17FCFD63" w14:textId="77777777" w:rsidR="00090F82" w:rsidRDefault="001550D9" w:rsidP="008D371C">
      <w:r>
        <w:t>*</w:t>
      </w:r>
      <w:r w:rsidR="00732EC9" w:rsidRPr="004741B9">
        <w:t xml:space="preserve">This chapter will be </w:t>
      </w:r>
      <w:r w:rsidR="00312862">
        <w:t>submitted</w:t>
      </w:r>
      <w:r w:rsidR="00732EC9" w:rsidRPr="004741B9">
        <w:t xml:space="preserve"> for publication </w:t>
      </w:r>
      <w:r w:rsidR="000832B5">
        <w:t>in</w:t>
      </w:r>
      <w:r w:rsidR="00312862">
        <w:t xml:space="preserve"> the journal,</w:t>
      </w:r>
      <w:r w:rsidR="008B7487" w:rsidRPr="004741B9">
        <w:t xml:space="preserve"> </w:t>
      </w:r>
      <w:r w:rsidR="008B7487" w:rsidRPr="004741B9">
        <w:rPr>
          <w:i/>
          <w:iCs/>
        </w:rPr>
        <w:t>Interpretation</w:t>
      </w:r>
      <w:r w:rsidR="008C5B73">
        <w:rPr>
          <w:i/>
          <w:iCs/>
        </w:rPr>
        <w:t xml:space="preserve"> </w:t>
      </w:r>
      <w:r w:rsidR="008B7487" w:rsidRPr="004741B9">
        <w:t xml:space="preserve">in </w:t>
      </w:r>
      <w:r w:rsidR="008B7487" w:rsidRPr="000832B5">
        <w:t>2023</w:t>
      </w:r>
      <w:r w:rsidRPr="004741B9">
        <w:t>.</w:t>
      </w:r>
    </w:p>
    <w:p w14:paraId="0AD5379D" w14:textId="03315E58" w:rsidR="00090F82" w:rsidRDefault="00090F82" w:rsidP="008D371C">
      <w:r>
        <w:br w:type="page"/>
      </w:r>
    </w:p>
    <w:p w14:paraId="3D802728" w14:textId="77777777" w:rsidR="00090F82" w:rsidRDefault="00090F82" w:rsidP="00090F82">
      <w:pPr>
        <w:pStyle w:val="Heading2"/>
      </w:pPr>
      <w:bookmarkStart w:id="106" w:name="_Toc119516611"/>
      <w:bookmarkStart w:id="107" w:name="_Toc121095946"/>
      <w:r>
        <w:lastRenderedPageBreak/>
        <w:t>Abstract</w:t>
      </w:r>
      <w:bookmarkEnd w:id="106"/>
      <w:bookmarkEnd w:id="107"/>
    </w:p>
    <w:p w14:paraId="786B02EB" w14:textId="26053CFB" w:rsidR="00090F82" w:rsidRPr="007579CC" w:rsidRDefault="00090F82" w:rsidP="00090F82">
      <w:pPr>
        <w:ind w:firstLine="720"/>
      </w:pPr>
      <w:r>
        <w:t xml:space="preserve">The Arbuckle Group in southern Kansas has recently been investigated for carbon geosequestration-related studies. </w:t>
      </w:r>
      <w:r w:rsidRPr="007579CC">
        <w:t>In this study, we evaluated seismic</w:t>
      </w:r>
      <w:r>
        <w:t>-</w:t>
      </w:r>
      <w:r w:rsidRPr="007579CC">
        <w:t xml:space="preserve">scale </w:t>
      </w:r>
      <w:r>
        <w:t xml:space="preserve">petrophysically defined facies </w:t>
      </w:r>
      <w:r w:rsidRPr="007579CC">
        <w:t>variability of the Arbuckle Group at</w:t>
      </w:r>
      <w:r w:rsidR="00B80FAE">
        <w:t xml:space="preserve"> the</w:t>
      </w:r>
      <w:r w:rsidRPr="007579CC">
        <w:t xml:space="preserve"> Wellington Field, Kansas</w:t>
      </w:r>
      <w:r>
        <w:t>, using quantitative seismic interpretation and a supervised random forest classification approach.</w:t>
      </w:r>
      <w:r w:rsidRPr="007579CC">
        <w:t xml:space="preserve"> We first defined three petrophysics-based rock types (petrofacies) from core-derived porosity and permeability measurements using the flow-zone indicator (FZI) approach. Then, using the artificial neural network (ANN), we classified these petrofacies in non-cored intervals and a well. We observed that petrofacies 1 corresponds to medium and coarse-grained dolomitic packstone, wackestone, and dolomitic breccia with up to 8% porosity and Darcy-scale permeability values. Whereas petrofacies 2 and 3 correspond to argillaceous and fine-grained micritic dolomites and dolomitic mudstones with lower permeability values for a given porosity, with respect to petrofacies 1. Using the common reflection-point gathers, we performed pre-stack seismic inversion and calculated various amplitude-versus-offset (AVO) attribute volumes. We used these elastic properties and AVO attribute volumes as input for estimating supervised seismic-scale 3D petrofacies and petrofacies probability volumes using the Random Forest algorithm. Results reveal the </w:t>
      </w:r>
      <w:r>
        <w:t xml:space="preserve">heterogeneous distribution of the petrofacies </w:t>
      </w:r>
      <w:r w:rsidRPr="007579CC">
        <w:t xml:space="preserve">in the study area. The workflow we present through this study can help reduce the uncertainty in the areas where well control is limited. Furthermore, the outputs of this study can be utilized as input in modeling and simulation studies by providing the </w:t>
      </w:r>
      <w:r>
        <w:t xml:space="preserve">seismic-scale </w:t>
      </w:r>
      <w:r w:rsidRPr="007579CC">
        <w:t>spatial variability of petrofacies and petrophysical property trends, ultimately aiding more robust modeling of carbon dioxide plume behavior in the subsurface.</w:t>
      </w:r>
    </w:p>
    <w:p w14:paraId="3C5BE5F6" w14:textId="77777777" w:rsidR="00090F82" w:rsidRDefault="00090F82" w:rsidP="00090F82">
      <w:pPr>
        <w:pStyle w:val="Heading2"/>
        <w:rPr>
          <w:color w:val="auto"/>
          <w:highlight w:val="red"/>
        </w:rPr>
      </w:pPr>
      <w:bookmarkStart w:id="108" w:name="_Toc119516612"/>
      <w:bookmarkStart w:id="109" w:name="_Toc121095947"/>
      <w:r w:rsidRPr="00260C17">
        <w:lastRenderedPageBreak/>
        <w:t>Introduction</w:t>
      </w:r>
      <w:bookmarkEnd w:id="108"/>
      <w:bookmarkEnd w:id="109"/>
      <w:r w:rsidRPr="00082F4B">
        <w:rPr>
          <w:highlight w:val="red"/>
        </w:rPr>
        <w:t xml:space="preserve"> </w:t>
      </w:r>
      <w:r w:rsidRPr="00082F4B">
        <w:rPr>
          <w:color w:val="auto"/>
          <w:highlight w:val="red"/>
        </w:rPr>
        <w:t xml:space="preserve"> </w:t>
      </w:r>
    </w:p>
    <w:p w14:paraId="2C91DA1F" w14:textId="77777777" w:rsidR="00090F82" w:rsidRDefault="00090F82" w:rsidP="00090F82">
      <w:pPr>
        <w:ind w:firstLine="720"/>
      </w:pPr>
      <w:r w:rsidRPr="002239B9">
        <w:t xml:space="preserve">Geologic carbon sequestration is </w:t>
      </w:r>
      <w:r>
        <w:t>one potential method</w:t>
      </w:r>
      <w:r w:rsidRPr="002239B9">
        <w:t xml:space="preserve"> for reducing atmospheric carbon dioxide (CO</w:t>
      </w:r>
      <w:r w:rsidRPr="002239B9">
        <w:rPr>
          <w:vertAlign w:val="subscript"/>
        </w:rPr>
        <w:t>2</w:t>
      </w:r>
      <w:r w:rsidRPr="002239B9">
        <w:t xml:space="preserve">) levels. This process entails </w:t>
      </w:r>
      <w:r>
        <w:t>injecting and storing</w:t>
      </w:r>
      <w:r w:rsidRPr="002239B9">
        <w:t xml:space="preserve"> CO</w:t>
      </w:r>
      <w:r w:rsidRPr="002239B9">
        <w:rPr>
          <w:vertAlign w:val="subscript"/>
        </w:rPr>
        <w:t>2</w:t>
      </w:r>
      <w:r w:rsidRPr="002239B9">
        <w:t xml:space="preserve"> into a deep saline aquifer or a depleted hydrocarbon reservoir</w:t>
      </w:r>
      <w:r>
        <w:t xml:space="preserve"> </w:t>
      </w:r>
      <w:r w:rsidRPr="002239B9">
        <w:t>(Gale, 2004; Friedmann, 2007; Breuning et al., 2013)</w:t>
      </w:r>
      <w:r>
        <w:t xml:space="preserve">. </w:t>
      </w:r>
      <w:r w:rsidRPr="006A1A4D">
        <w:t>Geophysical methods have been utilized for many geosequestration</w:t>
      </w:r>
      <w:r>
        <w:t>-</w:t>
      </w:r>
      <w:r w:rsidRPr="006A1A4D">
        <w:t>related studies, including site characterization</w:t>
      </w:r>
      <w:r>
        <w:t xml:space="preserve"> (Kazemeini et al., 2009, Sundal et al., 2016; </w:t>
      </w:r>
      <w:r w:rsidRPr="00426378">
        <w:t>DeAngelo</w:t>
      </w:r>
      <w:r>
        <w:t xml:space="preserve"> et al., 2019; Fawad et al., 2021) and</w:t>
      </w:r>
      <w:r w:rsidRPr="006A1A4D">
        <w:t xml:space="preserve"> monitoring </w:t>
      </w:r>
      <w:r>
        <w:t xml:space="preserve">(Chadwick et al., 2010; </w:t>
      </w:r>
      <w:r w:rsidRPr="006A1A4D">
        <w:t>Lumley, 2010;</w:t>
      </w:r>
      <w:r>
        <w:t xml:space="preserve"> Li et al., 2013;</w:t>
      </w:r>
      <w:r w:rsidRPr="006A1A4D">
        <w:t xml:space="preserve"> Bergmann et al., 2014;</w:t>
      </w:r>
      <w:r>
        <w:t xml:space="preserve"> Pires de Lima, 2019b;</w:t>
      </w:r>
      <w:r w:rsidRPr="006A1A4D">
        <w:t xml:space="preserve"> Fawad and Mondol, 2021)</w:t>
      </w:r>
      <w:r>
        <w:t>. These studies mainly focused on monitoring the injected CO</w:t>
      </w:r>
      <w:r w:rsidRPr="00191436">
        <w:rPr>
          <w:vertAlign w:val="subscript"/>
        </w:rPr>
        <w:t>2</w:t>
      </w:r>
      <w:r w:rsidRPr="001D7277">
        <w:t xml:space="preserve"> </w:t>
      </w:r>
      <w:r>
        <w:t xml:space="preserve">plume in the subsurface, while relatively few studies were conducted on the characterization of candidate injection zones. </w:t>
      </w:r>
    </w:p>
    <w:p w14:paraId="7269A33C" w14:textId="77777777" w:rsidR="00090F82" w:rsidRPr="000F1F51" w:rsidRDefault="00090F82" w:rsidP="00090F82">
      <w:pPr>
        <w:ind w:firstLine="720"/>
      </w:pPr>
      <w:r w:rsidRPr="00B40E07">
        <w:t>Among the many other variables</w:t>
      </w:r>
      <w:r>
        <w:t xml:space="preserve">, such as </w:t>
      </w:r>
      <w:r w:rsidRPr="00B40E07">
        <w:t>reservoir depth to keep the CO</w:t>
      </w:r>
      <w:r w:rsidRPr="00B40E07">
        <w:rPr>
          <w:vertAlign w:val="subscript"/>
        </w:rPr>
        <w:t xml:space="preserve">2 </w:t>
      </w:r>
      <w:r w:rsidRPr="001B11F6">
        <w:t>supercritical</w:t>
      </w:r>
      <w:r>
        <w:t xml:space="preserve"> </w:t>
      </w:r>
      <w:r w:rsidRPr="00B40E07">
        <w:t xml:space="preserve">and a confining zone that can </w:t>
      </w:r>
      <w:r>
        <w:t>trap</w:t>
      </w:r>
      <w:r w:rsidRPr="00B40E07">
        <w:t xml:space="preserve"> the injected CO</w:t>
      </w:r>
      <w:r w:rsidRPr="00B40E07">
        <w:rPr>
          <w:vertAlign w:val="subscript"/>
        </w:rPr>
        <w:t>2</w:t>
      </w:r>
      <w:r>
        <w:t xml:space="preserve">, a viable carbon geosequestration requires a reservoir with </w:t>
      </w:r>
      <w:r w:rsidRPr="00B40E07">
        <w:t>extensive storage capacity and injectivity</w:t>
      </w:r>
      <w:r>
        <w:t xml:space="preserve"> </w:t>
      </w:r>
      <w:r w:rsidRPr="00B40E07">
        <w:t xml:space="preserve">(Rodosta et al., 2011; Goodman et al., 2011). </w:t>
      </w:r>
      <w:r>
        <w:t>Therefore, characterizing the spatial variability of storage capacity and the fluid-flow behavior is crucial for identifying optimal sites for CO</w:t>
      </w:r>
      <w:r w:rsidRPr="000F1F51">
        <w:rPr>
          <w:vertAlign w:val="subscript"/>
        </w:rPr>
        <w:t>2</w:t>
      </w:r>
      <w:r>
        <w:rPr>
          <w:vertAlign w:val="subscript"/>
        </w:rPr>
        <w:t xml:space="preserve"> </w:t>
      </w:r>
      <w:r>
        <w:t>geosequestration.</w:t>
      </w:r>
    </w:p>
    <w:p w14:paraId="59A83C0B" w14:textId="77777777" w:rsidR="00090F82" w:rsidRDefault="00090F82" w:rsidP="00090F82">
      <w:pPr>
        <w:ind w:firstLine="720"/>
        <w:rPr>
          <w:rFonts w:ascii="Arial" w:hAnsi="Arial" w:cs="Arial"/>
          <w:szCs w:val="24"/>
        </w:rPr>
      </w:pPr>
      <w:r>
        <w:t xml:space="preserve">The Arbuckle Group in southern Kansas and Oklahoma </w:t>
      </w:r>
      <w:r w:rsidRPr="00CF0F4B">
        <w:t xml:space="preserve">has become a focus for </w:t>
      </w:r>
      <w:r>
        <w:t>CO</w:t>
      </w:r>
      <w:r w:rsidRPr="005D0071">
        <w:rPr>
          <w:vertAlign w:val="subscript"/>
        </w:rPr>
        <w:t>2</w:t>
      </w:r>
      <w:r w:rsidRPr="00CF0F4B">
        <w:t xml:space="preserve"> sequestration</w:t>
      </w:r>
      <w:r>
        <w:t>-</w:t>
      </w:r>
      <w:r w:rsidRPr="00CF0F4B">
        <w:t>related studies</w:t>
      </w:r>
      <w:r>
        <w:t xml:space="preserve"> due to its geological properties and the proximity to significant zones of CO</w:t>
      </w:r>
      <w:r w:rsidRPr="005601FB">
        <w:rPr>
          <w:vertAlign w:val="subscript"/>
        </w:rPr>
        <w:t>2</w:t>
      </w:r>
      <w:r>
        <w:t xml:space="preserve"> emission </w:t>
      </w:r>
      <w:r w:rsidRPr="00CF0F4B">
        <w:t>(</w:t>
      </w:r>
      <w:r>
        <w:t>Watney and Rush, 2012; Holubnyak, 2017</w:t>
      </w:r>
      <w:r w:rsidRPr="00CF0F4B">
        <w:t>).</w:t>
      </w:r>
      <w:r>
        <w:t xml:space="preserve"> Numerous geophysical studies have been carried out</w:t>
      </w:r>
      <w:r w:rsidRPr="000E627A">
        <w:t xml:space="preserve"> </w:t>
      </w:r>
      <w:r>
        <w:t>t</w:t>
      </w:r>
      <w:r w:rsidRPr="000E627A">
        <w:t>o evaluate</w:t>
      </w:r>
      <w:r>
        <w:t xml:space="preserve"> the CO</w:t>
      </w:r>
      <w:r w:rsidRPr="005D0071">
        <w:rPr>
          <w:vertAlign w:val="subscript"/>
        </w:rPr>
        <w:t>2</w:t>
      </w:r>
      <w:r w:rsidRPr="000E627A">
        <w:t xml:space="preserve"> sequestration potential</w:t>
      </w:r>
      <w:r>
        <w:t xml:space="preserve"> of the Arbuckle Group (</w:t>
      </w:r>
      <w:r w:rsidRPr="000F1F51">
        <w:t>Ohl and Raef, 2014;</w:t>
      </w:r>
      <w:r>
        <w:rPr>
          <w:sz w:val="20"/>
          <w:szCs w:val="20"/>
        </w:rPr>
        <w:t xml:space="preserve"> </w:t>
      </w:r>
      <w:r>
        <w:t xml:space="preserve">Gupta et al., 2017; Doveton and Watney, </w:t>
      </w:r>
      <w:r w:rsidRPr="00F2591F">
        <w:t>2015).</w:t>
      </w:r>
      <w:r>
        <w:t xml:space="preserve"> </w:t>
      </w:r>
      <w:r w:rsidRPr="001C4DDD">
        <w:t xml:space="preserve">Ohl and Raef (2014) performed multi-attribute analysis and created porosity-related petrofacies clusters using </w:t>
      </w:r>
      <w:r>
        <w:t xml:space="preserve">an </w:t>
      </w:r>
      <w:r w:rsidRPr="001C4DDD">
        <w:t xml:space="preserve">Artificial Neural </w:t>
      </w:r>
      <w:r w:rsidRPr="001C4DDD">
        <w:lastRenderedPageBreak/>
        <w:t>Network</w:t>
      </w:r>
      <w:r>
        <w:t xml:space="preserve"> method</w:t>
      </w:r>
      <w:r w:rsidRPr="001C4DDD">
        <w:t xml:space="preserve"> (ANN).  Gupta et al. (2017)</w:t>
      </w:r>
      <w:r>
        <w:t xml:space="preserve"> </w:t>
      </w:r>
      <w:r w:rsidRPr="001C4DDD">
        <w:t xml:space="preserve">utilized S-wave amplitude variation </w:t>
      </w:r>
      <w:r>
        <w:t>w</w:t>
      </w:r>
      <w:r w:rsidRPr="001C4DDD">
        <w:t xml:space="preserve">ith offset to characterize possible fracture presence that can be a potential factor affecting the injectivity and </w:t>
      </w:r>
      <w:r>
        <w:t>CO</w:t>
      </w:r>
      <w:r w:rsidRPr="005D0071">
        <w:rPr>
          <w:vertAlign w:val="subscript"/>
        </w:rPr>
        <w:t>2</w:t>
      </w:r>
      <w:r w:rsidRPr="001C4DDD">
        <w:t xml:space="preserve"> movement in the subsurface.</w:t>
      </w:r>
      <w:r>
        <w:t xml:space="preserve"> </w:t>
      </w:r>
    </w:p>
    <w:p w14:paraId="26144698" w14:textId="77777777" w:rsidR="00090F82" w:rsidRPr="00082F4B" w:rsidRDefault="00090F82" w:rsidP="00090F82">
      <w:pPr>
        <w:ind w:firstLine="720"/>
        <w:rPr>
          <w:vertAlign w:val="subscript"/>
        </w:rPr>
      </w:pPr>
      <w:r w:rsidRPr="00082F4B">
        <w:t xml:space="preserve">To build upon the previous studies, we assess </w:t>
      </w:r>
      <w:r>
        <w:t>the seismic-scale</w:t>
      </w:r>
      <w:r w:rsidRPr="00082F4B">
        <w:t xml:space="preserve"> spatial variability of injectivity and storage potential of the heterogeneous Arbuckle </w:t>
      </w:r>
      <w:r>
        <w:t>G</w:t>
      </w:r>
      <w:r w:rsidRPr="00082F4B">
        <w:t>roup by</w:t>
      </w:r>
      <w:r w:rsidRPr="00082F4B">
        <w:rPr>
          <w:vertAlign w:val="subscript"/>
        </w:rPr>
        <w:t xml:space="preserve"> </w:t>
      </w:r>
      <w:r w:rsidRPr="00082F4B">
        <w:t>integrating petrophysic</w:t>
      </w:r>
      <w:r>
        <w:t>s-</w:t>
      </w:r>
      <w:r w:rsidRPr="00082F4B">
        <w:t xml:space="preserve">defined rock types from </w:t>
      </w:r>
      <w:r>
        <w:t xml:space="preserve">cored </w:t>
      </w:r>
      <w:r w:rsidRPr="00082F4B">
        <w:t xml:space="preserve">wells with seismic data to create </w:t>
      </w:r>
      <w:r>
        <w:t xml:space="preserve">a </w:t>
      </w:r>
      <w:r w:rsidRPr="00082F4B">
        <w:t>3D volume of petrofacies</w:t>
      </w:r>
      <w:r>
        <w:t xml:space="preserve"> and individual petrofacies probabilities,</w:t>
      </w:r>
      <w:r w:rsidRPr="00082F4B">
        <w:t xml:space="preserve"> using supervised machine learning. </w:t>
      </w:r>
    </w:p>
    <w:p w14:paraId="72E4EB77" w14:textId="2D6C9117" w:rsidR="00090F82" w:rsidRDefault="00090F82" w:rsidP="00090F82">
      <w:pPr>
        <w:ind w:firstLine="720"/>
      </w:pPr>
      <w:r w:rsidRPr="00082F4B">
        <w:t xml:space="preserve">The Wellington </w:t>
      </w:r>
      <w:r w:rsidR="00763047">
        <w:t>F</w:t>
      </w:r>
      <w:r w:rsidR="00763047" w:rsidRPr="00082F4B">
        <w:t xml:space="preserve">ield </w:t>
      </w:r>
      <w:r w:rsidRPr="00082F4B">
        <w:t>is in Sumner County, Kansas (</w:t>
      </w:r>
      <w:r w:rsidRPr="00224C7C">
        <w:t xml:space="preserve">Figure </w:t>
      </w:r>
      <w:r w:rsidR="00607746">
        <w:t>2.</w:t>
      </w:r>
      <w:r w:rsidRPr="00224C7C">
        <w:t>1</w:t>
      </w:r>
      <w:r w:rsidRPr="00082F4B">
        <w:t>)</w:t>
      </w:r>
      <w:r>
        <w:t>.</w:t>
      </w:r>
      <w:r w:rsidRPr="0012031D">
        <w:t xml:space="preserve"> </w:t>
      </w:r>
      <w:r>
        <w:t>Along with the Arbuckle Group, which is being targeted for CO</w:t>
      </w:r>
      <w:r w:rsidRPr="000018CB">
        <w:rPr>
          <w:vertAlign w:val="subscript"/>
        </w:rPr>
        <w:t>2</w:t>
      </w:r>
      <w:r>
        <w:t xml:space="preserve"> and wastewater injection, the</w:t>
      </w:r>
      <w:r w:rsidRPr="00316554">
        <w:t xml:space="preserve"> primary unit of </w:t>
      </w:r>
      <w:r>
        <w:t>oil</w:t>
      </w:r>
      <w:r w:rsidRPr="00316554">
        <w:t xml:space="preserve"> </w:t>
      </w:r>
      <w:r>
        <w:t xml:space="preserve">production </w:t>
      </w:r>
      <w:r w:rsidRPr="00316554">
        <w:t xml:space="preserve">of the study area </w:t>
      </w:r>
      <w:r>
        <w:t xml:space="preserve">are </w:t>
      </w:r>
      <w:r w:rsidRPr="00316554">
        <w:t>Missi</w:t>
      </w:r>
      <w:r>
        <w:t>s</w:t>
      </w:r>
      <w:r w:rsidRPr="00316554">
        <w:t>sippian</w:t>
      </w:r>
      <w:r>
        <w:t>-</w:t>
      </w:r>
      <w:r w:rsidRPr="00316554">
        <w:t>age carbonates that ha</w:t>
      </w:r>
      <w:r>
        <w:t>ve</w:t>
      </w:r>
      <w:r w:rsidRPr="00316554">
        <w:t xml:space="preserve"> produced 20 MMBO and </w:t>
      </w:r>
      <w:r>
        <w:t xml:space="preserve">are </w:t>
      </w:r>
      <w:r w:rsidRPr="00316554">
        <w:t>recently being targeted for</w:t>
      </w:r>
      <w:r>
        <w:t xml:space="preserve"> enhanced-oil recovery-</w:t>
      </w:r>
      <w:r w:rsidRPr="00316554">
        <w:t xml:space="preserve"> </w:t>
      </w:r>
      <w:r>
        <w:t>(</w:t>
      </w:r>
      <w:r w:rsidRPr="00316554">
        <w:t>EOR</w:t>
      </w:r>
      <w:r>
        <w:t xml:space="preserve">-) </w:t>
      </w:r>
      <w:r w:rsidRPr="00316554">
        <w:t>related CO</w:t>
      </w:r>
      <w:r w:rsidRPr="00B412BA">
        <w:rPr>
          <w:vertAlign w:val="subscript"/>
        </w:rPr>
        <w:t>2</w:t>
      </w:r>
      <w:r w:rsidRPr="00316554">
        <w:t xml:space="preserve"> injection (Watney </w:t>
      </w:r>
      <w:r>
        <w:t>and Rush, 2012</w:t>
      </w:r>
      <w:r w:rsidRPr="00316554">
        <w:t>)</w:t>
      </w:r>
      <w:r>
        <w:t>. Data for this study include a 3D seismic survey with pre-stack time migrated (PSTM) offset gathers covering a 12.6</w:t>
      </w:r>
      <w:r w:rsidRPr="00C417F5">
        <w:t xml:space="preserve"> mi</w:t>
      </w:r>
      <w:r w:rsidRPr="00C417F5">
        <w:rPr>
          <w:vertAlign w:val="superscript"/>
        </w:rPr>
        <w:t>2</w:t>
      </w:r>
      <w:r w:rsidRPr="00C417F5">
        <w:t xml:space="preserve"> (~</w:t>
      </w:r>
      <w:r>
        <w:t>32.7</w:t>
      </w:r>
      <w:r w:rsidRPr="00C417F5">
        <w:t xml:space="preserve"> km</w:t>
      </w:r>
      <w:r w:rsidRPr="00C417F5">
        <w:rPr>
          <w:vertAlign w:val="superscript"/>
        </w:rPr>
        <w:t>2</w:t>
      </w:r>
      <w:r w:rsidRPr="00C417F5">
        <w:t>)</w:t>
      </w:r>
      <w:r>
        <w:t xml:space="preserve"> area. The seismic survey has</w:t>
      </w:r>
      <w:r w:rsidRPr="00C417F5">
        <w:t xml:space="preserve"> a </w:t>
      </w:r>
      <w:r>
        <w:t>2</w:t>
      </w:r>
      <w:r w:rsidRPr="00C417F5">
        <w:t xml:space="preserve"> ms sample rate and </w:t>
      </w:r>
      <w:r>
        <w:t xml:space="preserve">is </w:t>
      </w:r>
      <w:r w:rsidRPr="00C417F5">
        <w:t>processed with a bin size of 82.5 by 82.5 ft (25 by 25 m)</w:t>
      </w:r>
      <w:r>
        <w:t xml:space="preserve"> and offset ranging from 456 to 6553 ft (~139 to 1998 m). </w:t>
      </w:r>
      <w:r w:rsidRPr="00C417F5">
        <w:t xml:space="preserve">The survey consists of </w:t>
      </w:r>
      <w:r w:rsidRPr="00F5355E">
        <w:t>288</w:t>
      </w:r>
      <w:r w:rsidRPr="00C417F5">
        <w:t xml:space="preserve"> inlines and </w:t>
      </w:r>
      <w:r w:rsidRPr="00F5355E">
        <w:t>178</w:t>
      </w:r>
      <w:r w:rsidRPr="00C417F5">
        <w:t xml:space="preserve"> crosslines and a record length of </w:t>
      </w:r>
      <w:r>
        <w:t>two</w:t>
      </w:r>
      <w:r w:rsidRPr="00C417F5">
        <w:t xml:space="preserve"> seconds. The vertical </w:t>
      </w:r>
      <w:r>
        <w:t xml:space="preserve">seismic </w:t>
      </w:r>
      <w:r w:rsidRPr="00C417F5">
        <w:t>resolution (equal to one-fourth of a wavelength</w:t>
      </w:r>
      <w:r>
        <w:t>)</w:t>
      </w:r>
      <w:r w:rsidRPr="00C417F5">
        <w:t xml:space="preserve"> at</w:t>
      </w:r>
      <w:r>
        <w:t xml:space="preserve"> the interval of interest </w:t>
      </w:r>
      <w:r w:rsidRPr="00C417F5">
        <w:t xml:space="preserve">is </w:t>
      </w:r>
      <w:r w:rsidRPr="007253F0">
        <w:t>115</w:t>
      </w:r>
      <w:r w:rsidRPr="00C417F5">
        <w:t xml:space="preserve"> ft (~</w:t>
      </w:r>
      <w:r w:rsidRPr="007253F0">
        <w:t>35</w:t>
      </w:r>
      <w:r>
        <w:t xml:space="preserve"> </w:t>
      </w:r>
      <w:r w:rsidRPr="00C417F5">
        <w:t>m)</w:t>
      </w:r>
      <w:r>
        <w:t xml:space="preserve">. The dataset also includes two vertical wells, </w:t>
      </w:r>
      <w:r w:rsidRPr="00B412BA">
        <w:rPr>
          <w:rFonts w:cs="Times New Roman"/>
          <w:szCs w:val="24"/>
        </w:rPr>
        <w:t>Berexco Wellington KGS #1–28 and #1-32</w:t>
      </w:r>
      <w:r>
        <w:rPr>
          <w:rFonts w:cs="Times New Roman"/>
          <w:szCs w:val="24"/>
        </w:rPr>
        <w:t xml:space="preserve">.  Both wells have a full suite of open-hole logs and the </w:t>
      </w:r>
      <w:r>
        <w:t>Berexco Wellington KGS #1–32 well</w:t>
      </w:r>
      <w:r>
        <w:rPr>
          <w:rFonts w:cs="Times New Roman"/>
          <w:szCs w:val="24"/>
        </w:rPr>
        <w:t xml:space="preserve"> also has </w:t>
      </w:r>
      <w:r>
        <w:t xml:space="preserve">800 ft (~245 m) of core with petrophysical measurements and </w:t>
      </w:r>
      <w:r w:rsidR="004D247B">
        <w:t>descriptions (</w:t>
      </w:r>
      <w:r>
        <w:t xml:space="preserve">Figures </w:t>
      </w:r>
      <w:r w:rsidR="00607746">
        <w:t>2.</w:t>
      </w:r>
      <w:r>
        <w:t xml:space="preserve">2 and </w:t>
      </w:r>
      <w:r w:rsidR="00607746">
        <w:t>2.</w:t>
      </w:r>
      <w:r>
        <w:t>3).</w:t>
      </w:r>
    </w:p>
    <w:p w14:paraId="532A218D" w14:textId="578A6DF7" w:rsidR="00090F82" w:rsidRDefault="00090F82" w:rsidP="00090F82">
      <w:pPr>
        <w:ind w:firstLine="720"/>
      </w:pPr>
      <w:r>
        <w:t xml:space="preserve">Core-derived porosity and permeability measurements were used to define petrophysics-defined rock types (petrofacies) for the cored well and classified in the uncored well using the </w:t>
      </w:r>
      <w:r>
        <w:lastRenderedPageBreak/>
        <w:t xml:space="preserve">artificial neural network (ANN) method. Sonic and density logs from the two wells were used with seismic data used to generate synthetic seismograms to perform well-to-seismic ties. The seismic data were used to interpret key horizons and perform simultaneous pre-stack inversion for creating acoustic and shear impedance volumes. Additionally, angle stacks and amplitude-versus-offset (AVO) attribute volumes were produced.  These seismic volumes and petrofacies logs were used to train a supervised Random Forest classifier to create a 3D volume of petrofacies and individual petrofacies probability volumes at a seismic scale. Finally, the resulting volumes were analyzed to evaluate the seismic-scale spatial distribution of potential injection and baffle zones in the Arbuckle interval in the study area (Figure </w:t>
      </w:r>
      <w:r w:rsidR="00BA17F4">
        <w:t>2.</w:t>
      </w:r>
      <w:r>
        <w:t xml:space="preserve">4). </w:t>
      </w:r>
    </w:p>
    <w:p w14:paraId="1255F8AA" w14:textId="77777777" w:rsidR="00090F82" w:rsidRPr="003C389D" w:rsidRDefault="00090F82" w:rsidP="00090F82">
      <w:pPr>
        <w:pStyle w:val="Heading2"/>
      </w:pPr>
      <w:bookmarkStart w:id="110" w:name="_Toc119516613"/>
      <w:bookmarkStart w:id="111" w:name="_Toc121095948"/>
      <w:r w:rsidRPr="003C389D">
        <w:t>Geological setting</w:t>
      </w:r>
      <w:bookmarkEnd w:id="110"/>
      <w:bookmarkEnd w:id="111"/>
      <w:r w:rsidRPr="003C389D">
        <w:t xml:space="preserve"> </w:t>
      </w:r>
    </w:p>
    <w:p w14:paraId="07314E74" w14:textId="37DEC919" w:rsidR="00090F82" w:rsidRDefault="00763047" w:rsidP="00090F82">
      <w:pPr>
        <w:ind w:firstLine="720"/>
      </w:pPr>
      <w:r>
        <w:t xml:space="preserve">The </w:t>
      </w:r>
      <w:r w:rsidR="00090F82" w:rsidRPr="00316554">
        <w:t xml:space="preserve">Wellington </w:t>
      </w:r>
      <w:r>
        <w:t>F</w:t>
      </w:r>
      <w:r w:rsidRPr="00316554">
        <w:t xml:space="preserve">ield </w:t>
      </w:r>
      <w:r w:rsidR="00090F82" w:rsidRPr="00316554">
        <w:t xml:space="preserve">is </w:t>
      </w:r>
      <w:r w:rsidR="00090F82">
        <w:t>in</w:t>
      </w:r>
      <w:r w:rsidR="00090F82" w:rsidRPr="00316554">
        <w:t xml:space="preserve"> the southern portion of the Sedgwick Basin</w:t>
      </w:r>
      <w:r w:rsidR="00090F82">
        <w:t xml:space="preserve">. </w:t>
      </w:r>
      <w:r w:rsidR="00090F82" w:rsidRPr="00316554">
        <w:t xml:space="preserve">The Sedgwick </w:t>
      </w:r>
      <w:r w:rsidR="00090F82">
        <w:t>B</w:t>
      </w:r>
      <w:r w:rsidR="00090F82" w:rsidRPr="00316554">
        <w:t>asin is a major pre-Desmo</w:t>
      </w:r>
      <w:r w:rsidR="00090F82">
        <w:t>i</w:t>
      </w:r>
      <w:r w:rsidR="00090F82" w:rsidRPr="00316554">
        <w:t>nesian to post-Missi</w:t>
      </w:r>
      <w:r w:rsidR="00090F82">
        <w:t>s</w:t>
      </w:r>
      <w:r w:rsidR="00090F82" w:rsidRPr="00316554">
        <w:t>sippian</w:t>
      </w:r>
      <w:r w:rsidR="00090F82">
        <w:t>-</w:t>
      </w:r>
      <w:r w:rsidR="00090F82" w:rsidRPr="00316554">
        <w:t>age, shelf</w:t>
      </w:r>
      <w:r w:rsidR="00090F82">
        <w:t>-</w:t>
      </w:r>
      <w:r w:rsidR="00090F82" w:rsidRPr="00316554">
        <w:t xml:space="preserve">like, southerly plunging feature in southwest Kansas. Structurally, </w:t>
      </w:r>
      <w:r w:rsidR="00090F82">
        <w:t>i</w:t>
      </w:r>
      <w:r w:rsidR="00090F82" w:rsidRPr="00316554">
        <w:t>t is bounded by the Central Kansas Uplift to the west,</w:t>
      </w:r>
      <w:r w:rsidR="00090F82">
        <w:t xml:space="preserve"> the Nemaha uplift to the east,</w:t>
      </w:r>
      <w:r w:rsidR="00090F82" w:rsidRPr="00316554">
        <w:t xml:space="preserve"> the Salina Basin to the north, and the Anadarko Basin to the south (Merriam, 1963).</w:t>
      </w:r>
    </w:p>
    <w:p w14:paraId="099B7091" w14:textId="7D858550" w:rsidR="00090F82" w:rsidRPr="00796749" w:rsidRDefault="00090F82" w:rsidP="00090F82">
      <w:pPr>
        <w:ind w:firstLine="720"/>
      </w:pPr>
      <w:r w:rsidRPr="00316554">
        <w:t>The Arbuckle Group is composed (</w:t>
      </w:r>
      <w:r>
        <w:t>bottom to top</w:t>
      </w:r>
      <w:r w:rsidRPr="00316554">
        <w:t>) of the</w:t>
      </w:r>
      <w:r>
        <w:t xml:space="preserve"> Eminence Dolomite, Gasconade Dolomite with basal Gunther Sandstone, Robidoux Formation, and Jefferson City/Cotter Dolomite. T</w:t>
      </w:r>
      <w:r w:rsidRPr="00316554">
        <w:t xml:space="preserve">he Arbuckle </w:t>
      </w:r>
      <w:r>
        <w:t>G</w:t>
      </w:r>
      <w:r w:rsidRPr="00316554">
        <w:t>roup w</w:t>
      </w:r>
      <w:r>
        <w:t>as mainly</w:t>
      </w:r>
      <w:r w:rsidRPr="00316554">
        <w:t xml:space="preserve"> deposited in sub-tropical, </w:t>
      </w:r>
      <w:r>
        <w:t>intertidal</w:t>
      </w:r>
      <w:r w:rsidRPr="00316554">
        <w:t xml:space="preserve"> to shallow subtidal</w:t>
      </w:r>
      <w:r>
        <w:t xml:space="preserve"> environments within high salinity shallow continental seas</w:t>
      </w:r>
      <w:r w:rsidRPr="009E628C">
        <w:t xml:space="preserve"> </w:t>
      </w:r>
      <w:r w:rsidRPr="00316554">
        <w:t>(Merriam, 1963).</w:t>
      </w:r>
      <w:r>
        <w:t xml:space="preserve"> P</w:t>
      </w:r>
      <w:r w:rsidRPr="00316554">
        <w:t xml:space="preserve">ost-depositional </w:t>
      </w:r>
      <w:r>
        <w:t>dolomitization</w:t>
      </w:r>
      <w:r w:rsidRPr="00316554">
        <w:t xml:space="preserve"> of </w:t>
      </w:r>
      <w:r>
        <w:t xml:space="preserve">the </w:t>
      </w:r>
      <w:r w:rsidRPr="00316554">
        <w:t xml:space="preserve">Arbuckle </w:t>
      </w:r>
      <w:r>
        <w:t>Group</w:t>
      </w:r>
      <w:r w:rsidRPr="00316554">
        <w:t xml:space="preserve"> occurred when magnesium</w:t>
      </w:r>
      <w:r>
        <w:t>-</w:t>
      </w:r>
      <w:r w:rsidRPr="00316554">
        <w:t>rich fresh waters mixed with local marine waters.</w:t>
      </w:r>
      <w:r>
        <w:t xml:space="preserve"> Along with dolomitization, hydrothermal alteration, karstification, and fracturing resulted in complex rock fabrics and a heterogeneous distribution of reservoir and non-</w:t>
      </w:r>
      <w:r>
        <w:lastRenderedPageBreak/>
        <w:t xml:space="preserve">reservoir lithologies throughout the Arbuckle Group (Franseen et al., 2004). These lithologies are mainly </w:t>
      </w:r>
      <w:r w:rsidRPr="00D7793D">
        <w:t>boundstones, grainstones, packstones, and mudstones with various pore types</w:t>
      </w:r>
      <w:r>
        <w:t>,</w:t>
      </w:r>
      <w:r w:rsidRPr="00D7793D">
        <w:t xml:space="preserve"> includ</w:t>
      </w:r>
      <w:r>
        <w:t>ing</w:t>
      </w:r>
      <w:r w:rsidRPr="00D7793D">
        <w:t xml:space="preserve"> intercrystalline, moldic, fenestral, and vuggy</w:t>
      </w:r>
      <w:r>
        <w:t xml:space="preserve"> </w:t>
      </w:r>
      <w:r w:rsidRPr="00D7793D">
        <w:t xml:space="preserve">(Doveton and Watney, 2015). </w:t>
      </w:r>
      <w:r>
        <w:t>Except for</w:t>
      </w:r>
      <w:r w:rsidRPr="00AA6928">
        <w:t xml:space="preserve"> certain structurally high regions on the Central Kansas uplift and the Nemaha anticline, where the Arbuckle has been eroded, the Arbuckle Group is </w:t>
      </w:r>
      <w:r>
        <w:t>regionally extensive</w:t>
      </w:r>
      <w:r w:rsidRPr="00AA6928">
        <w:t xml:space="preserve"> across Kansas (</w:t>
      </w:r>
      <w:r>
        <w:t>Carr, 1986; Franseen et al., 2004</w:t>
      </w:r>
      <w:r w:rsidRPr="00AA6928">
        <w:t>)</w:t>
      </w:r>
      <w:r>
        <w:t xml:space="preserve">. The average thickness increases from north to south, reaching approximately 1000 ft (~ 304 m) in south-central Kansas. Stratigraphically, the Arbuckle Group overlies the Precambrian granitic basement and the Reagan Sandstone and underlies the rocks of the Simpson Group (Figure </w:t>
      </w:r>
      <w:r w:rsidR="00BA17F4">
        <w:t>2.</w:t>
      </w:r>
      <w:r>
        <w:t>5). In the study area, the top of the Arbuckle Group is approximately 4000 ft (~1220 m) below the surface. Regarding the CO</w:t>
      </w:r>
      <w:r w:rsidRPr="007F3AAF">
        <w:rPr>
          <w:vertAlign w:val="subscript"/>
        </w:rPr>
        <w:t>2</w:t>
      </w:r>
      <w:r w:rsidRPr="000642EB">
        <w:t xml:space="preserve"> </w:t>
      </w:r>
      <w:r>
        <w:t>geosequestration applications, this depth is well below the adequate depth (~2600 ft; 800 m) for injected CO</w:t>
      </w:r>
      <w:r w:rsidRPr="007F3AAF">
        <w:rPr>
          <w:vertAlign w:val="subscript"/>
        </w:rPr>
        <w:t>2</w:t>
      </w:r>
      <w:r w:rsidRPr="000642EB">
        <w:t xml:space="preserve"> to stay </w:t>
      </w:r>
      <w:r>
        <w:t xml:space="preserve">in a </w:t>
      </w:r>
      <w:r w:rsidRPr="000642EB">
        <w:t xml:space="preserve">supercritical state </w:t>
      </w:r>
      <w:r>
        <w:t xml:space="preserve">in the subsurface </w:t>
      </w:r>
      <w:r w:rsidRPr="000642EB">
        <w:t>(Friedmann, 2007).</w:t>
      </w:r>
      <w:r>
        <w:t xml:space="preserve"> </w:t>
      </w:r>
    </w:p>
    <w:p w14:paraId="2B3A1589" w14:textId="77777777" w:rsidR="00090F82" w:rsidRDefault="00090F82" w:rsidP="00090F82">
      <w:pPr>
        <w:pStyle w:val="Heading2"/>
      </w:pPr>
      <w:bookmarkStart w:id="112" w:name="_Toc119516614"/>
      <w:bookmarkStart w:id="113" w:name="_Toc121095949"/>
      <w:r w:rsidRPr="00316554">
        <w:t>Methods</w:t>
      </w:r>
      <w:bookmarkEnd w:id="112"/>
      <w:bookmarkEnd w:id="113"/>
    </w:p>
    <w:p w14:paraId="6E58FEB6" w14:textId="77777777" w:rsidR="00090F82" w:rsidRPr="004E5888" w:rsidRDefault="00090F82" w:rsidP="00090F82">
      <w:pPr>
        <w:pStyle w:val="Heading3"/>
        <w:rPr>
          <w:color w:val="FF0000"/>
        </w:rPr>
      </w:pPr>
      <w:bookmarkStart w:id="114" w:name="_Toc119516615"/>
      <w:bookmarkStart w:id="115" w:name="_Toc121095950"/>
      <w:r>
        <w:t>Lithologies and Petrophysics-based rock types (Petrofacies)</w:t>
      </w:r>
      <w:bookmarkEnd w:id="114"/>
      <w:bookmarkEnd w:id="115"/>
    </w:p>
    <w:p w14:paraId="67307311" w14:textId="77777777" w:rsidR="00090F82" w:rsidRDefault="00090F82" w:rsidP="00090F82">
      <w:pPr>
        <w:ind w:firstLine="720"/>
      </w:pPr>
      <w:r>
        <w:t>Lithologies were identified in the Arbuckle Group using detailed core descriptions by the Kansas Geological Survey (KGS) for the Berexco Wellington KGS #1–32 well. The descriptions identify lithologies and lithofacies through observations of composition, sedimentary structures, grain size, color, and diagenetic textures.</w:t>
      </w:r>
    </w:p>
    <w:p w14:paraId="48BB4332" w14:textId="77777777" w:rsidR="00090F82" w:rsidRDefault="00090F82" w:rsidP="00090F82">
      <w:pPr>
        <w:ind w:firstLine="720"/>
      </w:pPr>
      <w:r w:rsidRPr="00FA215F">
        <w:t>Several different methods of petrophysics</w:t>
      </w:r>
      <w:r>
        <w:t>-</w:t>
      </w:r>
      <w:r w:rsidRPr="00FA215F">
        <w:t>based rock</w:t>
      </w:r>
      <w:r>
        <w:t>-</w:t>
      </w:r>
      <w:r w:rsidRPr="00FA215F">
        <w:t xml:space="preserve">type classification methods </w:t>
      </w:r>
      <w:r>
        <w:t>have</w:t>
      </w:r>
      <w:r w:rsidRPr="00FA215F">
        <w:t xml:space="preserve"> </w:t>
      </w:r>
      <w:r>
        <w:t xml:space="preserve">previously been introduced by authors such as </w:t>
      </w:r>
      <w:r w:rsidRPr="00FA215F">
        <w:t xml:space="preserve">Pitman </w:t>
      </w:r>
      <w:r>
        <w:t>(</w:t>
      </w:r>
      <w:r w:rsidRPr="00FA215F">
        <w:t>1992</w:t>
      </w:r>
      <w:r>
        <w:t xml:space="preserve">), Lucia (1995), </w:t>
      </w:r>
      <w:r w:rsidRPr="00FA215F">
        <w:t xml:space="preserve">Lee et al. </w:t>
      </w:r>
      <w:r>
        <w:t>(</w:t>
      </w:r>
      <w:r w:rsidRPr="00FA215F">
        <w:t>2002</w:t>
      </w:r>
      <w:r>
        <w:t xml:space="preserve">), </w:t>
      </w:r>
      <w:r w:rsidRPr="00FA215F">
        <w:t xml:space="preserve">Kaale </w:t>
      </w:r>
      <w:r>
        <w:t>(</w:t>
      </w:r>
      <w:r w:rsidRPr="00FA215F">
        <w:t>2010</w:t>
      </w:r>
      <w:r>
        <w:t>),</w:t>
      </w:r>
      <w:r w:rsidRPr="00FA215F">
        <w:t xml:space="preserve"> </w:t>
      </w:r>
      <w:r>
        <w:t xml:space="preserve">and </w:t>
      </w:r>
      <w:r w:rsidRPr="00FA215F">
        <w:t xml:space="preserve">Gupta et al. </w:t>
      </w:r>
      <w:r>
        <w:t>(</w:t>
      </w:r>
      <w:r w:rsidRPr="00FA215F">
        <w:t>2017).</w:t>
      </w:r>
      <w:r>
        <w:t xml:space="preserve"> </w:t>
      </w:r>
      <w:r w:rsidRPr="00FA215F">
        <w:t>In this study,</w:t>
      </w:r>
      <w:r>
        <w:t xml:space="preserve"> </w:t>
      </w:r>
      <w:r w:rsidRPr="00316554">
        <w:t xml:space="preserve">we </w:t>
      </w:r>
      <w:r>
        <w:t>defined</w:t>
      </w:r>
      <w:r w:rsidRPr="00316554">
        <w:t xml:space="preserve"> petrophysics-based rock types</w:t>
      </w:r>
      <w:r>
        <w:t xml:space="preserve"> </w:t>
      </w:r>
      <w:r>
        <w:lastRenderedPageBreak/>
        <w:t>(petrofacies)</w:t>
      </w:r>
      <w:r w:rsidRPr="00FA215F">
        <w:t xml:space="preserve"> using the Flow Zone Indicator (FZI) approach </w:t>
      </w:r>
      <w:r>
        <w:t>(</w:t>
      </w:r>
      <w:r w:rsidRPr="00FA215F">
        <w:t>Amaefule et al.</w:t>
      </w:r>
      <w:r>
        <w:t xml:space="preserve">, </w:t>
      </w:r>
      <w:r w:rsidRPr="00FA215F">
        <w:t>1993)</w:t>
      </w:r>
      <w:r>
        <w:t>.</w:t>
      </w:r>
      <w:r w:rsidRPr="00FA215F">
        <w:t xml:space="preserve"> </w:t>
      </w:r>
      <w:r>
        <w:t xml:space="preserve">Using the core-derived porosity and permeability measurements. A petrofacies is a rock with similar pore geometry and fluid-flow characteristics that are internally consistent and different from adjacent rocks </w:t>
      </w:r>
      <w:r w:rsidRPr="00FA215F">
        <w:t>(Amaefule et al., 1993)</w:t>
      </w:r>
      <w:r>
        <w:t>.</w:t>
      </w:r>
      <w:r w:rsidRPr="0013361A">
        <w:t xml:space="preserve"> </w:t>
      </w:r>
      <w:r w:rsidRPr="00C630C6">
        <w:t xml:space="preserve">When </w:t>
      </w:r>
      <w:r>
        <w:t>mapped</w:t>
      </w:r>
      <w:r w:rsidRPr="00C630C6">
        <w:t xml:space="preserve"> </w:t>
      </w:r>
      <w:r>
        <w:t>with</w:t>
      </w:r>
      <w:r w:rsidRPr="00C630C6">
        <w:t xml:space="preserve"> </w:t>
      </w:r>
      <w:r>
        <w:t xml:space="preserve">well and </w:t>
      </w:r>
      <w:r w:rsidRPr="00C630C6">
        <w:t xml:space="preserve">seismic data, </w:t>
      </w:r>
      <w:r>
        <w:t xml:space="preserve">petrofacies </w:t>
      </w:r>
      <w:r w:rsidRPr="00C630C6">
        <w:t>can help delineat</w:t>
      </w:r>
      <w:r>
        <w:t>e</w:t>
      </w:r>
      <w:r w:rsidRPr="00C630C6">
        <w:t xml:space="preserve"> the distribution of </w:t>
      </w:r>
      <w:r>
        <w:t>petrophysically unique rock types</w:t>
      </w:r>
      <w:r w:rsidRPr="00C630C6">
        <w:t xml:space="preserve"> and </w:t>
      </w:r>
      <w:r>
        <w:t xml:space="preserve">associated </w:t>
      </w:r>
      <w:r w:rsidRPr="00C630C6">
        <w:t xml:space="preserve">storage capacity potential of the Arbuckle </w:t>
      </w:r>
      <w:r>
        <w:t>G</w:t>
      </w:r>
      <w:r w:rsidRPr="00C630C6">
        <w:t>roup</w:t>
      </w:r>
      <w:r w:rsidRPr="00316554">
        <w:t xml:space="preserve">. </w:t>
      </w:r>
      <w:r>
        <w:t xml:space="preserve">The </w:t>
      </w:r>
      <w:r w:rsidRPr="00316554">
        <w:t>FZI method (Amaefule et al.,</w:t>
      </w:r>
      <w:r>
        <w:t xml:space="preserve"> </w:t>
      </w:r>
      <w:r w:rsidRPr="00316554">
        <w:t xml:space="preserve">1993) is a technique based on </w:t>
      </w:r>
      <w:r>
        <w:t xml:space="preserve">the </w:t>
      </w:r>
      <w:r w:rsidRPr="00316554">
        <w:t>Kozeny-Carm</w:t>
      </w:r>
      <w:r>
        <w:t>e</w:t>
      </w:r>
      <w:r w:rsidRPr="00316554">
        <w:t>n equation</w:t>
      </w:r>
      <w:r>
        <w:t xml:space="preserve"> (Kozeny, 1927; Carmen, 1937) </w:t>
      </w:r>
      <w:r w:rsidRPr="00316554">
        <w:t>that identifies petrophysical hydraulic (</w:t>
      </w:r>
      <w:r>
        <w:t xml:space="preserve">fluid </w:t>
      </w:r>
      <w:r w:rsidRPr="00316554">
        <w:t xml:space="preserve">flow) units based on </w:t>
      </w:r>
      <w:r>
        <w:t xml:space="preserve">parameters such as grain </w:t>
      </w:r>
      <w:r w:rsidRPr="00316554">
        <w:t xml:space="preserve">surface area and tortuosity. </w:t>
      </w:r>
      <w:r>
        <w:t xml:space="preserve">Samples with similar FZI values will have similar pore geometry, sorting, diagenetic products, and grain size and exhibit similar fluid-flow characteristics.  FZI is calculated using the following formulas: </w:t>
      </w:r>
    </w:p>
    <w:p w14:paraId="530D9DD8" w14:textId="77777777" w:rsidR="00090F82" w:rsidRPr="0033199F" w:rsidRDefault="00000000" w:rsidP="00090F82">
      <w:pPr>
        <w:spacing w:after="0"/>
        <w:jc w:val="center"/>
        <w:rPr>
          <w:rFonts w:eastAsiaTheme="minorEastAsia"/>
          <w:iCs/>
        </w:rPr>
      </w:pPr>
      <m:oMathPara>
        <m:oMath>
          <m:eqArr>
            <m:eqArrPr>
              <m:maxDist m:val="1"/>
              <m:ctrlPr>
                <w:rPr>
                  <w:rFonts w:ascii="Cambria Math" w:eastAsiaTheme="minorEastAsia" w:hAnsi="Cambria Math"/>
                  <w:i/>
                  <w:iCs/>
                </w:rPr>
              </m:ctrlPr>
            </m:eqArrPr>
            <m:e>
              <m:r>
                <w:rPr>
                  <w:rFonts w:ascii="Cambria Math" w:eastAsiaTheme="minorEastAsia" w:hAnsi="Cambria Math"/>
                </w:rPr>
                <m:t>RQI=0.0314*</m:t>
              </m:r>
              <m:rad>
                <m:radPr>
                  <m:degHide m:val="1"/>
                  <m:ctrlPr>
                    <w:rPr>
                      <w:rFonts w:ascii="Cambria Math" w:eastAsiaTheme="minorEastAsia" w:hAnsi="Cambria Math"/>
                      <w:i/>
                      <w:iCs/>
                    </w:rPr>
                  </m:ctrlPr>
                </m:radPr>
                <m:deg/>
                <m:e>
                  <m:f>
                    <m:fPr>
                      <m:ctrlPr>
                        <w:rPr>
                          <w:rFonts w:ascii="Cambria Math" w:eastAsiaTheme="minorEastAsia" w:hAnsi="Cambria Math"/>
                          <w:i/>
                          <w:iCs/>
                        </w:rPr>
                      </m:ctrlPr>
                    </m:fPr>
                    <m:num>
                      <m:r>
                        <w:rPr>
                          <w:rFonts w:ascii="Cambria Math" w:eastAsiaTheme="minorEastAsia" w:hAnsi="Cambria Math"/>
                        </w:rPr>
                        <m:t>k</m:t>
                      </m:r>
                    </m:num>
                    <m:den>
                      <m:r>
                        <w:rPr>
                          <w:rFonts w:ascii="Cambria Math" w:eastAsiaTheme="minorEastAsia" w:hAnsi="Cambria Math"/>
                        </w:rPr>
                        <m:t>∅</m:t>
                      </m:r>
                    </m:den>
                  </m:f>
                </m:e>
              </m:rad>
              <m:r>
                <w:rPr>
                  <w:rFonts w:ascii="Cambria Math" w:eastAsiaTheme="minorEastAsia" w:hAnsi="Cambria Math"/>
                </w:rPr>
                <m:t>#</m:t>
              </m:r>
              <m:d>
                <m:dPr>
                  <m:ctrlPr>
                    <w:rPr>
                      <w:rFonts w:ascii="Cambria Math" w:eastAsiaTheme="minorEastAsia" w:hAnsi="Cambria Math"/>
                      <w:i/>
                      <w:iCs/>
                    </w:rPr>
                  </m:ctrlPr>
                </m:dPr>
                <m:e>
                  <m:r>
                    <w:rPr>
                      <w:rFonts w:ascii="Cambria Math" w:eastAsiaTheme="minorEastAsia" w:hAnsi="Cambria Math"/>
                    </w:rPr>
                    <m:t>1</m:t>
                  </m:r>
                </m:e>
              </m:d>
            </m:e>
          </m:eqArr>
        </m:oMath>
      </m:oMathPara>
    </w:p>
    <w:p w14:paraId="4C6D48A6" w14:textId="77777777" w:rsidR="00090F82" w:rsidRPr="0033199F" w:rsidRDefault="00000000" w:rsidP="00090F82">
      <w:pPr>
        <w:spacing w:after="0"/>
        <w:jc w:val="center"/>
        <w:rPr>
          <w:rFonts w:eastAsiaTheme="minorEastAsia"/>
          <w:iCs/>
        </w:rPr>
      </w:pPr>
      <m:oMathPara>
        <m:oMath>
          <m:eqArr>
            <m:eqArrPr>
              <m:maxDist m:val="1"/>
              <m:ctrlPr>
                <w:rPr>
                  <w:rFonts w:ascii="Cambria Math" w:eastAsiaTheme="minorEastAsia" w:hAnsi="Cambria Math"/>
                  <w:i/>
                  <w:iCs/>
                </w:rPr>
              </m:ctrlPr>
            </m:eqArrPr>
            <m:e>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pvgv</m:t>
                  </m:r>
                </m:sub>
              </m:sSub>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m:t>
                  </m:r>
                </m:num>
                <m:den>
                  <m:r>
                    <w:rPr>
                      <w:rFonts w:ascii="Cambria Math" w:eastAsiaTheme="minorEastAsia" w:hAnsi="Cambria Math"/>
                    </w:rPr>
                    <m:t>1-∅</m:t>
                  </m:r>
                </m:den>
              </m:f>
              <m:r>
                <w:rPr>
                  <w:rFonts w:ascii="Cambria Math" w:eastAsiaTheme="minorEastAsia" w:hAnsi="Cambria Math"/>
                </w:rPr>
                <m:t>#</m:t>
              </m:r>
              <m:d>
                <m:dPr>
                  <m:ctrlPr>
                    <w:rPr>
                      <w:rFonts w:ascii="Cambria Math" w:eastAsiaTheme="minorEastAsia" w:hAnsi="Cambria Math"/>
                      <w:i/>
                      <w:iCs/>
                    </w:rPr>
                  </m:ctrlPr>
                </m:dPr>
                <m:e>
                  <m:r>
                    <w:rPr>
                      <w:rFonts w:ascii="Cambria Math" w:eastAsiaTheme="minorEastAsia" w:hAnsi="Cambria Math"/>
                    </w:rPr>
                    <m:t>2</m:t>
                  </m:r>
                </m:e>
              </m:d>
            </m:e>
          </m:eqArr>
        </m:oMath>
      </m:oMathPara>
    </w:p>
    <w:p w14:paraId="1788F8B3" w14:textId="77777777" w:rsidR="00090F82" w:rsidRPr="00003152" w:rsidRDefault="00000000" w:rsidP="00090F82">
      <w:pPr>
        <w:spacing w:after="0"/>
        <w:jc w:val="center"/>
        <w:rPr>
          <w:rFonts w:eastAsiaTheme="minorEastAsia"/>
          <w:iCs/>
        </w:rPr>
      </w:pPr>
      <m:oMathPara>
        <m:oMath>
          <m:eqArr>
            <m:eqArrPr>
              <m:maxDist m:val="1"/>
              <m:ctrlPr>
                <w:rPr>
                  <w:rFonts w:ascii="Cambria Math" w:eastAsiaTheme="minorEastAsia" w:hAnsi="Cambria Math"/>
                  <w:i/>
                  <w:iCs/>
                </w:rPr>
              </m:ctrlPr>
            </m:eqArrPr>
            <m:e>
              <m:r>
                <w:rPr>
                  <w:rFonts w:ascii="Cambria Math" w:eastAsiaTheme="minorEastAsia" w:hAnsi="Cambria Math"/>
                </w:rPr>
                <m:t>FZI=</m:t>
              </m:r>
              <m:f>
                <m:fPr>
                  <m:ctrlPr>
                    <w:rPr>
                      <w:rFonts w:ascii="Cambria Math" w:eastAsiaTheme="minorEastAsia" w:hAnsi="Cambria Math"/>
                      <w:i/>
                      <w:iCs/>
                    </w:rPr>
                  </m:ctrlPr>
                </m:fPr>
                <m:num>
                  <m:r>
                    <w:rPr>
                      <w:rFonts w:ascii="Cambria Math" w:eastAsiaTheme="minorEastAsia" w:hAnsi="Cambria Math"/>
                    </w:rPr>
                    <m:t>RQI</m:t>
                  </m:r>
                </m:num>
                <m:den>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pvgv</m:t>
                      </m:r>
                    </m:sub>
                  </m:sSub>
                </m:den>
              </m:f>
              <m:r>
                <w:rPr>
                  <w:rFonts w:ascii="Cambria Math" w:eastAsiaTheme="minorEastAsia" w:hAnsi="Cambria Math"/>
                </w:rPr>
                <m:t>#</m:t>
              </m:r>
              <m:d>
                <m:dPr>
                  <m:ctrlPr>
                    <w:rPr>
                      <w:rFonts w:ascii="Cambria Math" w:eastAsiaTheme="minorEastAsia" w:hAnsi="Cambria Math"/>
                      <w:i/>
                      <w:iCs/>
                    </w:rPr>
                  </m:ctrlPr>
                </m:dPr>
                <m:e>
                  <m:r>
                    <w:rPr>
                      <w:rFonts w:ascii="Cambria Math" w:eastAsiaTheme="minorEastAsia" w:hAnsi="Cambria Math"/>
                    </w:rPr>
                    <m:t>3</m:t>
                  </m:r>
                </m:e>
              </m:d>
            </m:e>
          </m:eqArr>
        </m:oMath>
      </m:oMathPara>
    </w:p>
    <w:p w14:paraId="7AA8EE03" w14:textId="4DD136CE" w:rsidR="00090F82" w:rsidRDefault="00090F82" w:rsidP="00FF4D0F">
      <w:pPr>
        <w:spacing w:after="0"/>
        <w:ind w:firstLine="720"/>
      </w:pPr>
      <w:r>
        <w:t xml:space="preserve">Where </w:t>
      </w:r>
      <m:oMath>
        <m:r>
          <w:rPr>
            <w:rFonts w:ascii="Cambria Math" w:hAnsi="Cambria Math"/>
          </w:rPr>
          <m:t>RQI</m:t>
        </m:r>
      </m:oMath>
      <w:r>
        <w:rPr>
          <w:rFonts w:eastAsiaTheme="minorEastAsia"/>
        </w:rPr>
        <w:t xml:space="preserve"> is the reservoir quality index,</w:t>
      </w:r>
      <w:r>
        <w:t xml:space="preserve"> </w:t>
      </w:r>
      <m:oMath>
        <m:r>
          <w:rPr>
            <w:rFonts w:ascii="Cambria Math" w:hAnsi="Cambria Math"/>
          </w:rPr>
          <m:t>k</m:t>
        </m:r>
      </m:oMath>
      <w:r>
        <w:rPr>
          <w:rFonts w:eastAsiaTheme="minorEastAsia"/>
        </w:rPr>
        <w:t xml:space="preserve"> </w:t>
      </w:r>
      <w:r>
        <w:t xml:space="preserve">is the permeability (mD), </w:t>
      </w:r>
      <m:oMath>
        <m:r>
          <w:rPr>
            <w:rFonts w:ascii="Cambria Math" w:eastAsiaTheme="minorEastAsia" w:hAnsi="Cambria Math"/>
          </w:rPr>
          <m:t>∅</m:t>
        </m:r>
      </m:oMath>
      <w:r>
        <w:rPr>
          <w:rFonts w:eastAsiaTheme="minorEastAsia"/>
          <w:iCs/>
        </w:rPr>
        <w:t xml:space="preserve"> is the porosity (fraction) and </w:t>
      </w:r>
      <m:oMath>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pvgv</m:t>
            </m:r>
          </m:sub>
        </m:sSub>
      </m:oMath>
      <w:r>
        <w:rPr>
          <w:rFonts w:eastAsiaTheme="minorEastAsia"/>
          <w:iCs/>
        </w:rPr>
        <w:t xml:space="preserve"> is the pore-to-grain volume ratio. </w:t>
      </w:r>
      <w:r>
        <w:t xml:space="preserve">On a log-log plot between RQI and </w:t>
      </w:r>
      <m:oMath>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pvgv</m:t>
            </m:r>
          </m:sub>
        </m:sSub>
      </m:oMath>
      <w:r>
        <w:rPr>
          <w:rFonts w:eastAsiaTheme="minorEastAsia"/>
          <w:iCs/>
        </w:rPr>
        <w:t>,</w:t>
      </w:r>
      <w:r>
        <w:t xml:space="preserve"> samples with different FZI values will lie on separate lines. To define the number of petrofacies, we applied </w:t>
      </w:r>
      <w:r w:rsidRPr="00654B7B">
        <w:t>FZI</w:t>
      </w:r>
      <w:r>
        <w:t xml:space="preserve"> value</w:t>
      </w:r>
      <w:r w:rsidRPr="00654B7B">
        <w:t xml:space="preserve"> cutoffs to cross</w:t>
      </w:r>
      <w:r>
        <w:t xml:space="preserve"> </w:t>
      </w:r>
      <w:r w:rsidRPr="00654B7B">
        <w:t>plots of core-derived porosity and permeability</w:t>
      </w:r>
      <w:r>
        <w:t xml:space="preserve">. </w:t>
      </w:r>
      <w:r w:rsidRPr="00B54C13">
        <w:t xml:space="preserve">These cutoff values were </w:t>
      </w:r>
      <w:r>
        <w:t xml:space="preserve">determined by first defining initial cutoff values, then and analyzing petrophysical </w:t>
      </w:r>
      <w:r>
        <w:lastRenderedPageBreak/>
        <w:t xml:space="preserve">properties of each petrofacies and adjusting the cutoff values accordingly </w:t>
      </w:r>
      <w:r w:rsidR="00BA17F4">
        <w:t>until</w:t>
      </w:r>
      <w:r>
        <w:t xml:space="preserve"> a sufficient contrast between petrofacies were achieved.</w:t>
      </w:r>
    </w:p>
    <w:p w14:paraId="3DBFDB81" w14:textId="77777777" w:rsidR="00090F82" w:rsidRDefault="00090F82" w:rsidP="00090F82">
      <w:pPr>
        <w:pStyle w:val="Heading3"/>
      </w:pPr>
      <w:bookmarkStart w:id="116" w:name="_Toc119516616"/>
      <w:bookmarkStart w:id="117" w:name="_Toc121095951"/>
      <w:r>
        <w:t>Petrofacies definition in the noncored well</w:t>
      </w:r>
      <w:bookmarkEnd w:id="116"/>
      <w:bookmarkEnd w:id="117"/>
    </w:p>
    <w:p w14:paraId="0454CBCB" w14:textId="77777777" w:rsidR="00090F82" w:rsidRDefault="00090F82" w:rsidP="00090F82">
      <w:pPr>
        <w:spacing w:after="0"/>
        <w:ind w:firstLine="720"/>
      </w:pPr>
      <w:r>
        <w:t>To determine the petrofacies for the uncored intervals of the Berexco Wellington KGS #1-32 well and for the entire Arbuckle interval of the Berexco Wellington KGS #1-28 well, we used the electrofacies classification concept (Serra and Abbott, 1980).  We utilized a supervised artificial neural network (ANN) to establish a relationship with the well-log signatures with corresponding petrofacies of the cored interval in the KGS Berexco #1-32 well and applied this relationship using the same well-log suite in the non-cored intervals to create a petrofacies log.</w:t>
      </w:r>
    </w:p>
    <w:p w14:paraId="441ADBC0" w14:textId="77777777" w:rsidR="00090F82" w:rsidRPr="008D7170" w:rsidRDefault="00090F82" w:rsidP="00090F82">
      <w:pPr>
        <w:ind w:firstLine="720"/>
      </w:pPr>
      <w:r>
        <w:t xml:space="preserve">ANNs can be described as </w:t>
      </w:r>
      <w:r w:rsidRPr="00151B25">
        <w:t>a type of mathematical algorithm that is inspired by the way human brain operate</w:t>
      </w:r>
      <w:r>
        <w:t>s</w:t>
      </w:r>
      <w:r w:rsidRPr="00151B25">
        <w:t>.</w:t>
      </w:r>
      <w:r>
        <w:t xml:space="preserve"> </w:t>
      </w:r>
      <w:r w:rsidRPr="00B73011">
        <w:t>A neural network learns from given data</w:t>
      </w:r>
      <w:r>
        <w:t xml:space="preserve"> by forming a relationship between the petrofacies log and well-log signatures</w:t>
      </w:r>
      <w:r w:rsidRPr="00B73011">
        <w:t>, trains the data to build specific patterns for each subject, and then predicts targets using the output model.</w:t>
      </w:r>
      <w:r>
        <w:t xml:space="preserve"> The ANN achieves the prediction by minimizing the error between the actual and the estimated petrofacies logs through an iterative training process (Haykin, 2000). At each iteration, data is split into training and testing portions (%70-%30), where the first part is used to establish the relationships, while the remaining data is used for testing the accuracy. These samples were shuffled and resampled randomly in each iteration to ensure that the ANN training was not using the same portion of the data to learn the parameters of the prediction function. For the ANN training, the choice of input well logs were the photoelectric effect (PE), total porosity (PHIT), deep resistivity (RESD), and P-wave sonic (DT) logs. </w:t>
      </w:r>
      <w:r w:rsidRPr="005C0406">
        <w:t xml:space="preserve">The total porosity </w:t>
      </w:r>
      <w:r>
        <w:t xml:space="preserve">(PHIT) </w:t>
      </w:r>
      <w:r w:rsidRPr="005C0406">
        <w:t>logs were calculated by using neutron and density porosity logs with the given formula:</w:t>
      </w:r>
    </w:p>
    <w:p w14:paraId="556D26A5" w14:textId="77777777" w:rsidR="00090F82" w:rsidRPr="00A52BBB" w:rsidRDefault="00000000" w:rsidP="00090F82">
      <w:pPr>
        <w:spacing w:line="240" w:lineRule="auto"/>
        <w:rPr>
          <w:rFonts w:eastAsiaTheme="minorEastAsia" w:cs="Times New Roman"/>
          <w:iCs/>
          <w:szCs w:val="24"/>
        </w:rPr>
      </w:pPr>
      <m:oMathPara>
        <m:oMath>
          <m:eqArr>
            <m:eqArrPr>
              <m:maxDist m:val="1"/>
              <m:ctrlPr>
                <w:rPr>
                  <w:rFonts w:ascii="Cambria Math" w:hAnsi="Cambria Math" w:cs="Times New Roman"/>
                  <w:i/>
                  <w:iCs/>
                  <w:szCs w:val="24"/>
                </w:rPr>
              </m:ctrlPr>
            </m:eqArrPr>
            <m:e>
              <m:sSub>
                <m:sSubPr>
                  <m:ctrlPr>
                    <w:rPr>
                      <w:rFonts w:ascii="Cambria Math" w:hAnsi="Cambria Math" w:cs="Times New Roman"/>
                      <w:i/>
                      <w:iCs/>
                      <w:szCs w:val="24"/>
                    </w:rPr>
                  </m:ctrlPr>
                </m:sSubPr>
                <m:e>
                  <m:r>
                    <w:rPr>
                      <w:rFonts w:ascii="Cambria Math" w:hAnsi="Cambria Math" w:cs="Times New Roman"/>
                      <w:szCs w:val="24"/>
                    </w:rPr>
                    <m:t>∅</m:t>
                  </m:r>
                </m:e>
                <m:sub>
                  <m:r>
                    <w:rPr>
                      <w:rFonts w:ascii="Cambria Math" w:hAnsi="Cambria Math" w:cs="Times New Roman"/>
                      <w:szCs w:val="24"/>
                    </w:rPr>
                    <m:t>total</m:t>
                  </m:r>
                </m:sub>
              </m:sSub>
              <m:r>
                <w:rPr>
                  <w:rFonts w:ascii="Cambria Math" w:hAnsi="Cambria Math" w:cs="Times New Roman"/>
                  <w:szCs w:val="24"/>
                </w:rPr>
                <m:t>=</m:t>
              </m:r>
              <m:rad>
                <m:radPr>
                  <m:degHide m:val="1"/>
                  <m:ctrlPr>
                    <w:rPr>
                      <w:rFonts w:ascii="Cambria Math" w:hAnsi="Cambria Math" w:cs="Times New Roman"/>
                      <w:i/>
                      <w:iCs/>
                      <w:szCs w:val="24"/>
                    </w:rPr>
                  </m:ctrlPr>
                </m:radPr>
                <m:deg/>
                <m:e>
                  <m:f>
                    <m:fPr>
                      <m:ctrlPr>
                        <w:rPr>
                          <w:rFonts w:ascii="Cambria Math" w:hAnsi="Cambria Math" w:cs="Times New Roman"/>
                          <w:i/>
                          <w:iCs/>
                          <w:szCs w:val="24"/>
                        </w:rPr>
                      </m:ctrlPr>
                    </m:fPr>
                    <m:num>
                      <m:sSubSup>
                        <m:sSubSupPr>
                          <m:ctrlPr>
                            <w:rPr>
                              <w:rFonts w:ascii="Cambria Math" w:hAnsi="Cambria Math" w:cs="Times New Roman"/>
                              <w:i/>
                              <w:iCs/>
                              <w:szCs w:val="24"/>
                            </w:rPr>
                          </m:ctrlPr>
                        </m:sSubSupPr>
                        <m:e>
                          <m:r>
                            <w:rPr>
                              <w:rFonts w:ascii="Cambria Math" w:hAnsi="Cambria Math" w:cs="Times New Roman"/>
                              <w:szCs w:val="24"/>
                            </w:rPr>
                            <m:t>∅</m:t>
                          </m:r>
                        </m:e>
                        <m:sub>
                          <m:r>
                            <w:rPr>
                              <w:rFonts w:ascii="Cambria Math" w:hAnsi="Cambria Math" w:cs="Times New Roman"/>
                              <w:szCs w:val="24"/>
                            </w:rPr>
                            <m:t>neutron</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iCs/>
                              <w:szCs w:val="24"/>
                            </w:rPr>
                          </m:ctrlPr>
                        </m:sSubSupPr>
                        <m:e>
                          <m:r>
                            <w:rPr>
                              <w:rFonts w:ascii="Cambria Math" w:hAnsi="Cambria Math" w:cs="Times New Roman"/>
                              <w:szCs w:val="24"/>
                            </w:rPr>
                            <m:t>∅</m:t>
                          </m:r>
                        </m:e>
                        <m:sub>
                          <m:r>
                            <w:rPr>
                              <w:rFonts w:ascii="Cambria Math" w:hAnsi="Cambria Math" w:cs="Times New Roman"/>
                              <w:szCs w:val="24"/>
                            </w:rPr>
                            <m:t>density</m:t>
                          </m:r>
                        </m:sub>
                        <m:sup>
                          <m:r>
                            <w:rPr>
                              <w:rFonts w:ascii="Cambria Math" w:hAnsi="Cambria Math" w:cs="Times New Roman"/>
                              <w:szCs w:val="24"/>
                            </w:rPr>
                            <m:t>2</m:t>
                          </m:r>
                        </m:sup>
                      </m:sSubSup>
                    </m:num>
                    <m:den>
                      <m:r>
                        <w:rPr>
                          <w:rFonts w:ascii="Cambria Math" w:hAnsi="Cambria Math" w:cs="Times New Roman"/>
                          <w:szCs w:val="24"/>
                        </w:rPr>
                        <m:t>2</m:t>
                      </m:r>
                    </m:den>
                  </m:f>
                </m:e>
              </m:rad>
              <m:r>
                <w:rPr>
                  <w:rFonts w:ascii="Cambria Math" w:hAnsi="Cambria Math" w:cs="Times New Roman"/>
                  <w:szCs w:val="24"/>
                </w:rPr>
                <m:t>#</m:t>
              </m:r>
              <m:d>
                <m:dPr>
                  <m:ctrlPr>
                    <w:rPr>
                      <w:rFonts w:ascii="Cambria Math" w:hAnsi="Cambria Math" w:cs="Times New Roman"/>
                      <w:i/>
                      <w:iCs/>
                      <w:szCs w:val="24"/>
                    </w:rPr>
                  </m:ctrlPr>
                </m:dPr>
                <m:e>
                  <m:r>
                    <w:rPr>
                      <w:rFonts w:ascii="Cambria Math" w:cs="Times New Roman"/>
                      <w:szCs w:val="24"/>
                    </w:rPr>
                    <m:t>4</m:t>
                  </m:r>
                </m:e>
              </m:d>
            </m:e>
          </m:eqArr>
        </m:oMath>
      </m:oMathPara>
    </w:p>
    <w:p w14:paraId="5770763C" w14:textId="77777777" w:rsidR="00090F82" w:rsidRDefault="00090F82" w:rsidP="00090F82"/>
    <w:p w14:paraId="1074C406" w14:textId="77777777" w:rsidR="00090F82" w:rsidRDefault="00090F82" w:rsidP="00090F82">
      <w:pPr>
        <w:ind w:firstLine="720"/>
      </w:pPr>
      <w:r>
        <w:t>To evaluate the performance of the ANN petrofacies classification, core-derived petrofacies logs were compared with the classified logs using a confusion matrix (Ting, 2011). A confusion matrix can be simply explained as a table that shows instances of the actual class in rows and instances of the predicted class in columns (Kohavi and Provost, 1998; Ting, 2011).  Using the confusion matrix, two types of accuracy metrics were measured; individual petrofacies prediction accuracy was calculated by dividing the number of correct predictions by the total predictions for each petrofacies class. The overall accuracy is calculated by dividing all correct predictions by the number of classes.</w:t>
      </w:r>
    </w:p>
    <w:p w14:paraId="6A90E70E" w14:textId="77777777" w:rsidR="00090F82" w:rsidRDefault="00090F82" w:rsidP="00090F82">
      <w:pPr>
        <w:pStyle w:val="Heading3"/>
      </w:pPr>
      <w:bookmarkStart w:id="118" w:name="_Toc119516617"/>
      <w:bookmarkStart w:id="119" w:name="_Toc121095952"/>
      <w:r>
        <w:t>Simultaneous pre-stack inversion</w:t>
      </w:r>
      <w:bookmarkEnd w:id="118"/>
      <w:bookmarkEnd w:id="119"/>
    </w:p>
    <w:p w14:paraId="53FCEBDC" w14:textId="77777777" w:rsidR="00090F82" w:rsidRDefault="00090F82" w:rsidP="00090F82">
      <w:pPr>
        <w:ind w:firstLine="720"/>
      </w:pPr>
      <w:r>
        <w:t xml:space="preserve">Using the simultaneous pre-stack inversion process, we generated acoustic and shear impedance volumes to be used as input feature volumes for the supervised random forest classifier. </w:t>
      </w:r>
      <w:r w:rsidRPr="0085072C">
        <w:t xml:space="preserve">Seismic inversion produces “broadband” impedance values from the seismic reflection </w:t>
      </w:r>
      <w:r>
        <w:t xml:space="preserve">data. </w:t>
      </w:r>
      <w:r w:rsidRPr="0085072C">
        <w:t xml:space="preserve">The goal of conducting seismic inversion is to </w:t>
      </w:r>
      <w:r>
        <w:t>derive</w:t>
      </w:r>
      <w:r w:rsidRPr="0085072C">
        <w:t xml:space="preserve"> quantitative measurements of subsurface parameters that relate to lithological and petrophysical properties</w:t>
      </w:r>
      <w:r>
        <w:t xml:space="preserve"> </w:t>
      </w:r>
      <w:r w:rsidRPr="0085072C">
        <w:t>(Chopra and C</w:t>
      </w:r>
      <w:r>
        <w:t>a</w:t>
      </w:r>
      <w:r w:rsidRPr="0085072C">
        <w:t xml:space="preserve">stagna, 2014). </w:t>
      </w:r>
      <w:r w:rsidRPr="003F2E04">
        <w:t xml:space="preserve">This method requires pre-stack gathers in the angle domain and initial </w:t>
      </w:r>
      <w:r>
        <w:t>3D acoustic and shear impedance models</w:t>
      </w:r>
      <w:r w:rsidRPr="003F2E04">
        <w:t>.</w:t>
      </w:r>
      <w:r>
        <w:t xml:space="preserve"> The model-based simultaneous inversion algorithm computes a synthetic offset seismic from the initial set of impedance models and the angle-dependent wavelets. To create the synthetic offset seismic data, the pre-stack inversion process utilizes the Fatti et al. (1994) variation of the Aki-Richards (1980) approximation of Zoeppritzs equations. The </w:t>
      </w:r>
      <w:r>
        <w:lastRenderedPageBreak/>
        <w:t xml:space="preserve">difference between the synthetic and the actual seismic data is determined and iteratively updated until the synthetic seismic data best fits the observed seismic data, or a global minimum is achieved (Appendix A, </w:t>
      </w:r>
      <w:r w:rsidRPr="003F2E04">
        <w:t>Hampson et al., 200</w:t>
      </w:r>
      <w:r>
        <w:t>5</w:t>
      </w:r>
      <w:r w:rsidRPr="003F2E04">
        <w:t>; Veeken et al., 200</w:t>
      </w:r>
      <w:r>
        <w:t>7).</w:t>
      </w:r>
    </w:p>
    <w:p w14:paraId="28F146B7" w14:textId="0307E418" w:rsidR="00090F82" w:rsidRPr="0027343B" w:rsidRDefault="00090F82" w:rsidP="00090F82">
      <w:pPr>
        <w:ind w:firstLine="720"/>
      </w:pPr>
      <w:r>
        <w:t>Prior to the pre-stack simultaneous inversion process, we pre-conditioned the seismic gathers by removing random noise and correcting for residual move-out errors. Then, we converted the offset gathers to the angle domain using the RMS velocity model. The viable incidence angle range of the study interval is between 2</w:t>
      </w:r>
      <w:r>
        <w:rPr>
          <w:rFonts w:ascii="Symbol" w:eastAsia="Symbol" w:hAnsi="Symbol" w:cs="Symbol"/>
        </w:rPr>
        <w:t></w:t>
      </w:r>
      <w:r>
        <w:rPr>
          <w:rFonts w:cs="Times New Roman"/>
        </w:rPr>
        <w:t>- 30</w:t>
      </w:r>
      <w:r>
        <w:rPr>
          <w:rFonts w:ascii="Symbol" w:eastAsia="Symbol" w:hAnsi="Symbol" w:cs="Symbol"/>
        </w:rPr>
        <w:t></w:t>
      </w:r>
      <w:r>
        <w:rPr>
          <w:rFonts w:cs="Times New Roman"/>
        </w:rPr>
        <w:t xml:space="preserve"> (Appendix B)</w:t>
      </w:r>
      <w:r>
        <w:rPr>
          <w:rFonts w:eastAsiaTheme="minorEastAsia"/>
        </w:rPr>
        <w:t>. Once obtaining the pre-conditioned gathers, we then extracted the angle-depended wavelet group for near (2</w:t>
      </w:r>
      <w:r w:rsidRPr="00EF3C53">
        <w:rPr>
          <w:rFonts w:eastAsiaTheme="minorEastAsia"/>
          <w:vertAlign w:val="superscript"/>
        </w:rPr>
        <w:t>o</w:t>
      </w:r>
      <w:r>
        <w:rPr>
          <w:rFonts w:eastAsiaTheme="minorEastAsia"/>
        </w:rPr>
        <w:t>-10</w:t>
      </w:r>
      <w:r w:rsidRPr="00EF3C53">
        <w:rPr>
          <w:rFonts w:eastAsiaTheme="minorEastAsia"/>
          <w:vertAlign w:val="superscript"/>
        </w:rPr>
        <w:t xml:space="preserve"> o</w:t>
      </w:r>
      <w:r>
        <w:rPr>
          <w:rFonts w:eastAsiaTheme="minorEastAsia"/>
        </w:rPr>
        <w:t>), mid (10</w:t>
      </w:r>
      <w:r w:rsidRPr="00EF3C53">
        <w:rPr>
          <w:rFonts w:eastAsiaTheme="minorEastAsia"/>
          <w:vertAlign w:val="superscript"/>
        </w:rPr>
        <w:t xml:space="preserve"> o</w:t>
      </w:r>
      <w:r>
        <w:rPr>
          <w:rFonts w:eastAsiaTheme="minorEastAsia"/>
        </w:rPr>
        <w:t xml:space="preserve"> -20</w:t>
      </w:r>
      <w:r w:rsidRPr="00EF3C53">
        <w:rPr>
          <w:rFonts w:eastAsiaTheme="minorEastAsia"/>
          <w:vertAlign w:val="superscript"/>
        </w:rPr>
        <w:t xml:space="preserve"> o</w:t>
      </w:r>
      <w:r>
        <w:rPr>
          <w:rFonts w:eastAsiaTheme="minorEastAsia"/>
        </w:rPr>
        <w:t>), and far (20</w:t>
      </w:r>
      <w:r w:rsidRPr="00EF3C53">
        <w:rPr>
          <w:rFonts w:eastAsiaTheme="minorEastAsia"/>
          <w:vertAlign w:val="superscript"/>
        </w:rPr>
        <w:t xml:space="preserve"> o</w:t>
      </w:r>
      <w:r>
        <w:rPr>
          <w:rFonts w:eastAsiaTheme="minorEastAsia"/>
        </w:rPr>
        <w:t>-30</w:t>
      </w:r>
      <w:r w:rsidRPr="00EF3C53">
        <w:rPr>
          <w:rFonts w:eastAsiaTheme="minorEastAsia"/>
          <w:vertAlign w:val="superscript"/>
        </w:rPr>
        <w:t xml:space="preserve"> o</w:t>
      </w:r>
      <w:r>
        <w:rPr>
          <w:rFonts w:eastAsiaTheme="minorEastAsia"/>
        </w:rPr>
        <w:t xml:space="preserve">) angles from the seismic angle gathers. Using the near-angle wavelet, we performed well-to-seismic ties for both wells in the study by applying minor bulk shift, stretch, and squeeze to match the synthetic seismogram to the </w:t>
      </w:r>
      <w:r>
        <w:t>2</w:t>
      </w:r>
      <w:r>
        <w:rPr>
          <w:rFonts w:ascii="Symbol" w:eastAsia="Symbol" w:hAnsi="Symbol" w:cs="Symbol"/>
        </w:rPr>
        <w:t></w:t>
      </w:r>
      <w:r>
        <w:rPr>
          <w:rFonts w:cs="Times New Roman"/>
        </w:rPr>
        <w:t xml:space="preserve"> </w:t>
      </w:r>
      <w:r>
        <w:rPr>
          <w:rFonts w:eastAsiaTheme="minorEastAsia"/>
        </w:rPr>
        <w:t xml:space="preserve">angle trace (Figure </w:t>
      </w:r>
      <w:r w:rsidR="00BA17F4">
        <w:rPr>
          <w:rFonts w:eastAsiaTheme="minorEastAsia"/>
        </w:rPr>
        <w:t>2.</w:t>
      </w:r>
      <w:r>
        <w:rPr>
          <w:rFonts w:eastAsiaTheme="minorEastAsia"/>
        </w:rPr>
        <w:t>6).</w:t>
      </w:r>
    </w:p>
    <w:p w14:paraId="4B32B49E" w14:textId="77777777" w:rsidR="00090F82" w:rsidRDefault="00090F82" w:rsidP="00090F82">
      <w:pPr>
        <w:ind w:firstLine="720"/>
      </w:pPr>
      <w:r>
        <w:t>To provide an initial solution for the inversion process and to compensate for the missing low-frequency part of the seismic spectrum, the low-frequency background models of P-impedance, S-impedance, and density were calculated by using</w:t>
      </w:r>
      <w:r w:rsidRPr="003F2E04">
        <w:t xml:space="preserve"> the low</w:t>
      </w:r>
      <w:r>
        <w:t>-</w:t>
      </w:r>
      <w:r w:rsidRPr="003F2E04">
        <w:t>pass-filtered impedance</w:t>
      </w:r>
      <w:r>
        <w:t xml:space="preserve"> and density</w:t>
      </w:r>
      <w:r w:rsidRPr="003F2E04">
        <w:t xml:space="preserve"> logs</w:t>
      </w:r>
      <w:r>
        <w:t xml:space="preserve"> from the wells with inverse-distance weighted interpolation within the Arbuckle Group (within the top and the base of the Arbuckle seismic horizons).</w:t>
      </w:r>
    </w:p>
    <w:p w14:paraId="7347FEF1" w14:textId="77777777" w:rsidR="00090F82" w:rsidRDefault="00090F82" w:rsidP="00090F82">
      <w:pPr>
        <w:pStyle w:val="Heading3"/>
      </w:pPr>
      <w:bookmarkStart w:id="120" w:name="_Toc119516618"/>
      <w:bookmarkStart w:id="121" w:name="_Toc121095953"/>
      <w:r>
        <w:t>Seismic-scale 3D petrofacies volume prediction via supervised random forest classifier</w:t>
      </w:r>
      <w:bookmarkEnd w:id="120"/>
      <w:bookmarkEnd w:id="121"/>
    </w:p>
    <w:p w14:paraId="2C0C52D2" w14:textId="77777777" w:rsidR="00090F82" w:rsidRDefault="00090F82" w:rsidP="00090F82">
      <w:pPr>
        <w:ind w:firstLine="720"/>
      </w:pPr>
      <w:r>
        <w:t>Supervised machine learning methods have been widely used for rock type, lithology, and facies classification, and well-log property prediction problems (</w:t>
      </w:r>
      <w:r w:rsidRPr="003C4FDD">
        <w:t>Hampson et al., 2001;</w:t>
      </w:r>
      <w:r w:rsidRPr="004D1CFE">
        <w:rPr>
          <w:rStyle w:val="LineNumber"/>
          <w:rFonts w:ascii="Arial" w:hAnsi="Arial" w:cs="Arial"/>
          <w:sz w:val="23"/>
          <w:szCs w:val="23"/>
        </w:rPr>
        <w:t xml:space="preserve"> </w:t>
      </w:r>
      <w:r w:rsidRPr="00D15EEB">
        <w:t>Roy et al.,</w:t>
      </w:r>
      <w:r>
        <w:rPr>
          <w:rStyle w:val="markedcontent"/>
          <w:rFonts w:ascii="Arial" w:hAnsi="Arial" w:cs="Arial"/>
          <w:sz w:val="23"/>
          <w:szCs w:val="23"/>
        </w:rPr>
        <w:t xml:space="preserve"> </w:t>
      </w:r>
      <w:r w:rsidRPr="00D15EEB">
        <w:t>2014;</w:t>
      </w:r>
      <w:r w:rsidRPr="003C4FDD">
        <w:t xml:space="preserve"> </w:t>
      </w:r>
      <w:r>
        <w:t xml:space="preserve">Verma, 2016; </w:t>
      </w:r>
      <w:r w:rsidRPr="003C4FDD">
        <w:t>Zhao et</w:t>
      </w:r>
      <w:r>
        <w:t xml:space="preserve"> </w:t>
      </w:r>
      <w:r w:rsidRPr="003C4FDD">
        <w:t>al., 2015; Gupta et al., 20</w:t>
      </w:r>
      <w:r>
        <w:t>18, 2020</w:t>
      </w:r>
      <w:r w:rsidRPr="003C4FDD">
        <w:t xml:space="preserve">; </w:t>
      </w:r>
      <w:r>
        <w:t xml:space="preserve">Kim et al., 2019; </w:t>
      </w:r>
      <w:r w:rsidRPr="003C4FDD">
        <w:t>Pires de Lima et al., 2019</w:t>
      </w:r>
      <w:r>
        <w:t>b</w:t>
      </w:r>
      <w:r w:rsidRPr="003C4FDD">
        <w:t>;</w:t>
      </w:r>
      <w:r>
        <w:t xml:space="preserve"> </w:t>
      </w:r>
      <w:r w:rsidRPr="002127C4">
        <w:t>Caf and Pigott, 2021</w:t>
      </w:r>
      <w:r>
        <w:t xml:space="preserve">; Lubo-Robles et al., 2021, 2022, and many others). </w:t>
      </w:r>
    </w:p>
    <w:p w14:paraId="6FD21216" w14:textId="77777777" w:rsidR="00090F82" w:rsidRPr="001D7277" w:rsidRDefault="00090F82" w:rsidP="00090F82">
      <w:pPr>
        <w:ind w:firstLine="720"/>
      </w:pPr>
      <w:r>
        <w:lastRenderedPageBreak/>
        <w:t xml:space="preserve">In this study, we adopted the supervised Random Forest Classifier </w:t>
      </w:r>
      <w:r>
        <w:rPr>
          <w:rFonts w:eastAsiaTheme="minorEastAsia" w:cs="Times New Roman"/>
          <w:iCs/>
          <w:szCs w:val="24"/>
        </w:rPr>
        <w:t>(</w:t>
      </w:r>
      <w:r>
        <w:t>Breiman, 2001, 2002; Liaw and Wiener, 2002; Scornet et al., 2015; Gender et al., 2017) to delineate the spatial variability of petrofacies at the seismic scale. The random forest method can be explained as an ensemble of decision trees that can be used for regression and classification tasks.</w:t>
      </w:r>
      <w:r w:rsidRPr="00F76F0E">
        <w:t xml:space="preserve"> </w:t>
      </w:r>
      <w:r>
        <w:t xml:space="preserve">For classification cases such as this study, the prediction is achieved by selecting the most prevalent class among all tree predictors. </w:t>
      </w:r>
    </w:p>
    <w:p w14:paraId="690CC0FD" w14:textId="77777777" w:rsidR="00090F82" w:rsidRDefault="00090F82" w:rsidP="00090F82">
      <w:pPr>
        <w:ind w:firstLine="720"/>
      </w:pPr>
      <w:r>
        <w:t>To classify petrofacies, we used the petrofacies logs, P and S impedance volumes created by the pre-stack inversion process, AVO attributes such as Intercept and Gradient, and angle stacks as inputs.</w:t>
      </w:r>
    </w:p>
    <w:p w14:paraId="29549270" w14:textId="77777777" w:rsidR="00090F82" w:rsidRPr="00E93AE6" w:rsidRDefault="00090F82" w:rsidP="00090F82">
      <w:pPr>
        <w:ind w:firstLine="720"/>
      </w:pPr>
      <w:r w:rsidRPr="00517F3A">
        <w:rPr>
          <w:rFonts w:cs="Times New Roman"/>
          <w:szCs w:val="24"/>
        </w:rPr>
        <w:t xml:space="preserve">The Random Forest training workflow in our study involves the creation of the training dataset, removing outliers, scaling, and hyperparameter optimization. To create the training dataset, </w:t>
      </w:r>
      <w:r>
        <w:t>f</w:t>
      </w:r>
      <w:r w:rsidRPr="00E83C3B">
        <w:t xml:space="preserve">irst, we </w:t>
      </w:r>
      <w:r>
        <w:t>blocked</w:t>
      </w:r>
      <w:r w:rsidRPr="00E83C3B">
        <w:t xml:space="preserve"> the </w:t>
      </w:r>
      <w:r>
        <w:t xml:space="preserve">petrofacies </w:t>
      </w:r>
      <w:r w:rsidRPr="00E83C3B">
        <w:t>logs in the time domain with the equal sampling rate as the seismic data</w:t>
      </w:r>
      <w:r>
        <w:t xml:space="preserve"> (2 ms) (Appendix C).</w:t>
      </w:r>
      <w:r w:rsidRPr="00E83C3B">
        <w:rPr>
          <w:rFonts w:cs="Times New Roman"/>
          <w:szCs w:val="24"/>
        </w:rPr>
        <w:t xml:space="preserve"> </w:t>
      </w:r>
      <w:r>
        <w:rPr>
          <w:rFonts w:cs="Times New Roman"/>
          <w:szCs w:val="24"/>
        </w:rPr>
        <w:t>T</w:t>
      </w:r>
      <w:r w:rsidRPr="00E83C3B">
        <w:t xml:space="preserve">hen we extracted traces around the well locations, using a </w:t>
      </w:r>
      <w:r>
        <w:t>5 by 5</w:t>
      </w:r>
      <w:r w:rsidRPr="00E83C3B">
        <w:t xml:space="preserve"> s</w:t>
      </w:r>
      <w:r>
        <w:t>ample</w:t>
      </w:r>
      <w:r w:rsidRPr="00E83C3B">
        <w:t xml:space="preserve"> window</w:t>
      </w:r>
      <w:r>
        <w:t xml:space="preserve"> at each time sample</w:t>
      </w:r>
      <w:r w:rsidRPr="00E83C3B">
        <w:t xml:space="preserve"> from each input attribute</w:t>
      </w:r>
      <w:r w:rsidRPr="00517F3A">
        <w:rPr>
          <w:rFonts w:cs="Times New Roman"/>
          <w:szCs w:val="24"/>
        </w:rPr>
        <w:t>. The size of the extraction window is based on geological insight, the number of wells, and the seismic bin size. In the training phase of the classifier, we used an 80-20 train</w:t>
      </w:r>
      <w:r>
        <w:rPr>
          <w:rFonts w:cs="Times New Roman"/>
          <w:szCs w:val="24"/>
        </w:rPr>
        <w:t>-</w:t>
      </w:r>
      <w:r w:rsidRPr="00517F3A">
        <w:rPr>
          <w:rFonts w:cs="Times New Roman"/>
          <w:szCs w:val="24"/>
        </w:rPr>
        <w:t>test split, where 80% of the samples belong</w:t>
      </w:r>
      <w:r>
        <w:rPr>
          <w:rFonts w:cs="Times New Roman"/>
          <w:szCs w:val="24"/>
        </w:rPr>
        <w:t>ed</w:t>
      </w:r>
      <w:r w:rsidRPr="00517F3A">
        <w:rPr>
          <w:rFonts w:cs="Times New Roman"/>
          <w:szCs w:val="24"/>
        </w:rPr>
        <w:t xml:space="preserve"> to training and the remaining 20% for </w:t>
      </w:r>
      <w:r w:rsidRPr="00EF7989">
        <w:rPr>
          <w:rFonts w:cs="Times New Roman"/>
          <w:szCs w:val="24"/>
        </w:rPr>
        <w:t>validation. To overcome the possible bias related to the difference in units between the input features, we scaled our data using a Min-Max scaler approach (Jain et al</w:t>
      </w:r>
      <w:r>
        <w:rPr>
          <w:rFonts w:cs="Times New Roman"/>
          <w:szCs w:val="24"/>
        </w:rPr>
        <w:t>.</w:t>
      </w:r>
      <w:r w:rsidRPr="00EF7989">
        <w:rPr>
          <w:rFonts w:cs="Times New Roman"/>
          <w:szCs w:val="24"/>
        </w:rPr>
        <w:t>, 2005; Pedregosa et al</w:t>
      </w:r>
      <w:r>
        <w:rPr>
          <w:rFonts w:cs="Times New Roman"/>
          <w:szCs w:val="24"/>
        </w:rPr>
        <w:t>.</w:t>
      </w:r>
      <w:r w:rsidRPr="00EF7989">
        <w:rPr>
          <w:rFonts w:cs="Times New Roman"/>
          <w:szCs w:val="24"/>
        </w:rPr>
        <w:t xml:space="preserve">, 2011).  </w:t>
      </w:r>
      <w:r w:rsidRPr="00EF7989">
        <w:t xml:space="preserve">To optimize our random forest training model, we optimized the hyperparameters using a random-search algorithm, where a combination of hyperparameters </w:t>
      </w:r>
      <w:r>
        <w:t>is</w:t>
      </w:r>
      <w:r w:rsidRPr="00EF7989">
        <w:t xml:space="preserve"> randomly sampled from an initial grid space, reducing the computational cost (Bergstra et al., 2011; Bergstra and Bengio, 2012). To assess the model performance of the </w:t>
      </w:r>
      <w:r w:rsidRPr="00EF7989">
        <w:lastRenderedPageBreak/>
        <w:t xml:space="preserve">optimized random forest model, </w:t>
      </w:r>
      <w:r>
        <w:t xml:space="preserve">we </w:t>
      </w:r>
      <w:r w:rsidRPr="00EF7989">
        <w:t>compute</w:t>
      </w:r>
      <w:r>
        <w:t>d</w:t>
      </w:r>
      <w:r w:rsidRPr="00EF7989">
        <w:t xml:space="preserve"> the</w:t>
      </w:r>
      <w:r>
        <w:t xml:space="preserve"> average</w:t>
      </w:r>
      <w:r w:rsidRPr="00EF7989">
        <w:t xml:space="preserve"> F1-</w:t>
      </w:r>
      <w:r>
        <w:t>s</w:t>
      </w:r>
      <w:r w:rsidRPr="00EF7989">
        <w:t xml:space="preserve">core </w:t>
      </w:r>
      <w:r>
        <w:t>by dividing the</w:t>
      </w:r>
      <w:r w:rsidRPr="00EF7989">
        <w:t xml:space="preserve"> total number of true positive predictions by the total number of all false positive or false negatives predictions. </w:t>
      </w:r>
      <w:r w:rsidRPr="0031096F">
        <w:t>After training our Random Forest classifier model</w:t>
      </w:r>
      <w:r>
        <w:t>,</w:t>
      </w:r>
      <w:r w:rsidRPr="0031096F">
        <w:t xml:space="preserve"> we observed an average F-1 score of 86% </w:t>
      </w:r>
      <w:r>
        <w:t>(Appendix D)</w:t>
      </w:r>
      <w:r w:rsidRPr="0031096F">
        <w:t>.</w:t>
      </w:r>
      <w:r w:rsidRPr="00AC0224">
        <w:rPr>
          <w:color w:val="FF0000"/>
        </w:rPr>
        <w:t xml:space="preserve"> </w:t>
      </w:r>
      <w:r>
        <w:t>We calculated a confusion matrix to quality control the petrofacies prediction results and evaluate the principal assumption of class independence, we calculated a confusion matrix.</w:t>
      </w:r>
      <w:r w:rsidRPr="00AC0224">
        <w:rPr>
          <w:rFonts w:cs="Times New Roman"/>
          <w:szCs w:val="24"/>
        </w:rPr>
        <w:t xml:space="preserve"> </w:t>
      </w:r>
      <w:r w:rsidRPr="00AC0224">
        <w:t xml:space="preserve">Finally, we applied the trained random forest model to our input attributes to predict the 3-D volume of rock types and associated probability volumes. </w:t>
      </w:r>
    </w:p>
    <w:p w14:paraId="2C829513" w14:textId="77777777" w:rsidR="00090F82" w:rsidRDefault="00090F82" w:rsidP="00090F82">
      <w:pPr>
        <w:pStyle w:val="Heading2"/>
      </w:pPr>
      <w:bookmarkStart w:id="122" w:name="_Toc119516619"/>
      <w:bookmarkStart w:id="123" w:name="_Toc121095954"/>
      <w:r w:rsidRPr="005A264A">
        <w:t>Results</w:t>
      </w:r>
      <w:bookmarkEnd w:id="122"/>
      <w:bookmarkEnd w:id="123"/>
      <w:r>
        <w:t xml:space="preserve"> </w:t>
      </w:r>
    </w:p>
    <w:p w14:paraId="289DD132" w14:textId="77777777" w:rsidR="00090F82" w:rsidRPr="00F449D8" w:rsidRDefault="00090F82" w:rsidP="00090F82">
      <w:pPr>
        <w:pStyle w:val="Heading3"/>
      </w:pPr>
      <w:bookmarkStart w:id="124" w:name="_Toc119516620"/>
      <w:bookmarkStart w:id="125" w:name="_Toc121095955"/>
      <w:r w:rsidRPr="00F449D8">
        <w:t>Lithologies and Petrofacies</w:t>
      </w:r>
      <w:bookmarkEnd w:id="124"/>
      <w:bookmarkEnd w:id="125"/>
    </w:p>
    <w:p w14:paraId="496F3618" w14:textId="1661092B" w:rsidR="00090F82" w:rsidRPr="00F449D8" w:rsidRDefault="00090F82" w:rsidP="00090F82">
      <w:pPr>
        <w:ind w:firstLine="720"/>
      </w:pPr>
      <w:r w:rsidRPr="00F449D8">
        <w:t xml:space="preserve">The Arbuckle </w:t>
      </w:r>
      <w:r>
        <w:t>G</w:t>
      </w:r>
      <w:r w:rsidRPr="00F449D8">
        <w:t>roup in the study area consists primar</w:t>
      </w:r>
      <w:r>
        <w:t>il</w:t>
      </w:r>
      <w:r w:rsidRPr="00F449D8">
        <w:t xml:space="preserve">y of nine lithologies: (1) Peloidal dolomitic packstone, (2) Argillaceous dolomitic packstone, (3) Argillaceous micritic dolomite, (4) Crystalline dolomite, (5) Crystalline micritic dolomite, (6) Dolomitic breccia, (7) Dolomitic mudstone, (8) Fine-grained dolomitic packstone, </w:t>
      </w:r>
      <w:r>
        <w:t xml:space="preserve">and </w:t>
      </w:r>
      <w:r w:rsidRPr="00F449D8">
        <w:t xml:space="preserve">(9) Medium-grained dolomitic wackestone (Figure </w:t>
      </w:r>
      <w:r w:rsidR="00DB229C">
        <w:t>2.</w:t>
      </w:r>
      <w:r>
        <w:t>7</w:t>
      </w:r>
      <w:r w:rsidRPr="00F449D8">
        <w:t xml:space="preserve">). Using the FZI method, we defined three petrofacies for the Arbuckle </w:t>
      </w:r>
      <w:r>
        <w:t>G</w:t>
      </w:r>
      <w:r w:rsidRPr="00F449D8">
        <w:t>roup</w:t>
      </w:r>
      <w:r>
        <w:t xml:space="preserve"> (Figure </w:t>
      </w:r>
      <w:r w:rsidR="00DB229C">
        <w:t>2.</w:t>
      </w:r>
      <w:r>
        <w:t>8)</w:t>
      </w:r>
      <w:r w:rsidRPr="00F449D8">
        <w:t xml:space="preserve">. </w:t>
      </w:r>
      <w:r>
        <w:t>P</w:t>
      </w:r>
      <w:r w:rsidRPr="00F449D8">
        <w:t>etrofacies 1 exhibit</w:t>
      </w:r>
      <w:r>
        <w:t>s</w:t>
      </w:r>
      <w:r w:rsidRPr="00F449D8">
        <w:t xml:space="preserve"> </w:t>
      </w:r>
      <w:r>
        <w:t xml:space="preserve">the </w:t>
      </w:r>
      <w:r w:rsidRPr="00F449D8">
        <w:t>highest permeability values (up to Darcy-scale) for a given porosity, and low acoustic and shear impedance values (</w:t>
      </w:r>
      <m:oMath>
        <m:sSub>
          <m:sSubPr>
            <m:ctrlPr>
              <w:rPr>
                <w:rFonts w:ascii="Cambria Math" w:hAnsi="Cambria Math"/>
                <w:i/>
              </w:rPr>
            </m:ctrlPr>
          </m:sSubPr>
          <m:e>
            <m:r>
              <w:rPr>
                <w:rFonts w:ascii="Cambria Math" w:hAnsi="Cambria Math"/>
              </w:rPr>
              <m:t>Z</m:t>
            </m:r>
          </m:e>
          <m:sub>
            <m:r>
              <w:rPr>
                <w:rFonts w:ascii="Cambria Math" w:hAnsi="Cambria Math"/>
              </w:rPr>
              <m:t>p</m:t>
            </m:r>
          </m:sub>
        </m:sSub>
        <m:r>
          <w:rPr>
            <w:rFonts w:ascii="Cambria Math" w:hAnsi="Cambria Math"/>
          </w:rPr>
          <m:t>=48000,</m:t>
        </m:r>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=27000</m:t>
        </m:r>
      </m:oMath>
      <w:r w:rsidRPr="00F449D8">
        <w:rPr>
          <w:rFonts w:eastAsiaTheme="minorEastAsia"/>
        </w:rPr>
        <w:t xml:space="preserve"> ft/s*g/cc)</w:t>
      </w:r>
      <w:r w:rsidRPr="00F449D8">
        <w:t>. In contrast, petrofacies 3 has the lowest range of permeability (&lt;0.2-20 mD) for a given porosity value and high impedance values (</w:t>
      </w:r>
      <m:oMath>
        <m:sSub>
          <m:sSubPr>
            <m:ctrlPr>
              <w:rPr>
                <w:rFonts w:ascii="Cambria Math" w:hAnsi="Cambria Math"/>
                <w:i/>
              </w:rPr>
            </m:ctrlPr>
          </m:sSubPr>
          <m:e>
            <m:r>
              <w:rPr>
                <w:rFonts w:ascii="Cambria Math" w:hAnsi="Cambria Math"/>
              </w:rPr>
              <m:t>Z</m:t>
            </m:r>
          </m:e>
          <m:sub>
            <m:r>
              <w:rPr>
                <w:rFonts w:ascii="Cambria Math" w:hAnsi="Cambria Math"/>
              </w:rPr>
              <m:t>p</m:t>
            </m:r>
          </m:sub>
        </m:sSub>
        <m:r>
          <w:rPr>
            <w:rFonts w:ascii="Cambria Math" w:hAnsi="Cambria Math"/>
          </w:rPr>
          <m:t>=58000,</m:t>
        </m:r>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=32000</m:t>
        </m:r>
      </m:oMath>
      <w:r w:rsidRPr="00F449D8">
        <w:rPr>
          <w:rFonts w:eastAsiaTheme="minorEastAsia"/>
        </w:rPr>
        <w:t xml:space="preserve"> ft/s*g/cc). </w:t>
      </w:r>
      <w:r>
        <w:rPr>
          <w:rFonts w:eastAsiaTheme="minorEastAsia"/>
        </w:rPr>
        <w:t>P</w:t>
      </w:r>
      <w:r w:rsidRPr="00F449D8">
        <w:rPr>
          <w:rFonts w:eastAsiaTheme="minorEastAsia"/>
        </w:rPr>
        <w:t>etrofacies 2 has porosity, permeability</w:t>
      </w:r>
      <w:r>
        <w:rPr>
          <w:rFonts w:eastAsiaTheme="minorEastAsia"/>
        </w:rPr>
        <w:t>,</w:t>
      </w:r>
      <w:r w:rsidRPr="00F449D8">
        <w:rPr>
          <w:rFonts w:eastAsiaTheme="minorEastAsia"/>
        </w:rPr>
        <w:t xml:space="preserve"> and elastic values that </w:t>
      </w:r>
      <w:r>
        <w:rPr>
          <w:rFonts w:eastAsiaTheme="minorEastAsia"/>
        </w:rPr>
        <w:t xml:space="preserve">are </w:t>
      </w:r>
      <w:r w:rsidRPr="00F449D8">
        <w:rPr>
          <w:rFonts w:eastAsiaTheme="minorEastAsia"/>
        </w:rPr>
        <w:t xml:space="preserve">in between </w:t>
      </w:r>
      <w:r>
        <w:rPr>
          <w:rFonts w:eastAsiaTheme="minorEastAsia"/>
        </w:rPr>
        <w:t>p</w:t>
      </w:r>
      <w:r w:rsidRPr="00F449D8">
        <w:rPr>
          <w:rFonts w:eastAsiaTheme="minorEastAsia"/>
        </w:rPr>
        <w:t>etrofacies 1 and 3.</w:t>
      </w:r>
      <w:r>
        <w:rPr>
          <w:rFonts w:eastAsiaTheme="minorEastAsia"/>
        </w:rPr>
        <w:t xml:space="preserve"> P</w:t>
      </w:r>
      <w:r w:rsidRPr="00F449D8">
        <w:rPr>
          <w:rFonts w:eastAsiaTheme="minorEastAsia"/>
        </w:rPr>
        <w:t xml:space="preserve">etrofacies 1 </w:t>
      </w:r>
      <w:r>
        <w:rPr>
          <w:rFonts w:eastAsiaTheme="minorEastAsia"/>
        </w:rPr>
        <w:t>corresponds</w:t>
      </w:r>
      <w:r w:rsidRPr="00F449D8">
        <w:rPr>
          <w:rFonts w:eastAsiaTheme="minorEastAsia"/>
        </w:rPr>
        <w:t xml:space="preserve"> </w:t>
      </w:r>
      <w:r w:rsidRPr="00F449D8">
        <w:t>to medium-grained peloidal dolopackstone, medium and coarse</w:t>
      </w:r>
      <w:r>
        <w:t>-</w:t>
      </w:r>
      <w:r w:rsidRPr="00F449D8">
        <w:t>grained dolowackestone</w:t>
      </w:r>
      <w:r>
        <w:t>,</w:t>
      </w:r>
      <w:r w:rsidRPr="00F449D8">
        <w:t xml:space="preserve"> and dolomitic breccia. Petrofacies 2 corr</w:t>
      </w:r>
      <w:r>
        <w:t>esponds</w:t>
      </w:r>
      <w:r w:rsidRPr="00F449D8">
        <w:t xml:space="preserve"> to argillaceous dolomitic packstone, fine-grained </w:t>
      </w:r>
      <w:r w:rsidRPr="00F449D8">
        <w:lastRenderedPageBreak/>
        <w:t>micritic dolomites</w:t>
      </w:r>
      <w:r>
        <w:t>,</w:t>
      </w:r>
      <w:r w:rsidRPr="00F449D8">
        <w:t xml:space="preserve"> and dolomitic mudstone, and petrofacies 3 corresponds to crystalline dolomite and argillaceous micritic dolomites.</w:t>
      </w:r>
    </w:p>
    <w:p w14:paraId="6C26276A" w14:textId="1F4A71E6" w:rsidR="00090F82" w:rsidRDefault="00090F82" w:rsidP="00FF4D0F">
      <w:pPr>
        <w:ind w:firstLine="720"/>
      </w:pPr>
      <w:r w:rsidRPr="00F449D8">
        <w:t xml:space="preserve">ANN Petrofacies estimation for the noncored well (Berexco Wellington KGS #1-28) yielded relatively high individual and overall accuracies. The overall accuracy is 85%. </w:t>
      </w:r>
      <w:r>
        <w:t>I</w:t>
      </w:r>
      <w:r w:rsidRPr="00F449D8">
        <w:t>ndividual petrofacies prediction accuracies are 81%, 89%</w:t>
      </w:r>
      <w:r>
        <w:t>,</w:t>
      </w:r>
      <w:r w:rsidRPr="00F449D8">
        <w:t xml:space="preserve"> and 82%</w:t>
      </w:r>
      <w:r>
        <w:t>,</w:t>
      </w:r>
      <w:r w:rsidRPr="00F449D8">
        <w:t xml:space="preserve"> respectively (</w:t>
      </w:r>
      <w:r>
        <w:t xml:space="preserve">Figure </w:t>
      </w:r>
      <w:r w:rsidR="00DB229C">
        <w:t>2.</w:t>
      </w:r>
      <w:r>
        <w:t xml:space="preserve">9 and </w:t>
      </w:r>
      <w:r w:rsidRPr="00F449D8">
        <w:t xml:space="preserve">Table </w:t>
      </w:r>
      <w:r w:rsidR="00DB229C">
        <w:t>2.</w:t>
      </w:r>
      <w:r w:rsidRPr="00F449D8">
        <w:t>1).</w:t>
      </w:r>
      <w:r>
        <w:t xml:space="preserve"> </w:t>
      </w:r>
    </w:p>
    <w:p w14:paraId="0EC30446" w14:textId="77777777" w:rsidR="00090F82" w:rsidRDefault="00090F82" w:rsidP="00090F82">
      <w:pPr>
        <w:pStyle w:val="Heading3"/>
      </w:pPr>
      <w:bookmarkStart w:id="126" w:name="_Toc119516621"/>
      <w:bookmarkStart w:id="127" w:name="_Toc121095956"/>
      <w:r>
        <w:t>Seismic-scale elastic property and petrofacies distribution</w:t>
      </w:r>
      <w:bookmarkEnd w:id="126"/>
      <w:bookmarkEnd w:id="127"/>
    </w:p>
    <w:p w14:paraId="6A87A128" w14:textId="5639CE9D" w:rsidR="00090F82" w:rsidRDefault="00090F82" w:rsidP="00090F82">
      <w:pPr>
        <w:ind w:firstLine="720"/>
        <w:rPr>
          <w:rFonts w:cs="Times New Roman"/>
          <w:szCs w:val="24"/>
        </w:rPr>
      </w:pPr>
      <w:r>
        <w:t xml:space="preserve">To quality control the pre-stack inversion results, we show the comparison between the inverted well logs and seismic gathers with the original input data (Figure </w:t>
      </w:r>
      <w:r w:rsidR="00DB229C">
        <w:t>2.</w:t>
      </w:r>
      <w:r>
        <w:t>10). A good</w:t>
      </w:r>
      <w:r>
        <w:rPr>
          <w:rFonts w:cs="Times New Roman"/>
          <w:szCs w:val="24"/>
        </w:rPr>
        <w:t xml:space="preserve"> correlation (90%) between inverted and actual properties can be observed. Qualitative evaluation of impedance inversion results indicate that </w:t>
      </w:r>
      <w:r>
        <w:t xml:space="preserve">the inversion accurately estimated the elastic properties at the well locations (Figure </w:t>
      </w:r>
      <w:r w:rsidR="00DB229C">
        <w:t>2.</w:t>
      </w:r>
      <w:r>
        <w:t xml:space="preserve">11). </w:t>
      </w:r>
      <w:r>
        <w:rPr>
          <w:rFonts w:cs="Times New Roman"/>
          <w:szCs w:val="24"/>
        </w:rPr>
        <w:t>The results also show that the middle portion of the Arbuckle interval can be seen with high acoustic and shear impedance values. In contrast, relatively lower values of impedances are primarily located in the lower and the upper portion.</w:t>
      </w:r>
    </w:p>
    <w:p w14:paraId="703E706B" w14:textId="2FD2B648" w:rsidR="00090F82" w:rsidRPr="00AB631A" w:rsidRDefault="00090F82" w:rsidP="00090F82">
      <w:pPr>
        <w:ind w:firstLine="720"/>
        <w:rPr>
          <w:rFonts w:cs="Times New Roman"/>
          <w:color w:val="auto"/>
          <w:szCs w:val="24"/>
        </w:rPr>
      </w:pPr>
      <w:r w:rsidRPr="00AB631A">
        <w:rPr>
          <w:rFonts w:cs="Times New Roman"/>
          <w:szCs w:val="24"/>
        </w:rPr>
        <w:t xml:space="preserve">The </w:t>
      </w:r>
      <w:r>
        <w:rPr>
          <w:rFonts w:cs="Times New Roman"/>
          <w:szCs w:val="24"/>
        </w:rPr>
        <w:t>supervised random forest</w:t>
      </w:r>
      <w:r w:rsidRPr="00AB631A">
        <w:rPr>
          <w:rFonts w:cs="Times New Roman"/>
          <w:szCs w:val="24"/>
        </w:rPr>
        <w:t xml:space="preserve"> classification results include one classification volume </w:t>
      </w:r>
      <w:r>
        <w:rPr>
          <w:rFonts w:cs="Times New Roman"/>
          <w:szCs w:val="24"/>
        </w:rPr>
        <w:t>corresponding to</w:t>
      </w:r>
      <w:r w:rsidRPr="00AB631A">
        <w:rPr>
          <w:rFonts w:cs="Times New Roman"/>
          <w:szCs w:val="24"/>
        </w:rPr>
        <w:t xml:space="preserve"> the most likely </w:t>
      </w:r>
      <w:r>
        <w:rPr>
          <w:rFonts w:cs="Times New Roman"/>
          <w:szCs w:val="24"/>
        </w:rPr>
        <w:t>petrofacies prediction</w:t>
      </w:r>
      <w:r w:rsidRPr="00AB631A">
        <w:rPr>
          <w:rFonts w:cs="Times New Roman"/>
          <w:szCs w:val="24"/>
        </w:rPr>
        <w:t xml:space="preserve"> and th</w:t>
      </w:r>
      <w:r>
        <w:rPr>
          <w:rFonts w:cs="Times New Roman"/>
          <w:szCs w:val="24"/>
        </w:rPr>
        <w:t xml:space="preserve">ree volumes </w:t>
      </w:r>
      <w:r w:rsidRPr="00AB631A">
        <w:rPr>
          <w:rFonts w:cs="Times New Roman"/>
          <w:szCs w:val="24"/>
        </w:rPr>
        <w:t xml:space="preserve">corresponding </w:t>
      </w:r>
      <w:r>
        <w:rPr>
          <w:rFonts w:cs="Times New Roman"/>
          <w:szCs w:val="24"/>
        </w:rPr>
        <w:t xml:space="preserve">to the </w:t>
      </w:r>
      <w:r w:rsidRPr="00AB631A">
        <w:rPr>
          <w:rFonts w:cs="Times New Roman"/>
          <w:szCs w:val="24"/>
        </w:rPr>
        <w:t xml:space="preserve">probability for each </w:t>
      </w:r>
      <w:r>
        <w:rPr>
          <w:rFonts w:cs="Times New Roman"/>
          <w:szCs w:val="24"/>
        </w:rPr>
        <w:t>petrofacies at</w:t>
      </w:r>
      <w:r w:rsidRPr="00AB631A">
        <w:rPr>
          <w:rFonts w:cs="Times New Roman"/>
          <w:szCs w:val="24"/>
        </w:rPr>
        <w:t xml:space="preserve"> each </w:t>
      </w:r>
      <w:r>
        <w:rPr>
          <w:rFonts w:cs="Times New Roman"/>
          <w:szCs w:val="24"/>
        </w:rPr>
        <w:t xml:space="preserve">seismic voxel. </w:t>
      </w:r>
      <w:r w:rsidRPr="00AB631A">
        <w:rPr>
          <w:rFonts w:cs="Times New Roman"/>
          <w:color w:val="auto"/>
          <w:szCs w:val="24"/>
        </w:rPr>
        <w:t xml:space="preserve">The predictive capability and uncertainty range of the 3D petrofacies prediction process is illustrated in a confusion matrix (Table </w:t>
      </w:r>
      <w:r w:rsidR="00DB229C">
        <w:rPr>
          <w:rFonts w:cs="Times New Roman"/>
          <w:color w:val="auto"/>
          <w:szCs w:val="24"/>
        </w:rPr>
        <w:t>2.</w:t>
      </w:r>
      <w:r w:rsidRPr="00AB631A">
        <w:rPr>
          <w:rFonts w:cs="Times New Roman"/>
          <w:color w:val="auto"/>
          <w:szCs w:val="24"/>
        </w:rPr>
        <w:t xml:space="preserve">2). </w:t>
      </w:r>
      <w:r>
        <w:rPr>
          <w:rFonts w:cs="Times New Roman"/>
          <w:szCs w:val="24"/>
        </w:rPr>
        <w:t>The matrix</w:t>
      </w:r>
      <w:r w:rsidRPr="00AB631A">
        <w:rPr>
          <w:rFonts w:cs="Times New Roman"/>
          <w:color w:val="auto"/>
          <w:szCs w:val="24"/>
        </w:rPr>
        <w:t xml:space="preserve"> shows that the individual petrofacies prediction was achieved with 83.3%, 87%, and 84% accuracies, for petrofacies 1, 2, and 3, respectively. The overall prediction accuracy is 85%.</w:t>
      </w:r>
    </w:p>
    <w:p w14:paraId="266BA080" w14:textId="5BFF8895" w:rsidR="00090F82" w:rsidRDefault="00090F82" w:rsidP="00090F82">
      <w:pPr>
        <w:ind w:firstLine="720"/>
        <w:rPr>
          <w:rFonts w:cs="Times New Roman"/>
          <w:szCs w:val="24"/>
        </w:rPr>
      </w:pPr>
      <w:r w:rsidRPr="00AB631A">
        <w:rPr>
          <w:rFonts w:cs="Times New Roman"/>
          <w:szCs w:val="24"/>
        </w:rPr>
        <w:t>To evaluate the spatial distribution of petrofacies within the Arbuckle Group, we display the petrofacies prediction results on vertical sections and maps.</w:t>
      </w:r>
      <w:r>
        <w:rPr>
          <w:rFonts w:cs="Times New Roman"/>
          <w:szCs w:val="24"/>
        </w:rPr>
        <w:t xml:space="preserve"> </w:t>
      </w:r>
      <w:r w:rsidRPr="00AB631A">
        <w:rPr>
          <w:rFonts w:cs="Times New Roman"/>
          <w:szCs w:val="24"/>
        </w:rPr>
        <w:t xml:space="preserve">The petrofacies cross-section </w:t>
      </w:r>
      <w:r w:rsidRPr="00AB631A">
        <w:rPr>
          <w:rFonts w:cs="Times New Roman"/>
          <w:szCs w:val="24"/>
        </w:rPr>
        <w:lastRenderedPageBreak/>
        <w:t xml:space="preserve">illustrates the stratigraphic and lateral variability of the Arbuckle strata. Porous and permeable petrofacies 1 is mostly concentrated at the lower and the upper portion of the Arbuckle Group, while the tight and impermeable petrofacies 3 can be observed in the middle part of the Arbuckle interval (Figure </w:t>
      </w:r>
      <w:r w:rsidR="00DB229C">
        <w:rPr>
          <w:rFonts w:cs="Times New Roman"/>
          <w:szCs w:val="24"/>
        </w:rPr>
        <w:t>2.</w:t>
      </w:r>
      <w:r w:rsidRPr="00AB631A">
        <w:rPr>
          <w:rFonts w:cs="Times New Roman"/>
          <w:szCs w:val="24"/>
        </w:rPr>
        <w:t xml:space="preserve">12). </w:t>
      </w:r>
      <w:r>
        <w:rPr>
          <w:rFonts w:cs="Times New Roman"/>
          <w:szCs w:val="24"/>
        </w:rPr>
        <w:t>Additionally, Petrofacies distribution is relatively continuous in the southeastern portion, gradually increasing lateral variability towards the northeast.</w:t>
      </w:r>
    </w:p>
    <w:p w14:paraId="09F90A12" w14:textId="082372E8" w:rsidR="00090F82" w:rsidRPr="00AB631A" w:rsidRDefault="00090F82" w:rsidP="00090F82">
      <w:pPr>
        <w:ind w:firstLine="720"/>
        <w:rPr>
          <w:rFonts w:cs="Times New Roman"/>
          <w:szCs w:val="24"/>
        </w:rPr>
      </w:pPr>
      <w:r w:rsidRPr="00AB631A">
        <w:rPr>
          <w:rFonts w:cs="Times New Roman"/>
          <w:szCs w:val="24"/>
        </w:rPr>
        <w:t xml:space="preserve">To show the uncertainty associated with the petrofacies prediction, we show arbitrary lines through individual petrofacies probability volumes (Figure </w:t>
      </w:r>
      <w:r w:rsidR="00DB229C">
        <w:rPr>
          <w:rFonts w:cs="Times New Roman"/>
          <w:szCs w:val="24"/>
        </w:rPr>
        <w:t>2.</w:t>
      </w:r>
      <w:r w:rsidRPr="00AB631A">
        <w:rPr>
          <w:rFonts w:cs="Times New Roman"/>
          <w:szCs w:val="24"/>
        </w:rPr>
        <w:t>13a-c). High probability values</w:t>
      </w:r>
      <w:r>
        <w:rPr>
          <w:rFonts w:cs="Times New Roman"/>
          <w:szCs w:val="24"/>
        </w:rPr>
        <w:t xml:space="preserve"> (up to 87%)</w:t>
      </w:r>
      <w:r w:rsidRPr="00AB631A">
        <w:rPr>
          <w:rFonts w:cs="Times New Roman"/>
          <w:szCs w:val="24"/>
        </w:rPr>
        <w:t xml:space="preserve"> for petrofacies 1 are observed in the lower and the upper part of the zone of interest (Figure </w:t>
      </w:r>
      <w:r w:rsidR="00DB229C">
        <w:rPr>
          <w:rFonts w:cs="Times New Roman"/>
          <w:szCs w:val="24"/>
        </w:rPr>
        <w:t>2.</w:t>
      </w:r>
      <w:r w:rsidRPr="00AB631A">
        <w:rPr>
          <w:rFonts w:cs="Times New Roman"/>
          <w:szCs w:val="24"/>
        </w:rPr>
        <w:t xml:space="preserve">13a). Similarly, we obtained high probabilities of petrofacies 2 and 3 in the middle Arbuckle interval. </w:t>
      </w:r>
    </w:p>
    <w:p w14:paraId="6207585A" w14:textId="301D8693" w:rsidR="00090F82" w:rsidRPr="004D247B" w:rsidRDefault="00090F82" w:rsidP="004D247B">
      <w:pPr>
        <w:ind w:firstLine="720"/>
        <w:rPr>
          <w:rFonts w:cs="Times New Roman"/>
          <w:szCs w:val="24"/>
        </w:rPr>
      </w:pPr>
      <w:r w:rsidRPr="00AB631A">
        <w:rPr>
          <w:rFonts w:cs="Times New Roman"/>
          <w:szCs w:val="24"/>
        </w:rPr>
        <w:t xml:space="preserve">Figures </w:t>
      </w:r>
      <w:r w:rsidR="00DB229C">
        <w:rPr>
          <w:rFonts w:cs="Times New Roman"/>
          <w:szCs w:val="24"/>
        </w:rPr>
        <w:t>2.</w:t>
      </w:r>
      <w:r w:rsidRPr="00AB631A">
        <w:rPr>
          <w:rFonts w:cs="Times New Roman"/>
          <w:szCs w:val="24"/>
        </w:rPr>
        <w:t xml:space="preserve">14a through c show the petrofacies values extracted onto proportional slices, showing the spatial variability of petrofacies corresponding to the lower, middle, and upper Arbuckle intervals, respectively. </w:t>
      </w:r>
      <w:r>
        <w:rPr>
          <w:rFonts w:cs="Times New Roman"/>
          <w:szCs w:val="24"/>
        </w:rPr>
        <w:t xml:space="preserve"> </w:t>
      </w:r>
      <w:r w:rsidRPr="00AB631A">
        <w:rPr>
          <w:rFonts w:cs="Times New Roman"/>
          <w:szCs w:val="24"/>
        </w:rPr>
        <w:t>The map extracted on the lower portion of the Arbuckle shows that the interval mainly consists of petrofacies 1, which was previously defined as the petrofacies with high porosity and permeability values. The map also shows that petrofacies 1 is mainly concentrated around the central and southern portions of the study area.</w:t>
      </w:r>
      <w:r>
        <w:rPr>
          <w:rFonts w:cs="Times New Roman"/>
          <w:szCs w:val="24"/>
        </w:rPr>
        <w:t xml:space="preserve"> </w:t>
      </w:r>
      <w:r w:rsidRPr="00AB631A">
        <w:rPr>
          <w:rFonts w:cs="Times New Roman"/>
          <w:szCs w:val="24"/>
        </w:rPr>
        <w:t>The middle Arbuckle map reveals that the interval is dominated primarily by the petrofacies 2 and 3, described previously as the lower permeability petrofacies. In this interval, petrofacies 3 becomes more dominant towards the southeast.</w:t>
      </w:r>
      <w:r>
        <w:rPr>
          <w:rFonts w:cs="Times New Roman"/>
          <w:szCs w:val="24"/>
        </w:rPr>
        <w:t xml:space="preserve"> </w:t>
      </w:r>
      <w:r w:rsidRPr="00AB631A">
        <w:rPr>
          <w:rFonts w:cs="Times New Roman"/>
          <w:szCs w:val="24"/>
        </w:rPr>
        <w:t>The horizon slice corresponding to the upper Arbuckle section is mainly composed of petrofacies 1 and 2, whereas the petrofacies 1 composition is mainly dominant towards the northeast.</w:t>
      </w:r>
      <w:r>
        <w:rPr>
          <w:rFonts w:cs="Times New Roman"/>
          <w:szCs w:val="24"/>
        </w:rPr>
        <w:t xml:space="preserve"> </w:t>
      </w:r>
    </w:p>
    <w:p w14:paraId="4ED56B62" w14:textId="77777777" w:rsidR="00090F82" w:rsidRDefault="00090F82" w:rsidP="00090F82">
      <w:pPr>
        <w:pStyle w:val="Heading2"/>
      </w:pPr>
      <w:bookmarkStart w:id="128" w:name="_Toc119516622"/>
      <w:bookmarkStart w:id="129" w:name="_Toc121095957"/>
      <w:r>
        <w:lastRenderedPageBreak/>
        <w:t>Discussion</w:t>
      </w:r>
      <w:bookmarkEnd w:id="128"/>
      <w:bookmarkEnd w:id="129"/>
    </w:p>
    <w:p w14:paraId="6C855DA6" w14:textId="77777777" w:rsidR="00090F82" w:rsidRDefault="00090F82" w:rsidP="00090F82">
      <w:pPr>
        <w:ind w:firstLine="720"/>
        <w:rPr>
          <w:rFonts w:cs="Times New Roman"/>
          <w:szCs w:val="24"/>
        </w:rPr>
      </w:pPr>
      <w:r>
        <w:t xml:space="preserve">The integration of core-derived petrophysical-property measurements and seismic information helped to identify </w:t>
      </w:r>
      <w:r w:rsidRPr="00AB631A">
        <w:rPr>
          <w:rFonts w:cs="Times New Roman"/>
          <w:szCs w:val="24"/>
        </w:rPr>
        <w:t>highly heterogeneous</w:t>
      </w:r>
      <w:r>
        <w:rPr>
          <w:rFonts w:cs="Times New Roman"/>
          <w:szCs w:val="24"/>
        </w:rPr>
        <w:t xml:space="preserve"> petrofacies variability within the Arbuckle Group at the seismic scale.</w:t>
      </w:r>
      <w:r w:rsidRPr="00AB631A">
        <w:rPr>
          <w:rFonts w:cs="Times New Roman"/>
          <w:szCs w:val="24"/>
        </w:rPr>
        <w:t xml:space="preserve"> This heterogeneity can be interpreted as the imprint of the complex distribution of pore structure, which </w:t>
      </w:r>
      <w:r>
        <w:rPr>
          <w:rFonts w:cs="Times New Roman"/>
          <w:szCs w:val="24"/>
        </w:rPr>
        <w:t>resulted from</w:t>
      </w:r>
      <w:r w:rsidRPr="00AB631A">
        <w:rPr>
          <w:rFonts w:cs="Times New Roman"/>
          <w:szCs w:val="24"/>
        </w:rPr>
        <w:t xml:space="preserve"> depositional and diagenetic processes.</w:t>
      </w:r>
      <w:r>
        <w:rPr>
          <w:rFonts w:cs="Times New Roman"/>
          <w:szCs w:val="24"/>
        </w:rPr>
        <w:t xml:space="preserve"> </w:t>
      </w:r>
    </w:p>
    <w:p w14:paraId="53669B58" w14:textId="77777777" w:rsidR="00090F82" w:rsidRDefault="00090F82" w:rsidP="00090F82">
      <w:pPr>
        <w:ind w:firstLine="720"/>
      </w:pPr>
      <w:r>
        <w:rPr>
          <w:rFonts w:cs="Times New Roman"/>
          <w:szCs w:val="24"/>
        </w:rPr>
        <w:t xml:space="preserve">To compare the rock-type classification workflow of this study with previous work, </w:t>
      </w:r>
      <w:r>
        <w:t xml:space="preserve">Ohl et al. (2014) utilized map-based supervised classification using a neural network approach with various post-stack seismic attributes and well log rock-types as an input.  Rock- type classes were created based on arbitrary neutron-porosity cut-offs (e.g., low, medium, and high neutron porosity). The resulting rock-type map shows the spatial variability only in two dimensions at the horizon corresponding to the top of the Arbuckle Group. Additionally, rock types defined in this study defined based on a single well log, without any correlation to the lithology and corresponding petrophysical properties. </w:t>
      </w:r>
    </w:p>
    <w:p w14:paraId="22626A7E" w14:textId="77777777" w:rsidR="00090F82" w:rsidRDefault="00090F82" w:rsidP="00090F82">
      <w:pPr>
        <w:ind w:firstLine="720"/>
      </w:pPr>
      <w:r>
        <w:t xml:space="preserve">Watney and Rush (2012) created their rock type model by first creating geostatistical models of porosity and permeability and then arbitrarily defining rock types by binning associated reservoir quality index (RQI) values. </w:t>
      </w:r>
    </w:p>
    <w:p w14:paraId="349C305A" w14:textId="77777777" w:rsidR="00090F82" w:rsidRDefault="00090F82" w:rsidP="00090F82">
      <w:pPr>
        <w:ind w:firstLine="720"/>
      </w:pPr>
      <w:r>
        <w:t xml:space="preserve">In this study, petrofacies are defined based on core porosity and permeability using the FZI method.  Each petrofacies also relates to core-defined lithofacies. To link petrofacies to seismic elastic properties and angle dependent attributes, we utilized the supervised random forest classifier. The resulting volume provides a three-dimensional petrofacies volume and associated prediction uncertainty information away from wells. The petrofacies correspond to both lithofacies </w:t>
      </w:r>
      <w:r>
        <w:lastRenderedPageBreak/>
        <w:t xml:space="preserve">and petrophysical properties of the Arbuckle Group. The stratigraphic and lateral variability of petrofacies from this method establishes distinct reservoirs zones for both subsurface injection and storage and fluid-flow barriers. Therefore, the petrofacies volume is useful as 3D facies trend volume for static and dynamic modeling. </w:t>
      </w:r>
    </w:p>
    <w:p w14:paraId="66F7B898" w14:textId="77777777" w:rsidR="00090F82" w:rsidRDefault="00090F82" w:rsidP="00090F82">
      <w:pPr>
        <w:pStyle w:val="Heading3"/>
      </w:pPr>
      <w:bookmarkStart w:id="130" w:name="_Toc119516623"/>
      <w:bookmarkStart w:id="131" w:name="_Toc121095958"/>
      <w:r>
        <w:t>Limitations</w:t>
      </w:r>
      <w:bookmarkEnd w:id="130"/>
      <w:bookmarkEnd w:id="131"/>
      <w:r>
        <w:t xml:space="preserve"> </w:t>
      </w:r>
    </w:p>
    <w:p w14:paraId="4A00A3C7" w14:textId="045C93DF" w:rsidR="00090F82" w:rsidRPr="004D247B" w:rsidRDefault="00090F82" w:rsidP="004D247B">
      <w:pPr>
        <w:ind w:firstLine="720"/>
        <w:rPr>
          <w:color w:val="000000"/>
          <w:szCs w:val="24"/>
        </w:rPr>
      </w:pPr>
      <w:r>
        <w:t xml:space="preserve">While this workflow achieves </w:t>
      </w:r>
      <w:r>
        <w:rPr>
          <w:color w:val="000000"/>
          <w:szCs w:val="24"/>
        </w:rPr>
        <w:t xml:space="preserve">high performance for predicting the petrofacies within the study area, some limitations are present:  In this study, there were only two wells fully penetrating the Arbuckle interval. Therefore, both wells were used to train the random forest algorithm, without additional well (or wells) to evaluate the performance of the model in the presence of test data (data that was not used for training). Moreover, due to the limited number of wells, </w:t>
      </w:r>
      <w:r w:rsidR="00763047">
        <w:rPr>
          <w:color w:val="000000"/>
          <w:szCs w:val="24"/>
        </w:rPr>
        <w:t xml:space="preserve">the </w:t>
      </w:r>
      <w:r>
        <w:rPr>
          <w:color w:val="000000"/>
          <w:szCs w:val="24"/>
        </w:rPr>
        <w:t xml:space="preserve">amount of training samples is limited. These limitations were challenging for application of other supervised classification methods such as neural networks. Therefore, we utilized the </w:t>
      </w:r>
      <w:r>
        <w:t>random forest method, since it is known for generating robust results without overfitting the training data, needing only a small number of hyperparameters to be tuned and most importantly, its ability to work with a weak input data, where there is a small number of input samples to distinguish between classes (Breiman, 2001;</w:t>
      </w:r>
      <w:r w:rsidRPr="003D5A5D">
        <w:t xml:space="preserve"> </w:t>
      </w:r>
      <w:r>
        <w:t xml:space="preserve">Liaw and Wiener, 2002; Scornet et al., 2015). Additionally, to further overcome the sampling related issue, </w:t>
      </w:r>
      <w:r>
        <w:rPr>
          <w:color w:val="000000"/>
          <w:szCs w:val="24"/>
        </w:rPr>
        <w:t>we used number of traces around each well (from each input feature volume) using a 5 by 5 sample window, augmenting the number of training samples. The size of the window is selected after analyzing the input feature variability with the distance from wells, in order to ensure that there is no significant change in the geological character within the sample extraction window.</w:t>
      </w:r>
    </w:p>
    <w:p w14:paraId="1597DE90" w14:textId="77777777" w:rsidR="00090F82" w:rsidRPr="00694994" w:rsidRDefault="00090F82" w:rsidP="00090F82">
      <w:pPr>
        <w:pStyle w:val="Heading2"/>
        <w:rPr>
          <w:rFonts w:eastAsiaTheme="minorEastAsia"/>
        </w:rPr>
      </w:pPr>
      <w:bookmarkStart w:id="132" w:name="_Toc119516624"/>
      <w:bookmarkStart w:id="133" w:name="_Toc121095959"/>
      <w:r w:rsidRPr="00F207B5">
        <w:rPr>
          <w:rFonts w:eastAsiaTheme="minorEastAsia"/>
        </w:rPr>
        <w:lastRenderedPageBreak/>
        <w:t>Conclusions</w:t>
      </w:r>
      <w:bookmarkEnd w:id="132"/>
      <w:bookmarkEnd w:id="133"/>
    </w:p>
    <w:p w14:paraId="465CC13D" w14:textId="75AAF288" w:rsidR="00090F82" w:rsidRDefault="00090F82" w:rsidP="004D247B">
      <w:pPr>
        <w:ind w:firstLine="720"/>
      </w:pPr>
      <w:r>
        <w:t xml:space="preserve">The Arbuckle Group in the Wellington </w:t>
      </w:r>
      <w:r w:rsidR="00763047">
        <w:t xml:space="preserve">Field </w:t>
      </w:r>
      <w:r>
        <w:t>can be represented by three petrophysics-based rock types (petrofacies) based on the core-derived porosity and permeability measurements using the FZI method. The</w:t>
      </w:r>
      <w:r w:rsidRPr="007940ED">
        <w:t xml:space="preserve"> petrofacies </w:t>
      </w:r>
      <w:r>
        <w:t xml:space="preserve">correspond to lithologies varying from (1) medium and coarse-grained peloidal dolo packstone, wackestone, and </w:t>
      </w:r>
      <w:r w:rsidRPr="00F449D8">
        <w:t xml:space="preserve">dolomitic breccia. </w:t>
      </w:r>
      <w:r>
        <w:t>(2) A</w:t>
      </w:r>
      <w:r w:rsidRPr="00F449D8">
        <w:t>rgillaceous dolomitic packstone, fine-grained micritic dolomite</w:t>
      </w:r>
      <w:r>
        <w:t>,</w:t>
      </w:r>
      <w:r w:rsidRPr="00F449D8">
        <w:t xml:space="preserve"> and dolomitic mudstone, and </w:t>
      </w:r>
      <w:r>
        <w:t xml:space="preserve">(3) </w:t>
      </w:r>
      <w:r w:rsidRPr="00F449D8">
        <w:t>crystalline dolomite and argillaceous micritic dolomite.</w:t>
      </w:r>
      <w:r>
        <w:t xml:space="preserve"> To map the petrofacies in three dimensions at the seismic scale, we successfully applied the supervised random forest classifier algorithm using the petrofacies logs, elastic property, and angle-dependent seismic volumes. The random forest algorithm achieved an 86% average F1 score for predicting the petrofacies. As a result of this process, we have estimated petrofacies and individual petrofacies probabilities at each seismic voxel. </w:t>
      </w:r>
      <w:r w:rsidRPr="009C0A56">
        <w:t xml:space="preserve">The resulting 3D petrofacies volume reveals that the petrofacies </w:t>
      </w:r>
      <w:r>
        <w:t>corresponding to the highest permeability and porosity</w:t>
      </w:r>
      <w:r w:rsidRPr="009C0A56">
        <w:t xml:space="preserve"> </w:t>
      </w:r>
      <w:r>
        <w:t>are in the lower and upper portions of the Arbuckle, and low porosity and permeability</w:t>
      </w:r>
      <w:r w:rsidRPr="009C0A56">
        <w:t xml:space="preserve"> </w:t>
      </w:r>
      <w:r>
        <w:t xml:space="preserve">rocks are in </w:t>
      </w:r>
      <w:r w:rsidRPr="009C0A56">
        <w:t>the middle Arbuckle interval. Results also reflect the heterogeneous spatial distribution of petrofacies, revealing the complexity of the porosity, permeability, and fluid flow characteristics within the Arbuckle Group</w:t>
      </w:r>
      <w:r>
        <w:t>. Additionally, the workflow suggested in this study can be helpful by bridging the gap between and away from the wells and reduce the uncertainty in the areas where the well control is limited. Furthermore, outputs of this study can be used as spatial trend volumes in seismic-constrained static modeling and dynamic simulation workflows for modeling the behavior of CO</w:t>
      </w:r>
      <w:r w:rsidRPr="009C0A56">
        <w:rPr>
          <w:vertAlign w:val="subscript"/>
        </w:rPr>
        <w:t>2</w:t>
      </w:r>
      <w:r>
        <w:t xml:space="preserve"> plumes in the subsurface.</w:t>
      </w:r>
    </w:p>
    <w:p w14:paraId="6F6E1EE5" w14:textId="77777777" w:rsidR="00090F82" w:rsidRPr="005C4853" w:rsidRDefault="00090F82" w:rsidP="00090F82">
      <w:pPr>
        <w:pStyle w:val="Heading2"/>
        <w:rPr>
          <w:rFonts w:eastAsiaTheme="minorEastAsia"/>
        </w:rPr>
      </w:pPr>
      <w:bookmarkStart w:id="134" w:name="_Toc119516625"/>
      <w:bookmarkStart w:id="135" w:name="_Toc121095960"/>
      <w:r w:rsidRPr="005C4853">
        <w:rPr>
          <w:rFonts w:eastAsiaTheme="minorEastAsia"/>
        </w:rPr>
        <w:lastRenderedPageBreak/>
        <w:t>Acknowledgments</w:t>
      </w:r>
      <w:bookmarkEnd w:id="134"/>
      <w:bookmarkEnd w:id="135"/>
    </w:p>
    <w:p w14:paraId="25923D66" w14:textId="3163A768" w:rsidR="00D46315" w:rsidRDefault="00090F82" w:rsidP="00090F82">
      <w:pPr>
        <w:rPr>
          <w:szCs w:val="18"/>
        </w:rPr>
      </w:pPr>
      <w:r w:rsidRPr="005C4853">
        <w:rPr>
          <w:rFonts w:eastAsiaTheme="minorEastAsia"/>
          <w:szCs w:val="18"/>
        </w:rPr>
        <w:t>This research was supported through the Reservoir Characterization and Modeling Laboratory (RCML)</w:t>
      </w:r>
      <w:r>
        <w:rPr>
          <w:rFonts w:eastAsiaTheme="minorEastAsia"/>
          <w:szCs w:val="18"/>
        </w:rPr>
        <w:t>,</w:t>
      </w:r>
      <w:r w:rsidRPr="005C4853">
        <w:rPr>
          <w:rFonts w:eastAsiaTheme="minorEastAsia"/>
          <w:szCs w:val="18"/>
        </w:rPr>
        <w:t xml:space="preserve"> and the </w:t>
      </w:r>
      <w:r w:rsidRPr="005C4853">
        <w:rPr>
          <w:szCs w:val="18"/>
        </w:rPr>
        <w:t>Attribute Assisted Seismic Processing and Interpretation (AASPI) consortium at the University of Oklahoma.</w:t>
      </w:r>
      <w:r w:rsidRPr="005C4853">
        <w:rPr>
          <w:rFonts w:eastAsiaTheme="minorEastAsia"/>
          <w:szCs w:val="18"/>
        </w:rPr>
        <w:t xml:space="preserve"> We thank Berexco LLC for providing seismic data and the Kansas Geological Survey (KGS) for well data. </w:t>
      </w:r>
      <w:r w:rsidRPr="005C4853">
        <w:rPr>
          <w:szCs w:val="18"/>
        </w:rPr>
        <w:t xml:space="preserve"> We thank CGG for Hampson-Russell software and Schlumberger for Petrel software </w:t>
      </w:r>
      <w:r w:rsidRPr="005C4853">
        <w:t>provided to the University of Oklahoma</w:t>
      </w:r>
      <w:r w:rsidRPr="005C4853">
        <w:rPr>
          <w:szCs w:val="18"/>
        </w:rPr>
        <w:t>.</w:t>
      </w:r>
    </w:p>
    <w:p w14:paraId="571A0BDC" w14:textId="77777777" w:rsidR="0093698E" w:rsidRDefault="0093698E" w:rsidP="00090F82">
      <w:pPr>
        <w:rPr>
          <w:szCs w:val="18"/>
        </w:rPr>
      </w:pPr>
    </w:p>
    <w:p w14:paraId="28844257" w14:textId="77777777" w:rsidR="00090F82" w:rsidRDefault="00090F82" w:rsidP="00090F82">
      <w:pPr>
        <w:pStyle w:val="Heading2"/>
        <w:rPr>
          <w:rFonts w:eastAsiaTheme="minorEastAsia"/>
        </w:rPr>
      </w:pPr>
      <w:bookmarkStart w:id="136" w:name="_Toc119516626"/>
      <w:bookmarkStart w:id="137" w:name="_Toc121095961"/>
      <w:r w:rsidRPr="0037191F">
        <w:rPr>
          <w:rFonts w:eastAsiaTheme="minorEastAsia"/>
        </w:rPr>
        <w:t>References</w:t>
      </w:r>
      <w:bookmarkEnd w:id="136"/>
      <w:bookmarkEnd w:id="137"/>
    </w:p>
    <w:p w14:paraId="74F1CCF5" w14:textId="77777777" w:rsidR="00090F82" w:rsidRDefault="00090F82" w:rsidP="00090F82">
      <w:pPr>
        <w:ind w:left="720" w:hanging="720"/>
        <w:rPr>
          <w:rFonts w:cs="Times New Roman"/>
          <w:szCs w:val="24"/>
          <w:shd w:val="clear" w:color="auto" w:fill="FFFFFF"/>
        </w:rPr>
      </w:pPr>
      <w:r w:rsidRPr="008C5B73">
        <w:rPr>
          <w:rFonts w:cs="Times New Roman"/>
          <w:szCs w:val="24"/>
          <w:shd w:val="clear" w:color="auto" w:fill="FFFFFF"/>
        </w:rPr>
        <w:t>Aki, K., and P. G. Richards, 1980, Quantitative Seismology</w:t>
      </w:r>
      <w:r>
        <w:rPr>
          <w:rFonts w:cs="Times New Roman"/>
          <w:szCs w:val="24"/>
          <w:shd w:val="clear" w:color="auto" w:fill="FFFFFF"/>
        </w:rPr>
        <w:t>-</w:t>
      </w:r>
      <w:r w:rsidRPr="008C5B73">
        <w:rPr>
          <w:rFonts w:cs="Times New Roman"/>
          <w:szCs w:val="24"/>
          <w:shd w:val="clear" w:color="auto" w:fill="FFFFFF"/>
        </w:rPr>
        <w:t>Theory and methods: W. H. Freeman.</w:t>
      </w:r>
    </w:p>
    <w:p w14:paraId="7B50CC89" w14:textId="77777777" w:rsidR="00090F82" w:rsidRPr="00D73901" w:rsidRDefault="00090F82" w:rsidP="00090F82">
      <w:pPr>
        <w:ind w:left="720" w:hanging="720"/>
        <w:rPr>
          <w:rFonts w:eastAsia="Times New Roman" w:cs="Times New Roman"/>
          <w:szCs w:val="24"/>
        </w:rPr>
      </w:pPr>
      <w:r w:rsidRPr="00A571CA">
        <w:rPr>
          <w:rFonts w:cs="Times New Roman"/>
          <w:szCs w:val="24"/>
        </w:rPr>
        <w:t>Amaefule, J. O., M. Altunbay, D. Tiab, D. G. Kersey, and D. K. Keelan, 1993, Enhanced reservoir description: Using core and log data to identify hydraulic (flow) units and predict permeability in uncored intervals/ wells: 68</w:t>
      </w:r>
      <w:r w:rsidRPr="002A7016">
        <w:rPr>
          <w:rFonts w:cs="Times New Roman"/>
          <w:szCs w:val="24"/>
          <w:vertAlign w:val="superscript"/>
        </w:rPr>
        <w:t>th</w:t>
      </w:r>
      <w:r w:rsidRPr="00A571CA">
        <w:rPr>
          <w:rFonts w:cs="Times New Roman"/>
          <w:szCs w:val="24"/>
        </w:rPr>
        <w:t xml:space="preserve"> Annual Technical Conference and Exhibition, SPE, Extended Abstracts, SPE-26436-MS, doi:</w:t>
      </w:r>
      <w:r w:rsidRPr="00A571CA">
        <w:rPr>
          <w:rFonts w:eastAsia="Times New Roman" w:cs="Times New Roman"/>
          <w:szCs w:val="24"/>
        </w:rPr>
        <w:t xml:space="preserve"> </w:t>
      </w:r>
      <w:r w:rsidRPr="00D73901">
        <w:rPr>
          <w:rFonts w:eastAsia="Times New Roman" w:cs="Times New Roman"/>
          <w:szCs w:val="24"/>
        </w:rPr>
        <w:t>10.2118/26436-MS.</w:t>
      </w:r>
    </w:p>
    <w:p w14:paraId="65C39595" w14:textId="77777777" w:rsidR="00090F82" w:rsidRDefault="00090F82" w:rsidP="00090F82">
      <w:pPr>
        <w:ind w:left="720" w:hanging="720"/>
        <w:rPr>
          <w:rFonts w:cs="Times New Roman"/>
          <w:szCs w:val="24"/>
        </w:rPr>
      </w:pPr>
      <w:r w:rsidRPr="007B23EE">
        <w:rPr>
          <w:rFonts w:cs="Times New Roman"/>
          <w:szCs w:val="24"/>
        </w:rPr>
        <w:t xml:space="preserve">Bergmann, P., M. Ivandic, B. Norden, C. Rücker, D. Kiessling, S. Lüth, C. Schmidt-Hattenberger, and C. Juhlin, 2014, Combination of seismic reflection and constrained resistivity inversion with an application to 4D imaging of the CO2 storage site, Ketzin, Germany, Geophysics, 79, no. 2, B37–B50, doi: </w:t>
      </w:r>
      <w:r w:rsidRPr="00D73901">
        <w:rPr>
          <w:rFonts w:cs="Times New Roman"/>
          <w:szCs w:val="24"/>
        </w:rPr>
        <w:t>10.1190/geo2013-0131.1</w:t>
      </w:r>
      <w:r w:rsidRPr="007B23EE">
        <w:rPr>
          <w:rFonts w:cs="Times New Roman"/>
          <w:szCs w:val="24"/>
        </w:rPr>
        <w:t>.</w:t>
      </w:r>
    </w:p>
    <w:p w14:paraId="1B4E7209" w14:textId="77777777" w:rsidR="00090F82" w:rsidRDefault="00090F82" w:rsidP="00090F82">
      <w:pPr>
        <w:ind w:left="720" w:hanging="720"/>
      </w:pPr>
      <w:r w:rsidRPr="00A571CA">
        <w:rPr>
          <w:rFonts w:cs="Times New Roman"/>
          <w:szCs w:val="24"/>
          <w:shd w:val="clear" w:color="auto" w:fill="FFFFFF"/>
        </w:rPr>
        <w:t>Bergstra, J., R.  Bardenet, Y.  Bengio, and B.  Kégl, 2011, Algorithms for hyper-parameter optimization:  24</w:t>
      </w:r>
      <w:r w:rsidRPr="002A7016">
        <w:rPr>
          <w:rFonts w:cs="Times New Roman"/>
          <w:szCs w:val="24"/>
          <w:shd w:val="clear" w:color="auto" w:fill="FFFFFF"/>
          <w:vertAlign w:val="superscript"/>
        </w:rPr>
        <w:t>th</w:t>
      </w:r>
      <w:r w:rsidRPr="00A571CA">
        <w:rPr>
          <w:rFonts w:cs="Times New Roman"/>
          <w:szCs w:val="24"/>
          <w:shd w:val="clear" w:color="auto" w:fill="FFFFFF"/>
        </w:rPr>
        <w:t xml:space="preserve"> International Conference of Neural Information Processing Systems, 2546-2554. </w:t>
      </w:r>
    </w:p>
    <w:p w14:paraId="2B79953E" w14:textId="77777777" w:rsidR="00090F82" w:rsidRDefault="00090F82" w:rsidP="00090F82">
      <w:pPr>
        <w:ind w:left="720" w:hanging="720"/>
        <w:rPr>
          <w:rFonts w:cs="Times New Roman"/>
          <w:szCs w:val="24"/>
          <w:shd w:val="clear" w:color="auto" w:fill="FFFFFF"/>
        </w:rPr>
      </w:pPr>
      <w:r w:rsidRPr="00A571CA">
        <w:rPr>
          <w:rFonts w:cs="Times New Roman"/>
          <w:szCs w:val="24"/>
          <w:shd w:val="clear" w:color="auto" w:fill="FFFFFF"/>
        </w:rPr>
        <w:lastRenderedPageBreak/>
        <w:t>Bergstra, J., and Y. Bengio, 2012, Random Search for Hyper-Parameter Optimization: Journal of Machine Learning Research, 13, 281-305.</w:t>
      </w:r>
    </w:p>
    <w:p w14:paraId="725F3A6C" w14:textId="77777777" w:rsidR="00090F82" w:rsidRPr="007B23EE" w:rsidRDefault="00090F82" w:rsidP="00090F82">
      <w:pPr>
        <w:ind w:left="720" w:hanging="720"/>
        <w:rPr>
          <w:rFonts w:cs="Times New Roman"/>
          <w:szCs w:val="24"/>
          <w:shd w:val="clear" w:color="auto" w:fill="FFFFFF"/>
        </w:rPr>
      </w:pPr>
      <w:r w:rsidRPr="007B23EE">
        <w:rPr>
          <w:rFonts w:cs="Times New Roman"/>
          <w:szCs w:val="24"/>
          <w:shd w:val="clear" w:color="auto" w:fill="FFFFFF"/>
        </w:rPr>
        <w:t>Breiman, L., 2001, Random forests: Machine Learning, 45, 5–32, doi: 0.1023/A:1010933404324</w:t>
      </w:r>
      <w:r>
        <w:rPr>
          <w:rFonts w:cs="Times New Roman"/>
          <w:szCs w:val="24"/>
          <w:shd w:val="clear" w:color="auto" w:fill="FFFFFF"/>
        </w:rPr>
        <w:t>.</w:t>
      </w:r>
    </w:p>
    <w:p w14:paraId="4A512557" w14:textId="77777777" w:rsidR="00090F82" w:rsidRDefault="00090F82" w:rsidP="00090F82">
      <w:pPr>
        <w:autoSpaceDE w:val="0"/>
        <w:autoSpaceDN w:val="0"/>
        <w:adjustRightInd w:val="0"/>
        <w:spacing w:after="0"/>
        <w:ind w:left="810" w:hanging="810"/>
        <w:jc w:val="left"/>
        <w:rPr>
          <w:rFonts w:cs="Times New Roman"/>
          <w:szCs w:val="24"/>
          <w:shd w:val="clear" w:color="auto" w:fill="FFFFFF"/>
        </w:rPr>
      </w:pPr>
      <w:r w:rsidRPr="007B23EE">
        <w:t>Breiman, L., 2002, Manual on setting up, using, and understanding random forests v3.: Statistics Department University of California</w:t>
      </w:r>
      <w:r>
        <w:t>.</w:t>
      </w:r>
    </w:p>
    <w:p w14:paraId="261247DC" w14:textId="77777777" w:rsidR="00090F82" w:rsidRPr="00332A8E" w:rsidRDefault="00090F82" w:rsidP="00090F82">
      <w:pPr>
        <w:autoSpaceDE w:val="0"/>
        <w:autoSpaceDN w:val="0"/>
        <w:adjustRightInd w:val="0"/>
        <w:spacing w:after="0"/>
        <w:ind w:left="810" w:hanging="810"/>
        <w:jc w:val="left"/>
        <w:rPr>
          <w:rFonts w:cs="Times New Roman"/>
          <w:szCs w:val="24"/>
          <w:shd w:val="clear" w:color="auto" w:fill="FFFFFF"/>
        </w:rPr>
      </w:pPr>
      <w:r w:rsidRPr="00A571CA">
        <w:t xml:space="preserve">Breunig, H. M., J. T. Birkholzer, A. Borgia, C. M. Oldenburg, P. N. Price, and T. E., McKone 2013, Regional evaluation of brine management for geologic carbon sequestration, International Journal of Greenhouse Gas Control, 14, 39–48, doi: </w:t>
      </w:r>
      <w:hyperlink r:id="rId129" w:history="1">
        <w:r w:rsidRPr="00A571CA">
          <w:t>10.1016/j.ijggc.2013.01.003</w:t>
        </w:r>
      </w:hyperlink>
      <w:r w:rsidRPr="00A571CA">
        <w:t>.</w:t>
      </w:r>
    </w:p>
    <w:p w14:paraId="265B80D1" w14:textId="77777777" w:rsidR="00090F82" w:rsidRDefault="00090F82" w:rsidP="00090F82">
      <w:pPr>
        <w:autoSpaceDE w:val="0"/>
        <w:autoSpaceDN w:val="0"/>
        <w:adjustRightInd w:val="0"/>
        <w:spacing w:after="0"/>
        <w:ind w:left="810" w:hanging="810"/>
        <w:jc w:val="left"/>
      </w:pPr>
      <w:r w:rsidRPr="009F1D87">
        <w:t>Caf, A., B., and J. D. Pigott, 2021, Dolomitization geometry and reservoir quality from supervised Bayesian classification and probabilistic neural networks: Midland Basin Leonardian Wichita and Clear Fork Formations, Interpretation, 9, no. 2, T585-T598, doi:</w:t>
      </w:r>
      <w:hyperlink r:id="rId130" w:history="1">
        <w:r w:rsidRPr="009F1D87">
          <w:t>10.1190/INT-2020-0204.1</w:t>
        </w:r>
      </w:hyperlink>
      <w:r w:rsidRPr="009F1D87">
        <w:t xml:space="preserve">. </w:t>
      </w:r>
    </w:p>
    <w:p w14:paraId="1F6986C1" w14:textId="77777777" w:rsidR="00090F82" w:rsidRDefault="00090F82" w:rsidP="00090F82">
      <w:pPr>
        <w:autoSpaceDE w:val="0"/>
        <w:autoSpaceDN w:val="0"/>
        <w:adjustRightInd w:val="0"/>
        <w:spacing w:after="0"/>
        <w:ind w:left="810" w:hanging="810"/>
        <w:jc w:val="left"/>
      </w:pPr>
      <w:r>
        <w:t>Campbell, J. A., C. J. Mankin, A. B. Schwarzkopf, and J. J. Raymer, 1988, Habitat of petroleum in Permian rocks of the Midcontinent region; in, Permian Rocks of the Midcontinent, W. A. Morgan and J. A. Babcock, eds.: Midcontinent Society of Economic Paleontologists and Mineralogists, Special Publication No. 1, 13–35.</w:t>
      </w:r>
    </w:p>
    <w:p w14:paraId="2E634FC3" w14:textId="77777777" w:rsidR="00090F82" w:rsidRDefault="00090F82" w:rsidP="00090F82">
      <w:pPr>
        <w:ind w:left="720" w:hanging="720"/>
      </w:pPr>
      <w:r>
        <w:t>Carmen, P.E,1937, Fluid Flow through Granular Beds, Trans. AIChE v. 15, 150 -166.</w:t>
      </w:r>
    </w:p>
    <w:p w14:paraId="32F7C7C7" w14:textId="77777777" w:rsidR="00090F82" w:rsidRPr="00E605AE" w:rsidRDefault="00090F82" w:rsidP="00090F82">
      <w:pPr>
        <w:ind w:left="720" w:hanging="720"/>
      </w:pPr>
      <w:r w:rsidRPr="00A571CA">
        <w:lastRenderedPageBreak/>
        <w:t xml:space="preserve">Carr, J., E., H. E. McGovern, T. Gogel, and J. H. Doveton, 1986, Geohydrology of and potential for fluid disposal in the Arbuckle Aquifer in Kansas. U.S. Geological Survey open-file report, 86-491, doi: </w:t>
      </w:r>
      <w:r w:rsidRPr="00F011B8">
        <w:t>10.3133/ofr86491</w:t>
      </w:r>
      <w:r>
        <w:t>.</w:t>
      </w:r>
    </w:p>
    <w:p w14:paraId="66B7F242" w14:textId="77777777" w:rsidR="00090F82" w:rsidRPr="00A571CA" w:rsidRDefault="00090F82" w:rsidP="00090F82">
      <w:pPr>
        <w:ind w:left="720" w:hanging="720"/>
        <w:rPr>
          <w:rStyle w:val="Hyperlink"/>
          <w:rFonts w:eastAsia="Times New Roman" w:cs="Times New Roman"/>
          <w:color w:val="auto"/>
          <w:szCs w:val="24"/>
        </w:rPr>
      </w:pPr>
      <w:r w:rsidRPr="00A571CA">
        <w:t>Carr, T. R., D. F. Merriam, and J. D.  Bartley, 2005, Use of relational databases to evaluate regional petroleum accumulation, groundwater flow, and CO2 sequestration in Kansas, AAPG Bulletin, 89 no. 12, 1607–1627, doi:</w:t>
      </w:r>
      <w:r w:rsidRPr="00F011B8">
        <w:rPr>
          <w:rFonts w:eastAsia="Times New Roman" w:cs="Times New Roman"/>
          <w:szCs w:val="24"/>
        </w:rPr>
        <w:t>10.1306/07190504086</w:t>
      </w:r>
      <w:r>
        <w:rPr>
          <w:rFonts w:eastAsia="Times New Roman" w:cs="Times New Roman"/>
          <w:szCs w:val="24"/>
        </w:rPr>
        <w:t>.</w:t>
      </w:r>
    </w:p>
    <w:p w14:paraId="39D5CD6E" w14:textId="77777777" w:rsidR="00090F82" w:rsidRDefault="00090F82" w:rsidP="00090F82">
      <w:pPr>
        <w:ind w:left="720" w:hanging="720"/>
      </w:pPr>
      <w:r w:rsidRPr="00A571CA">
        <w:rPr>
          <w:rFonts w:cs="Times New Roman"/>
          <w:szCs w:val="24"/>
        </w:rPr>
        <w:t xml:space="preserve">Chadwick, A., G. Williams, N. Delepine, V. Clochard, K. Labat, S. Sturton, M. Buddensiek, M. Dillen, M. Nickel, M., A. L. Lima, R. Arts, F. Neele,  and G. Rossi, 2010, Quantitative analysis of time-lapse seismic monitoring data at the Sleipner CO2 storage operation, The Leading Edge, 29, 170–177, doi: </w:t>
      </w:r>
      <w:r w:rsidRPr="00F011B8">
        <w:t>10.1190/1.3304820</w:t>
      </w:r>
      <w:r w:rsidRPr="00A571CA">
        <w:t>.</w:t>
      </w:r>
    </w:p>
    <w:p w14:paraId="5A36CDAD" w14:textId="77777777" w:rsidR="00090F82" w:rsidRDefault="00090F82" w:rsidP="00090F82">
      <w:pPr>
        <w:rPr>
          <w:rFonts w:cs="Times New Roman"/>
          <w:szCs w:val="24"/>
        </w:rPr>
      </w:pPr>
      <w:r w:rsidRPr="007B23EE">
        <w:rPr>
          <w:rFonts w:cs="Times New Roman"/>
        </w:rPr>
        <w:t>Chopra, S., and J. P. Castagna, 2014, AVO. Soc. Of Exploration Geophysicists.</w:t>
      </w:r>
    </w:p>
    <w:p w14:paraId="037D4217" w14:textId="77777777" w:rsidR="00090F82" w:rsidRDefault="00090F82" w:rsidP="00090F82">
      <w:pPr>
        <w:ind w:left="810" w:hanging="810"/>
        <w:rPr>
          <w:rFonts w:cs="Times New Roman"/>
          <w:szCs w:val="24"/>
        </w:rPr>
      </w:pPr>
      <w:r w:rsidRPr="00A571CA">
        <w:rPr>
          <w:rFonts w:cs="Times New Roman"/>
          <w:szCs w:val="24"/>
        </w:rPr>
        <w:t xml:space="preserve">DeAngelo, M. V., R. Fifariz, T. Meckel, R. H. Treviño, 2019, A seismic-based CO2-sequestration regional assessment of the Miocene section, northern Gulf of Mexico, Texas and Louisiana, International Journal of Greenhouse Gas Control, International Journal of Greenhouse Gas Control, 81, 29-37,1750-5836, doi: </w:t>
      </w:r>
      <w:r w:rsidRPr="00F011B8">
        <w:rPr>
          <w:rFonts w:cs="Times New Roman"/>
          <w:szCs w:val="24"/>
        </w:rPr>
        <w:t>10.1016/j.ijggc.2018.12.009</w:t>
      </w:r>
      <w:r w:rsidRPr="00A571CA">
        <w:rPr>
          <w:rFonts w:cs="Times New Roman"/>
          <w:szCs w:val="24"/>
        </w:rPr>
        <w:t>.</w:t>
      </w:r>
    </w:p>
    <w:p w14:paraId="775D1078" w14:textId="77777777" w:rsidR="00090F82" w:rsidRDefault="00090F82" w:rsidP="00090F82">
      <w:pPr>
        <w:ind w:left="720" w:hanging="720"/>
        <w:rPr>
          <w:rStyle w:val="Hyperlink"/>
          <w:rFonts w:cs="Times New Roman"/>
          <w:color w:val="auto"/>
          <w:szCs w:val="24"/>
        </w:rPr>
      </w:pPr>
      <w:r w:rsidRPr="00A571CA">
        <w:rPr>
          <w:rFonts w:cs="Times New Roman"/>
          <w:szCs w:val="24"/>
        </w:rPr>
        <w:t xml:space="preserve">Doveton, J., and L. Watney, 2015, Textural and pore size analysis of carbonates from integrated core and nuclear magnetic resonance logging: An Arbuckle study, Interpretation 3, SA77-SA89, doi: </w:t>
      </w:r>
      <w:r w:rsidRPr="00F011B8">
        <w:rPr>
          <w:rFonts w:cs="Times New Roman"/>
          <w:szCs w:val="24"/>
        </w:rPr>
        <w:t>https://doi.org/10.1190/INT-2014-0050.1</w:t>
      </w:r>
    </w:p>
    <w:p w14:paraId="484DBA90" w14:textId="77777777" w:rsidR="00090F82" w:rsidRDefault="00090F82" w:rsidP="00090F82">
      <w:pPr>
        <w:ind w:left="720" w:hanging="720"/>
        <w:rPr>
          <w:rStyle w:val="Hyperlink"/>
          <w:rFonts w:cs="Times New Roman"/>
          <w:color w:val="auto"/>
          <w:szCs w:val="24"/>
        </w:rPr>
      </w:pPr>
      <w:r>
        <w:t>Dutton, S. P., 1984, Fan-Delta Granite Wash of the Texas Panhandle: Oklahoma City Geological Society, Short Course Notes, 1–44.</w:t>
      </w:r>
    </w:p>
    <w:p w14:paraId="68FB0099" w14:textId="77777777" w:rsidR="00090F82" w:rsidRDefault="00090F82" w:rsidP="00090F82">
      <w:pPr>
        <w:ind w:left="810" w:hanging="810"/>
        <w:rPr>
          <w:rFonts w:eastAsia="Times New Roman" w:cs="Times New Roman"/>
          <w:szCs w:val="24"/>
        </w:rPr>
      </w:pPr>
      <w:r w:rsidRPr="00A571CA">
        <w:rPr>
          <w:rFonts w:cs="Times New Roman"/>
          <w:szCs w:val="24"/>
        </w:rPr>
        <w:lastRenderedPageBreak/>
        <w:t>Fatti, J. L., G. C. Smith, P. J. Vail, P. J. Strauss, and P. R. Levitt, 1994, Detection of gas in</w:t>
      </w:r>
      <w:r>
        <w:rPr>
          <w:rFonts w:cs="Times New Roman"/>
          <w:szCs w:val="24"/>
        </w:rPr>
        <w:t xml:space="preserve"> </w:t>
      </w:r>
      <w:r w:rsidRPr="00A571CA">
        <w:rPr>
          <w:rFonts w:cs="Times New Roman"/>
          <w:szCs w:val="24"/>
        </w:rPr>
        <w:t>sandstone reservoirs using AVO analysis: A 3-D seismic case history using the geostack</w:t>
      </w:r>
      <w:r>
        <w:rPr>
          <w:rFonts w:cs="Times New Roman"/>
          <w:szCs w:val="24"/>
        </w:rPr>
        <w:t xml:space="preserve"> </w:t>
      </w:r>
      <w:r w:rsidRPr="00A571CA">
        <w:rPr>
          <w:rFonts w:cs="Times New Roman"/>
          <w:szCs w:val="24"/>
        </w:rPr>
        <w:t xml:space="preserve">technique: Geophysics, 59, no. 9, 1362–1376, doi: </w:t>
      </w:r>
      <w:r w:rsidRPr="00F011B8">
        <w:rPr>
          <w:rFonts w:cs="Times New Roman"/>
          <w:szCs w:val="24"/>
        </w:rPr>
        <w:t>10.1190/1.1443695</w:t>
      </w:r>
      <w:r w:rsidRPr="00A571CA">
        <w:rPr>
          <w:rFonts w:cs="Times New Roman"/>
          <w:szCs w:val="24"/>
        </w:rPr>
        <w:t>.</w:t>
      </w:r>
    </w:p>
    <w:p w14:paraId="0052E911" w14:textId="77777777" w:rsidR="00090F82" w:rsidRPr="00347490" w:rsidRDefault="00090F82" w:rsidP="00090F82">
      <w:pPr>
        <w:ind w:left="810" w:hanging="810"/>
        <w:rPr>
          <w:rFonts w:eastAsia="Times New Roman" w:cs="Times New Roman"/>
          <w:szCs w:val="24"/>
        </w:rPr>
      </w:pPr>
      <w:r w:rsidRPr="007B23EE">
        <w:rPr>
          <w:rFonts w:cs="Times New Roman"/>
          <w:szCs w:val="24"/>
        </w:rPr>
        <w:t xml:space="preserve">Fawad, M., MD. J. Rahman, and N. H. Mondol, 2021, Seismic reservoir characterization of potential CO2 storage reservoir sandstones in Smeaheia area, Northern North Sea, Journal of Petroleum Science and Engineering, 205, 108812, doi: </w:t>
      </w:r>
      <w:r w:rsidRPr="00F011B8">
        <w:rPr>
          <w:rFonts w:cs="Times New Roman"/>
          <w:szCs w:val="24"/>
        </w:rPr>
        <w:t>10.1016/j.petrol.2021.108812</w:t>
      </w:r>
      <w:r w:rsidRPr="007B23EE">
        <w:rPr>
          <w:rFonts w:cs="Times New Roman"/>
          <w:szCs w:val="24"/>
        </w:rPr>
        <w:t>.</w:t>
      </w:r>
    </w:p>
    <w:p w14:paraId="07C3F1D8" w14:textId="77777777" w:rsidR="00090F82" w:rsidRDefault="00090F82" w:rsidP="00090F82">
      <w:pPr>
        <w:ind w:left="720" w:hanging="720"/>
      </w:pPr>
      <w:r w:rsidRPr="00A571CA">
        <w:t>Friedmann, S. J., 2007, Geological carbon dioxide sequestration: Elements, 3, 179–184, doi:</w:t>
      </w:r>
      <w:hyperlink r:id="rId131" w:history="1">
        <w:r w:rsidRPr="00A571CA">
          <w:t>10.2113/gselements.3.3.179</w:t>
        </w:r>
      </w:hyperlink>
      <w:r w:rsidRPr="00A571CA">
        <w:t>.</w:t>
      </w:r>
    </w:p>
    <w:p w14:paraId="03219595" w14:textId="77777777" w:rsidR="00090F82" w:rsidRPr="00A571CA" w:rsidRDefault="00090F82" w:rsidP="00090F82">
      <w:pPr>
        <w:ind w:left="720" w:hanging="720"/>
        <w:rPr>
          <w:rFonts w:eastAsia="Times New Roman" w:cs="Times New Roman"/>
          <w:szCs w:val="24"/>
        </w:rPr>
      </w:pPr>
      <w:r w:rsidRPr="00DD5185">
        <w:rPr>
          <w:rFonts w:eastAsia="Times New Roman" w:cs="Times New Roman"/>
          <w:szCs w:val="24"/>
        </w:rPr>
        <w:t xml:space="preserve">Franseen, E. K., A. P. Byrnes, J. R. Cansler, D. M. Steinhauff, and T. R. Carr, 2004, The geology of Kansas – Arbuckle group: Current Research in Earth Sciences, Kansas Geological Survey Bulletin 250, part 2, </w:t>
      </w:r>
      <w:r w:rsidRPr="00DD5185">
        <w:t>http://www.kgs.ku.edu/Current/2004/franseen/index.html (Accessed February 2021).</w:t>
      </w:r>
    </w:p>
    <w:p w14:paraId="3A743A21" w14:textId="77777777" w:rsidR="00090F82" w:rsidRDefault="00090F82" w:rsidP="00090F82">
      <w:pPr>
        <w:ind w:left="810" w:hanging="810"/>
        <w:rPr>
          <w:rFonts w:cs="Times New Roman"/>
          <w:szCs w:val="24"/>
        </w:rPr>
      </w:pPr>
      <w:r w:rsidRPr="00A571CA">
        <w:rPr>
          <w:rFonts w:eastAsia="Times New Roman" w:cs="Times New Roman"/>
          <w:szCs w:val="24"/>
        </w:rPr>
        <w:t>Friedmann, S. J., 2007, Geological carbon dioxide sequestration: Elements, 3, 179–184, doi:</w:t>
      </w:r>
      <w:r w:rsidRPr="00A571CA">
        <w:rPr>
          <w:rFonts w:cs="Times New Roman"/>
          <w:szCs w:val="24"/>
        </w:rPr>
        <w:t xml:space="preserve"> </w:t>
      </w:r>
      <w:r w:rsidRPr="00F011B8">
        <w:rPr>
          <w:rFonts w:cs="Times New Roman"/>
          <w:szCs w:val="24"/>
        </w:rPr>
        <w:t>10.2113/gselements.3.3.179</w:t>
      </w:r>
      <w:r w:rsidRPr="00A571CA">
        <w:rPr>
          <w:rFonts w:cs="Times New Roman"/>
          <w:szCs w:val="24"/>
        </w:rPr>
        <w:t>.</w:t>
      </w:r>
    </w:p>
    <w:p w14:paraId="17E6D9BD" w14:textId="77777777" w:rsidR="00090F82" w:rsidRDefault="00090F82" w:rsidP="00090F82">
      <w:pPr>
        <w:ind w:left="810" w:hanging="810"/>
      </w:pPr>
      <w:r w:rsidRPr="00A571CA">
        <w:t xml:space="preserve">Gale, J., 2004, Geological storage of CO2: What do we know, where are the gaps and what more needs to be done? Energy, 29, 1329–1338, doi: </w:t>
      </w:r>
      <w:hyperlink r:id="rId132" w:history="1">
        <w:r w:rsidRPr="00A571CA">
          <w:t>10.1016/j.energy.2004.03.068</w:t>
        </w:r>
      </w:hyperlink>
      <w:r>
        <w:t>.</w:t>
      </w:r>
    </w:p>
    <w:p w14:paraId="0E3BF1C5" w14:textId="77777777" w:rsidR="00090F82" w:rsidRDefault="00090F82" w:rsidP="00090F82">
      <w:pPr>
        <w:ind w:left="810" w:hanging="810"/>
      </w:pPr>
      <w:r w:rsidRPr="00A571CA">
        <w:rPr>
          <w:rFonts w:cs="Times New Roman"/>
          <w:szCs w:val="24"/>
        </w:rPr>
        <w:t>Genuer, R., J-M. Poggi, C. Tuleau-Malot, and N. Villa-Vialaneix, 2017, Random Forests for Big Data: Big Data Research, 9, 28-46.</w:t>
      </w:r>
    </w:p>
    <w:p w14:paraId="2CB6B855" w14:textId="77777777" w:rsidR="00090F82" w:rsidRDefault="00090F82" w:rsidP="00090F82">
      <w:pPr>
        <w:ind w:left="720" w:hanging="720"/>
        <w:rPr>
          <w:rFonts w:cs="Times New Roman"/>
          <w:szCs w:val="24"/>
        </w:rPr>
      </w:pPr>
      <w:r w:rsidRPr="00A571CA">
        <w:rPr>
          <w:rFonts w:cs="Times New Roman"/>
          <w:szCs w:val="24"/>
        </w:rPr>
        <w:t xml:space="preserve">Goodman, A., A. Hakala, G. Bromhal, D. Deel, T. Rodosta, S. Frailey, M. Small, D. Allen, V. Romanov, J. Fazio, N. Huerta, D. McIntyre, B. Kutchko, and G. Gutherie, 2011, US DOE </w:t>
      </w:r>
      <w:r w:rsidRPr="00A571CA">
        <w:rPr>
          <w:rFonts w:cs="Times New Roman"/>
          <w:szCs w:val="24"/>
        </w:rPr>
        <w:lastRenderedPageBreak/>
        <w:t xml:space="preserve">methodology for the development of geologic storage potential for carbon dioxide at the national and regional scale, Int. J. Greenhouse Gas Control, 5, 952-965, doi: </w:t>
      </w:r>
      <w:r w:rsidRPr="00F011B8">
        <w:rPr>
          <w:rFonts w:cs="Times New Roman"/>
          <w:szCs w:val="24"/>
        </w:rPr>
        <w:t>10.1016/j.ijggc.2011.03.010</w:t>
      </w:r>
      <w:r w:rsidRPr="00A571CA">
        <w:rPr>
          <w:rFonts w:cs="Times New Roman"/>
          <w:szCs w:val="24"/>
        </w:rPr>
        <w:t>.</w:t>
      </w:r>
    </w:p>
    <w:p w14:paraId="78CA5D55" w14:textId="77777777" w:rsidR="00090F82" w:rsidRDefault="00090F82" w:rsidP="00090F82">
      <w:pPr>
        <w:ind w:left="720" w:hanging="720"/>
        <w:rPr>
          <w:rStyle w:val="Hyperlink"/>
          <w:rFonts w:cs="Times New Roman"/>
          <w:color w:val="auto"/>
          <w:szCs w:val="24"/>
        </w:rPr>
      </w:pPr>
      <w:r w:rsidRPr="00A571CA">
        <w:rPr>
          <w:rFonts w:cs="Times New Roman"/>
          <w:szCs w:val="24"/>
        </w:rPr>
        <w:t xml:space="preserve">Gupta, M., K. Spikes, and B. Hardage, 2017, Characterization of naturally fractured Arbuckle Group in the Wellington Field, Kansas, using S-wave amplitude variation with offset, Interpretation 5, T49-T63, doi: </w:t>
      </w:r>
      <w:r w:rsidRPr="00F011B8">
        <w:rPr>
          <w:rFonts w:cs="Times New Roman"/>
          <w:szCs w:val="24"/>
        </w:rPr>
        <w:t>10.1190/INT-2016-0061.1</w:t>
      </w:r>
      <w:r>
        <w:rPr>
          <w:rStyle w:val="Hyperlink"/>
          <w:rFonts w:cs="Times New Roman"/>
          <w:color w:val="auto"/>
          <w:szCs w:val="24"/>
        </w:rPr>
        <w:t>.</w:t>
      </w:r>
    </w:p>
    <w:p w14:paraId="066B7886" w14:textId="77777777" w:rsidR="00090F82" w:rsidRPr="00A571CA" w:rsidRDefault="00090F82" w:rsidP="00090F82">
      <w:pPr>
        <w:ind w:left="720" w:hanging="720"/>
        <w:rPr>
          <w:rFonts w:cs="Times New Roman"/>
          <w:szCs w:val="24"/>
        </w:rPr>
      </w:pPr>
      <w:r w:rsidRPr="00A571CA">
        <w:rPr>
          <w:rFonts w:cs="Times New Roman"/>
          <w:szCs w:val="24"/>
        </w:rPr>
        <w:t>Gupta, I., C. H. Sondergeld, C. Rai, and D. Devegowda, 2017, Rock typing in Wolfcamp formation: 58</w:t>
      </w:r>
      <w:r w:rsidRPr="002A7016">
        <w:rPr>
          <w:rFonts w:cs="Times New Roman"/>
          <w:szCs w:val="24"/>
          <w:vertAlign w:val="superscript"/>
        </w:rPr>
        <w:t>th</w:t>
      </w:r>
      <w:r w:rsidRPr="00A571CA">
        <w:rPr>
          <w:rFonts w:cs="Times New Roman"/>
          <w:szCs w:val="24"/>
        </w:rPr>
        <w:t xml:space="preserve"> SPWLA Annual Logging Symposium, SPWLA-2017-D.</w:t>
      </w:r>
    </w:p>
    <w:p w14:paraId="63FB5CDB" w14:textId="77777777" w:rsidR="00090F82" w:rsidRDefault="00090F82" w:rsidP="00090F82">
      <w:pPr>
        <w:ind w:left="720" w:hanging="720"/>
        <w:rPr>
          <w:rFonts w:cs="Times New Roman"/>
          <w:szCs w:val="24"/>
        </w:rPr>
      </w:pPr>
      <w:r w:rsidRPr="00A571CA">
        <w:rPr>
          <w:rFonts w:cs="Times New Roman"/>
          <w:szCs w:val="24"/>
        </w:rPr>
        <w:t xml:space="preserve">Gupta, I., C. Rai, D. Devegowda, and C. Sondergeld, 2018, Use of data analytics to optimize hydraulic fracture locations along borehole: Petrophysics, 59, 811–825, doi: </w:t>
      </w:r>
      <w:r w:rsidRPr="00F011B8">
        <w:rPr>
          <w:rFonts w:cs="Times New Roman"/>
          <w:szCs w:val="24"/>
        </w:rPr>
        <w:t>10.30632/PJV59N6-2018a6</w:t>
      </w:r>
      <w:r w:rsidRPr="00A571CA">
        <w:rPr>
          <w:rFonts w:cs="Times New Roman"/>
          <w:szCs w:val="24"/>
        </w:rPr>
        <w:t>.</w:t>
      </w:r>
    </w:p>
    <w:p w14:paraId="3D2635E5" w14:textId="77777777" w:rsidR="00090F82" w:rsidRDefault="00090F82" w:rsidP="00090F82">
      <w:pPr>
        <w:ind w:left="720" w:hanging="720"/>
        <w:rPr>
          <w:rFonts w:cs="Times New Roman"/>
          <w:szCs w:val="24"/>
        </w:rPr>
      </w:pPr>
      <w:r w:rsidRPr="00121721">
        <w:rPr>
          <w:rFonts w:cs="Times New Roman"/>
          <w:szCs w:val="24"/>
        </w:rPr>
        <w:t>Gupta, I., N. Tran, D. Devegowda, V. Jayaram, C. Rai, C. Sondergeld, and H. Karami, 2020, Looking ahead of the bit using surface drilling and petrophysical data: Machine-learning-based real-time geosteering in volve field, SPE J. 25 (2): 990–1006, doi:</w:t>
      </w:r>
      <w:r w:rsidRPr="00F011B8">
        <w:rPr>
          <w:rFonts w:cs="Times New Roman"/>
          <w:szCs w:val="24"/>
        </w:rPr>
        <w:t>10.2118/199882-PA</w:t>
      </w:r>
      <w:r w:rsidRPr="00121721">
        <w:rPr>
          <w:rFonts w:cs="Times New Roman"/>
          <w:szCs w:val="24"/>
        </w:rPr>
        <w:t>.</w:t>
      </w:r>
    </w:p>
    <w:p w14:paraId="7DEE6116" w14:textId="77777777" w:rsidR="00090F82" w:rsidRDefault="00090F82" w:rsidP="00090F82">
      <w:pPr>
        <w:ind w:left="720" w:hanging="720"/>
        <w:rPr>
          <w:rFonts w:cs="Times New Roman"/>
          <w:szCs w:val="24"/>
        </w:rPr>
      </w:pPr>
      <w:r w:rsidRPr="00A571CA">
        <w:rPr>
          <w:rFonts w:cs="Times New Roman"/>
          <w:szCs w:val="24"/>
        </w:rPr>
        <w:t xml:space="preserve">Hampson, D. P., J. S. Schuelke, and J. A. Quirein, 2001, Use of multiattribute transforms to predict log properties from seismic data, Geophysics, 66, 220–236, doi: </w:t>
      </w:r>
      <w:r w:rsidRPr="00F011B8">
        <w:rPr>
          <w:rFonts w:cs="Times New Roman"/>
          <w:szCs w:val="24"/>
        </w:rPr>
        <w:t>10.1190/1.1444899</w:t>
      </w:r>
      <w:r w:rsidRPr="00A571CA">
        <w:rPr>
          <w:rFonts w:cs="Times New Roman"/>
          <w:szCs w:val="24"/>
        </w:rPr>
        <w:t>.</w:t>
      </w:r>
    </w:p>
    <w:p w14:paraId="3D0F9376" w14:textId="77777777" w:rsidR="00090F82" w:rsidRDefault="00090F82" w:rsidP="00090F82">
      <w:pPr>
        <w:ind w:left="720" w:hanging="720"/>
        <w:rPr>
          <w:rFonts w:cs="Times New Roman"/>
          <w:szCs w:val="24"/>
        </w:rPr>
      </w:pPr>
      <w:r w:rsidRPr="00A571CA">
        <w:rPr>
          <w:rFonts w:cs="Times New Roman"/>
          <w:szCs w:val="24"/>
        </w:rPr>
        <w:t>Hampson, D. P., B. H. Russell, and B. Bankhead, 2005, Simultaneous inversion of pre-stack seismic data: 75</w:t>
      </w:r>
      <w:r w:rsidRPr="002A7016">
        <w:rPr>
          <w:rFonts w:cs="Times New Roman"/>
          <w:szCs w:val="24"/>
          <w:vertAlign w:val="superscript"/>
        </w:rPr>
        <w:t>th</w:t>
      </w:r>
      <w:r w:rsidRPr="00A571CA">
        <w:rPr>
          <w:rFonts w:cs="Times New Roman"/>
          <w:szCs w:val="24"/>
        </w:rPr>
        <w:t xml:space="preserve"> Annual International Meeting, SEG, Expanded Abstracts, 1633–1638, doi: </w:t>
      </w:r>
      <w:r w:rsidRPr="00F011B8">
        <w:rPr>
          <w:rFonts w:cs="Times New Roman"/>
          <w:szCs w:val="24"/>
        </w:rPr>
        <w:t>10.1190/1.2148008</w:t>
      </w:r>
      <w:r w:rsidRPr="00A571CA">
        <w:rPr>
          <w:rFonts w:cs="Times New Roman"/>
          <w:szCs w:val="24"/>
        </w:rPr>
        <w:t>.</w:t>
      </w:r>
    </w:p>
    <w:p w14:paraId="1998E31F" w14:textId="77777777" w:rsidR="00090F82" w:rsidRDefault="00090F82" w:rsidP="00090F82">
      <w:pPr>
        <w:ind w:left="720" w:hanging="720"/>
        <w:rPr>
          <w:rFonts w:cs="Times New Roman"/>
          <w:szCs w:val="24"/>
        </w:rPr>
      </w:pPr>
      <w:r>
        <w:lastRenderedPageBreak/>
        <w:t>Haykin, S., 2000, Neural networks: A guided tour. Nonlinear Biomedical Signal Processing, 1, 53-68.</w:t>
      </w:r>
    </w:p>
    <w:p w14:paraId="194DDA28" w14:textId="6E20E175" w:rsidR="00090F82" w:rsidRDefault="00090F82" w:rsidP="00090F82">
      <w:pPr>
        <w:ind w:left="720" w:hanging="720"/>
        <w:rPr>
          <w:rStyle w:val="Hyperlink"/>
          <w:color w:val="auto"/>
        </w:rPr>
      </w:pPr>
      <w:r w:rsidRPr="00A571CA">
        <w:rPr>
          <w:rFonts w:cs="Times New Roman"/>
          <w:szCs w:val="24"/>
        </w:rPr>
        <w:t>Holubnyak, Y., E. Williams, L. Watney, T. Bigdoli, J. Rush, M. Fazelalavi, and P. Gerlach, 2017, Calculation of CO2 Storage Capacity for Arbuckle Group in Southern Kansas: Implications for a Seismically Active Region, Energy Procedia, 114, 4679-4689, doi:</w:t>
      </w:r>
      <w:r w:rsidRPr="00A571CA">
        <w:t xml:space="preserve"> </w:t>
      </w:r>
      <w:r w:rsidRPr="00FF7747">
        <w:t>10.1016/j.egypro.2017.03.1599</w:t>
      </w:r>
      <w:r w:rsidRPr="00B32B76">
        <w:rPr>
          <w:rStyle w:val="Hyperlink"/>
          <w:color w:val="auto"/>
        </w:rPr>
        <w:t>.</w:t>
      </w:r>
    </w:p>
    <w:p w14:paraId="5AB6E55B" w14:textId="77777777" w:rsidR="00090F82" w:rsidRDefault="00090F82" w:rsidP="00090F82">
      <w:pPr>
        <w:ind w:left="720" w:hanging="720"/>
        <w:rPr>
          <w:rFonts w:cs="Times New Roman"/>
          <w:szCs w:val="24"/>
        </w:rPr>
      </w:pPr>
      <w:r w:rsidRPr="00A571CA">
        <w:rPr>
          <w:rFonts w:cs="Times New Roman"/>
          <w:szCs w:val="24"/>
        </w:rPr>
        <w:t>Jain, A., K.  Nandakumar, and A.  Ross, 2005, Score normalization in multimodal biometric systems: Pattern Recognition, 38, no. 12, 2270-2285, doi: 10.1016/j.patcog.2005.01.012</w:t>
      </w:r>
      <w:r>
        <w:rPr>
          <w:rFonts w:cs="Times New Roman"/>
          <w:szCs w:val="24"/>
        </w:rPr>
        <w:t>.</w:t>
      </w:r>
    </w:p>
    <w:p w14:paraId="3589B012" w14:textId="77777777" w:rsidR="00090F82" w:rsidRPr="00A206BC" w:rsidRDefault="00090F82" w:rsidP="00090F82">
      <w:pPr>
        <w:ind w:left="720" w:hanging="720"/>
        <w:rPr>
          <w:rFonts w:cs="Times New Roman"/>
          <w:szCs w:val="24"/>
        </w:rPr>
      </w:pPr>
      <w:r w:rsidRPr="00A206BC">
        <w:rPr>
          <w:rFonts w:cs="Times New Roman"/>
          <w:szCs w:val="24"/>
        </w:rPr>
        <w:t>Johnson, K. S., and K. V. Luza, 2008, Earth sciences and mineral resources of Oklahoma: Oklahoma Geological Survey, Educational Publication 9, 1–22.</w:t>
      </w:r>
    </w:p>
    <w:p w14:paraId="7E347E79" w14:textId="77777777" w:rsidR="00090F82" w:rsidRPr="00774E88" w:rsidRDefault="00090F82" w:rsidP="00090F82">
      <w:pPr>
        <w:ind w:left="720" w:hanging="720"/>
        <w:rPr>
          <w:rFonts w:cs="Times New Roman"/>
          <w:szCs w:val="24"/>
        </w:rPr>
      </w:pPr>
      <w:r w:rsidRPr="00774E88">
        <w:rPr>
          <w:rFonts w:cs="Times New Roman"/>
          <w:szCs w:val="24"/>
        </w:rPr>
        <w:t>LoCricchio, E., 2012, Wash Play Overview, Anadarko Basin: Stratigraphic framework and controls on Pennsylvanian granite wash production, Anadarko Basin, Texas and Oklahoma: AAPG Search and Discovery Article #110163.</w:t>
      </w:r>
    </w:p>
    <w:p w14:paraId="3EE4E34A" w14:textId="77777777" w:rsidR="00090F82" w:rsidRDefault="00090F82" w:rsidP="00090F82">
      <w:pPr>
        <w:ind w:left="810" w:hanging="810"/>
        <w:rPr>
          <w:rFonts w:cs="Times New Roman"/>
          <w:szCs w:val="24"/>
        </w:rPr>
      </w:pPr>
      <w:r w:rsidRPr="00A571CA">
        <w:rPr>
          <w:rFonts w:cs="Times New Roman"/>
        </w:rPr>
        <w:t>Kale, S., C. Rai, and C. H. Sondergeld, 2010, Rock typing in gas shales: 85</w:t>
      </w:r>
      <w:r w:rsidRPr="002A7016">
        <w:rPr>
          <w:rFonts w:cs="Times New Roman"/>
          <w:vertAlign w:val="superscript"/>
        </w:rPr>
        <w:t>th</w:t>
      </w:r>
      <w:r w:rsidRPr="00A571CA">
        <w:rPr>
          <w:rFonts w:cs="Times New Roman"/>
        </w:rPr>
        <w:t xml:space="preserve"> Annual Technical Conference and Exhibition, SPE, Extended Abstracts, SPE-134539-MS, doi: </w:t>
      </w:r>
      <w:r w:rsidRPr="00F011B8">
        <w:rPr>
          <w:rFonts w:cs="Times New Roman"/>
          <w:bdr w:val="none" w:sz="0" w:space="0" w:color="auto" w:frame="1"/>
          <w:shd w:val="clear" w:color="auto" w:fill="FFFFFF"/>
        </w:rPr>
        <w:t>10.2118/134539-MS</w:t>
      </w:r>
    </w:p>
    <w:p w14:paraId="6DF0671F" w14:textId="77777777" w:rsidR="00090F82" w:rsidRDefault="00090F82" w:rsidP="00090F82">
      <w:pPr>
        <w:ind w:left="720" w:hanging="720"/>
        <w:rPr>
          <w:rStyle w:val="meta-value"/>
          <w:rFonts w:cs="Times New Roman"/>
          <w:szCs w:val="24"/>
        </w:rPr>
      </w:pPr>
      <w:r w:rsidRPr="00A571CA">
        <w:rPr>
          <w:rFonts w:cs="Times New Roman"/>
          <w:szCs w:val="24"/>
        </w:rPr>
        <w:t xml:space="preserve">Kazemeini, S. H., C. Juhlin, K. Zinck-Jorgensen, and B. Norden, 2009, Application of the continuous wavelet transform on seismic data for mapping of channel deposits and gas detection at the CO2SINK site, Ketzin, Germany, Geophysical Prospecting, 57, 111–123, doi: </w:t>
      </w:r>
      <w:r w:rsidRPr="00F011B8">
        <w:rPr>
          <w:rFonts w:cs="Times New Roman"/>
          <w:szCs w:val="24"/>
        </w:rPr>
        <w:t>10.1111/j.1365-2478.2008.00723.x</w:t>
      </w:r>
      <w:r w:rsidRPr="00A571CA">
        <w:rPr>
          <w:rStyle w:val="meta-value"/>
          <w:rFonts w:cs="Times New Roman"/>
          <w:szCs w:val="24"/>
        </w:rPr>
        <w:t>.</w:t>
      </w:r>
    </w:p>
    <w:p w14:paraId="3AB0F6EA" w14:textId="77777777" w:rsidR="00090F82" w:rsidRDefault="00090F82" w:rsidP="00090F82">
      <w:pPr>
        <w:ind w:left="720" w:hanging="720"/>
        <w:rPr>
          <w:rStyle w:val="Hyperlink"/>
          <w:rFonts w:cs="Times New Roman"/>
          <w:color w:val="auto"/>
          <w:szCs w:val="24"/>
        </w:rPr>
      </w:pPr>
      <w:r w:rsidRPr="00A571CA">
        <w:rPr>
          <w:rFonts w:cs="Times New Roman"/>
          <w:szCs w:val="24"/>
        </w:rPr>
        <w:lastRenderedPageBreak/>
        <w:t xml:space="preserve">Kim, Y., R. Hardisty, and K. J. Marfurt, 2019, Attribute selection in seismic facies classification: Application to a Gulf of Mexico 3D seismic survey and the Barnett Shale, Interpretation 7, no. 3, SE281-SE297, doi: </w:t>
      </w:r>
      <w:r w:rsidRPr="00F011B8">
        <w:rPr>
          <w:rFonts w:cs="Times New Roman"/>
          <w:szCs w:val="24"/>
        </w:rPr>
        <w:t>10.1190/INT-2018-0246.1</w:t>
      </w:r>
      <w:r w:rsidRPr="00A571CA">
        <w:rPr>
          <w:rStyle w:val="Hyperlink"/>
          <w:rFonts w:cs="Times New Roman"/>
          <w:color w:val="auto"/>
          <w:szCs w:val="24"/>
        </w:rPr>
        <w:t>.</w:t>
      </w:r>
    </w:p>
    <w:p w14:paraId="31FD4327" w14:textId="77777777" w:rsidR="00090F82" w:rsidRDefault="00090F82" w:rsidP="00090F82">
      <w:pPr>
        <w:ind w:left="720" w:hanging="720"/>
      </w:pPr>
      <w:r>
        <w:t>Kohavi, R., and F. Provost, 1998, Special issue on applications of machine learning and the knowledge discovery process: Kluwer Academic Publishers, Boston, 271 p.</w:t>
      </w:r>
    </w:p>
    <w:p w14:paraId="5C060855" w14:textId="77777777" w:rsidR="00090F82" w:rsidRPr="00F011B8" w:rsidRDefault="00090F82" w:rsidP="00090F82">
      <w:pPr>
        <w:ind w:left="720" w:hanging="720"/>
        <w:rPr>
          <w:rFonts w:cs="Times New Roman"/>
          <w:szCs w:val="24"/>
        </w:rPr>
      </w:pPr>
      <w:r w:rsidRPr="00F011B8">
        <w:rPr>
          <w:rFonts w:cs="Times New Roman"/>
          <w:szCs w:val="24"/>
        </w:rPr>
        <w:t>Kozeny, J.: "Uber Kapillare Leitung des Wassel'S im Boden, Sitzungsberichte," Royal Academy of Science, Vienna, Proc. Class I (1927) v. 136,271-306.</w:t>
      </w:r>
    </w:p>
    <w:p w14:paraId="6E7A848F" w14:textId="77777777" w:rsidR="00090F82" w:rsidRDefault="00090F82" w:rsidP="00090F82">
      <w:pPr>
        <w:ind w:left="720" w:hanging="720"/>
        <w:rPr>
          <w:rFonts w:cs="Times New Roman"/>
          <w:szCs w:val="24"/>
        </w:rPr>
      </w:pPr>
      <w:r w:rsidRPr="00A571CA">
        <w:rPr>
          <w:rFonts w:cs="Times New Roman"/>
          <w:szCs w:val="24"/>
        </w:rPr>
        <w:t>Lee, S. H., A. Kharghoria, and A. Dutta-Gupta, 2002, Electrofacies characterization and permeability prediction in complex reservoirs</w:t>
      </w:r>
      <w:r>
        <w:rPr>
          <w:rFonts w:cs="Times New Roman"/>
          <w:szCs w:val="24"/>
        </w:rPr>
        <w:t>,</w:t>
      </w:r>
      <w:r w:rsidRPr="00A571CA">
        <w:rPr>
          <w:rFonts w:cs="Times New Roman"/>
          <w:szCs w:val="24"/>
        </w:rPr>
        <w:t xml:space="preserve"> SPE Reservoir Evaluation and Engineering, 5, 237–248, doi: </w:t>
      </w:r>
      <w:r w:rsidRPr="00F011B8">
        <w:rPr>
          <w:rFonts w:cs="Times New Roman"/>
          <w:szCs w:val="24"/>
        </w:rPr>
        <w:t>10.2118/78662- PA</w:t>
      </w:r>
      <w:r w:rsidRPr="00A571CA">
        <w:rPr>
          <w:rFonts w:cs="Times New Roman"/>
          <w:szCs w:val="24"/>
        </w:rPr>
        <w:t>.</w:t>
      </w:r>
    </w:p>
    <w:p w14:paraId="6D3C606D" w14:textId="77777777" w:rsidR="00090F82" w:rsidRDefault="00090F82" w:rsidP="00090F82">
      <w:pPr>
        <w:ind w:left="810" w:hanging="810"/>
        <w:rPr>
          <w:rFonts w:cs="Times New Roman"/>
          <w:szCs w:val="24"/>
        </w:rPr>
      </w:pPr>
      <w:r w:rsidRPr="00A571CA">
        <w:rPr>
          <w:rFonts w:cs="Times New Roman"/>
          <w:szCs w:val="24"/>
        </w:rPr>
        <w:t>Li, J., C. Liner, P. Geng, and J. Zeng, 2013, Convolutional time-lapse seismic modeling for CO2 sequestration at the Dickman oilfield, Ness County, Kansas, GEOPHYSICS, 78, no. 3, B147–158, doi:</w:t>
      </w:r>
      <w:r w:rsidRPr="00F011B8">
        <w:rPr>
          <w:rFonts w:cs="Times New Roman"/>
          <w:szCs w:val="24"/>
        </w:rPr>
        <w:t>10.1190/geo2012-0159.1</w:t>
      </w:r>
      <w:r w:rsidRPr="00A571CA">
        <w:rPr>
          <w:rFonts w:cs="Times New Roman"/>
          <w:szCs w:val="24"/>
        </w:rPr>
        <w:t>.</w:t>
      </w:r>
    </w:p>
    <w:p w14:paraId="404C26D1" w14:textId="77777777" w:rsidR="00090F82" w:rsidRPr="008E2597" w:rsidRDefault="00090F82" w:rsidP="00090F82">
      <w:pPr>
        <w:ind w:left="900" w:hanging="900"/>
      </w:pPr>
      <w:r w:rsidRPr="00C9526E">
        <w:t xml:space="preserve">Liaw, A., and M. Wiener, 2002, Classification and regression by Random Forest, </w:t>
      </w:r>
      <w:r w:rsidRPr="00C9526E">
        <w:rPr>
          <w:i/>
          <w:iCs/>
        </w:rPr>
        <w:t>R news</w:t>
      </w:r>
      <w:r w:rsidRPr="00C9526E">
        <w:t xml:space="preserve">, </w:t>
      </w:r>
      <w:r w:rsidRPr="00C9526E">
        <w:rPr>
          <w:i/>
          <w:iCs/>
        </w:rPr>
        <w:t>2</w:t>
      </w:r>
      <w:r w:rsidRPr="00C9526E">
        <w:t>(3), 18-22.</w:t>
      </w:r>
      <w:r w:rsidRPr="008E2597" w:rsidDel="00C9526E">
        <w:t xml:space="preserve"> </w:t>
      </w:r>
    </w:p>
    <w:p w14:paraId="4479E516" w14:textId="77777777" w:rsidR="00090F82" w:rsidRDefault="00090F82" w:rsidP="00090F82">
      <w:pPr>
        <w:ind w:left="900" w:hanging="900"/>
        <w:rPr>
          <w:b/>
          <w:bCs/>
        </w:rPr>
      </w:pPr>
      <w:r w:rsidRPr="008E2597">
        <w:t>Lucia F. J., 1995, Rock-fabric/petrophysical classification of carbonate pore space for reservoir characterization, AAPG Bulletin</w:t>
      </w:r>
      <w:r>
        <w:t xml:space="preserve">, </w:t>
      </w:r>
      <w:r w:rsidRPr="008E2597">
        <w:t>79</w:t>
      </w:r>
      <w:r>
        <w:t xml:space="preserve">, no. </w:t>
      </w:r>
      <w:r w:rsidRPr="008E2597">
        <w:t xml:space="preserve">9, </w:t>
      </w:r>
      <w:r>
        <w:t>1275–1300,</w:t>
      </w:r>
      <w:r w:rsidRPr="008E2597">
        <w:t xml:space="preserve"> doi: 10.1306/7834D4A4-1721-11D7-8645000102C1865D.</w:t>
      </w:r>
    </w:p>
    <w:p w14:paraId="13564992" w14:textId="77777777" w:rsidR="00090F82" w:rsidRPr="003A5024" w:rsidRDefault="00090F82" w:rsidP="00090F82">
      <w:pPr>
        <w:ind w:left="900" w:hanging="900"/>
        <w:rPr>
          <w:b/>
          <w:bCs/>
        </w:rPr>
      </w:pPr>
      <w:r w:rsidRPr="00A571CA">
        <w:lastRenderedPageBreak/>
        <w:t>Lubo-Robles, D., T. Ha, S. Lakshmivarahan, K. J. Marfurt, and M. J. Pranter, 2021, Exhaustive probabilistic neural network for attribute selection and supervised seismic facies classification, Interpretation 9, no. 2, T421-T441, doi:</w:t>
      </w:r>
      <w:r w:rsidRPr="00F011B8">
        <w:rPr>
          <w:rFonts w:eastAsia="Times New Roman" w:cs="Times New Roman"/>
          <w:szCs w:val="24"/>
        </w:rPr>
        <w:t>10.1190/INT-2020-0102.1</w:t>
      </w:r>
      <w:r w:rsidRPr="00A571CA">
        <w:t>.</w:t>
      </w:r>
    </w:p>
    <w:p w14:paraId="705131F0" w14:textId="77777777" w:rsidR="00090F82" w:rsidRDefault="00090F82" w:rsidP="00090F82">
      <w:pPr>
        <w:ind w:left="720" w:hanging="720"/>
      </w:pPr>
      <w:r w:rsidRPr="00565653">
        <w:t xml:space="preserve">Lubo-Robles, D., D. Devegowda, V. Jayaram, H. Bedle, K. J. Marfurt, and M. J. Pranter, 2022, Quantifying the sensitivity of seismic facies classification to seismic attribute selection: An explainable machine learning study, Interpretation, </w:t>
      </w:r>
      <w:r w:rsidRPr="008C5B73">
        <w:rPr>
          <w:rStyle w:val="volume"/>
        </w:rPr>
        <w:t>10</w:t>
      </w:r>
      <w:r w:rsidRPr="008C5B73">
        <w:t>:</w:t>
      </w:r>
      <w:r w:rsidRPr="008C5B73">
        <w:rPr>
          <w:rStyle w:val="issue"/>
        </w:rPr>
        <w:t>3</w:t>
      </w:r>
      <w:r w:rsidRPr="008C5B73">
        <w:t xml:space="preserve">, </w:t>
      </w:r>
      <w:r w:rsidRPr="008C5B73">
        <w:rPr>
          <w:rStyle w:val="page"/>
        </w:rPr>
        <w:t>SE41-SE69</w:t>
      </w:r>
      <w:r>
        <w:t>, doi:</w:t>
      </w:r>
      <w:r w:rsidRPr="008C5B73">
        <w:t xml:space="preserve"> 10.1190/INT-2021-0173.1</w:t>
      </w:r>
      <w:r>
        <w:t>.</w:t>
      </w:r>
    </w:p>
    <w:p w14:paraId="75F5C476" w14:textId="77777777" w:rsidR="00090F82" w:rsidRDefault="00090F82" w:rsidP="00090F82">
      <w:pPr>
        <w:ind w:left="720" w:hanging="720"/>
        <w:rPr>
          <w:rFonts w:cs="Times New Roman"/>
          <w:szCs w:val="24"/>
        </w:rPr>
      </w:pPr>
      <w:r w:rsidRPr="00A571CA">
        <w:rPr>
          <w:rFonts w:cs="Times New Roman"/>
          <w:szCs w:val="24"/>
        </w:rPr>
        <w:t xml:space="preserve">Lumley, D., 2010, 4D seismic monitoring of CO2sequestration, The Leading Edge, 29, 150–155, doi: </w:t>
      </w:r>
      <w:r w:rsidRPr="00F011B8">
        <w:rPr>
          <w:rFonts w:cs="Times New Roman"/>
          <w:szCs w:val="24"/>
        </w:rPr>
        <w:t>10.1190/1.3304817</w:t>
      </w:r>
      <w:r w:rsidRPr="00A571CA">
        <w:rPr>
          <w:rFonts w:cs="Times New Roman"/>
          <w:szCs w:val="24"/>
        </w:rPr>
        <w:t>.</w:t>
      </w:r>
    </w:p>
    <w:p w14:paraId="707EE1DE" w14:textId="77777777" w:rsidR="00090F82" w:rsidRDefault="00090F82" w:rsidP="00090F82">
      <w:pPr>
        <w:ind w:left="810" w:hanging="810"/>
      </w:pPr>
      <w:r w:rsidRPr="00D41210">
        <w:t>McConnell, D. A., M. J. Goyda, G. N. Smith, and J. P. Chitwood, 1989, Morphology of the frontal fault zone, southwest Oklahoma: Implications for deformation and deposition on the Wichita Uplift and Anadarko Basin: Geology, 18, no. 7, 34–637.</w:t>
      </w:r>
    </w:p>
    <w:p w14:paraId="4EABFD5B" w14:textId="77777777" w:rsidR="00090F82" w:rsidRDefault="00090F82" w:rsidP="00090F82">
      <w:pPr>
        <w:ind w:left="810" w:hanging="810"/>
      </w:pPr>
      <w:r w:rsidRPr="00A571CA">
        <w:t>Merriam, D., F., 1963, The geologic history of Kansas: Kansas Geological Survey Bulletin, v. 162, 317 p.</w:t>
      </w:r>
    </w:p>
    <w:p w14:paraId="372361B4" w14:textId="77777777" w:rsidR="00090F82" w:rsidRDefault="00090F82" w:rsidP="00090F82">
      <w:pPr>
        <w:ind w:left="810" w:hanging="810"/>
      </w:pPr>
      <w:r>
        <w:t>Northcutt, R. A., and J. A. Campbell, 1995, Geology provinces of Oklahoma: Oklahoma Geological Survey Open-File Report 5–95.</w:t>
      </w:r>
    </w:p>
    <w:p w14:paraId="63680178" w14:textId="77777777" w:rsidR="00090F82" w:rsidRDefault="00090F82" w:rsidP="00090F82">
      <w:pPr>
        <w:ind w:left="900" w:hanging="900"/>
      </w:pPr>
      <w:r w:rsidRPr="00A571CA">
        <w:t xml:space="preserve">Ohl, D., and A. Raef, 2014, Rock formation characterization for carbon dioxide geosequestration: 3D seismic amplitude and coherency anomalies, and seismic petrophysical facies classification, Wellington and Anson-Bates Fields, Kansas, USA, Journal of Applied Geophysics, 103, 221–231, doi: </w:t>
      </w:r>
      <w:hyperlink r:id="rId133" w:history="1">
        <w:r w:rsidRPr="00A571CA">
          <w:rPr>
            <w:rStyle w:val="Hyperlink"/>
            <w:rFonts w:cs="Times New Roman"/>
            <w:color w:val="auto"/>
            <w:szCs w:val="24"/>
          </w:rPr>
          <w:t>10.1016/j.jappgeo.2014.01.017</w:t>
        </w:r>
      </w:hyperlink>
      <w:r w:rsidRPr="00A571CA">
        <w:t>.</w:t>
      </w:r>
    </w:p>
    <w:p w14:paraId="280D3296" w14:textId="77777777" w:rsidR="00090F82" w:rsidRDefault="00090F82" w:rsidP="00090F82">
      <w:pPr>
        <w:ind w:left="720" w:hanging="720"/>
      </w:pPr>
      <w:r w:rsidRPr="00A571CA">
        <w:rPr>
          <w:rFonts w:cs="Times New Roman"/>
          <w:szCs w:val="24"/>
        </w:rPr>
        <w:lastRenderedPageBreak/>
        <w:t>Pedregosa F., G. Varoquaux, A.  Gramfort, V.  Michel, B.  Thirion, O. Grisel, M. Blondel, P. Prettenhofer, R. Weiss, V. Dubourg, J. Vanderplas, A. Passos, D. Cournapeau, M. Brucher, M. Perrot, and E. Duchesnay, 2001, Scikit-learn: Machine Learning in Python: Journal of Machine Learning Research, 12, 2825-2830.</w:t>
      </w:r>
    </w:p>
    <w:p w14:paraId="1D5A5DBD" w14:textId="174685FE" w:rsidR="00090F82" w:rsidRDefault="00090F82" w:rsidP="00090F82">
      <w:pPr>
        <w:ind w:left="720" w:hanging="720"/>
        <w:rPr>
          <w:rFonts w:cs="Times New Roman"/>
          <w:szCs w:val="24"/>
        </w:rPr>
      </w:pPr>
      <w:r w:rsidRPr="00A571CA">
        <w:rPr>
          <w:rFonts w:cs="Times New Roman"/>
          <w:szCs w:val="24"/>
        </w:rPr>
        <w:t xml:space="preserve">Pires de Lima, R., F. Suriamin, K. J. Marfurt, and M. J. Pranter, 2019a, Convolutional neural networks as aid in core lithofacies classification, Interpretation, 7, no. 3, SF27–SF40, doi: </w:t>
      </w:r>
      <w:r w:rsidRPr="00FF7747">
        <w:rPr>
          <w:rFonts w:cs="Times New Roman"/>
          <w:szCs w:val="24"/>
        </w:rPr>
        <w:t>10.1190/INT-2018-0245.1</w:t>
      </w:r>
      <w:r w:rsidRPr="00A571CA">
        <w:rPr>
          <w:rFonts w:cs="Times New Roman"/>
          <w:szCs w:val="24"/>
        </w:rPr>
        <w:t>.</w:t>
      </w:r>
      <w:r w:rsidRPr="006B0A96">
        <w:rPr>
          <w:rFonts w:cs="Times New Roman"/>
          <w:szCs w:val="24"/>
        </w:rPr>
        <w:t xml:space="preserve"> </w:t>
      </w:r>
    </w:p>
    <w:p w14:paraId="2ECAECCF" w14:textId="684A1A54" w:rsidR="00090F82" w:rsidRDefault="00090F82" w:rsidP="00090F82">
      <w:pPr>
        <w:ind w:left="720" w:hanging="720"/>
        <w:rPr>
          <w:rFonts w:cs="Times New Roman"/>
          <w:szCs w:val="24"/>
        </w:rPr>
      </w:pPr>
      <w:r w:rsidRPr="00A571CA">
        <w:rPr>
          <w:rFonts w:cs="Times New Roman"/>
          <w:szCs w:val="24"/>
        </w:rPr>
        <w:t>Pires de Lima, R., and Y. Lin, 2019b, Geophysical data integration and machine learning for multi-target leakage estimation in geologic carbon sequestration, 89</w:t>
      </w:r>
      <w:r w:rsidRPr="002A7016">
        <w:rPr>
          <w:rFonts w:cs="Times New Roman"/>
          <w:szCs w:val="24"/>
          <w:vertAlign w:val="superscript"/>
        </w:rPr>
        <w:t>th</w:t>
      </w:r>
      <w:r w:rsidRPr="00A571CA">
        <w:rPr>
          <w:rFonts w:cs="Times New Roman"/>
          <w:szCs w:val="24"/>
        </w:rPr>
        <w:t xml:space="preserve"> Annual International Meeting, SEG, Expanded Abstracts, 2333-2337, doi: </w:t>
      </w:r>
      <w:r w:rsidR="00D46315" w:rsidRPr="004D247B">
        <w:t>10.1190/segam2019-3215405.1</w:t>
      </w:r>
      <w:r w:rsidRPr="00A571CA">
        <w:rPr>
          <w:rFonts w:cs="Times New Roman"/>
          <w:szCs w:val="24"/>
        </w:rPr>
        <w:t>.</w:t>
      </w:r>
    </w:p>
    <w:p w14:paraId="39EB902D" w14:textId="7CE19C64" w:rsidR="00090F82" w:rsidRDefault="00090F82" w:rsidP="00090F82">
      <w:pPr>
        <w:ind w:left="720" w:hanging="720"/>
        <w:rPr>
          <w:rFonts w:cs="Times New Roman"/>
          <w:szCs w:val="24"/>
        </w:rPr>
      </w:pPr>
      <w:r w:rsidRPr="00A571CA">
        <w:rPr>
          <w:rFonts w:cs="Times New Roman"/>
          <w:szCs w:val="24"/>
        </w:rPr>
        <w:t xml:space="preserve">Pittman, E. D., 1992, Relationship of porosity and permeability to various parameters derived from mercury injection </w:t>
      </w:r>
      <w:r>
        <w:rPr>
          <w:rFonts w:cs="Times New Roman"/>
          <w:szCs w:val="24"/>
        </w:rPr>
        <w:t>–</w:t>
      </w:r>
      <w:r w:rsidRPr="00A571CA">
        <w:rPr>
          <w:rFonts w:cs="Times New Roman"/>
          <w:szCs w:val="24"/>
        </w:rPr>
        <w:t xml:space="preserve"> Capillary pressure curves for sandstones: AAPG Bulletin, 76, 191–198, doi: </w:t>
      </w:r>
      <w:r w:rsidR="00D46315" w:rsidRPr="004D247B">
        <w:t>10.1306/BDFF87A4- 1718-11D7-8645000102C1865D</w:t>
      </w:r>
      <w:r w:rsidRPr="00A571CA">
        <w:rPr>
          <w:rFonts w:cs="Times New Roman"/>
          <w:szCs w:val="24"/>
        </w:rPr>
        <w:t>.</w:t>
      </w:r>
    </w:p>
    <w:p w14:paraId="1D06D30F" w14:textId="4215B21E" w:rsidR="00090F82" w:rsidRDefault="00090F82" w:rsidP="00090F82">
      <w:pPr>
        <w:ind w:left="720" w:hanging="720"/>
        <w:rPr>
          <w:rStyle w:val="Hyperlink"/>
          <w:rFonts w:cs="Times New Roman"/>
          <w:color w:val="auto"/>
          <w:szCs w:val="24"/>
        </w:rPr>
      </w:pPr>
      <w:r w:rsidRPr="004D247B">
        <w:rPr>
          <w:rFonts w:cs="Times New Roman"/>
          <w:szCs w:val="24"/>
        </w:rPr>
        <w:t xml:space="preserve">Rodosta, T. D., J.T. Litynski, S.I. Plasynski, S. Hickman, S. Frailey, and L. Myer, 2011, U.S. Department of Energy’s site screening, site selection, and initial characterization for storage of CO2 in deep geological formations, USGS Publications Warehouse, doi: </w:t>
      </w:r>
      <w:r w:rsidR="00D46315" w:rsidRPr="004D247B">
        <w:t>10.1016/j.egypro.2011.02.427.</w:t>
      </w:r>
    </w:p>
    <w:p w14:paraId="29DBAF95" w14:textId="1A29B83F" w:rsidR="00090F82" w:rsidRDefault="00090F82" w:rsidP="00090F82">
      <w:pPr>
        <w:ind w:left="720" w:hanging="720"/>
        <w:rPr>
          <w:rFonts w:cs="Times New Roman"/>
          <w:szCs w:val="24"/>
        </w:rPr>
      </w:pPr>
      <w:r w:rsidRPr="00A571CA">
        <w:rPr>
          <w:rFonts w:cs="Times New Roman"/>
          <w:szCs w:val="24"/>
        </w:rPr>
        <w:t xml:space="preserve">Roy, A., A. S. Romero-Peláez, T. Kwiatkowski, and K. J. Marfurt, 2014, Generative topographic mapping for seismic facies estimation of a carbonate wash, Veracruz Basin, southern Mexico: Interpretation, 2, no. 1, SA31–SA47, doi: </w:t>
      </w:r>
      <w:r w:rsidRPr="00FF7747">
        <w:rPr>
          <w:rFonts w:cs="Times New Roman"/>
          <w:szCs w:val="24"/>
        </w:rPr>
        <w:t>10.1190/INT-2013-0077.1</w:t>
      </w:r>
      <w:r w:rsidRPr="00A571CA">
        <w:rPr>
          <w:rFonts w:cs="Times New Roman"/>
          <w:szCs w:val="24"/>
        </w:rPr>
        <w:t>.</w:t>
      </w:r>
    </w:p>
    <w:p w14:paraId="6BEBA564" w14:textId="77777777" w:rsidR="00090F82" w:rsidRDefault="00090F82" w:rsidP="00090F82">
      <w:pPr>
        <w:ind w:left="720" w:hanging="720"/>
        <w:rPr>
          <w:rFonts w:cs="Times New Roman"/>
          <w:szCs w:val="24"/>
        </w:rPr>
      </w:pPr>
      <w:r w:rsidRPr="004D247B">
        <w:rPr>
          <w:rFonts w:cs="Times New Roman"/>
          <w:szCs w:val="24"/>
        </w:rPr>
        <w:lastRenderedPageBreak/>
        <w:t>Scheffer, A., 2012, Geochemical and microbiological characterization of the Arbuckle saline aquifer, a potential CO2 storage reservoir; Implications for hydraulic separation and caprock integrity: M.S. thesis, University of Kansas.</w:t>
      </w:r>
    </w:p>
    <w:p w14:paraId="4A34EB5B" w14:textId="77777777" w:rsidR="00090F82" w:rsidRDefault="00090F82" w:rsidP="00090F82">
      <w:pPr>
        <w:ind w:left="720" w:hanging="720"/>
        <w:rPr>
          <w:rFonts w:cs="Times New Roman"/>
          <w:szCs w:val="24"/>
        </w:rPr>
      </w:pPr>
      <w:r w:rsidRPr="00A571CA">
        <w:t>Scornet, E., G.  Biau, and J-P.  Vert, 2015, Consistency of random forests:  Annals of Statistics, Institute of Mathematical Statistics (IMS), 43, no. 4, 1716-1741, doi: 10.1214/15-AOS1321.</w:t>
      </w:r>
    </w:p>
    <w:p w14:paraId="6B35EFFA" w14:textId="62F4D0C8" w:rsidR="00090F82" w:rsidRDefault="00090F82" w:rsidP="00090F82">
      <w:pPr>
        <w:ind w:left="720" w:hanging="720"/>
        <w:rPr>
          <w:rFonts w:cs="Times New Roman"/>
          <w:szCs w:val="24"/>
        </w:rPr>
      </w:pPr>
      <w:r w:rsidRPr="00A571CA">
        <w:rPr>
          <w:rFonts w:cs="Times New Roman"/>
          <w:szCs w:val="24"/>
        </w:rPr>
        <w:t xml:space="preserve">Sundal, A., J. P. Nystuen, K-L. Rørvik, H. Dypvik, and P. Aagaard, 2016, The Lower Jurassic Johansen Formation, northern North Sea-Depositional model and reservoir characterization for CO2 storage, Marine and Petroleum Geology, 77, 1376-1401, doi: </w:t>
      </w:r>
      <w:r w:rsidR="00D46315" w:rsidRPr="004D247B">
        <w:t>10.1016/j.marpetgeo.2016.01.021</w:t>
      </w:r>
      <w:r w:rsidRPr="00A571CA">
        <w:rPr>
          <w:rFonts w:cs="Times New Roman"/>
          <w:szCs w:val="24"/>
        </w:rPr>
        <w:t>.</w:t>
      </w:r>
    </w:p>
    <w:p w14:paraId="0F443592" w14:textId="77777777" w:rsidR="00090F82" w:rsidRDefault="00090F82" w:rsidP="00090F82">
      <w:pPr>
        <w:ind w:left="720" w:hanging="720"/>
        <w:rPr>
          <w:rFonts w:cs="Times New Roman"/>
          <w:szCs w:val="24"/>
        </w:rPr>
      </w:pPr>
      <w:r>
        <w:t>Ting, K. M., 2011, Confusion matrix, in C. Sammut and G.I. Webb, eds., Encyclopedia of machine learning, 1st ed: New York, Springer, 209 p.</w:t>
      </w:r>
    </w:p>
    <w:p w14:paraId="46C7DD4F" w14:textId="77777777" w:rsidR="00090F82" w:rsidRDefault="00090F82" w:rsidP="00090F82">
      <w:pPr>
        <w:ind w:left="720" w:hanging="720"/>
        <w:rPr>
          <w:rFonts w:cs="Times New Roman"/>
          <w:szCs w:val="24"/>
        </w:rPr>
      </w:pPr>
      <w:r w:rsidRPr="004D247B">
        <w:rPr>
          <w:szCs w:val="24"/>
        </w:rPr>
        <w:t>Veeken, P. C.H., 2007, Handbook of Geophysical Exploration – Seismic Stratigraphy, Basin Analysis and Reservoir Characterization, Volume 37. Elsevier.</w:t>
      </w:r>
      <w:r w:rsidRPr="00A571CA">
        <w:rPr>
          <w:szCs w:val="24"/>
        </w:rPr>
        <w:t xml:space="preserve"> </w:t>
      </w:r>
    </w:p>
    <w:p w14:paraId="7C81ED2C" w14:textId="77777777" w:rsidR="00090F82" w:rsidRDefault="00090F82" w:rsidP="00090F82">
      <w:pPr>
        <w:ind w:left="810" w:hanging="810"/>
        <w:rPr>
          <w:rFonts w:cs="Times New Roman"/>
          <w:szCs w:val="24"/>
        </w:rPr>
      </w:pPr>
      <w:r w:rsidRPr="00A571CA">
        <w:rPr>
          <w:rFonts w:cs="Times New Roman"/>
          <w:szCs w:val="24"/>
        </w:rPr>
        <w:t xml:space="preserve">Verma, S., T. Zhao, K. J. Marfurt, and D. Devegowda, 2016, Estimation of total organic carbon and brittleness volume, Interpretation 4: T373-T385, doi: </w:t>
      </w:r>
      <w:hyperlink r:id="rId134" w:history="1">
        <w:r w:rsidRPr="00A571CA">
          <w:rPr>
            <w:rStyle w:val="Hyperlink"/>
            <w:rFonts w:cs="Times New Roman"/>
            <w:color w:val="auto"/>
            <w:szCs w:val="24"/>
          </w:rPr>
          <w:t>10.1190/INT-2015-0166.1</w:t>
        </w:r>
      </w:hyperlink>
      <w:r w:rsidRPr="00A571CA">
        <w:rPr>
          <w:rStyle w:val="Hyperlink"/>
          <w:rFonts w:cs="Times New Roman"/>
          <w:color w:val="auto"/>
          <w:szCs w:val="24"/>
        </w:rPr>
        <w:t>.</w:t>
      </w:r>
    </w:p>
    <w:p w14:paraId="1F74AA25" w14:textId="26CFF83F" w:rsidR="00090F82" w:rsidRDefault="00090F82" w:rsidP="00090F82">
      <w:pPr>
        <w:ind w:left="810" w:hanging="810"/>
        <w:rPr>
          <w:rFonts w:cs="Times New Roman"/>
          <w:szCs w:val="24"/>
        </w:rPr>
      </w:pPr>
      <w:r w:rsidRPr="004D247B">
        <w:rPr>
          <w:rFonts w:cs="Times New Roman"/>
          <w:szCs w:val="24"/>
        </w:rPr>
        <w:t>Watney, W. L., and J. Rush, 2012, Small scale field test demonstrating CO2 sequestration in Arbuckle Saline Aquifer and by CO2-EOR at Wellington Field, Sumner County, Kansas: DOE Project Number DE-FE0006821</w:t>
      </w:r>
      <w:r w:rsidR="00D46315">
        <w:rPr>
          <w:rFonts w:cs="Times New Roman"/>
          <w:szCs w:val="24"/>
        </w:rPr>
        <w:t>.</w:t>
      </w:r>
    </w:p>
    <w:p w14:paraId="59B01C57" w14:textId="56349DA2" w:rsidR="00090F82" w:rsidRDefault="00090F82" w:rsidP="00090F82">
      <w:pPr>
        <w:ind w:left="810" w:hanging="810"/>
        <w:rPr>
          <w:rStyle w:val="Hyperlink"/>
          <w:rFonts w:cs="Times New Roman"/>
          <w:color w:val="auto"/>
          <w:szCs w:val="24"/>
        </w:rPr>
      </w:pPr>
      <w:r w:rsidRPr="00A23548">
        <w:rPr>
          <w:rFonts w:cs="Times New Roman"/>
          <w:szCs w:val="24"/>
        </w:rPr>
        <w:lastRenderedPageBreak/>
        <w:t xml:space="preserve">Watney, W., L., J. Rush, M. Dubois, R. Barker, T. Birdie, K. Cooper, S. Datta, J. Doveton, M. Fazelalavi, D. Fowle, P. Gerlach, T. Hansen, D. Hedke, Y. Holubnyak, B. Huff, K. D. Newell, L. Nicholson, J. Roberts, A. Scheffer, A. Sirazhiev, R. Sorenson, G. Tsoflias, E. Williams, D. Wreath and J. Youle, 2013, Evaluating CO2 utilization and storage in Kansas, AAPG Search and Discovery Article 80337, Accessed December 1, 2021, </w:t>
      </w:r>
      <w:r w:rsidR="00D46315" w:rsidRPr="004D247B">
        <w:t>https://www.searchanddiscovery.com/documents/2013/80337watney/ndx_watney.pdf</w:t>
      </w:r>
    </w:p>
    <w:p w14:paraId="543C19B5" w14:textId="285A5930" w:rsidR="00090F82" w:rsidRDefault="00090F82" w:rsidP="00090F82">
      <w:pPr>
        <w:ind w:left="810" w:hanging="810"/>
        <w:rPr>
          <w:rFonts w:cs="Times New Roman"/>
          <w:szCs w:val="24"/>
        </w:rPr>
      </w:pPr>
      <w:r w:rsidRPr="00A571CA">
        <w:rPr>
          <w:rFonts w:cs="Times New Roman"/>
          <w:szCs w:val="24"/>
        </w:rPr>
        <w:t xml:space="preserve">Zhao, T., V. Jayaram, A. Roy, and K. J. Marfurt, 2015, A comparison of classification techniques for seismic facies recognition: Interpretation, 3, no. 4, SAE29–SAE58, doi: </w:t>
      </w:r>
      <w:r w:rsidR="00D46315" w:rsidRPr="004D247B">
        <w:t>10.1190/INT-2015-0044.1</w:t>
      </w:r>
      <w:r w:rsidRPr="00A571CA">
        <w:rPr>
          <w:rFonts w:cs="Times New Roman"/>
          <w:szCs w:val="24"/>
        </w:rPr>
        <w:t>.</w:t>
      </w:r>
      <w:r>
        <w:rPr>
          <w:rFonts w:cs="Times New Roman"/>
          <w:szCs w:val="24"/>
        </w:rPr>
        <w:br w:type="page"/>
      </w:r>
    </w:p>
    <w:p w14:paraId="20B3285F" w14:textId="77777777" w:rsidR="00090F82" w:rsidRPr="00CC14EF" w:rsidRDefault="00090F82" w:rsidP="00EA72D3">
      <w:pPr>
        <w:pStyle w:val="Heading2"/>
      </w:pPr>
      <w:bookmarkStart w:id="138" w:name="_Toc119516627"/>
      <w:bookmarkStart w:id="139" w:name="_Toc121095962"/>
      <w:r w:rsidRPr="001250FE">
        <w:lastRenderedPageBreak/>
        <w:t>Appendix</w:t>
      </w:r>
      <w:r>
        <w:t xml:space="preserve"> A</w:t>
      </w:r>
      <w:bookmarkEnd w:id="138"/>
      <w:bookmarkEnd w:id="139"/>
    </w:p>
    <w:p w14:paraId="14208268" w14:textId="77777777" w:rsidR="00090F82" w:rsidRDefault="00090F82" w:rsidP="00090F82">
      <w:pPr>
        <w:pStyle w:val="Heading3"/>
      </w:pPr>
      <w:bookmarkStart w:id="140" w:name="_Toc119516628"/>
      <w:bookmarkStart w:id="141" w:name="_Toc121095963"/>
      <w:r>
        <w:t xml:space="preserve">Pre-stack </w:t>
      </w:r>
      <w:r w:rsidRPr="001250FE">
        <w:t>simultaneous</w:t>
      </w:r>
      <w:r>
        <w:t xml:space="preserve"> inversion</w:t>
      </w:r>
      <w:bookmarkEnd w:id="140"/>
      <w:bookmarkEnd w:id="141"/>
      <w:r>
        <w:t xml:space="preserve"> </w:t>
      </w:r>
    </w:p>
    <w:p w14:paraId="3E37849B" w14:textId="77777777" w:rsidR="00090F82" w:rsidRPr="005A36A9" w:rsidRDefault="00090F82" w:rsidP="00090F82">
      <w:pPr>
        <w:ind w:firstLine="720"/>
        <w:rPr>
          <w:rFonts w:cs="Times New Roman"/>
          <w:szCs w:val="24"/>
        </w:rPr>
      </w:pPr>
      <w:r w:rsidRPr="005A36A9">
        <w:rPr>
          <w:rFonts w:cs="Times New Roman"/>
          <w:szCs w:val="24"/>
        </w:rPr>
        <w:t>The commercial software used for the pre-stack simultaneous inversion utilizes the re</w:t>
      </w:r>
      <w:r>
        <w:rPr>
          <w:rFonts w:cs="Times New Roman"/>
          <w:szCs w:val="24"/>
        </w:rPr>
        <w:t>-</w:t>
      </w:r>
      <w:r w:rsidRPr="005A36A9">
        <w:rPr>
          <w:rFonts w:cs="Times New Roman"/>
          <w:szCs w:val="24"/>
        </w:rPr>
        <w:t>expression of Aki-Richard’s (2002) equation created by Fatti et al</w:t>
      </w:r>
      <w:r>
        <w:rPr>
          <w:rFonts w:cs="Times New Roman"/>
          <w:szCs w:val="24"/>
        </w:rPr>
        <w:t>.</w:t>
      </w:r>
      <w:r w:rsidRPr="005A36A9">
        <w:rPr>
          <w:rFonts w:cs="Times New Roman"/>
          <w:szCs w:val="24"/>
        </w:rPr>
        <w:t xml:space="preserve"> (1994):</w:t>
      </w:r>
    </w:p>
    <w:p w14:paraId="72E70A51" w14:textId="77777777" w:rsidR="00090F82" w:rsidRPr="00A976A9" w:rsidRDefault="00090F82" w:rsidP="00090F82">
      <w:pPr>
        <w:rPr>
          <w:rFonts w:eastAsiaTheme="minorEastAsia" w:cs="Times New Roman"/>
          <w:szCs w:val="24"/>
        </w:rPr>
      </w:pPr>
      <m:oMath>
        <m:r>
          <w:rPr>
            <w:rFonts w:ascii="Cambria Math" w:hAnsi="Cambria Math" w:cs="Times New Roman"/>
            <w:szCs w:val="24"/>
          </w:rPr>
          <m:t>R</m:t>
        </m:r>
        <m:d>
          <m:dPr>
            <m:ctrlPr>
              <w:rPr>
                <w:rFonts w:ascii="Cambria Math" w:hAnsi="Cambria Math" w:cs="Times New Roman"/>
                <w:i/>
                <w:szCs w:val="24"/>
              </w:rPr>
            </m:ctrlPr>
          </m:dPr>
          <m:e>
            <m:r>
              <w:rPr>
                <w:rFonts w:ascii="Cambria Math" w:hAnsi="Cambria Math" w:cs="Times New Roman"/>
                <w:szCs w:val="24"/>
              </w:rPr>
              <m:t>θ</m:t>
            </m:r>
          </m:e>
        </m:d>
        <m:r>
          <w:rPr>
            <w:rFonts w:ascii="Cambria Math" w:eastAsiaTheme="minorEastAsia" w:hAnsi="Cambria Math" w:cs="Times New Roman"/>
            <w:szCs w:val="24"/>
          </w:rPr>
          <m:t>≈</m:t>
        </m:r>
        <m:r>
          <w:rPr>
            <w:rFonts w:ascii="Cambria Math" w:hAnsi="Cambria Math" w:cs="Times New Roman"/>
            <w:szCs w:val="24"/>
          </w:rPr>
          <m:t>1+</m:t>
        </m:r>
        <m:sSup>
          <m:sSupPr>
            <m:ctrlPr>
              <w:rPr>
                <w:rFonts w:ascii="Cambria Math" w:hAnsi="Cambria Math" w:cs="Times New Roman"/>
                <w:i/>
                <w:szCs w:val="24"/>
              </w:rPr>
            </m:ctrlPr>
          </m:sSupPr>
          <m:e>
            <m:r>
              <w:rPr>
                <w:rFonts w:ascii="Cambria Math" w:hAnsi="Cambria Math" w:cs="Times New Roman"/>
                <w:szCs w:val="24"/>
              </w:rPr>
              <m:t>tan</m:t>
            </m:r>
          </m:e>
          <m:sup>
            <m:r>
              <w:rPr>
                <w:rFonts w:ascii="Cambria Math" w:hAnsi="Cambria Math" w:cs="Times New Roman"/>
                <w:szCs w:val="24"/>
              </w:rPr>
              <m:t>2</m:t>
            </m:r>
          </m:sup>
        </m:sSup>
        <m:r>
          <w:rPr>
            <w:rFonts w:ascii="Cambria Math" w:hAnsi="Cambria Math" w:cs="Times New Roman"/>
            <w:szCs w:val="24"/>
          </w:rPr>
          <m:t>θ</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p</m:t>
            </m:r>
          </m:sub>
        </m:sSub>
        <m:r>
          <w:rPr>
            <w:rFonts w:ascii="Cambria Math" w:eastAsiaTheme="minorEastAsia" w:hAnsi="Cambria Math" w:cs="Times New Roman"/>
            <w:szCs w:val="24"/>
          </w:rPr>
          <m:t>+</m:t>
        </m:r>
        <m:r>
          <w:rPr>
            <w:rFonts w:ascii="Cambria Math" w:hAnsi="Cambria Math" w:cs="Times New Roman"/>
            <w:szCs w:val="24"/>
          </w:rPr>
          <m:t>-8</m:t>
        </m:r>
        <m:sSup>
          <m:sSupPr>
            <m:ctrlPr>
              <w:rPr>
                <w:rFonts w:ascii="Cambria Math" w:hAnsi="Cambria Math" w:cs="Times New Roman"/>
                <w:i/>
                <w:szCs w:val="24"/>
              </w:rPr>
            </m:ctrlPr>
          </m:sSupPr>
          <m:e>
            <m:f>
              <m:fPr>
                <m:type m:val="lin"/>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s</m:t>
                    </m:r>
                  </m:sub>
                </m:sSub>
              </m:num>
              <m:den>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p</m:t>
                    </m:r>
                  </m:sub>
                </m:sSub>
                <m:r>
                  <w:rPr>
                    <w:rFonts w:ascii="Cambria Math" w:hAnsi="Cambria Math" w:cs="Times New Roman"/>
                    <w:szCs w:val="24"/>
                  </w:rPr>
                  <m:t>)</m:t>
                </m:r>
              </m:den>
            </m:f>
          </m:e>
          <m:sup>
            <m:r>
              <w:rPr>
                <w:rFonts w:ascii="Cambria Math" w:hAnsi="Cambria Math" w:cs="Times New Roman"/>
                <w:szCs w:val="24"/>
              </w:rPr>
              <m:t>2</m:t>
            </m:r>
          </m:sup>
        </m:sSup>
        <m:sSup>
          <m:sSupPr>
            <m:ctrlPr>
              <w:rPr>
                <w:rFonts w:ascii="Cambria Math" w:hAnsi="Cambria Math" w:cs="Times New Roman"/>
                <w:i/>
                <w:szCs w:val="24"/>
              </w:rPr>
            </m:ctrlPr>
          </m:sSupPr>
          <m:e>
            <m:r>
              <w:rPr>
                <w:rFonts w:ascii="Cambria Math" w:hAnsi="Cambria Math" w:cs="Times New Roman"/>
                <w:szCs w:val="24"/>
              </w:rPr>
              <m:t>tan</m:t>
            </m:r>
          </m:e>
          <m:sup>
            <m:r>
              <w:rPr>
                <w:rFonts w:ascii="Cambria Math" w:hAnsi="Cambria Math" w:cs="Times New Roman"/>
                <w:szCs w:val="24"/>
              </w:rPr>
              <m:t>2</m:t>
            </m:r>
          </m:sup>
        </m:sSup>
        <m:r>
          <w:rPr>
            <w:rFonts w:ascii="Cambria Math" w:hAnsi="Cambria Math" w:cs="Times New Roman"/>
            <w:szCs w:val="24"/>
          </w:rPr>
          <m:t>θ</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r>
          <w:rPr>
            <w:rFonts w:ascii="Cambria Math" w:hAnsi="Cambria Math" w:cs="Times New Roman"/>
            <w:szCs w:val="24"/>
          </w:rPr>
          <m:t>-0.5</m:t>
        </m:r>
        <m:sSup>
          <m:sSupPr>
            <m:ctrlPr>
              <w:rPr>
                <w:rFonts w:ascii="Cambria Math" w:hAnsi="Cambria Math" w:cs="Times New Roman"/>
                <w:i/>
                <w:szCs w:val="24"/>
              </w:rPr>
            </m:ctrlPr>
          </m:sSupPr>
          <m:e>
            <m:r>
              <w:rPr>
                <w:rFonts w:ascii="Cambria Math" w:hAnsi="Cambria Math" w:cs="Times New Roman"/>
                <w:szCs w:val="24"/>
              </w:rPr>
              <m:t>tan</m:t>
            </m:r>
          </m:e>
          <m:sup>
            <m:r>
              <w:rPr>
                <w:rFonts w:ascii="Cambria Math" w:hAnsi="Cambria Math" w:cs="Times New Roman"/>
                <w:szCs w:val="24"/>
              </w:rPr>
              <m:t>2</m:t>
            </m:r>
          </m:sup>
        </m:sSup>
        <m:r>
          <w:rPr>
            <w:rFonts w:ascii="Cambria Math" w:hAnsi="Cambria Math" w:cs="Times New Roman"/>
            <w:szCs w:val="24"/>
          </w:rPr>
          <m:t>θ</m:t>
        </m:r>
        <m:r>
          <w:rPr>
            <w:rFonts w:ascii="Cambria Math" w:eastAsiaTheme="minorEastAsia" w:hAnsi="Cambria Math" w:cs="Times New Roman"/>
            <w:szCs w:val="24"/>
          </w:rPr>
          <m:t>+2</m:t>
        </m:r>
        <m:sSup>
          <m:sSupPr>
            <m:ctrlPr>
              <w:rPr>
                <w:rFonts w:ascii="Cambria Math" w:hAnsi="Cambria Math" w:cs="Times New Roman"/>
                <w:i/>
                <w:szCs w:val="24"/>
              </w:rPr>
            </m:ctrlPr>
          </m:sSupPr>
          <m:e>
            <m:f>
              <m:fPr>
                <m:type m:val="lin"/>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s</m:t>
                    </m:r>
                  </m:sub>
                </m:sSub>
              </m:num>
              <m:den>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p</m:t>
                    </m:r>
                  </m:sub>
                </m:sSub>
                <m:r>
                  <w:rPr>
                    <w:rFonts w:ascii="Cambria Math" w:hAnsi="Cambria Math" w:cs="Times New Roman"/>
                    <w:szCs w:val="24"/>
                  </w:rPr>
                  <m:t>)</m:t>
                </m:r>
              </m:den>
            </m:f>
          </m:e>
          <m:sup>
            <m:r>
              <w:rPr>
                <w:rFonts w:ascii="Cambria Math" w:hAnsi="Cambria Math" w:cs="Times New Roman"/>
                <w:szCs w:val="24"/>
              </w:rPr>
              <m:t>2</m:t>
            </m:r>
          </m:sup>
        </m:sSup>
        <m:sSup>
          <m:sSupPr>
            <m:ctrlPr>
              <w:rPr>
                <w:rFonts w:ascii="Cambria Math" w:hAnsi="Cambria Math" w:cs="Times New Roman"/>
                <w:i/>
                <w:szCs w:val="24"/>
              </w:rPr>
            </m:ctrlPr>
          </m:sSupPr>
          <m:e>
            <m:r>
              <w:rPr>
                <w:rFonts w:ascii="Cambria Math" w:hAnsi="Cambria Math" w:cs="Times New Roman"/>
                <w:szCs w:val="24"/>
              </w:rPr>
              <m:t>sin</m:t>
            </m:r>
          </m:e>
          <m:sup>
            <m:r>
              <w:rPr>
                <w:rFonts w:ascii="Cambria Math" w:hAnsi="Cambria Math" w:cs="Times New Roman"/>
                <w:szCs w:val="24"/>
              </w:rPr>
              <m:t>2</m:t>
            </m:r>
          </m:sup>
        </m:sSup>
        <m:r>
          <w:rPr>
            <w:rFonts w:ascii="Cambria Math" w:hAnsi="Cambria Math" w:cs="Times New Roman"/>
            <w:szCs w:val="24"/>
          </w:rPr>
          <m:t>θ</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D</m:t>
            </m:r>
          </m:sub>
        </m:sSub>
      </m:oMath>
      <w:r w:rsidRPr="00A976A9">
        <w:rPr>
          <w:rFonts w:eastAsiaTheme="minorEastAsia" w:cs="Times New Roman"/>
          <w:szCs w:val="24"/>
        </w:rPr>
        <w:t>,</w:t>
      </w:r>
      <w:r>
        <w:rPr>
          <w:rFonts w:eastAsiaTheme="minorEastAsia" w:cs="Times New Roman"/>
          <w:szCs w:val="24"/>
        </w:rPr>
        <w:tab/>
        <w:t xml:space="preserve"> </w:t>
      </w:r>
      <w:r w:rsidRPr="008F7939">
        <w:rPr>
          <w:rFonts w:cs="Times New Roman"/>
          <w:szCs w:val="24"/>
        </w:rPr>
        <w:t>(</w:t>
      </w:r>
      <w:r>
        <w:rPr>
          <w:rFonts w:cs="Times New Roman"/>
          <w:szCs w:val="24"/>
        </w:rPr>
        <w:t>A</w:t>
      </w:r>
      <w:r w:rsidRPr="008F7939">
        <w:rPr>
          <w:rFonts w:cs="Times New Roman"/>
          <w:szCs w:val="24"/>
        </w:rPr>
        <w:t>-1)</w:t>
      </w:r>
    </w:p>
    <w:p w14:paraId="2483C7BA" w14:textId="77777777" w:rsidR="00090F82" w:rsidRDefault="00090F82" w:rsidP="00090F82">
      <w:pPr>
        <w:rPr>
          <w:rFonts w:eastAsiaTheme="minorEastAsia" w:cs="Times New Roman"/>
          <w:szCs w:val="24"/>
        </w:rPr>
      </w:pPr>
      <w:r w:rsidRPr="00A976A9">
        <w:rPr>
          <w:rFonts w:eastAsiaTheme="minorEastAsia" w:cs="Times New Roman"/>
          <w:szCs w:val="24"/>
        </w:rPr>
        <w:t xml:space="preserve">Where,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p</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m:t>
            </m:r>
          </m:num>
          <m:den>
            <m:r>
              <w:rPr>
                <w:rFonts w:ascii="Cambria Math" w:eastAsiaTheme="minorEastAsia" w:hAnsi="Cambria Math" w:cs="Times New Roman"/>
                <w:szCs w:val="24"/>
              </w:rPr>
              <m:t>2</m:t>
            </m:r>
          </m:den>
        </m:f>
        <m:d>
          <m:dPr>
            <m:begChr m:val="["/>
            <m:endChr m:val="]"/>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p</m:t>
                    </m:r>
                  </m:sub>
                </m:sSub>
              </m:num>
              <m:den>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P</m:t>
                    </m:r>
                  </m:sub>
                </m:sSub>
              </m:den>
            </m:f>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∆ρ</m:t>
                </m:r>
              </m:num>
              <m:den>
                <m:r>
                  <w:rPr>
                    <w:rFonts w:ascii="Cambria Math" w:eastAsiaTheme="minorEastAsia" w:hAnsi="Cambria Math" w:cs="Times New Roman"/>
                    <w:szCs w:val="24"/>
                  </w:rPr>
                  <m:t>ρ</m:t>
                </m:r>
              </m:den>
            </m:f>
          </m:e>
        </m:d>
      </m:oMath>
      <w:r w:rsidRPr="00A976A9">
        <w:rPr>
          <w:rFonts w:eastAsiaTheme="minorEastAsia" w:cs="Times New Roman"/>
          <w:szCs w:val="24"/>
        </w:rPr>
        <w:t xml:space="preserve">,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m:t>
            </m:r>
          </m:num>
          <m:den>
            <m:r>
              <w:rPr>
                <w:rFonts w:ascii="Cambria Math" w:eastAsiaTheme="minorEastAsia" w:hAnsi="Cambria Math" w:cs="Times New Roman"/>
                <w:szCs w:val="24"/>
              </w:rPr>
              <m:t>2</m:t>
            </m:r>
          </m:den>
        </m:f>
        <m:d>
          <m:dPr>
            <m:begChr m:val="["/>
            <m:endChr m:val="]"/>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s</m:t>
                    </m:r>
                  </m:sub>
                </m:sSub>
              </m:num>
              <m:den>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s</m:t>
                    </m:r>
                  </m:sub>
                </m:sSub>
              </m:den>
            </m:f>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∆ρ</m:t>
                </m:r>
              </m:num>
              <m:den>
                <m:r>
                  <w:rPr>
                    <w:rFonts w:ascii="Cambria Math" w:eastAsiaTheme="minorEastAsia" w:hAnsi="Cambria Math" w:cs="Times New Roman"/>
                    <w:szCs w:val="24"/>
                  </w:rPr>
                  <m:t>ρ</m:t>
                </m:r>
              </m:den>
            </m:f>
          </m:e>
        </m:d>
      </m:oMath>
      <w:r w:rsidRPr="00A976A9">
        <w:rPr>
          <w:rFonts w:eastAsiaTheme="minorEastAsia" w:cs="Times New Roman"/>
          <w:szCs w:val="24"/>
        </w:rPr>
        <w:t xml:space="preserve">, and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ρ</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∆ρ</m:t>
            </m:r>
          </m:num>
          <m:den>
            <m:r>
              <w:rPr>
                <w:rFonts w:ascii="Cambria Math" w:eastAsiaTheme="minorEastAsia" w:hAnsi="Cambria Math" w:cs="Times New Roman"/>
                <w:szCs w:val="24"/>
              </w:rPr>
              <m:t>ρ</m:t>
            </m:r>
          </m:den>
        </m:f>
      </m:oMath>
      <w:r>
        <w:rPr>
          <w:rFonts w:eastAsiaTheme="minorEastAsia" w:cs="Times New Roman"/>
          <w:szCs w:val="24"/>
        </w:rPr>
        <w:t xml:space="preserve">. </w:t>
      </w:r>
      <w:r>
        <w:rPr>
          <w:rFonts w:eastAsiaTheme="minorEastAsia" w:cs="Times New Roman"/>
          <w:szCs w:val="24"/>
        </w:rPr>
        <w:tab/>
      </w:r>
      <w:r>
        <w:rPr>
          <w:rFonts w:eastAsiaTheme="minorEastAsia" w:cs="Times New Roman"/>
          <w:szCs w:val="24"/>
        </w:rPr>
        <w:tab/>
      </w:r>
      <w:r>
        <w:rPr>
          <w:rFonts w:eastAsiaTheme="minorEastAsia" w:cs="Times New Roman"/>
          <w:szCs w:val="24"/>
        </w:rPr>
        <w:tab/>
      </w:r>
      <w:r>
        <w:rPr>
          <w:rFonts w:eastAsiaTheme="minorEastAsia" w:cs="Times New Roman"/>
          <w:szCs w:val="24"/>
        </w:rPr>
        <w:tab/>
      </w:r>
      <w:r>
        <w:rPr>
          <w:rFonts w:eastAsiaTheme="minorEastAsia" w:cs="Times New Roman"/>
          <w:szCs w:val="24"/>
        </w:rPr>
        <w:tab/>
        <w:t xml:space="preserve"> </w:t>
      </w:r>
      <w:r w:rsidRPr="008F7939">
        <w:rPr>
          <w:rFonts w:cs="Times New Roman"/>
          <w:szCs w:val="24"/>
        </w:rPr>
        <w:t>(</w:t>
      </w:r>
      <w:r>
        <w:rPr>
          <w:rFonts w:cs="Times New Roman"/>
          <w:szCs w:val="24"/>
        </w:rPr>
        <w:t>A</w:t>
      </w:r>
      <w:r w:rsidRPr="008F7939">
        <w:rPr>
          <w:rFonts w:cs="Times New Roman"/>
          <w:szCs w:val="24"/>
        </w:rPr>
        <w:t>-</w:t>
      </w:r>
      <w:r>
        <w:rPr>
          <w:rFonts w:cs="Times New Roman"/>
          <w:szCs w:val="24"/>
        </w:rPr>
        <w:t>2</w:t>
      </w:r>
      <w:r w:rsidRPr="008F7939">
        <w:rPr>
          <w:rFonts w:cs="Times New Roman"/>
          <w:szCs w:val="24"/>
        </w:rPr>
        <w:t>)</w:t>
      </w:r>
    </w:p>
    <w:p w14:paraId="6E91FF9D" w14:textId="77777777" w:rsidR="00090F82" w:rsidRDefault="00000000" w:rsidP="00090F82">
      <w:pPr>
        <w:rPr>
          <w:rFonts w:eastAsiaTheme="minorEastAsia"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p</m:t>
            </m:r>
          </m:sub>
        </m:sSub>
      </m:oMath>
      <w:r w:rsidR="00090F82">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s</m:t>
            </m:r>
          </m:sub>
        </m:sSub>
        <m:r>
          <w:rPr>
            <w:rFonts w:ascii="Cambria Math" w:eastAsiaTheme="minorEastAsia" w:hAnsi="Cambria Math" w:cs="Times New Roman"/>
          </w:rPr>
          <m:t xml:space="preserve"> and </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ρ</m:t>
            </m:r>
          </m:sub>
        </m:sSub>
      </m:oMath>
      <w:r w:rsidR="00090F82">
        <w:rPr>
          <w:rFonts w:eastAsiaTheme="minorEastAsia" w:cs="Times New Roman"/>
        </w:rPr>
        <w:t xml:space="preserve"> Represents angle-depended P-wave, S-wave, and density reflectivities, respectively.</w:t>
      </w:r>
    </w:p>
    <w:p w14:paraId="72080A17" w14:textId="77777777" w:rsidR="00090F82" w:rsidRDefault="00090F82" w:rsidP="00090F82">
      <w:pPr>
        <w:ind w:firstLine="720"/>
        <w:rPr>
          <w:rFonts w:eastAsiaTheme="minorEastAsia" w:cs="Times New Roman"/>
        </w:rPr>
      </w:pPr>
      <w:r>
        <w:rPr>
          <w:rFonts w:eastAsiaTheme="minorEastAsia" w:cs="Times New Roman"/>
        </w:rPr>
        <w:t>When the zero-offset forward model (Hampson et al., 2005) equation (which relates the seismic trace to the logarithm of the P-impedance) is extended to an angle-dependent trace using the Fatti’s equation, it yields:</w:t>
      </w:r>
    </w:p>
    <w:p w14:paraId="39780F77" w14:textId="77777777" w:rsidR="00090F82" w:rsidRPr="00DC7BB7" w:rsidRDefault="00090F82" w:rsidP="00090F82">
      <w:pPr>
        <w:rPr>
          <w:rFonts w:cs="Times New Roman"/>
          <w:szCs w:val="24"/>
        </w:rPr>
      </w:pPr>
      <w:r w:rsidRPr="00A976A9">
        <w:rPr>
          <w:rFonts w:eastAsiaTheme="minorEastAsia" w:cs="Times New Roman"/>
          <w:szCs w:val="24"/>
        </w:rPr>
        <w:t xml:space="preserve"> </w:t>
      </w:r>
      <m:oMath>
        <m:r>
          <w:rPr>
            <w:rFonts w:ascii="Cambria Math" w:eastAsiaTheme="minorEastAsia" w:hAnsi="Cambria Math" w:cs="Times New Roman"/>
            <w:szCs w:val="24"/>
          </w:rPr>
          <m:t>T</m:t>
        </m:r>
        <m:d>
          <m:dPr>
            <m:ctrlPr>
              <w:rPr>
                <w:rFonts w:ascii="Cambria Math" w:eastAsiaTheme="minorEastAsia" w:hAnsi="Cambria Math" w:cs="Times New Roman"/>
                <w:i/>
                <w:szCs w:val="24"/>
              </w:rPr>
            </m:ctrlPr>
          </m:dPr>
          <m:e>
            <m:r>
              <w:rPr>
                <w:rFonts w:ascii="Cambria Math" w:eastAsiaTheme="minorEastAsia" w:hAnsi="Cambria Math" w:cs="Times New Roman"/>
                <w:szCs w:val="24"/>
              </w:rPr>
              <m:t>θ</m:t>
            </m:r>
          </m:e>
        </m:d>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m:t>
            </m:r>
          </m:num>
          <m:den>
            <m:r>
              <w:rPr>
                <w:rFonts w:ascii="Cambria Math" w:eastAsiaTheme="minorEastAsia" w:hAnsi="Cambria Math" w:cs="Times New Roman"/>
                <w:szCs w:val="24"/>
              </w:rPr>
              <m:t>2</m:t>
            </m:r>
          </m:den>
        </m:f>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c</m:t>
            </m:r>
          </m:e>
          <m:sub>
            <m:r>
              <w:rPr>
                <w:rFonts w:ascii="Cambria Math" w:eastAsiaTheme="minorEastAsia" w:hAnsi="Cambria Math" w:cs="Times New Roman"/>
                <w:szCs w:val="24"/>
              </w:rPr>
              <m:t>1</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m:t>
            </m:r>
          </m:num>
          <m:den>
            <m:r>
              <w:rPr>
                <w:rFonts w:ascii="Cambria Math" w:eastAsiaTheme="minorEastAsia" w:hAnsi="Cambria Math" w:cs="Times New Roman"/>
                <w:szCs w:val="24"/>
              </w:rPr>
              <m:t>2</m:t>
            </m:r>
          </m:den>
        </m:f>
        <m:r>
          <w:rPr>
            <w:rFonts w:ascii="Cambria Math" w:eastAsiaTheme="minorEastAsia" w:hAnsi="Cambria Math" w:cs="Times New Roman"/>
            <w:szCs w:val="24"/>
          </w:rPr>
          <m:t>k</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c</m:t>
            </m:r>
          </m:e>
          <m:sub>
            <m:r>
              <w:rPr>
                <w:rFonts w:ascii="Cambria Math" w:eastAsiaTheme="minorEastAsia" w:hAnsi="Cambria Math" w:cs="Times New Roman"/>
                <w:szCs w:val="24"/>
              </w:rPr>
              <m:t>2</m:t>
            </m:r>
          </m:sub>
        </m:sSub>
        <m:r>
          <w:rPr>
            <w:rFonts w:ascii="Cambria Math" w:eastAsiaTheme="minorEastAsia" w:hAnsi="Cambria Math" w:cs="Times New Roman"/>
            <w:szCs w:val="24"/>
          </w:rPr>
          <m:t>+m</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c</m:t>
            </m:r>
          </m:e>
          <m:sub>
            <m:r>
              <w:rPr>
                <w:rFonts w:ascii="Cambria Math" w:eastAsiaTheme="minorEastAsia" w:hAnsi="Cambria Math" w:cs="Times New Roman"/>
                <w:szCs w:val="24"/>
              </w:rPr>
              <m:t>3</m:t>
            </m:r>
          </m:sub>
        </m:sSub>
        <m:d>
          <m:dPr>
            <m:ctrlPr>
              <w:rPr>
                <w:rFonts w:ascii="Cambria Math" w:eastAsiaTheme="minorEastAsia" w:hAnsi="Cambria Math" w:cs="Times New Roman"/>
                <w:i/>
                <w:szCs w:val="24"/>
              </w:rPr>
            </m:ctrlPr>
          </m:dPr>
          <m:e>
            <m:r>
              <w:rPr>
                <w:rFonts w:ascii="Cambria Math" w:eastAsiaTheme="minorEastAsia" w:hAnsi="Cambria Math" w:cs="Times New Roman"/>
                <w:szCs w:val="24"/>
              </w:rPr>
              <m:t>θ</m:t>
            </m:r>
          </m:e>
        </m:d>
        <m:r>
          <w:rPr>
            <w:rFonts w:ascii="Cambria Math" w:eastAsiaTheme="minorEastAsia" w:hAnsi="Cambria Math" w:cs="Times New Roman"/>
            <w:szCs w:val="24"/>
          </w:rPr>
          <m:t>D</m:t>
        </m:r>
        <m:func>
          <m:funcPr>
            <m:ctrlPr>
              <w:rPr>
                <w:rFonts w:ascii="Cambria Math" w:eastAsiaTheme="minorEastAsia" w:hAnsi="Cambria Math" w:cs="Times New Roman"/>
                <w:i/>
                <w:szCs w:val="24"/>
              </w:rPr>
            </m:ctrlPr>
          </m:funcPr>
          <m:fName>
            <m:r>
              <m:rPr>
                <m:sty m:val="p"/>
              </m:rPr>
              <w:rPr>
                <w:rFonts w:ascii="Cambria Math" w:hAnsi="Cambria Math" w:cs="Times New Roman"/>
                <w:szCs w:val="24"/>
              </w:rPr>
              <m:t>ln(</m:t>
            </m:r>
          </m:fName>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Z</m:t>
                </m:r>
              </m:e>
              <m:sub>
                <m:r>
                  <w:rPr>
                    <w:rFonts w:ascii="Cambria Math" w:eastAsiaTheme="minorEastAsia" w:hAnsi="Cambria Math" w:cs="Times New Roman"/>
                    <w:szCs w:val="24"/>
                  </w:rPr>
                  <m:t>p</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m:t>
                </m:r>
              </m:num>
              <m:den>
                <m:r>
                  <w:rPr>
                    <w:rFonts w:ascii="Cambria Math" w:eastAsiaTheme="minorEastAsia" w:hAnsi="Cambria Math" w:cs="Times New Roman"/>
                    <w:szCs w:val="24"/>
                  </w:rPr>
                  <m:t>2</m:t>
                </m:r>
              </m:den>
            </m:f>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c</m:t>
                </m:r>
              </m:e>
              <m:sub>
                <m:r>
                  <w:rPr>
                    <w:rFonts w:ascii="Cambria Math" w:eastAsiaTheme="minorEastAsia" w:hAnsi="Cambria Math" w:cs="Times New Roman"/>
                    <w:szCs w:val="24"/>
                  </w:rPr>
                  <m:t>2</m:t>
                </m:r>
              </m:sub>
            </m:sSub>
            <m:r>
              <w:rPr>
                <w:rFonts w:ascii="Cambria Math" w:eastAsiaTheme="minorEastAsia" w:hAnsi="Cambria Math" w:cs="Times New Roman"/>
                <w:szCs w:val="24"/>
              </w:rPr>
              <m:t>W(</m:t>
            </m:r>
          </m:e>
        </m:func>
        <m:r>
          <w:rPr>
            <w:rFonts w:ascii="Cambria Math" w:eastAsiaTheme="minorEastAsia" w:hAnsi="Cambria Math" w:cs="Times New Roman"/>
            <w:szCs w:val="24"/>
          </w:rPr>
          <m:t>θ)D</m:t>
        </m:r>
        <m:func>
          <m:funcPr>
            <m:ctrlPr>
              <w:rPr>
                <w:rFonts w:ascii="Cambria Math" w:eastAsiaTheme="minorEastAsia" w:hAnsi="Cambria Math" w:cs="Times New Roman"/>
                <w:i/>
                <w:szCs w:val="24"/>
              </w:rPr>
            </m:ctrlPr>
          </m:funcPr>
          <m:fName>
            <m:r>
              <m:rPr>
                <m:sty m:val="p"/>
              </m:rPr>
              <w:rPr>
                <w:rFonts w:ascii="Cambria Math" w:hAnsi="Cambria Math" w:cs="Times New Roman"/>
                <w:szCs w:val="24"/>
              </w:rPr>
              <m:t>∆ln</m:t>
            </m:r>
          </m:fName>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(Z</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e>
        </m:func>
        <m:r>
          <w:rPr>
            <w:rFonts w:ascii="Cambria Math" w:eastAsiaTheme="minorEastAsia" w:hAnsi="Cambria Math" w:cs="Times New Roman"/>
            <w:szCs w:val="24"/>
          </w:rPr>
          <m:t>W</m:t>
        </m:r>
        <m:d>
          <m:dPr>
            <m:ctrlPr>
              <w:rPr>
                <w:rFonts w:ascii="Cambria Math" w:eastAsiaTheme="minorEastAsia" w:hAnsi="Cambria Math" w:cs="Times New Roman"/>
                <w:i/>
                <w:szCs w:val="24"/>
              </w:rPr>
            </m:ctrlPr>
          </m:dPr>
          <m:e>
            <m:r>
              <w:rPr>
                <w:rFonts w:ascii="Cambria Math" w:eastAsiaTheme="minorEastAsia" w:hAnsi="Cambria Math" w:cs="Times New Roman"/>
                <w:szCs w:val="24"/>
              </w:rPr>
              <m:t>θ</m:t>
            </m:r>
          </m:e>
        </m:d>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c</m:t>
            </m:r>
          </m:e>
          <m:sub>
            <m:r>
              <w:rPr>
                <w:rFonts w:ascii="Cambria Math" w:eastAsiaTheme="minorEastAsia" w:hAnsi="Cambria Math" w:cs="Times New Roman"/>
                <w:szCs w:val="24"/>
              </w:rPr>
              <m:t>3</m:t>
            </m:r>
          </m:sub>
        </m:sSub>
        <m:r>
          <w:rPr>
            <w:rFonts w:ascii="Cambria Math" w:eastAsiaTheme="minorEastAsia" w:hAnsi="Cambria Math" w:cs="Times New Roman"/>
            <w:szCs w:val="24"/>
          </w:rPr>
          <m:t>D∆</m:t>
        </m:r>
        <m:func>
          <m:funcPr>
            <m:ctrlPr>
              <w:rPr>
                <w:rFonts w:ascii="Cambria Math" w:eastAsiaTheme="minorEastAsia" w:hAnsi="Cambria Math" w:cs="Times New Roman"/>
                <w:i/>
                <w:szCs w:val="24"/>
              </w:rPr>
            </m:ctrlPr>
          </m:funcPr>
          <m:fName>
            <m:r>
              <m:rPr>
                <m:sty m:val="p"/>
              </m:rPr>
              <w:rPr>
                <w:rFonts w:ascii="Cambria Math" w:hAnsi="Cambria Math" w:cs="Times New Roman"/>
                <w:szCs w:val="24"/>
              </w:rPr>
              <m:t>ln</m:t>
            </m:r>
          </m:fName>
          <m:e>
            <m:r>
              <w:rPr>
                <w:rFonts w:ascii="Cambria Math" w:eastAsiaTheme="minorEastAsia" w:hAnsi="Cambria Math" w:cs="Times New Roman"/>
                <w:szCs w:val="24"/>
              </w:rPr>
              <m:t>(ρ</m:t>
            </m:r>
          </m:e>
        </m:func>
        <m:r>
          <w:rPr>
            <w:rFonts w:ascii="Cambria Math" w:eastAsiaTheme="minorEastAsia" w:hAnsi="Cambria Math" w:cs="Times New Roman"/>
            <w:szCs w:val="24"/>
          </w:rPr>
          <m:t>)</m:t>
        </m:r>
      </m:oMath>
      <w:r>
        <w:rPr>
          <w:rFonts w:eastAsiaTheme="minorEastAsia" w:cs="Times New Roman"/>
          <w:szCs w:val="24"/>
        </w:rPr>
        <w:t xml:space="preserve">      </w:t>
      </w:r>
      <w:r w:rsidRPr="008F7939">
        <w:rPr>
          <w:rFonts w:cs="Times New Roman"/>
          <w:szCs w:val="24"/>
        </w:rPr>
        <w:t>(</w:t>
      </w:r>
      <w:r>
        <w:rPr>
          <w:rFonts w:cs="Times New Roman"/>
          <w:szCs w:val="24"/>
        </w:rPr>
        <w:t>A</w:t>
      </w:r>
      <w:r w:rsidRPr="008F7939">
        <w:rPr>
          <w:rFonts w:cs="Times New Roman"/>
          <w:szCs w:val="24"/>
        </w:rPr>
        <w:t>-</w:t>
      </w:r>
      <w:r>
        <w:rPr>
          <w:rFonts w:cs="Times New Roman"/>
          <w:szCs w:val="24"/>
        </w:rPr>
        <w:t>3</w:t>
      </w:r>
      <w:r w:rsidRPr="008F7939">
        <w:rPr>
          <w:rFonts w:cs="Times New Roman"/>
          <w:szCs w:val="24"/>
        </w:rPr>
        <w:t>)</w:t>
      </w:r>
    </w:p>
    <w:p w14:paraId="4DF60C7D" w14:textId="77777777" w:rsidR="00090F82" w:rsidRDefault="00090F82" w:rsidP="00090F82">
      <w:pPr>
        <w:ind w:firstLine="720"/>
        <w:rPr>
          <w:rFonts w:eastAsiaTheme="minorEastAsia" w:cs="Times New Roman"/>
        </w:rPr>
      </w:pPr>
      <m:oMath>
        <m:r>
          <w:rPr>
            <w:rFonts w:ascii="Cambria Math" w:eastAsiaTheme="minorEastAsia" w:hAnsi="Cambria Math" w:cs="Times New Roman"/>
          </w:rPr>
          <m:t>W</m:t>
        </m:r>
        <m:d>
          <m:dPr>
            <m:ctrlPr>
              <w:rPr>
                <w:rFonts w:ascii="Cambria Math" w:eastAsiaTheme="minorEastAsia" w:hAnsi="Cambria Math" w:cs="Times New Roman"/>
                <w:i/>
              </w:rPr>
            </m:ctrlPr>
          </m:dPr>
          <m:e>
            <m:r>
              <w:rPr>
                <w:rFonts w:ascii="Cambria Math" w:eastAsiaTheme="minorEastAsia" w:hAnsi="Cambria Math" w:cs="Times New Roman"/>
              </w:rPr>
              <m:t>θ</m:t>
            </m:r>
          </m:e>
        </m:d>
      </m:oMath>
      <w:r>
        <w:rPr>
          <w:rFonts w:eastAsiaTheme="minorEastAsia" w:cs="Times New Roman"/>
        </w:rPr>
        <w:t xml:space="preserve"> Represents angle-dependent wavelet, and D is the derivative operator. The commercial software uses the linear relationship between </w:t>
      </w:r>
      <m:oMath>
        <m:sSub>
          <m:sSubPr>
            <m:ctrlPr>
              <w:rPr>
                <w:rFonts w:ascii="Cambria Math" w:eastAsiaTheme="minorEastAsia" w:hAnsi="Cambria Math" w:cs="Times New Roman"/>
                <w:i/>
              </w:rPr>
            </m:ctrlPr>
          </m:sSubPr>
          <m:e>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Z</m:t>
                </m:r>
              </m:e>
            </m:func>
          </m:e>
          <m:sub>
            <m:r>
              <w:rPr>
                <w:rFonts w:ascii="Cambria Math" w:eastAsiaTheme="minorEastAsia" w:hAnsi="Cambria Math" w:cs="Times New Roman"/>
              </w:rPr>
              <m:t>p</m:t>
            </m:r>
          </m:sub>
        </m:sSub>
        <m:r>
          <w:rPr>
            <w:rFonts w:ascii="Cambria Math" w:eastAsiaTheme="minorEastAsia" w:hAnsi="Cambria Math" w:cs="Times New Roman"/>
          </w:rPr>
          <m:t xml:space="preserve"> and </m:t>
        </m:r>
        <m:sSub>
          <m:sSubPr>
            <m:ctrlPr>
              <w:rPr>
                <w:rFonts w:ascii="Cambria Math" w:eastAsiaTheme="minorEastAsia" w:hAnsi="Cambria Math" w:cs="Times New Roman"/>
                <w:i/>
              </w:rPr>
            </m:ctrlPr>
          </m:sSubPr>
          <m:e>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Z</m:t>
                </m:r>
              </m:e>
            </m:func>
          </m:e>
          <m:sub>
            <m:r>
              <w:rPr>
                <w:rFonts w:ascii="Cambria Math" w:eastAsiaTheme="minorEastAsia" w:hAnsi="Cambria Math" w:cs="Times New Roman"/>
              </w:rPr>
              <m:t>s</m:t>
            </m:r>
          </m:sub>
        </m:sSub>
        <m:r>
          <w:rPr>
            <w:rFonts w:ascii="Cambria Math" w:eastAsiaTheme="minorEastAsia" w:hAnsi="Cambria Math" w:cs="Times New Roman"/>
          </w:rPr>
          <m:t xml:space="preserve"> </m:t>
        </m:r>
      </m:oMath>
      <w:r>
        <w:rPr>
          <w:rFonts w:eastAsiaTheme="minorEastAsia" w:cs="Times New Roman"/>
        </w:rPr>
        <w:t xml:space="preserve"> and </w:t>
      </w:r>
      <m:oMath>
        <m:sSub>
          <m:sSubPr>
            <m:ctrlPr>
              <w:rPr>
                <w:rFonts w:ascii="Cambria Math" w:eastAsiaTheme="minorEastAsia" w:hAnsi="Cambria Math" w:cs="Times New Roman"/>
                <w:i/>
              </w:rPr>
            </m:ctrlPr>
          </m:sSubPr>
          <m:e>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Z</m:t>
                </m:r>
              </m:e>
            </m:func>
          </m:e>
          <m:sub>
            <m:r>
              <w:rPr>
                <w:rFonts w:ascii="Cambria Math" w:eastAsiaTheme="minorEastAsia" w:hAnsi="Cambria Math" w:cs="Times New Roman"/>
              </w:rPr>
              <m:t>p</m:t>
            </m:r>
          </m:sub>
        </m:sSub>
        <m:r>
          <w:rPr>
            <w:rFonts w:ascii="Cambria Math" w:eastAsiaTheme="minorEastAsia" w:hAnsi="Cambria Math" w:cs="Times New Roman"/>
          </w:rPr>
          <m:t xml:space="preserve"> and </m:t>
        </m:r>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ρ</m:t>
            </m:r>
          </m:e>
        </m:func>
        <m:r>
          <w:rPr>
            <w:rFonts w:ascii="Cambria Math" w:eastAsiaTheme="minorEastAsia" w:hAnsi="Cambria Math" w:cs="Times New Roman"/>
          </w:rPr>
          <m:t>)</m:t>
        </m:r>
      </m:oMath>
      <w:r>
        <w:rPr>
          <w:rFonts w:eastAsiaTheme="minorEastAsia" w:cs="Times New Roman"/>
        </w:rPr>
        <w:t xml:space="preserve"> in logarithmic space to solve for </w:t>
      </w:r>
      <m:oMath>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s</m:t>
                </m:r>
              </m:sub>
            </m:sSub>
            <m:r>
              <w:rPr>
                <w:rFonts w:ascii="Cambria Math" w:eastAsiaTheme="minorEastAsia" w:hAnsi="Cambria Math" w:cs="Times New Roman"/>
              </w:rPr>
              <m:t>)</m:t>
            </m:r>
          </m:e>
        </m:func>
      </m:oMath>
      <w:r>
        <w:rPr>
          <w:rFonts w:eastAsiaTheme="minorEastAsia" w:cs="Times New Roman"/>
        </w:rPr>
        <w:t xml:space="preserve"> and </w:t>
      </w:r>
      <m:oMath>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ρ)</m:t>
            </m:r>
          </m:e>
        </m:func>
      </m:oMath>
      <w:r>
        <w:rPr>
          <w:rFonts w:eastAsiaTheme="minorEastAsia" w:cs="Times New Roman"/>
        </w:rPr>
        <w:t>, which are fluid anomalies separated from the background wet trend (Hampson et al., 2005):</w:t>
      </w:r>
    </w:p>
    <w:p w14:paraId="734A0374" w14:textId="77777777" w:rsidR="00090F82" w:rsidRPr="005A36A9" w:rsidRDefault="00000000" w:rsidP="00090F82">
      <w:pPr>
        <w:rPr>
          <w:rFonts w:eastAsiaTheme="minorEastAsia" w:cs="Times New Roman"/>
        </w:rPr>
      </w:pPr>
      <m:oMath>
        <m:func>
          <m:funcPr>
            <m:ctrlPr>
              <w:rPr>
                <w:rFonts w:ascii="Cambria Math" w:eastAsiaTheme="minorEastAsia" w:hAnsi="Cambria Math" w:cs="Times New Roman"/>
                <w:i/>
              </w:rPr>
            </m:ctrlPr>
          </m:funcPr>
          <m:fName>
            <m:r>
              <m:rPr>
                <m:sty m:val="p"/>
              </m:rPr>
              <w:rPr>
                <w:rFonts w:ascii="Cambria Math" w:hAnsi="Cambria Math" w:cs="Times New Roman"/>
              </w:rPr>
              <m:t>ln</m:t>
            </m:r>
          </m:fName>
          <m:e>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s</m:t>
                    </m:r>
                  </m:sub>
                </m:sSub>
              </m:e>
            </m:d>
            <m:r>
              <w:rPr>
                <w:rFonts w:ascii="Cambria Math" w:eastAsiaTheme="minorEastAsia" w:hAnsi="Cambria Math" w:cs="Times New Roman"/>
              </w:rPr>
              <m:t>=k</m:t>
            </m:r>
            <m:func>
              <m:funcPr>
                <m:ctrlPr>
                  <w:rPr>
                    <w:rFonts w:ascii="Cambria Math" w:eastAsiaTheme="minorEastAsia" w:hAnsi="Cambria Math" w:cs="Times New Roman"/>
                    <w:i/>
                  </w:rPr>
                </m:ctrlPr>
              </m:funcPr>
              <m:fName>
                <m:r>
                  <m:rPr>
                    <m:sty m:val="p"/>
                  </m:rPr>
                  <w:rPr>
                    <w:rFonts w:ascii="Cambria Math" w:hAnsi="Cambria Math" w:cs="Times New Roman"/>
                  </w:rPr>
                  <m:t>ln⁡(</m:t>
                </m:r>
              </m:fName>
              <m:e>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c</m:t>
                    </m:r>
                  </m:sub>
                </m:sSub>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(ρ</m:t>
                    </m:r>
                  </m:e>
                </m:func>
              </m:e>
            </m:func>
          </m:e>
        </m:func>
        <m:r>
          <w:rPr>
            <w:rFonts w:ascii="Cambria Math" w:eastAsiaTheme="minorEastAsia" w:hAnsi="Cambria Math" w:cs="Times New Roman"/>
          </w:rPr>
          <m:t>)</m:t>
        </m:r>
      </m:oMath>
      <w:r w:rsidR="00090F82">
        <w:rPr>
          <w:rFonts w:eastAsiaTheme="minorEastAsia" w:cs="Times New Roman"/>
        </w:rPr>
        <w:t xml:space="preserve"> </w:t>
      </w:r>
      <w:r w:rsidR="00090F82">
        <w:rPr>
          <w:rFonts w:eastAsiaTheme="minorEastAsia" w:cs="Times New Roman"/>
        </w:rPr>
        <w:tab/>
      </w:r>
      <w:r w:rsidR="00090F82">
        <w:rPr>
          <w:rFonts w:eastAsiaTheme="minorEastAsia" w:cs="Times New Roman"/>
        </w:rPr>
        <w:tab/>
      </w:r>
      <w:r w:rsidR="00090F82">
        <w:rPr>
          <w:rFonts w:eastAsiaTheme="minorEastAsia" w:cs="Times New Roman"/>
        </w:rPr>
        <w:tab/>
      </w:r>
      <w:r w:rsidR="00090F82">
        <w:rPr>
          <w:rFonts w:eastAsiaTheme="minorEastAsia" w:cs="Times New Roman"/>
        </w:rPr>
        <w:tab/>
      </w:r>
      <w:r w:rsidR="00090F82">
        <w:rPr>
          <w:rFonts w:eastAsiaTheme="minorEastAsia" w:cs="Times New Roman"/>
        </w:rPr>
        <w:tab/>
      </w:r>
      <w:r w:rsidR="00090F82">
        <w:rPr>
          <w:rFonts w:eastAsiaTheme="minorEastAsia" w:cs="Times New Roman"/>
        </w:rPr>
        <w:tab/>
      </w:r>
      <w:r w:rsidR="00090F82">
        <w:rPr>
          <w:rFonts w:eastAsiaTheme="minorEastAsia" w:cs="Times New Roman"/>
        </w:rPr>
        <w:tab/>
      </w:r>
      <w:r w:rsidR="00090F82">
        <w:rPr>
          <w:rFonts w:eastAsiaTheme="minorEastAsia" w:cs="Times New Roman"/>
        </w:rPr>
        <w:tab/>
      </w:r>
      <w:r w:rsidR="00090F82" w:rsidRPr="008F7939">
        <w:rPr>
          <w:rFonts w:cs="Times New Roman"/>
          <w:szCs w:val="24"/>
        </w:rPr>
        <w:t>(</w:t>
      </w:r>
      <w:r w:rsidR="00090F82">
        <w:rPr>
          <w:rFonts w:cs="Times New Roman"/>
          <w:szCs w:val="24"/>
        </w:rPr>
        <w:t>A</w:t>
      </w:r>
      <w:r w:rsidR="00090F82" w:rsidRPr="008F7939">
        <w:rPr>
          <w:rFonts w:cs="Times New Roman"/>
          <w:szCs w:val="24"/>
        </w:rPr>
        <w:t>-</w:t>
      </w:r>
      <w:r w:rsidR="00090F82">
        <w:rPr>
          <w:rFonts w:cs="Times New Roman"/>
          <w:szCs w:val="24"/>
        </w:rPr>
        <w:t>4</w:t>
      </w:r>
      <w:r w:rsidR="00090F82" w:rsidRPr="008F7939">
        <w:rPr>
          <w:rFonts w:cs="Times New Roman"/>
          <w:szCs w:val="24"/>
        </w:rPr>
        <w:t>)</w:t>
      </w:r>
    </w:p>
    <w:p w14:paraId="7973767E" w14:textId="77777777" w:rsidR="00090F82" w:rsidRPr="00DC7BB7" w:rsidRDefault="00000000" w:rsidP="00090F82">
      <w:pPr>
        <w:rPr>
          <w:rFonts w:cs="Times New Roman"/>
          <w:szCs w:val="24"/>
        </w:rPr>
      </w:pPr>
      <m:oMath>
        <m:func>
          <m:funcPr>
            <m:ctrlPr>
              <w:rPr>
                <w:rFonts w:ascii="Cambria Math" w:eastAsiaTheme="minorEastAsia" w:hAnsi="Cambria Math" w:cs="Times New Roman"/>
                <w:i/>
              </w:rPr>
            </m:ctrlPr>
          </m:funcPr>
          <m:fName>
            <m:r>
              <m:rPr>
                <m:sty m:val="p"/>
              </m:rPr>
              <w:rPr>
                <w:rFonts w:ascii="Cambria Math" w:hAnsi="Cambria Math" w:cs="Times New Roman"/>
              </w:rPr>
              <m:t>ln</m:t>
            </m:r>
          </m:fName>
          <m:e>
            <m:d>
              <m:dPr>
                <m:ctrlPr>
                  <w:rPr>
                    <w:rFonts w:ascii="Cambria Math" w:eastAsiaTheme="minorEastAsia" w:hAnsi="Cambria Math" w:cs="Times New Roman"/>
                    <w:i/>
                  </w:rPr>
                </m:ctrlPr>
              </m:dPr>
              <m:e>
                <m:r>
                  <w:rPr>
                    <w:rFonts w:ascii="Cambria Math" w:eastAsiaTheme="minorEastAsia" w:hAnsi="Cambria Math" w:cs="Times New Roman"/>
                  </w:rPr>
                  <m:t>ρ</m:t>
                </m:r>
              </m:e>
            </m:d>
            <m:r>
              <w:rPr>
                <w:rFonts w:ascii="Cambria Math" w:eastAsiaTheme="minorEastAsia" w:hAnsi="Cambria Math" w:cs="Times New Roman"/>
              </w:rPr>
              <m:t>=m</m:t>
            </m:r>
            <m:func>
              <m:funcPr>
                <m:ctrlPr>
                  <w:rPr>
                    <w:rFonts w:ascii="Cambria Math" w:eastAsiaTheme="minorEastAsia" w:hAnsi="Cambria Math" w:cs="Times New Roman"/>
                    <w:i/>
                  </w:rPr>
                </m:ctrlPr>
              </m:funcPr>
              <m:fName>
                <m:r>
                  <m:rPr>
                    <m:sty m:val="p"/>
                  </m:rPr>
                  <w:rPr>
                    <w:rFonts w:ascii="Cambria Math" w:hAnsi="Cambria Math" w:cs="Times New Roman"/>
                  </w:rPr>
                  <m:t>ln⁡(</m:t>
                </m:r>
              </m:fName>
              <m:e>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c</m:t>
                    </m:r>
                  </m:sub>
                </m:sSub>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ρ</m:t>
                    </m:r>
                  </m:e>
                </m:func>
              </m:e>
            </m:func>
          </m:e>
        </m:func>
        <m:r>
          <w:rPr>
            <w:rFonts w:ascii="Cambria Math" w:eastAsiaTheme="minorEastAsia" w:hAnsi="Cambria Math" w:cs="Times New Roman"/>
          </w:rPr>
          <m:t>)</m:t>
        </m:r>
      </m:oMath>
      <w:r w:rsidR="00090F82" w:rsidRPr="003C2ECA">
        <w:rPr>
          <w:rFonts w:cs="Times New Roman"/>
          <w:szCs w:val="24"/>
        </w:rPr>
        <w:t xml:space="preserve"> </w:t>
      </w:r>
      <w:r w:rsidR="00090F82">
        <w:rPr>
          <w:rFonts w:cs="Times New Roman"/>
          <w:szCs w:val="24"/>
        </w:rPr>
        <w:tab/>
      </w:r>
      <w:r w:rsidR="00090F82">
        <w:rPr>
          <w:rFonts w:cs="Times New Roman"/>
          <w:szCs w:val="24"/>
        </w:rPr>
        <w:tab/>
      </w:r>
      <w:r w:rsidR="00090F82">
        <w:rPr>
          <w:rFonts w:cs="Times New Roman"/>
          <w:szCs w:val="24"/>
        </w:rPr>
        <w:tab/>
      </w:r>
      <w:r w:rsidR="00090F82">
        <w:rPr>
          <w:rFonts w:cs="Times New Roman"/>
          <w:szCs w:val="24"/>
        </w:rPr>
        <w:tab/>
      </w:r>
      <w:r w:rsidR="00090F82">
        <w:rPr>
          <w:rFonts w:cs="Times New Roman"/>
          <w:szCs w:val="24"/>
        </w:rPr>
        <w:tab/>
      </w:r>
      <w:r w:rsidR="00090F82">
        <w:rPr>
          <w:rFonts w:cs="Times New Roman"/>
          <w:szCs w:val="24"/>
        </w:rPr>
        <w:tab/>
      </w:r>
      <w:r w:rsidR="00090F82">
        <w:rPr>
          <w:rFonts w:cs="Times New Roman"/>
          <w:szCs w:val="24"/>
        </w:rPr>
        <w:tab/>
      </w:r>
      <w:r w:rsidR="00090F82">
        <w:rPr>
          <w:rFonts w:cs="Times New Roman"/>
          <w:szCs w:val="24"/>
        </w:rPr>
        <w:tab/>
      </w:r>
      <w:r w:rsidR="00090F82" w:rsidRPr="008F7939">
        <w:rPr>
          <w:rFonts w:cs="Times New Roman"/>
          <w:szCs w:val="24"/>
        </w:rPr>
        <w:t>(</w:t>
      </w:r>
      <w:r w:rsidR="00090F82">
        <w:rPr>
          <w:rFonts w:cs="Times New Roman"/>
          <w:szCs w:val="24"/>
        </w:rPr>
        <w:t>A</w:t>
      </w:r>
      <w:r w:rsidR="00090F82" w:rsidRPr="008F7939">
        <w:rPr>
          <w:rFonts w:cs="Times New Roman"/>
          <w:szCs w:val="24"/>
        </w:rPr>
        <w:t>-</w:t>
      </w:r>
      <w:r w:rsidR="00090F82">
        <w:rPr>
          <w:rFonts w:cs="Times New Roman"/>
          <w:szCs w:val="24"/>
        </w:rPr>
        <w:t>5</w:t>
      </w:r>
      <w:r w:rsidR="00090F82" w:rsidRPr="008F7939">
        <w:rPr>
          <w:rFonts w:cs="Times New Roman"/>
          <w:szCs w:val="24"/>
        </w:rPr>
        <w:t>)</w:t>
      </w:r>
    </w:p>
    <w:p w14:paraId="5D95BBA1" w14:textId="77777777" w:rsidR="00090F82" w:rsidRDefault="00090F82" w:rsidP="00090F82">
      <w:r>
        <w:lastRenderedPageBreak/>
        <w:t xml:space="preserve">The coefficients </w:t>
      </w:r>
      <m:oMath>
        <m:r>
          <w:rPr>
            <w:rFonts w:ascii="Cambria Math" w:hAnsi="Cambria Math"/>
          </w:rPr>
          <m:t>k</m:t>
        </m:r>
      </m:oMath>
      <w:r>
        <w:t xml:space="preserve"> and </w:t>
      </w:r>
      <m:oMath>
        <m:r>
          <w:rPr>
            <w:rFonts w:ascii="Cambria Math" w:hAnsi="Cambria Math"/>
          </w:rPr>
          <m:t>m</m:t>
        </m:r>
      </m:oMath>
      <w:r>
        <w:t xml:space="preserve"> are supplied by the user input by fitting the best line at crossplots of </w:t>
      </w:r>
      <m:oMath>
        <m:func>
          <m:funcPr>
            <m:ctrlPr>
              <w:rPr>
                <w:rFonts w:ascii="Cambria Math" w:hAnsi="Cambria Math"/>
                <w:i/>
              </w:rPr>
            </m:ctrlPr>
          </m:funcPr>
          <m:fName>
            <m:r>
              <m:rPr>
                <m:sty m:val="p"/>
              </m:rPr>
              <w:rPr>
                <w:rFonts w:ascii="Cambria Math" w:hAnsi="Cambria Math"/>
              </w:rPr>
              <m:t>ln</m:t>
            </m:r>
          </m:fName>
          <m:e>
            <m:r>
              <w:rPr>
                <w:rFonts w:ascii="Cambria Math" w:hAnsi="Cambria Math"/>
              </w:rPr>
              <m:t>(ρ</m:t>
            </m:r>
          </m:e>
        </m:func>
        <m:r>
          <w:rPr>
            <w:rFonts w:ascii="Cambria Math" w:hAnsi="Cambria Math"/>
          </w:rPr>
          <m:t>)</m:t>
        </m:r>
      </m:oMath>
      <w:r>
        <w:t xml:space="preserve"> vs </w:t>
      </w:r>
      <m:oMath>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Z</m:t>
                </m:r>
              </m:e>
              <m:sub>
                <m:r>
                  <w:rPr>
                    <w:rFonts w:ascii="Cambria Math" w:hAnsi="Cambria Math"/>
                  </w:rPr>
                  <m:t>p</m:t>
                </m:r>
              </m:sub>
            </m:sSub>
            <m:r>
              <w:rPr>
                <w:rFonts w:ascii="Cambria Math" w:hAnsi="Cambria Math"/>
              </w:rPr>
              <m:t xml:space="preserve">) </m:t>
            </m:r>
          </m:e>
        </m:func>
      </m:oMath>
      <w:r>
        <w:t xml:space="preserve">, and </w:t>
      </w:r>
      <m:oMath>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Z</m:t>
                </m:r>
              </m:e>
              <m:sub>
                <m:r>
                  <w:rPr>
                    <w:rFonts w:ascii="Cambria Math" w:hAnsi="Cambria Math"/>
                  </w:rPr>
                  <m:t>p</m:t>
                </m:r>
              </m:sub>
            </m:sSub>
            <m:r>
              <w:rPr>
                <w:rFonts w:ascii="Cambria Math" w:hAnsi="Cambria Math"/>
              </w:rPr>
              <m:t xml:space="preserve">) </m:t>
            </m:r>
          </m:e>
        </m:func>
      </m:oMath>
      <w:r>
        <w:t xml:space="preserve">vs </w:t>
      </w:r>
      <m:oMath>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m:t>
            </m:r>
          </m:e>
        </m:func>
      </m:oMath>
      <w:r>
        <w:t>. The inversion for P-impedance, S-impedance, and density is achieved by solving equation B-3 by matrix inversion methods. To initialize the solution, the software uses the low-frequency background models (of P impedance, S impedance, and density) and iterates toward a solution using the conjugate gradient method.</w:t>
      </w:r>
    </w:p>
    <w:p w14:paraId="544BF311" w14:textId="77777777" w:rsidR="00090F82" w:rsidRDefault="00090F82" w:rsidP="00090F82">
      <w:pPr>
        <w:spacing w:line="240" w:lineRule="auto"/>
        <w:rPr>
          <w:rFonts w:eastAsiaTheme="minorEastAsia" w:cs="Times New Roman"/>
          <w:b/>
          <w:sz w:val="28"/>
          <w:szCs w:val="26"/>
        </w:rPr>
      </w:pPr>
      <w:r>
        <w:rPr>
          <w:rFonts w:eastAsiaTheme="minorEastAsia" w:cs="Times New Roman"/>
        </w:rPr>
        <w:br w:type="page"/>
      </w:r>
    </w:p>
    <w:p w14:paraId="00B8BC61" w14:textId="77777777" w:rsidR="00090F82" w:rsidRDefault="00090F82" w:rsidP="00090F82">
      <w:pPr>
        <w:pStyle w:val="Heading2"/>
      </w:pPr>
      <w:bookmarkStart w:id="142" w:name="_Toc119516629"/>
      <w:bookmarkStart w:id="143" w:name="_Toc121095964"/>
      <w:r>
        <w:lastRenderedPageBreak/>
        <w:t>Appendix B</w:t>
      </w:r>
      <w:bookmarkEnd w:id="142"/>
      <w:bookmarkEnd w:id="143"/>
    </w:p>
    <w:p w14:paraId="4A1F899D" w14:textId="77777777" w:rsidR="00090F82" w:rsidRDefault="00090F82" w:rsidP="00090F82">
      <w:pPr>
        <w:pStyle w:val="Heading3"/>
      </w:pPr>
      <w:bookmarkStart w:id="144" w:name="_Toc119516630"/>
      <w:bookmarkStart w:id="145" w:name="_Toc121095965"/>
      <w:r>
        <w:t xml:space="preserve">Pre-stack </w:t>
      </w:r>
      <w:r w:rsidRPr="001250FE">
        <w:t>gather</w:t>
      </w:r>
      <w:r>
        <w:t xml:space="preserve"> pre-conditioning</w:t>
      </w:r>
      <w:bookmarkEnd w:id="144"/>
      <w:bookmarkEnd w:id="145"/>
    </w:p>
    <w:p w14:paraId="36EF249A" w14:textId="77777777" w:rsidR="00090F82" w:rsidRPr="00B9160E" w:rsidRDefault="00090F82" w:rsidP="00090F82">
      <w:pPr>
        <w:ind w:firstLine="720"/>
        <w:rPr>
          <w:rFonts w:cs="Times New Roman"/>
          <w:szCs w:val="24"/>
        </w:rPr>
      </w:pPr>
      <w:r w:rsidRPr="00B9160E">
        <w:rPr>
          <w:rFonts w:cs="Times New Roman"/>
          <w:szCs w:val="24"/>
        </w:rPr>
        <w:t>Prior to pre-stack simultaneous inversion and angle-dependent seismic volumes calculation (angle stacks and AVO attributes), seismic gathers were pre-conditioned due to coherent (ground roll, multiples</w:t>
      </w:r>
      <w:r>
        <w:rPr>
          <w:rFonts w:cs="Times New Roman"/>
          <w:szCs w:val="24"/>
        </w:rPr>
        <w:t>,</w:t>
      </w:r>
      <w:r w:rsidRPr="00B9160E">
        <w:rPr>
          <w:rFonts w:cs="Times New Roman"/>
          <w:szCs w:val="24"/>
        </w:rPr>
        <w:t xml:space="preserve"> etc.) and incoherent random noise present in the seismic data.</w:t>
      </w:r>
    </w:p>
    <w:p w14:paraId="0F5C01B6" w14:textId="77777777" w:rsidR="00090F82" w:rsidRPr="00B9160E" w:rsidRDefault="00090F82" w:rsidP="00090F82">
      <w:pPr>
        <w:ind w:firstLine="720"/>
        <w:rPr>
          <w:rFonts w:cs="Times New Roman"/>
          <w:szCs w:val="24"/>
        </w:rPr>
      </w:pPr>
      <w:r w:rsidRPr="00B9160E">
        <w:rPr>
          <w:rFonts w:cs="Times New Roman"/>
          <w:szCs w:val="24"/>
        </w:rPr>
        <w:t>The conditioning workflow followed in this study involves parabolic Radon Filtering, applying angle mute</w:t>
      </w:r>
      <w:r>
        <w:rPr>
          <w:rFonts w:cs="Times New Roman"/>
          <w:szCs w:val="24"/>
        </w:rPr>
        <w:t>,</w:t>
      </w:r>
      <w:r w:rsidRPr="00B9160E">
        <w:rPr>
          <w:rFonts w:cs="Times New Roman"/>
          <w:szCs w:val="24"/>
        </w:rPr>
        <w:t xml:space="preserve"> and creating final angle gathers.</w:t>
      </w:r>
    </w:p>
    <w:p w14:paraId="57BA6DD2" w14:textId="77777777" w:rsidR="00090F82" w:rsidRPr="002D2D0A" w:rsidRDefault="00090F82" w:rsidP="00090F82">
      <w:pPr>
        <w:pStyle w:val="Heading3"/>
      </w:pPr>
      <w:bookmarkStart w:id="146" w:name="_Toc119516631"/>
      <w:bookmarkStart w:id="147" w:name="_Toc121095966"/>
      <w:r w:rsidRPr="002D2D0A">
        <w:t>Parabolic Radon filtering</w:t>
      </w:r>
      <w:bookmarkEnd w:id="146"/>
      <w:bookmarkEnd w:id="147"/>
    </w:p>
    <w:p w14:paraId="5F39236C" w14:textId="77777777" w:rsidR="00346AEB" w:rsidRDefault="00090F82" w:rsidP="00346AEB">
      <w:pPr>
        <w:ind w:firstLine="720"/>
        <w:rPr>
          <w:rFonts w:cs="Times New Roman"/>
          <w:color w:val="000000"/>
          <w:szCs w:val="24"/>
          <w:shd w:val="clear" w:color="auto" w:fill="FFFFFF"/>
        </w:rPr>
      </w:pPr>
      <w:r w:rsidRPr="00B9160E">
        <w:rPr>
          <w:rFonts w:cs="Times New Roman"/>
          <w:szCs w:val="24"/>
        </w:rPr>
        <w:t xml:space="preserve">The algorithm in the commercial software used </w:t>
      </w:r>
      <w:r>
        <w:rPr>
          <w:rFonts w:cs="Times New Roman"/>
          <w:szCs w:val="24"/>
        </w:rPr>
        <w:t>in</w:t>
      </w:r>
      <w:r w:rsidRPr="00B9160E">
        <w:rPr>
          <w:rFonts w:cs="Times New Roman"/>
          <w:szCs w:val="24"/>
        </w:rPr>
        <w:t xml:space="preserve"> this process is</w:t>
      </w:r>
      <w:r w:rsidRPr="00B9160E">
        <w:rPr>
          <w:rFonts w:cs="Times New Roman"/>
          <w:color w:val="000000"/>
          <w:szCs w:val="24"/>
          <w:shd w:val="clear" w:color="auto" w:fill="FFFFFF"/>
        </w:rPr>
        <w:t xml:space="preserve"> set to identify the long-period multiples and the random noise within the data. Based on the parameters defined by the user, </w:t>
      </w:r>
      <w:r>
        <w:rPr>
          <w:rFonts w:cs="Times New Roman"/>
          <w:color w:val="000000"/>
          <w:szCs w:val="24"/>
          <w:shd w:val="clear" w:color="auto" w:fill="FFFFFF"/>
        </w:rPr>
        <w:t xml:space="preserve">the </w:t>
      </w:r>
      <w:r w:rsidRPr="00B9160E">
        <w:rPr>
          <w:rFonts w:cs="Times New Roman"/>
          <w:color w:val="000000"/>
          <w:szCs w:val="24"/>
          <w:shd w:val="clear" w:color="auto" w:fill="FFFFFF"/>
        </w:rPr>
        <w:t xml:space="preserve">software creates a model of primary reflection events and noise. After the model is created, the </w:t>
      </w:r>
      <w:r w:rsidRPr="00B9160E">
        <w:rPr>
          <w:rFonts w:cs="Times New Roman"/>
          <w:szCs w:val="24"/>
          <w:shd w:val="clear" w:color="auto" w:fill="FFFFFF"/>
        </w:rPr>
        <w:t xml:space="preserve">software </w:t>
      </w:r>
      <w:r w:rsidRPr="00B9160E">
        <w:rPr>
          <w:rFonts w:cs="Times New Roman"/>
          <w:color w:val="000000"/>
          <w:szCs w:val="24"/>
          <w:shd w:val="clear" w:color="auto" w:fill="FFFFFF"/>
        </w:rPr>
        <w:t xml:space="preserve">then subtracts the model of these multiples and the random noise from the data. </w:t>
      </w:r>
    </w:p>
    <w:p w14:paraId="6A129D31" w14:textId="313F29F3" w:rsidR="001D03A7" w:rsidRPr="00346AEB" w:rsidRDefault="00090F82" w:rsidP="00346AEB">
      <w:pPr>
        <w:ind w:firstLine="720"/>
        <w:rPr>
          <w:rFonts w:cs="Times New Roman"/>
          <w:color w:val="000000"/>
          <w:szCs w:val="24"/>
          <w:shd w:val="clear" w:color="auto" w:fill="FFFFFF"/>
        </w:rPr>
      </w:pPr>
      <w:r w:rsidRPr="00B9160E">
        <w:rPr>
          <w:rFonts w:cs="Times New Roman"/>
          <w:color w:val="000000"/>
          <w:szCs w:val="24"/>
          <w:shd w:val="clear" w:color="auto" w:fill="FFFFFF"/>
        </w:rPr>
        <w:t xml:space="preserve">This </w:t>
      </w:r>
      <w:r w:rsidR="005A2B16">
        <w:rPr>
          <w:rFonts w:cs="Times New Roman"/>
          <w:color w:val="000000"/>
          <w:szCs w:val="24"/>
          <w:shd w:val="clear" w:color="auto" w:fill="FFFFFF"/>
        </w:rPr>
        <w:t xml:space="preserve">data </w:t>
      </w:r>
      <w:r w:rsidR="006945CF">
        <w:rPr>
          <w:rFonts w:cs="Times New Roman"/>
          <w:color w:val="000000"/>
          <w:szCs w:val="24"/>
          <w:shd w:val="clear" w:color="auto" w:fill="FFFFFF"/>
        </w:rPr>
        <w:t>are</w:t>
      </w:r>
      <w:r w:rsidR="005A2B16">
        <w:rPr>
          <w:rFonts w:cs="Times New Roman"/>
          <w:color w:val="000000"/>
          <w:szCs w:val="24"/>
          <w:shd w:val="clear" w:color="auto" w:fill="FFFFFF"/>
        </w:rPr>
        <w:t xml:space="preserve"> modeled using a </w:t>
      </w:r>
      <w:r w:rsidRPr="00B9160E">
        <w:rPr>
          <w:rFonts w:cs="Times New Roman"/>
          <w:color w:val="000000"/>
          <w:szCs w:val="24"/>
          <w:shd w:val="clear" w:color="auto" w:fill="FFFFFF"/>
        </w:rPr>
        <w:t xml:space="preserve">Radon transform </w:t>
      </w:r>
      <w:r w:rsidR="006945CF">
        <w:rPr>
          <w:rFonts w:cs="Times New Roman"/>
          <w:color w:val="000000"/>
          <w:szCs w:val="24"/>
        </w:rPr>
        <w:t xml:space="preserve">that </w:t>
      </w:r>
      <w:r w:rsidR="006945CF" w:rsidRPr="00B9160E">
        <w:rPr>
          <w:rFonts w:cs="Times New Roman"/>
          <w:color w:val="000000"/>
          <w:szCs w:val="24"/>
        </w:rPr>
        <w:t>assumes</w:t>
      </w:r>
      <w:r w:rsidRPr="00B9160E">
        <w:rPr>
          <w:rFonts w:cs="Times New Roman"/>
          <w:color w:val="000000"/>
          <w:szCs w:val="24"/>
        </w:rPr>
        <w:t xml:space="preserve"> that the coherent data within a pre-stack gather can be modeled as a linear combination</w:t>
      </w:r>
      <w:r w:rsidR="003D550A">
        <w:rPr>
          <w:rFonts w:cs="Times New Roman"/>
          <w:color w:val="000000"/>
          <w:szCs w:val="24"/>
        </w:rPr>
        <w:t xml:space="preserve"> </w:t>
      </w:r>
      <w:r w:rsidR="006945CF" w:rsidRPr="00B9160E">
        <w:rPr>
          <w:rFonts w:cs="Times New Roman"/>
          <w:color w:val="000000"/>
          <w:szCs w:val="24"/>
        </w:rPr>
        <w:t>of constant</w:t>
      </w:r>
      <w:r w:rsidR="006945CF">
        <w:rPr>
          <w:rFonts w:cs="Times New Roman"/>
          <w:color w:val="000000"/>
          <w:szCs w:val="24"/>
        </w:rPr>
        <w:t xml:space="preserve"> amplitude </w:t>
      </w:r>
      <w:r w:rsidRPr="00B9160E">
        <w:rPr>
          <w:rFonts w:cs="Times New Roman"/>
          <w:color w:val="000000"/>
          <w:szCs w:val="24"/>
        </w:rPr>
        <w:t xml:space="preserve">parabolic </w:t>
      </w:r>
      <w:r w:rsidR="00120DF1">
        <w:rPr>
          <w:rFonts w:cs="Times New Roman"/>
          <w:color w:val="000000"/>
          <w:szCs w:val="24"/>
        </w:rPr>
        <w:t>events</w:t>
      </w:r>
      <w:r w:rsidRPr="00B9160E">
        <w:rPr>
          <w:rFonts w:cs="Times New Roman"/>
          <w:color w:val="000000"/>
          <w:szCs w:val="24"/>
        </w:rPr>
        <w:t xml:space="preserve">. Since </w:t>
      </w:r>
      <w:r>
        <w:rPr>
          <w:rFonts w:cs="Times New Roman"/>
          <w:color w:val="000000"/>
          <w:szCs w:val="24"/>
        </w:rPr>
        <w:t xml:space="preserve">the </w:t>
      </w:r>
      <w:r w:rsidR="006945CF">
        <w:rPr>
          <w:rFonts w:cs="Times New Roman"/>
          <w:color w:val="000000"/>
          <w:szCs w:val="24"/>
        </w:rPr>
        <w:t xml:space="preserve">transform is </w:t>
      </w:r>
      <w:r w:rsidR="006945CF" w:rsidRPr="00B9160E">
        <w:rPr>
          <w:rFonts w:cs="Times New Roman"/>
          <w:color w:val="000000"/>
          <w:szCs w:val="24"/>
        </w:rPr>
        <w:t>applied</w:t>
      </w:r>
      <w:r w:rsidRPr="00B9160E">
        <w:rPr>
          <w:rFonts w:cs="Times New Roman"/>
          <w:color w:val="000000"/>
          <w:szCs w:val="24"/>
        </w:rPr>
        <w:t xml:space="preserve"> to the NMO-corrected data, the primary</w:t>
      </w:r>
      <w:r w:rsidR="006945CF">
        <w:rPr>
          <w:rFonts w:cs="Times New Roman"/>
          <w:color w:val="000000"/>
          <w:szCs w:val="24"/>
        </w:rPr>
        <w:t xml:space="preserve"> P-wave</w:t>
      </w:r>
      <w:r w:rsidRPr="00B9160E">
        <w:rPr>
          <w:rFonts w:cs="Times New Roman"/>
          <w:color w:val="000000"/>
          <w:szCs w:val="24"/>
        </w:rPr>
        <w:t xml:space="preserve"> events have a moveout of about 0 ms, while </w:t>
      </w:r>
      <w:r w:rsidR="006945CF">
        <w:rPr>
          <w:rFonts w:cs="Times New Roman"/>
          <w:color w:val="000000"/>
          <w:szCs w:val="24"/>
        </w:rPr>
        <w:t>slower</w:t>
      </w:r>
      <w:r w:rsidRPr="00B9160E">
        <w:rPr>
          <w:rFonts w:cs="Times New Roman"/>
          <w:color w:val="000000"/>
          <w:szCs w:val="24"/>
        </w:rPr>
        <w:t xml:space="preserve"> multiples</w:t>
      </w:r>
      <w:r w:rsidR="000A75E4">
        <w:rPr>
          <w:rFonts w:cs="Times New Roman"/>
          <w:color w:val="000000"/>
          <w:szCs w:val="24"/>
        </w:rPr>
        <w:t xml:space="preserve"> and converted waves will have</w:t>
      </w:r>
      <w:r w:rsidRPr="00B9160E">
        <w:rPr>
          <w:rFonts w:cs="Times New Roman"/>
          <w:color w:val="000000"/>
          <w:szCs w:val="24"/>
        </w:rPr>
        <w:t xml:space="preserve"> </w:t>
      </w:r>
      <w:r w:rsidR="000A75E4">
        <w:rPr>
          <w:rFonts w:cs="Times New Roman"/>
          <w:color w:val="000000"/>
          <w:szCs w:val="24"/>
        </w:rPr>
        <w:t xml:space="preserve">greater </w:t>
      </w:r>
      <w:r w:rsidRPr="00B9160E">
        <w:rPr>
          <w:rFonts w:cs="Times New Roman"/>
          <w:color w:val="000000"/>
          <w:szCs w:val="24"/>
        </w:rPr>
        <w:t>moveouts.</w:t>
      </w:r>
      <w:r w:rsidR="00AF2B63">
        <w:rPr>
          <w:rFonts w:cs="Times New Roman"/>
          <w:color w:val="000000"/>
          <w:szCs w:val="24"/>
        </w:rPr>
        <w:t xml:space="preserve"> </w:t>
      </w:r>
      <w:r w:rsidR="001D03A7">
        <w:rPr>
          <w:rFonts w:cs="Times New Roman"/>
          <w:color w:val="000000"/>
          <w:szCs w:val="24"/>
        </w:rPr>
        <w:t xml:space="preserve">These larger moveout events are then used to generate a model of the coherent noise </w:t>
      </w:r>
      <w:r w:rsidR="00227847">
        <w:rPr>
          <w:rFonts w:cs="Times New Roman"/>
          <w:color w:val="000000"/>
          <w:szCs w:val="24"/>
        </w:rPr>
        <w:t xml:space="preserve">which is then subtracted from the input gather </w:t>
      </w:r>
      <w:r w:rsidR="00AF2B63">
        <w:rPr>
          <w:rFonts w:cs="Times New Roman"/>
          <w:color w:val="000000"/>
          <w:szCs w:val="24"/>
        </w:rPr>
        <w:t xml:space="preserve">giving the </w:t>
      </w:r>
      <w:r w:rsidR="00574034">
        <w:rPr>
          <w:rFonts w:cs="Times New Roman"/>
          <w:color w:val="000000"/>
          <w:szCs w:val="24"/>
        </w:rPr>
        <w:t>result seen</w:t>
      </w:r>
      <w:r w:rsidR="00AF2B63">
        <w:rPr>
          <w:rFonts w:cs="Times New Roman"/>
          <w:color w:val="000000"/>
          <w:szCs w:val="24"/>
        </w:rPr>
        <w:t xml:space="preserve"> in Figure B-1.</w:t>
      </w:r>
    </w:p>
    <w:p w14:paraId="1E28CB6E" w14:textId="7F95AEE8" w:rsidR="00090F82" w:rsidRPr="00B9160E" w:rsidRDefault="00090F82" w:rsidP="00090F82">
      <w:pPr>
        <w:rPr>
          <w:rFonts w:cs="Times New Roman"/>
          <w:color w:val="000000"/>
          <w:szCs w:val="24"/>
        </w:rPr>
      </w:pPr>
      <w:r w:rsidRPr="00B9160E">
        <w:rPr>
          <w:rFonts w:cs="Times New Roman"/>
          <w:color w:val="000000"/>
          <w:szCs w:val="24"/>
        </w:rPr>
        <w:lastRenderedPageBreak/>
        <w:t xml:space="preserve">The </w:t>
      </w:r>
      <w:r>
        <w:rPr>
          <w:rFonts w:cs="Times New Roman"/>
          <w:color w:val="000000"/>
          <w:szCs w:val="24"/>
        </w:rPr>
        <w:t>critical</w:t>
      </w:r>
      <w:r w:rsidRPr="00B9160E">
        <w:rPr>
          <w:rFonts w:cs="Times New Roman"/>
          <w:color w:val="000000"/>
          <w:szCs w:val="24"/>
        </w:rPr>
        <w:t xml:space="preserve"> element in this filtering process is defining the range of the move</w:t>
      </w:r>
      <w:r>
        <w:rPr>
          <w:rFonts w:cs="Times New Roman"/>
          <w:color w:val="000000"/>
          <w:szCs w:val="24"/>
        </w:rPr>
        <w:t>-</w:t>
      </w:r>
      <w:r w:rsidRPr="00B9160E">
        <w:rPr>
          <w:rFonts w:cs="Times New Roman"/>
          <w:color w:val="000000"/>
          <w:szCs w:val="24"/>
        </w:rPr>
        <w:t>out values for the artifacts and the number of parabolas for the noise modeling. The first part is done by visually inspecting the input gather and determin</w:t>
      </w:r>
      <w:r>
        <w:rPr>
          <w:rFonts w:cs="Times New Roman"/>
          <w:color w:val="000000"/>
          <w:szCs w:val="24"/>
        </w:rPr>
        <w:t>ing</w:t>
      </w:r>
      <w:r w:rsidRPr="00B9160E">
        <w:rPr>
          <w:rFonts w:cs="Times New Roman"/>
          <w:color w:val="000000"/>
          <w:szCs w:val="24"/>
        </w:rPr>
        <w:t xml:space="preserve"> the range of move</w:t>
      </w:r>
      <w:r>
        <w:rPr>
          <w:rFonts w:cs="Times New Roman"/>
          <w:color w:val="000000"/>
          <w:szCs w:val="24"/>
        </w:rPr>
        <w:t>-</w:t>
      </w:r>
      <w:r w:rsidRPr="00B9160E">
        <w:rPr>
          <w:rFonts w:cs="Times New Roman"/>
          <w:color w:val="000000"/>
          <w:szCs w:val="24"/>
        </w:rPr>
        <w:t xml:space="preserve">outs. Once the range is defined, the number of parabolas can be calculated based on the rule that at least one parabola is needed to model each half-wavelength at the farthest offset. To fine-tune the filtering parameters and QC the results, the filtering process was done iteratively by perturbing the parameters at each step and inspecting the rejected noise and the output. Figure </w:t>
      </w:r>
      <w:r w:rsidR="0042192C">
        <w:rPr>
          <w:rFonts w:cs="Times New Roman"/>
          <w:color w:val="000000"/>
          <w:szCs w:val="24"/>
        </w:rPr>
        <w:t>B</w:t>
      </w:r>
      <w:r w:rsidR="00410A33">
        <w:rPr>
          <w:rFonts w:cs="Times New Roman"/>
          <w:color w:val="000000"/>
          <w:szCs w:val="24"/>
        </w:rPr>
        <w:t>.</w:t>
      </w:r>
      <w:r>
        <w:rPr>
          <w:rFonts w:cs="Times New Roman"/>
          <w:color w:val="000000"/>
          <w:szCs w:val="24"/>
        </w:rPr>
        <w:t>1</w:t>
      </w:r>
      <w:r w:rsidRPr="00B9160E">
        <w:rPr>
          <w:rFonts w:cs="Times New Roman"/>
          <w:color w:val="000000"/>
          <w:szCs w:val="24"/>
        </w:rPr>
        <w:t xml:space="preserve"> shows the result of the parabolic Radon filtering where the random and coherent noise is eliminated, and no artifacts were artificially created at the filtered gather.</w:t>
      </w:r>
    </w:p>
    <w:p w14:paraId="418FE730" w14:textId="77777777" w:rsidR="00B34D67" w:rsidRDefault="00090F82" w:rsidP="00B34D67">
      <w:pPr>
        <w:pStyle w:val="Caption"/>
        <w:keepNext/>
      </w:pPr>
      <w:r>
        <w:rPr>
          <w:rFonts w:cs="Times New Roman"/>
          <w:noProof/>
          <w:szCs w:val="24"/>
        </w:rPr>
        <w:drawing>
          <wp:inline distT="0" distB="0" distL="0" distR="0" wp14:anchorId="18C15DE8" wp14:editId="4D3C4122">
            <wp:extent cx="5845298" cy="3522428"/>
            <wp:effectExtent l="0" t="0" r="3175" b="1905"/>
            <wp:docPr id="36" name="Picture 3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medium confidence"/>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860079" cy="3531335"/>
                    </a:xfrm>
                    <a:prstGeom prst="rect">
                      <a:avLst/>
                    </a:prstGeom>
                    <a:noFill/>
                  </pic:spPr>
                </pic:pic>
              </a:graphicData>
            </a:graphic>
          </wp:inline>
        </w:drawing>
      </w:r>
    </w:p>
    <w:p w14:paraId="1E10F52F" w14:textId="2349796E" w:rsidR="00090F82" w:rsidRPr="00B34D67" w:rsidRDefault="00B34D67" w:rsidP="00661736">
      <w:pPr>
        <w:pStyle w:val="Caption"/>
      </w:pPr>
      <w:bookmarkStart w:id="148" w:name="_Toc121095489"/>
      <w:r w:rsidRPr="00B34D67">
        <w:rPr>
          <w:b/>
          <w:bCs/>
        </w:rPr>
        <w:t xml:space="preserve">Figure 2-B. </w:t>
      </w:r>
      <w:r w:rsidRPr="00B34D67">
        <w:rPr>
          <w:b/>
          <w:bCs/>
        </w:rPr>
        <w:fldChar w:fldCharType="begin"/>
      </w:r>
      <w:r w:rsidRPr="00B34D67">
        <w:rPr>
          <w:b/>
          <w:bCs/>
        </w:rPr>
        <w:instrText xml:space="preserve"> SEQ Figure_2-B. \* ARABIC </w:instrText>
      </w:r>
      <w:r w:rsidRPr="00B34D67">
        <w:rPr>
          <w:b/>
          <w:bCs/>
        </w:rPr>
        <w:fldChar w:fldCharType="separate"/>
      </w:r>
      <w:r w:rsidR="00B52D1E">
        <w:rPr>
          <w:b/>
          <w:bCs/>
          <w:noProof/>
        </w:rPr>
        <w:t>1</w:t>
      </w:r>
      <w:r w:rsidRPr="00B34D67">
        <w:rPr>
          <w:b/>
          <w:bCs/>
        </w:rPr>
        <w:fldChar w:fldCharType="end"/>
      </w:r>
      <w:r w:rsidR="00116076" w:rsidRPr="00B34D67">
        <w:rPr>
          <w:b/>
          <w:bCs/>
        </w:rPr>
        <w:t>:</w:t>
      </w:r>
      <w:r w:rsidR="00116076">
        <w:rPr>
          <w:b/>
          <w:bCs/>
        </w:rPr>
        <w:t xml:space="preserve"> </w:t>
      </w:r>
      <w:r w:rsidR="00661736">
        <w:rPr>
          <w:rFonts w:cs="Times New Roman"/>
          <w:iCs w:val="0"/>
          <w:szCs w:val="24"/>
        </w:rPr>
        <w:t>Pre-stack gathers before the conditioning (left image), conditioned gathers (middle image), and the noise subtracted from the original data (right image).</w:t>
      </w:r>
      <w:bookmarkEnd w:id="148"/>
    </w:p>
    <w:p w14:paraId="0B9AC4B9" w14:textId="39517F25" w:rsidR="00090F82" w:rsidRPr="00605CD5" w:rsidRDefault="00090F82" w:rsidP="00090F82">
      <w:pPr>
        <w:pStyle w:val="Caption"/>
        <w:rPr>
          <w:rFonts w:cs="Times New Roman"/>
          <w:iCs w:val="0"/>
          <w:szCs w:val="24"/>
        </w:rPr>
      </w:pPr>
      <w:r>
        <w:rPr>
          <w:rFonts w:cs="Times New Roman"/>
          <w:iCs w:val="0"/>
          <w:szCs w:val="24"/>
        </w:rPr>
        <w:br w:type="page"/>
      </w:r>
    </w:p>
    <w:p w14:paraId="4B79ACF8" w14:textId="77777777" w:rsidR="00090F82" w:rsidRPr="00B9160E" w:rsidRDefault="00090F82" w:rsidP="00090F82">
      <w:pPr>
        <w:pStyle w:val="Heading3"/>
      </w:pPr>
      <w:bookmarkStart w:id="149" w:name="_Toc119516632"/>
      <w:bookmarkStart w:id="150" w:name="_Toc121095967"/>
      <w:r w:rsidRPr="00B9160E">
        <w:lastRenderedPageBreak/>
        <w:t>Angle gather calculation</w:t>
      </w:r>
      <w:bookmarkEnd w:id="149"/>
      <w:bookmarkEnd w:id="150"/>
    </w:p>
    <w:p w14:paraId="15ED960A" w14:textId="77777777" w:rsidR="00090F82" w:rsidRPr="00B9160E" w:rsidRDefault="00090F82" w:rsidP="00090F82">
      <w:pPr>
        <w:ind w:firstLine="720"/>
        <w:rPr>
          <w:rFonts w:cs="Times New Roman"/>
          <w:szCs w:val="24"/>
        </w:rPr>
      </w:pPr>
      <w:r w:rsidRPr="00B9160E">
        <w:rPr>
          <w:rFonts w:cs="Times New Roman"/>
          <w:szCs w:val="24"/>
        </w:rPr>
        <w:t>As the last step in the gather pre-conditioning, 30</w:t>
      </w:r>
      <w:r w:rsidRPr="00B9160E">
        <w:rPr>
          <w:rFonts w:cs="Times New Roman"/>
          <w:szCs w:val="24"/>
          <w:vertAlign w:val="superscript"/>
        </w:rPr>
        <w:t>0</w:t>
      </w:r>
      <w:r w:rsidRPr="00B9160E">
        <w:rPr>
          <w:rFonts w:cs="Times New Roman"/>
          <w:szCs w:val="24"/>
        </w:rPr>
        <w:t xml:space="preserve"> angle mute </w:t>
      </w:r>
      <w:r>
        <w:rPr>
          <w:rFonts w:cs="Times New Roman"/>
          <w:szCs w:val="24"/>
        </w:rPr>
        <w:t xml:space="preserve">was </w:t>
      </w:r>
      <w:r w:rsidRPr="00B9160E">
        <w:rPr>
          <w:rFonts w:cs="Times New Roman"/>
          <w:szCs w:val="24"/>
        </w:rPr>
        <w:t>applied to the radon</w:t>
      </w:r>
      <w:r>
        <w:rPr>
          <w:rFonts w:cs="Times New Roman"/>
          <w:szCs w:val="24"/>
        </w:rPr>
        <w:t>-</w:t>
      </w:r>
      <w:r w:rsidRPr="00B9160E">
        <w:rPr>
          <w:rFonts w:cs="Times New Roman"/>
          <w:szCs w:val="24"/>
        </w:rPr>
        <w:t>filtered gathers</w:t>
      </w:r>
      <w:r>
        <w:rPr>
          <w:rFonts w:cs="Times New Roman"/>
          <w:szCs w:val="24"/>
        </w:rPr>
        <w:t>,</w:t>
      </w:r>
      <w:r w:rsidRPr="00B9160E">
        <w:rPr>
          <w:rFonts w:cs="Times New Roman"/>
          <w:szCs w:val="24"/>
        </w:rPr>
        <w:t xml:space="preserve"> and angle gather was calculated to convert the gathers from offset to the incident angle domain (Figure A-</w:t>
      </w:r>
      <w:r>
        <w:rPr>
          <w:rFonts w:cs="Times New Roman"/>
          <w:szCs w:val="24"/>
        </w:rPr>
        <w:t>2</w:t>
      </w:r>
      <w:r w:rsidRPr="00B9160E">
        <w:rPr>
          <w:rFonts w:cs="Times New Roman"/>
          <w:szCs w:val="24"/>
        </w:rPr>
        <w:t>) to be used in the pre-stack simultaneous inversion process. This calculation was done by Ray Tracing Method using the RMS velocity information to map each sample to its corresponding incident angle by the equation below:</w:t>
      </w:r>
    </w:p>
    <w:p w14:paraId="56A1BF58" w14:textId="77777777" w:rsidR="00090F82" w:rsidRDefault="00090F82" w:rsidP="00090F82">
      <w:pPr>
        <w:keepNext/>
        <w:jc w:val="center"/>
        <w:rPr>
          <w:rFonts w:cs="Times New Roman"/>
          <w:szCs w:val="24"/>
        </w:rPr>
      </w:pPr>
      <m:oMath>
        <m:r>
          <w:rPr>
            <w:rFonts w:ascii="Cambria Math" w:hAnsi="Cambria Math" w:cs="Times New Roman"/>
            <w:sz w:val="28"/>
            <w:szCs w:val="28"/>
          </w:rPr>
          <m:t>tan θ=</m:t>
        </m:r>
        <m:f>
          <m:fPr>
            <m:ctrlPr>
              <w:rPr>
                <w:rFonts w:ascii="Cambria Math" w:hAnsi="Cambria Math" w:cs="Times New Roman"/>
                <w:i/>
                <w:sz w:val="28"/>
                <w:szCs w:val="28"/>
              </w:rPr>
            </m:ctrlPr>
          </m:fPr>
          <m:num>
            <m:r>
              <w:rPr>
                <w:rFonts w:ascii="Cambria Math" w:hAnsi="Cambria Math" w:cs="Times New Roman"/>
                <w:sz w:val="28"/>
                <w:szCs w:val="28"/>
              </w:rPr>
              <m:t>X</m:t>
            </m:r>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RMS</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0</m:t>
                    </m:r>
                  </m:sub>
                </m:sSub>
              </m:sub>
            </m:sSub>
          </m:den>
        </m:f>
      </m:oMath>
      <w:r>
        <w:rPr>
          <w:rFonts w:eastAsiaTheme="minorEastAsia"/>
          <w:sz w:val="28"/>
          <w:szCs w:val="28"/>
        </w:rPr>
        <w:t xml:space="preserve">                                                                                                    </w:t>
      </w:r>
      <w:r w:rsidRPr="008F7939">
        <w:rPr>
          <w:rFonts w:cs="Times New Roman"/>
          <w:szCs w:val="24"/>
        </w:rPr>
        <w:t>(A-1)</w:t>
      </w:r>
    </w:p>
    <w:p w14:paraId="16367846" w14:textId="77777777" w:rsidR="00090F82" w:rsidRDefault="00090F82" w:rsidP="00090F82">
      <w:pPr>
        <w:keepNext/>
        <w:ind w:firstLine="720"/>
      </w:pPr>
      <w:r w:rsidRPr="009E0DCA">
        <w:t>Where</w:t>
      </w:r>
      <m:oMath>
        <m:r>
          <w:rPr>
            <w:rFonts w:ascii="Cambria Math" w:hAnsi="Cambria Math"/>
          </w:rPr>
          <m:t xml:space="preserve"> θ</m:t>
        </m:r>
      </m:oMath>
      <w:r w:rsidRPr="009E0DCA">
        <w:t xml:space="preserve"> is the incidence angle, and X equals the offset, and </w:t>
      </w:r>
      <m:oMath>
        <m:sSub>
          <m:sSubPr>
            <m:ctrlPr>
              <w:rPr>
                <w:rFonts w:ascii="Cambria Math" w:hAnsi="Cambria Math"/>
              </w:rPr>
            </m:ctrlPr>
          </m:sSubPr>
          <m:e>
            <m:r>
              <w:rPr>
                <w:rFonts w:ascii="Cambria Math" w:hAnsi="Cambria Math"/>
              </w:rPr>
              <m:t>V</m:t>
            </m:r>
          </m:e>
          <m:sub>
            <m:r>
              <w:rPr>
                <w:rFonts w:ascii="Cambria Math" w:hAnsi="Cambria Math"/>
              </w:rPr>
              <m:t>RMS</m:t>
            </m:r>
          </m:sub>
        </m:sSub>
      </m:oMath>
      <w:r w:rsidRPr="009E0DCA">
        <w:t xml:space="preserve"> </w:t>
      </w:r>
      <w:r>
        <w:t>I</w:t>
      </w:r>
      <w:r w:rsidRPr="009E0DCA">
        <w:t xml:space="preserve">s the RMS velocity and </w:t>
      </w:r>
      <m:oMath>
        <m:sSub>
          <m:sSubPr>
            <m:ctrlPr>
              <w:rPr>
                <w:rFonts w:ascii="Cambria Math" w:hAnsi="Cambria Math"/>
              </w:rPr>
            </m:ctrlPr>
          </m:sSubPr>
          <m:e>
            <m:r>
              <w:rPr>
                <w:rFonts w:ascii="Cambria Math" w:hAnsi="Cambria Math"/>
              </w:rPr>
              <m:t>t</m:t>
            </m:r>
          </m:e>
          <m:sub>
            <m:r>
              <w:rPr>
                <w:rFonts w:ascii="Cambria Math" w:hAnsi="Cambria Math"/>
              </w:rPr>
              <m:t>0</m:t>
            </m:r>
          </m:sub>
        </m:sSub>
      </m:oMath>
      <w:r w:rsidRPr="009E0DCA">
        <w:t xml:space="preserve"> zero-offset travel time. For this study, the angle gathers were created by binning the traces</w:t>
      </w:r>
      <w:r>
        <w:rPr>
          <w:rFonts w:eastAsiaTheme="minorEastAsia" w:cs="Times New Roman"/>
          <w:szCs w:val="24"/>
        </w:rPr>
        <w:t xml:space="preserve"> into 10 angle bins ranging from 0 to 30 degrees.</w:t>
      </w:r>
      <w:r w:rsidRPr="00702D05">
        <w:rPr>
          <w:rFonts w:eastAsiaTheme="minorEastAsia" w:cs="Times New Roman"/>
          <w:szCs w:val="24"/>
        </w:rPr>
        <w:t xml:space="preserve"> </w:t>
      </w:r>
      <w:r>
        <w:rPr>
          <w:rFonts w:eastAsiaTheme="minorEastAsia" w:cs="Times New Roman"/>
          <w:szCs w:val="24"/>
        </w:rPr>
        <w:t>Figure A-3 shows the angle muting process, and the final angle gather output.</w:t>
      </w:r>
    </w:p>
    <w:p w14:paraId="756D8D93" w14:textId="77777777" w:rsidR="00B34D67" w:rsidRDefault="00090F82" w:rsidP="00B34D67">
      <w:pPr>
        <w:keepNext/>
        <w:jc w:val="center"/>
      </w:pPr>
      <w:r>
        <w:rPr>
          <w:noProof/>
        </w:rPr>
        <w:drawing>
          <wp:inline distT="0" distB="0" distL="0" distR="0" wp14:anchorId="1B9B8381" wp14:editId="6D1DCA9E">
            <wp:extent cx="4593766" cy="2473569"/>
            <wp:effectExtent l="0" t="0" r="0" b="3175"/>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830861" cy="2601236"/>
                    </a:xfrm>
                    <a:prstGeom prst="rect">
                      <a:avLst/>
                    </a:prstGeom>
                    <a:noFill/>
                    <a:ln>
                      <a:noFill/>
                    </a:ln>
                  </pic:spPr>
                </pic:pic>
              </a:graphicData>
            </a:graphic>
          </wp:inline>
        </w:drawing>
      </w:r>
    </w:p>
    <w:p w14:paraId="530E5B2C" w14:textId="509FD102" w:rsidR="00410A33" w:rsidRPr="00116076" w:rsidRDefault="00B34D67" w:rsidP="00B34D67">
      <w:pPr>
        <w:pStyle w:val="Caption"/>
      </w:pPr>
      <w:bookmarkStart w:id="151" w:name="_Toc121095490"/>
      <w:r w:rsidRPr="00B34D67">
        <w:rPr>
          <w:b/>
          <w:bCs/>
        </w:rPr>
        <w:t xml:space="preserve">Figure 2-B. </w:t>
      </w:r>
      <w:r w:rsidRPr="00B34D67">
        <w:rPr>
          <w:b/>
          <w:bCs/>
        </w:rPr>
        <w:fldChar w:fldCharType="begin"/>
      </w:r>
      <w:r w:rsidRPr="00B34D67">
        <w:rPr>
          <w:b/>
          <w:bCs/>
        </w:rPr>
        <w:instrText xml:space="preserve"> SEQ Figure_2-B. \* ARABIC </w:instrText>
      </w:r>
      <w:r w:rsidRPr="00B34D67">
        <w:rPr>
          <w:b/>
          <w:bCs/>
        </w:rPr>
        <w:fldChar w:fldCharType="separate"/>
      </w:r>
      <w:r w:rsidR="00B52D1E">
        <w:rPr>
          <w:b/>
          <w:bCs/>
          <w:noProof/>
        </w:rPr>
        <w:t>2</w:t>
      </w:r>
      <w:r w:rsidRPr="00B34D67">
        <w:rPr>
          <w:b/>
          <w:bCs/>
        </w:rPr>
        <w:fldChar w:fldCharType="end"/>
      </w:r>
      <w:r w:rsidRPr="00B34D67">
        <w:rPr>
          <w:b/>
          <w:bCs/>
        </w:rPr>
        <w:t>:</w:t>
      </w:r>
      <w:r>
        <w:rPr>
          <w:rFonts w:cs="Times New Roman"/>
          <w:iCs w:val="0"/>
          <w:szCs w:val="24"/>
        </w:rPr>
        <w:t xml:space="preserve"> </w:t>
      </w:r>
      <w:r w:rsidR="00410A33">
        <w:rPr>
          <w:rFonts w:cs="Times New Roman"/>
          <w:iCs w:val="0"/>
          <w:szCs w:val="24"/>
        </w:rPr>
        <w:t>Offset to incidence angle conversion (Taken from CGG Geoview software manual).</w:t>
      </w:r>
      <w:bookmarkEnd w:id="151"/>
    </w:p>
    <w:p w14:paraId="42B0DF16" w14:textId="68CC901B" w:rsidR="00090F82" w:rsidRDefault="00090F82" w:rsidP="00410A33">
      <w:pPr>
        <w:pStyle w:val="Caption"/>
      </w:pPr>
    </w:p>
    <w:p w14:paraId="4D52A5D0" w14:textId="77777777" w:rsidR="00B34D67" w:rsidRDefault="00090F82" w:rsidP="00B34D67">
      <w:pPr>
        <w:keepNext/>
        <w:tabs>
          <w:tab w:val="left" w:pos="9270"/>
        </w:tabs>
      </w:pPr>
      <w:r>
        <w:rPr>
          <w:noProof/>
        </w:rPr>
        <w:lastRenderedPageBreak/>
        <w:drawing>
          <wp:inline distT="0" distB="0" distL="0" distR="0" wp14:anchorId="7355A066" wp14:editId="36F76FED">
            <wp:extent cx="5847493" cy="3515710"/>
            <wp:effectExtent l="0" t="0" r="1270" b="8890"/>
            <wp:docPr id="53" name="Picture 5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imeline&#10;&#10;Description automatically generated with medium confidence"/>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868667" cy="3528440"/>
                    </a:xfrm>
                    <a:prstGeom prst="rect">
                      <a:avLst/>
                    </a:prstGeom>
                    <a:noFill/>
                  </pic:spPr>
                </pic:pic>
              </a:graphicData>
            </a:graphic>
          </wp:inline>
        </w:drawing>
      </w:r>
    </w:p>
    <w:p w14:paraId="257802AB" w14:textId="59B075F2" w:rsidR="00090F82" w:rsidRPr="00B34D67" w:rsidRDefault="00B34D67" w:rsidP="00410A33">
      <w:pPr>
        <w:pStyle w:val="Caption"/>
        <w:rPr>
          <w:b/>
          <w:bCs/>
        </w:rPr>
      </w:pPr>
      <w:bookmarkStart w:id="152" w:name="_Toc121095491"/>
      <w:r w:rsidRPr="00B34D67">
        <w:rPr>
          <w:b/>
          <w:bCs/>
        </w:rPr>
        <w:t xml:space="preserve">Figure 2-B. </w:t>
      </w:r>
      <w:r w:rsidRPr="00B34D67">
        <w:rPr>
          <w:b/>
          <w:bCs/>
        </w:rPr>
        <w:fldChar w:fldCharType="begin"/>
      </w:r>
      <w:r w:rsidRPr="00B34D67">
        <w:rPr>
          <w:b/>
          <w:bCs/>
        </w:rPr>
        <w:instrText xml:space="preserve"> SEQ Figure_2-B. \* ARABIC </w:instrText>
      </w:r>
      <w:r w:rsidRPr="00B34D67">
        <w:rPr>
          <w:b/>
          <w:bCs/>
        </w:rPr>
        <w:fldChar w:fldCharType="separate"/>
      </w:r>
      <w:r w:rsidR="00B52D1E">
        <w:rPr>
          <w:b/>
          <w:bCs/>
          <w:noProof/>
        </w:rPr>
        <w:t>3</w:t>
      </w:r>
      <w:r w:rsidRPr="00B34D67">
        <w:rPr>
          <w:b/>
          <w:bCs/>
        </w:rPr>
        <w:fldChar w:fldCharType="end"/>
      </w:r>
      <w:r w:rsidRPr="00B34D67">
        <w:rPr>
          <w:b/>
          <w:bCs/>
        </w:rPr>
        <w:t xml:space="preserve">: </w:t>
      </w:r>
      <w:r w:rsidR="00410A33">
        <w:rPr>
          <w:rFonts w:cs="Times New Roman"/>
          <w:iCs w:val="0"/>
          <w:szCs w:val="24"/>
        </w:rPr>
        <w:t>Conversion of conditioned gathers from offset to incidence angle domain and angle gather (right image) calculation.</w:t>
      </w:r>
      <w:bookmarkEnd w:id="152"/>
    </w:p>
    <w:p w14:paraId="080B2427" w14:textId="5D5F8FB1" w:rsidR="00090F82" w:rsidRPr="00605CD5" w:rsidRDefault="00090F82" w:rsidP="00090F82">
      <w:pPr>
        <w:pStyle w:val="Caption"/>
        <w:rPr>
          <w:rFonts w:cs="Times New Roman"/>
          <w:iCs w:val="0"/>
          <w:szCs w:val="24"/>
        </w:rPr>
      </w:pPr>
      <w:r>
        <w:rPr>
          <w:rFonts w:cs="Times New Roman"/>
          <w:iCs w:val="0"/>
          <w:szCs w:val="24"/>
        </w:rPr>
        <w:br w:type="page"/>
      </w:r>
    </w:p>
    <w:p w14:paraId="2E76B154" w14:textId="77777777" w:rsidR="00090F82" w:rsidRDefault="00090F82" w:rsidP="00090F82">
      <w:pPr>
        <w:pStyle w:val="Heading2"/>
      </w:pPr>
      <w:bookmarkStart w:id="153" w:name="_Toc119516635"/>
      <w:bookmarkStart w:id="154" w:name="_Toc121095968"/>
      <w:r>
        <w:lastRenderedPageBreak/>
        <w:t xml:space="preserve">Appendix </w:t>
      </w:r>
      <w:bookmarkEnd w:id="153"/>
      <w:r>
        <w:t>C</w:t>
      </w:r>
      <w:bookmarkEnd w:id="154"/>
    </w:p>
    <w:p w14:paraId="1A7DB018" w14:textId="77777777" w:rsidR="00090F82" w:rsidRDefault="00090F82" w:rsidP="00090F82">
      <w:pPr>
        <w:pStyle w:val="Heading3"/>
      </w:pPr>
      <w:bookmarkStart w:id="155" w:name="_Toc119516636"/>
      <w:bookmarkStart w:id="156" w:name="_Toc121095969"/>
      <w:r>
        <w:t>Resampling petrofacies logs in the time domain</w:t>
      </w:r>
      <w:bookmarkEnd w:id="155"/>
      <w:bookmarkEnd w:id="156"/>
    </w:p>
    <w:p w14:paraId="781B1B37" w14:textId="77777777" w:rsidR="00116076" w:rsidRDefault="00090F82" w:rsidP="00116076">
      <w:pPr>
        <w:keepNext/>
        <w:jc w:val="center"/>
      </w:pPr>
      <w:r>
        <w:rPr>
          <w:noProof/>
        </w:rPr>
        <w:drawing>
          <wp:inline distT="0" distB="0" distL="0" distR="0" wp14:anchorId="4D8DAF23" wp14:editId="4F84BBF6">
            <wp:extent cx="3429341" cy="5438775"/>
            <wp:effectExtent l="0" t="0" r="0" b="0"/>
            <wp:docPr id="63" name="Picture 6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485653" cy="5528083"/>
                    </a:xfrm>
                    <a:prstGeom prst="rect">
                      <a:avLst/>
                    </a:prstGeom>
                    <a:noFill/>
                  </pic:spPr>
                </pic:pic>
              </a:graphicData>
            </a:graphic>
          </wp:inline>
        </w:drawing>
      </w:r>
    </w:p>
    <w:p w14:paraId="3A8C81C4" w14:textId="5D268F1F" w:rsidR="00C0485D" w:rsidRPr="00116076" w:rsidRDefault="00116076" w:rsidP="00116076">
      <w:pPr>
        <w:pStyle w:val="Caption"/>
        <w:rPr>
          <w:b/>
          <w:bCs/>
        </w:rPr>
      </w:pPr>
      <w:r w:rsidRPr="00116076">
        <w:rPr>
          <w:b/>
          <w:bCs/>
        </w:rPr>
        <w:t xml:space="preserve">Figure 2-C. </w:t>
      </w:r>
      <w:r w:rsidRPr="00116076">
        <w:rPr>
          <w:b/>
          <w:bCs/>
        </w:rPr>
        <w:fldChar w:fldCharType="begin"/>
      </w:r>
      <w:r w:rsidRPr="00116076">
        <w:rPr>
          <w:b/>
          <w:bCs/>
        </w:rPr>
        <w:instrText xml:space="preserve"> SEQ Figure_2-C. \* ARABIC </w:instrText>
      </w:r>
      <w:r w:rsidRPr="00116076">
        <w:rPr>
          <w:b/>
          <w:bCs/>
        </w:rPr>
        <w:fldChar w:fldCharType="separate"/>
      </w:r>
      <w:r w:rsidR="00B52D1E">
        <w:rPr>
          <w:b/>
          <w:bCs/>
          <w:noProof/>
        </w:rPr>
        <w:t>1</w:t>
      </w:r>
      <w:r w:rsidRPr="00116076">
        <w:rPr>
          <w:b/>
          <w:bCs/>
        </w:rPr>
        <w:fldChar w:fldCharType="end"/>
      </w:r>
      <w:r w:rsidRPr="00116076">
        <w:rPr>
          <w:b/>
          <w:bCs/>
        </w:rPr>
        <w:t xml:space="preserve">: </w:t>
      </w:r>
      <w:r w:rsidR="000D42BF" w:rsidRPr="00466C94">
        <w:t>The example of the</w:t>
      </w:r>
      <w:r w:rsidR="000D42BF">
        <w:rPr>
          <w:b/>
          <w:bCs/>
        </w:rPr>
        <w:t xml:space="preserve"> </w:t>
      </w:r>
      <w:r w:rsidR="000D42BF">
        <w:t>l</w:t>
      </w:r>
      <w:r w:rsidR="00C0485D" w:rsidRPr="00C9015A">
        <w:t xml:space="preserve">og blocking workflow used to upscale the petrofacies logs in </w:t>
      </w:r>
      <w:r w:rsidR="00C0485D">
        <w:t xml:space="preserve">the </w:t>
      </w:r>
      <w:r w:rsidR="00C0485D" w:rsidRPr="00C9015A">
        <w:t xml:space="preserve">time domain. (A) schematic display of </w:t>
      </w:r>
      <w:r w:rsidR="00C0485D">
        <w:t xml:space="preserve">the </w:t>
      </w:r>
      <w:r w:rsidR="00C0485D" w:rsidRPr="00C9015A">
        <w:t xml:space="preserve">blocking method utilized in the commercial software. Petrofacies logs were blocked at a uniform increment defined by the user. The mean value of each block will replace the value at each sample in the block (taken from </w:t>
      </w:r>
      <w:r w:rsidR="00C0485D">
        <w:t xml:space="preserve">the </w:t>
      </w:r>
      <w:r w:rsidR="00C0485D" w:rsidRPr="00C9015A">
        <w:t xml:space="preserve">CGG Geoview software help database). (B) Petrofacies log upscaling results compared to the raw petrofacies logs. Logs were upscaled in </w:t>
      </w:r>
      <w:r w:rsidR="00C0485D">
        <w:t xml:space="preserve">the </w:t>
      </w:r>
      <w:r w:rsidR="00C0485D" w:rsidRPr="00C9015A">
        <w:t>time domain by a block size equal to the seismic sampling interval (2ms).</w:t>
      </w:r>
    </w:p>
    <w:p w14:paraId="62D9549F" w14:textId="3B5B1EF6" w:rsidR="00090F82" w:rsidRPr="00C0485D" w:rsidRDefault="00090F82" w:rsidP="00C0485D">
      <w:pPr>
        <w:pStyle w:val="Caption"/>
        <w:rPr>
          <w:b/>
          <w:bCs/>
        </w:rPr>
      </w:pPr>
    </w:p>
    <w:p w14:paraId="24CE927D" w14:textId="77777777" w:rsidR="00090F82" w:rsidRDefault="00090F82" w:rsidP="00090F82">
      <w:pPr>
        <w:pStyle w:val="Heading2"/>
      </w:pPr>
      <w:bookmarkStart w:id="157" w:name="_Toc119516637"/>
      <w:bookmarkStart w:id="158" w:name="_Toc121095970"/>
      <w:r>
        <w:t xml:space="preserve">Appendix </w:t>
      </w:r>
      <w:bookmarkEnd w:id="157"/>
      <w:r>
        <w:t>D</w:t>
      </w:r>
      <w:bookmarkEnd w:id="158"/>
    </w:p>
    <w:p w14:paraId="23D69AAE" w14:textId="77777777" w:rsidR="00090F82" w:rsidRDefault="00090F82" w:rsidP="00090F82">
      <w:pPr>
        <w:pStyle w:val="Heading3"/>
      </w:pPr>
      <w:bookmarkStart w:id="159" w:name="_Toc119516638"/>
      <w:bookmarkStart w:id="160" w:name="_Toc121095971"/>
      <w:r>
        <w:t>Hyperparameter optimization for the supervised random forest training</w:t>
      </w:r>
      <w:bookmarkEnd w:id="159"/>
      <w:bookmarkEnd w:id="160"/>
    </w:p>
    <w:p w14:paraId="701B432A" w14:textId="77777777" w:rsidR="00B34D67" w:rsidRDefault="00090F82" w:rsidP="00B34D67">
      <w:pPr>
        <w:keepNext/>
        <w:spacing w:line="259" w:lineRule="auto"/>
        <w:jc w:val="center"/>
      </w:pPr>
      <w:r>
        <w:rPr>
          <w:rFonts w:cs="Times New Roman"/>
          <w:noProof/>
          <w:szCs w:val="24"/>
        </w:rPr>
        <w:drawing>
          <wp:inline distT="0" distB="0" distL="0" distR="0" wp14:anchorId="322BBBF0" wp14:editId="52D5AB6C">
            <wp:extent cx="5915025" cy="3626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946470" cy="3645880"/>
                    </a:xfrm>
                    <a:prstGeom prst="rect">
                      <a:avLst/>
                    </a:prstGeom>
                    <a:noFill/>
                  </pic:spPr>
                </pic:pic>
              </a:graphicData>
            </a:graphic>
          </wp:inline>
        </w:drawing>
      </w:r>
    </w:p>
    <w:p w14:paraId="4927D16D" w14:textId="77777777" w:rsidR="00B34D67" w:rsidRDefault="00B34D67" w:rsidP="00B34D67">
      <w:pPr>
        <w:pStyle w:val="Caption"/>
        <w:jc w:val="center"/>
        <w:rPr>
          <w:b/>
          <w:bCs/>
        </w:rPr>
      </w:pPr>
    </w:p>
    <w:p w14:paraId="420FE2A5" w14:textId="3BD1AA92" w:rsidR="00090F82" w:rsidRPr="00B84E1F" w:rsidRDefault="00B34D67" w:rsidP="00B34D67">
      <w:pPr>
        <w:pStyle w:val="Caption"/>
      </w:pPr>
      <w:bookmarkStart w:id="161" w:name="_Toc121095504"/>
      <w:r w:rsidRPr="00B34D67">
        <w:rPr>
          <w:b/>
          <w:bCs/>
        </w:rPr>
        <w:t xml:space="preserve">Figure 2-D. </w:t>
      </w:r>
      <w:r w:rsidRPr="00B34D67">
        <w:rPr>
          <w:b/>
          <w:bCs/>
        </w:rPr>
        <w:fldChar w:fldCharType="begin"/>
      </w:r>
      <w:r w:rsidRPr="00B34D67">
        <w:rPr>
          <w:b/>
          <w:bCs/>
        </w:rPr>
        <w:instrText xml:space="preserve"> SEQ Figure_2-D. \* ARABIC </w:instrText>
      </w:r>
      <w:r w:rsidRPr="00B34D67">
        <w:rPr>
          <w:b/>
          <w:bCs/>
        </w:rPr>
        <w:fldChar w:fldCharType="separate"/>
      </w:r>
      <w:r w:rsidR="00B52D1E">
        <w:rPr>
          <w:b/>
          <w:bCs/>
          <w:noProof/>
        </w:rPr>
        <w:t>1</w:t>
      </w:r>
      <w:r w:rsidRPr="00B34D67">
        <w:rPr>
          <w:b/>
          <w:bCs/>
        </w:rPr>
        <w:fldChar w:fldCharType="end"/>
      </w:r>
      <w:r w:rsidRPr="00B34D67">
        <w:rPr>
          <w:b/>
          <w:bCs/>
        </w:rPr>
        <w:t>:</w:t>
      </w:r>
      <w:r>
        <w:t xml:space="preserve"> </w:t>
      </w:r>
      <w:r w:rsidR="00090F82" w:rsidRPr="00FF7747">
        <w:rPr>
          <w:kern w:val="24"/>
        </w:rPr>
        <w:t xml:space="preserve">Parallel coordinates visualization illustrating hyperparameter optimization for the random forest classifier. The plot displays the combination of each hyperparameter value and the corresponding test score, connected by lines (ranked and color-coded by the average F1 score). The dashed-black line shows hyperparameter values yielded the highest validation score and are used in the random forest model training. </w:t>
      </w:r>
      <w:r w:rsidR="00090F82" w:rsidRPr="00FF7747">
        <w:rPr>
          <w:b/>
          <w:bCs/>
          <w:i/>
          <w:kern w:val="24"/>
        </w:rPr>
        <w:t>n_estimators</w:t>
      </w:r>
      <w:r w:rsidR="00090F82" w:rsidRPr="00FF7747">
        <w:rPr>
          <w:kern w:val="24"/>
        </w:rPr>
        <w:t xml:space="preserve"> parameter defines the total number of decision trees in the forest. T</w:t>
      </w:r>
      <w:r w:rsidR="00090F82" w:rsidRPr="00FF7747">
        <w:rPr>
          <w:rFonts w:eastAsiaTheme="minorEastAsia"/>
          <w:kern w:val="24"/>
        </w:rPr>
        <w:t xml:space="preserve">he </w:t>
      </w:r>
      <w:r w:rsidR="00090F82" w:rsidRPr="00FF7747">
        <w:rPr>
          <w:rFonts w:eastAsiaTheme="minorEastAsia"/>
          <w:b/>
          <w:bCs/>
          <w:i/>
          <w:kern w:val="24"/>
        </w:rPr>
        <w:t>max_depth</w:t>
      </w:r>
      <w:r w:rsidR="00090F82" w:rsidRPr="00FF7747">
        <w:rPr>
          <w:i/>
          <w:kern w:val="24"/>
        </w:rPr>
        <w:t xml:space="preserve"> </w:t>
      </w:r>
      <w:r w:rsidR="00090F82" w:rsidRPr="00FF7747">
        <w:rPr>
          <w:kern w:val="24"/>
        </w:rPr>
        <w:t>parameter</w:t>
      </w:r>
      <w:r w:rsidR="00090F82" w:rsidRPr="00FF7747">
        <w:rPr>
          <w:rFonts w:eastAsiaTheme="minorEastAsia"/>
          <w:kern w:val="24"/>
        </w:rPr>
        <w:t xml:space="preserve"> is defined as </w:t>
      </w:r>
      <w:r w:rsidR="00090F82" w:rsidRPr="00FF7747">
        <w:rPr>
          <w:kern w:val="24"/>
        </w:rPr>
        <w:t xml:space="preserve">the maximum depth of the tree. The </w:t>
      </w:r>
      <w:r w:rsidR="00090F82" w:rsidRPr="00FF7747">
        <w:rPr>
          <w:b/>
          <w:bCs/>
          <w:i/>
          <w:kern w:val="24"/>
        </w:rPr>
        <w:t>max_features</w:t>
      </w:r>
      <w:r w:rsidR="00090F82" w:rsidRPr="00FF7747">
        <w:rPr>
          <w:kern w:val="24"/>
        </w:rPr>
        <w:t xml:space="preserve"> parameter is the number </w:t>
      </w:r>
      <w:r w:rsidR="00090F82" w:rsidRPr="00FF7747">
        <w:rPr>
          <w:rFonts w:eastAsiaTheme="minorEastAsia"/>
          <w:kern w:val="24"/>
        </w:rPr>
        <w:t>of maximum features provided to each tree in a random forest.</w:t>
      </w:r>
      <w:r w:rsidR="00090F82" w:rsidRPr="00FF7747">
        <w:rPr>
          <w:kern w:val="24"/>
        </w:rPr>
        <w:t xml:space="preserve"> The </w:t>
      </w:r>
      <w:r w:rsidR="00090F82" w:rsidRPr="00FF7747">
        <w:rPr>
          <w:b/>
          <w:bCs/>
          <w:i/>
          <w:kern w:val="24"/>
        </w:rPr>
        <w:t>min_samples_leaf</w:t>
      </w:r>
      <w:r w:rsidR="00090F82" w:rsidRPr="00FF7747">
        <w:rPr>
          <w:i/>
          <w:kern w:val="24"/>
        </w:rPr>
        <w:t xml:space="preserve"> </w:t>
      </w:r>
      <w:r w:rsidR="00090F82" w:rsidRPr="00FF7747">
        <w:rPr>
          <w:kern w:val="24"/>
        </w:rPr>
        <w:t xml:space="preserve">parameter is the minimum number of sample points that are allowed in a single leaf node. The </w:t>
      </w:r>
      <w:r w:rsidR="00090F82" w:rsidRPr="00FF7747">
        <w:rPr>
          <w:b/>
          <w:bCs/>
          <w:i/>
          <w:kern w:val="24"/>
        </w:rPr>
        <w:t xml:space="preserve">min_samples_split </w:t>
      </w:r>
      <w:r w:rsidR="00090F82" w:rsidRPr="00FF7747">
        <w:rPr>
          <w:kern w:val="24"/>
        </w:rPr>
        <w:t xml:space="preserve">can be defined as the minimum number of samples required to split an internal node. The </w:t>
      </w:r>
      <w:r w:rsidR="00090F82" w:rsidRPr="00FF7747">
        <w:rPr>
          <w:b/>
          <w:bCs/>
          <w:i/>
          <w:kern w:val="24"/>
        </w:rPr>
        <w:t>bootstrap</w:t>
      </w:r>
      <w:r w:rsidR="00090F82" w:rsidRPr="00FF7747">
        <w:rPr>
          <w:kern w:val="24"/>
        </w:rPr>
        <w:t xml:space="preserve"> parameter refers to is a statistical resampling technique that involves random sampling of a dataset </w:t>
      </w:r>
      <w:r w:rsidR="00090F82" w:rsidRPr="00FF7747">
        <w:rPr>
          <w:rStyle w:val="Emphasis"/>
          <w:rFonts w:eastAsiaTheme="majorEastAsia"/>
          <w:i w:val="0"/>
          <w:kern w:val="24"/>
        </w:rPr>
        <w:t>with replacement (Scikit-learn random forest web</w:t>
      </w:r>
      <w:r w:rsidR="00FF7747" w:rsidRPr="00FF7747">
        <w:rPr>
          <w:rStyle w:val="Emphasis"/>
          <w:rFonts w:eastAsiaTheme="majorEastAsia"/>
          <w:i w:val="0"/>
          <w:kern w:val="24"/>
        </w:rPr>
        <w:t xml:space="preserve"> </w:t>
      </w:r>
      <w:r w:rsidR="00090F82" w:rsidRPr="00FF7747">
        <w:rPr>
          <w:rStyle w:val="Emphasis"/>
          <w:rFonts w:eastAsiaTheme="majorEastAsia"/>
          <w:i w:val="0"/>
          <w:kern w:val="24"/>
        </w:rPr>
        <w:t>page,</w:t>
      </w:r>
      <w:r w:rsidR="002D3D31">
        <w:rPr>
          <w:rStyle w:val="Emphasis"/>
          <w:rFonts w:eastAsiaTheme="majorEastAsia"/>
          <w:i w:val="0"/>
          <w:kern w:val="24"/>
        </w:rPr>
        <w:t xml:space="preserve"> URL: </w:t>
      </w:r>
      <w:r w:rsidR="002D3D31" w:rsidRPr="002D3D31">
        <w:rPr>
          <w:rStyle w:val="Emphasis"/>
          <w:rFonts w:eastAsiaTheme="majorEastAsia"/>
          <w:i w:val="0"/>
          <w:kern w:val="24"/>
        </w:rPr>
        <w:t>https://scikit-learn.org</w:t>
      </w:r>
      <w:r w:rsidR="002D3D31">
        <w:rPr>
          <w:rStyle w:val="Emphasis"/>
          <w:rFonts w:eastAsiaTheme="majorEastAsia"/>
          <w:i w:val="0"/>
          <w:kern w:val="24"/>
        </w:rPr>
        <w:t>,</w:t>
      </w:r>
      <w:r w:rsidR="00FF7747">
        <w:rPr>
          <w:rStyle w:val="Emphasis"/>
          <w:rFonts w:eastAsiaTheme="majorEastAsia"/>
          <w:i w:val="0"/>
          <w:kern w:val="24"/>
        </w:rPr>
        <w:t xml:space="preserve"> </w:t>
      </w:r>
      <w:r w:rsidR="00090F82" w:rsidRPr="00FF7747">
        <w:rPr>
          <w:rStyle w:val="Emphasis"/>
          <w:rFonts w:eastAsiaTheme="majorEastAsia"/>
          <w:i w:val="0"/>
          <w:kern w:val="24"/>
        </w:rPr>
        <w:t>Accessed: May 2022).</w:t>
      </w:r>
      <w:bookmarkEnd w:id="161"/>
    </w:p>
    <w:p w14:paraId="3645A843" w14:textId="73B885B6" w:rsidR="00871557" w:rsidRDefault="00871557" w:rsidP="00871557">
      <w:pPr>
        <w:pStyle w:val="Heading2"/>
      </w:pPr>
      <w:bookmarkStart w:id="162" w:name="_Toc121095972"/>
      <w:r>
        <w:lastRenderedPageBreak/>
        <w:t>Appendix E</w:t>
      </w:r>
      <w:bookmarkEnd w:id="162"/>
    </w:p>
    <w:p w14:paraId="4633ABFA" w14:textId="1EDCF649" w:rsidR="00772C6F" w:rsidRDefault="004700F3" w:rsidP="00772C6F">
      <w:pPr>
        <w:pStyle w:val="Heading3"/>
      </w:pPr>
      <w:bookmarkStart w:id="163" w:name="_Toc121095973"/>
      <w:r>
        <w:t xml:space="preserve">Visual </w:t>
      </w:r>
      <w:r w:rsidR="00A54684">
        <w:t>QC of the</w:t>
      </w:r>
      <w:r w:rsidR="00772C6F">
        <w:t xml:space="preserve"> random forest prediction</w:t>
      </w:r>
      <w:bookmarkEnd w:id="163"/>
    </w:p>
    <w:p w14:paraId="24B1C10E" w14:textId="77777777" w:rsidR="005E739D" w:rsidRDefault="00C26110" w:rsidP="005E739D">
      <w:pPr>
        <w:keepNext/>
        <w:spacing w:line="259" w:lineRule="auto"/>
      </w:pPr>
      <w:r>
        <w:rPr>
          <w:rFonts w:cs="Times New Roman"/>
          <w:noProof/>
          <w:szCs w:val="24"/>
        </w:rPr>
        <w:drawing>
          <wp:inline distT="0" distB="0" distL="0" distR="0" wp14:anchorId="1D4FD933" wp14:editId="111CE858">
            <wp:extent cx="6138451" cy="496019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146714" cy="4966874"/>
                    </a:xfrm>
                    <a:prstGeom prst="rect">
                      <a:avLst/>
                    </a:prstGeom>
                    <a:noFill/>
                  </pic:spPr>
                </pic:pic>
              </a:graphicData>
            </a:graphic>
          </wp:inline>
        </w:drawing>
      </w:r>
    </w:p>
    <w:p w14:paraId="0AB91186" w14:textId="77777777" w:rsidR="005E739D" w:rsidRDefault="005E739D" w:rsidP="00C76FD3">
      <w:pPr>
        <w:pStyle w:val="Caption"/>
        <w:rPr>
          <w:b/>
          <w:bCs/>
        </w:rPr>
      </w:pPr>
    </w:p>
    <w:p w14:paraId="6A75E1B7" w14:textId="1DD2240E" w:rsidR="00871557" w:rsidRPr="005E739D" w:rsidRDefault="005E739D" w:rsidP="00C76FD3">
      <w:pPr>
        <w:pStyle w:val="Caption"/>
      </w:pPr>
      <w:bookmarkStart w:id="164" w:name="_Toc121095511"/>
      <w:r w:rsidRPr="005E739D">
        <w:rPr>
          <w:b/>
          <w:bCs/>
        </w:rPr>
        <w:t xml:space="preserve">Figure 2-E. </w:t>
      </w:r>
      <w:r w:rsidRPr="005E739D">
        <w:rPr>
          <w:b/>
          <w:bCs/>
        </w:rPr>
        <w:fldChar w:fldCharType="begin"/>
      </w:r>
      <w:r w:rsidRPr="005E739D">
        <w:rPr>
          <w:b/>
          <w:bCs/>
        </w:rPr>
        <w:instrText xml:space="preserve"> SEQ Figure_2-E. \* ARABIC </w:instrText>
      </w:r>
      <w:r w:rsidRPr="005E739D">
        <w:rPr>
          <w:b/>
          <w:bCs/>
        </w:rPr>
        <w:fldChar w:fldCharType="separate"/>
      </w:r>
      <w:r w:rsidR="00B52D1E">
        <w:rPr>
          <w:b/>
          <w:bCs/>
          <w:noProof/>
        </w:rPr>
        <w:t>1</w:t>
      </w:r>
      <w:r w:rsidRPr="005E739D">
        <w:rPr>
          <w:b/>
          <w:bCs/>
        </w:rPr>
        <w:fldChar w:fldCharType="end"/>
      </w:r>
      <w:r w:rsidRPr="005E739D">
        <w:rPr>
          <w:b/>
          <w:bCs/>
        </w:rPr>
        <w:t>:</w:t>
      </w:r>
      <w:r>
        <w:t xml:space="preserve"> </w:t>
      </w:r>
      <w:r w:rsidR="00C71552">
        <w:rPr>
          <w:b/>
          <w:bCs/>
        </w:rPr>
        <w:t>A</w:t>
      </w:r>
      <w:r w:rsidR="00297434">
        <w:rPr>
          <w:rFonts w:cs="Times New Roman"/>
          <w:szCs w:val="24"/>
        </w:rPr>
        <w:t>rbitrary line</w:t>
      </w:r>
      <w:r w:rsidR="00AD27A0">
        <w:rPr>
          <w:rFonts w:cs="Times New Roman"/>
          <w:szCs w:val="24"/>
        </w:rPr>
        <w:t>s from</w:t>
      </w:r>
      <w:r w:rsidR="00297434">
        <w:rPr>
          <w:rFonts w:cs="Times New Roman"/>
          <w:szCs w:val="24"/>
        </w:rPr>
        <w:t xml:space="preserve"> most probable petrofacies prediction</w:t>
      </w:r>
      <w:r w:rsidR="0044350B">
        <w:rPr>
          <w:rFonts w:cs="Times New Roman"/>
          <w:szCs w:val="24"/>
        </w:rPr>
        <w:t xml:space="preserve"> </w:t>
      </w:r>
      <w:r w:rsidR="00AD27A0">
        <w:rPr>
          <w:rFonts w:cs="Times New Roman"/>
          <w:szCs w:val="24"/>
        </w:rPr>
        <w:t xml:space="preserve">volume are co-rendered with the individual petrofacies probability </w:t>
      </w:r>
      <w:r w:rsidR="00D64CB5">
        <w:rPr>
          <w:rFonts w:cs="Times New Roman"/>
          <w:szCs w:val="24"/>
        </w:rPr>
        <w:t>volumes</w:t>
      </w:r>
      <w:r w:rsidR="00C71552">
        <w:rPr>
          <w:rFonts w:cs="Times New Roman"/>
          <w:szCs w:val="24"/>
        </w:rPr>
        <w:t xml:space="preserve"> showing the confidence in the random forest prediction.</w:t>
      </w:r>
      <w:r w:rsidR="00D64CB5">
        <w:rPr>
          <w:rFonts w:cs="Times New Roman"/>
          <w:szCs w:val="24"/>
        </w:rPr>
        <w:t xml:space="preserve"> </w:t>
      </w:r>
      <w:r w:rsidR="00EE0A7B">
        <w:rPr>
          <w:rFonts w:cs="Times New Roman"/>
          <w:szCs w:val="24"/>
        </w:rPr>
        <w:t>High probabilit</w:t>
      </w:r>
      <w:r w:rsidR="001D599D">
        <w:rPr>
          <w:rFonts w:cs="Times New Roman"/>
          <w:szCs w:val="24"/>
        </w:rPr>
        <w:t>ies</w:t>
      </w:r>
      <w:r w:rsidR="00EE0A7B">
        <w:rPr>
          <w:rFonts w:cs="Times New Roman"/>
          <w:szCs w:val="24"/>
        </w:rPr>
        <w:t xml:space="preserve"> of petrofacies </w:t>
      </w:r>
      <w:r w:rsidR="00E20814">
        <w:rPr>
          <w:rFonts w:cs="Times New Roman"/>
          <w:szCs w:val="24"/>
        </w:rPr>
        <w:t xml:space="preserve">prediction </w:t>
      </w:r>
      <w:r w:rsidR="00491A03">
        <w:rPr>
          <w:rFonts w:cs="Times New Roman"/>
          <w:szCs w:val="24"/>
        </w:rPr>
        <w:t>are</w:t>
      </w:r>
      <w:r w:rsidR="00E20814">
        <w:rPr>
          <w:rFonts w:cs="Times New Roman"/>
          <w:szCs w:val="24"/>
        </w:rPr>
        <w:t xml:space="preserve"> set to be transparent, while the low probability values are set to be opaque black. </w:t>
      </w:r>
      <w:r w:rsidR="0010646A">
        <w:rPr>
          <w:rFonts w:cs="Times New Roman"/>
          <w:szCs w:val="24"/>
        </w:rPr>
        <w:t>Top figure shows the shows</w:t>
      </w:r>
      <w:r w:rsidR="001159BE">
        <w:rPr>
          <w:rFonts w:cs="Times New Roman"/>
          <w:szCs w:val="24"/>
        </w:rPr>
        <w:t xml:space="preserve"> the QC of the prediction of the petrofacies 1, Middle figure shows the </w:t>
      </w:r>
      <w:r w:rsidR="00C76FD3">
        <w:rPr>
          <w:rFonts w:cs="Times New Roman"/>
          <w:szCs w:val="24"/>
        </w:rPr>
        <w:t>QC of the prediction of the Petrofacies 2 and the bottom figure shows the visual QC of the prediction of the petrofacies 3.</w:t>
      </w:r>
      <w:bookmarkEnd w:id="164"/>
      <w:r w:rsidR="00C76FD3">
        <w:rPr>
          <w:rFonts w:cs="Times New Roman"/>
          <w:szCs w:val="24"/>
        </w:rPr>
        <w:t xml:space="preserve"> </w:t>
      </w:r>
    </w:p>
    <w:p w14:paraId="08718BDF" w14:textId="77777777" w:rsidR="00871557" w:rsidRDefault="00871557" w:rsidP="00090F82">
      <w:pPr>
        <w:spacing w:line="259" w:lineRule="auto"/>
        <w:rPr>
          <w:rFonts w:cs="Times New Roman"/>
          <w:szCs w:val="24"/>
        </w:rPr>
      </w:pPr>
    </w:p>
    <w:p w14:paraId="5E7E81F7" w14:textId="77777777" w:rsidR="00871557" w:rsidRDefault="00871557" w:rsidP="00090F82">
      <w:pPr>
        <w:spacing w:line="259" w:lineRule="auto"/>
        <w:rPr>
          <w:rFonts w:cs="Times New Roman"/>
          <w:szCs w:val="24"/>
        </w:rPr>
      </w:pPr>
    </w:p>
    <w:p w14:paraId="304BC071" w14:textId="574BF971" w:rsidR="00871557" w:rsidRDefault="00871557" w:rsidP="00090F82">
      <w:pPr>
        <w:spacing w:line="259" w:lineRule="auto"/>
        <w:rPr>
          <w:rFonts w:cs="Times New Roman"/>
          <w:szCs w:val="24"/>
        </w:rPr>
        <w:sectPr w:rsidR="00871557" w:rsidSect="00086BA9">
          <w:type w:val="continuous"/>
          <w:pgSz w:w="12240" w:h="15840"/>
          <w:pgMar w:top="1440" w:right="1440" w:bottom="1440" w:left="1440" w:header="720" w:footer="720" w:gutter="0"/>
          <w:cols w:space="720"/>
          <w:docGrid w:linePitch="360"/>
        </w:sectPr>
      </w:pPr>
    </w:p>
    <w:p w14:paraId="652271F6" w14:textId="77777777" w:rsidR="00090F82" w:rsidRDefault="00090F82" w:rsidP="00090F82">
      <w:pPr>
        <w:pStyle w:val="Heading2"/>
      </w:pPr>
      <w:bookmarkStart w:id="165" w:name="_Toc119516639"/>
      <w:bookmarkStart w:id="166" w:name="_Toc121095974"/>
      <w:r>
        <w:lastRenderedPageBreak/>
        <w:t>Chapter 2 Figures</w:t>
      </w:r>
      <w:bookmarkEnd w:id="165"/>
      <w:bookmarkEnd w:id="166"/>
    </w:p>
    <w:p w14:paraId="757ACC12" w14:textId="77777777" w:rsidR="00090F82" w:rsidRPr="001B0D3A" w:rsidRDefault="00090F82" w:rsidP="00090F82">
      <w:pPr>
        <w:keepNext/>
        <w:jc w:val="center"/>
        <w:rPr>
          <w:noProof/>
        </w:rPr>
      </w:pPr>
      <w:r>
        <w:rPr>
          <w:noProof/>
        </w:rPr>
        <w:drawing>
          <wp:inline distT="0" distB="0" distL="0" distR="0" wp14:anchorId="6A1E21C7" wp14:editId="2102BD71">
            <wp:extent cx="8228760" cy="3384468"/>
            <wp:effectExtent l="0" t="0" r="1270" b="6985"/>
            <wp:docPr id="69" name="Picture 6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a:stretch/>
                  </pic:blipFill>
                  <pic:spPr bwMode="auto">
                    <a:xfrm>
                      <a:off x="0" y="0"/>
                      <a:ext cx="8229600" cy="3384814"/>
                    </a:xfrm>
                    <a:prstGeom prst="rect">
                      <a:avLst/>
                    </a:prstGeom>
                    <a:noFill/>
                    <a:ln>
                      <a:noFill/>
                    </a:ln>
                    <a:extLst>
                      <a:ext uri="{53640926-AAD7-44D8-BBD7-CCE9431645EC}">
                        <a14:shadowObscured xmlns:a14="http://schemas.microsoft.com/office/drawing/2010/main"/>
                      </a:ext>
                    </a:extLst>
                  </pic:spPr>
                </pic:pic>
              </a:graphicData>
            </a:graphic>
          </wp:inline>
        </w:drawing>
      </w:r>
    </w:p>
    <w:p w14:paraId="02F3C95A" w14:textId="7578BE8F" w:rsidR="00090F82" w:rsidRDefault="00090F82" w:rsidP="00090F82">
      <w:pPr>
        <w:pStyle w:val="Caption"/>
        <w:rPr>
          <w:noProof/>
        </w:rPr>
        <w:sectPr w:rsidR="00090F82" w:rsidSect="00086BA9">
          <w:type w:val="continuous"/>
          <w:pgSz w:w="15840" w:h="12240" w:orient="landscape"/>
          <w:pgMar w:top="1440" w:right="1440" w:bottom="1440" w:left="1440" w:header="720" w:footer="720" w:gutter="0"/>
          <w:cols w:space="720"/>
          <w:docGrid w:linePitch="360"/>
        </w:sectPr>
      </w:pPr>
      <w:bookmarkStart w:id="167" w:name="_Toc119516547"/>
      <w:bookmarkStart w:id="168" w:name="_Toc121095114"/>
      <w:r w:rsidRPr="000D42BF">
        <w:rPr>
          <w:b/>
          <w:bCs/>
          <w:noProof/>
        </w:rPr>
        <w:t xml:space="preserve">Figure </w:t>
      </w:r>
      <w:r w:rsidR="00D532BC">
        <w:rPr>
          <w:b/>
          <w:bCs/>
          <w:noProof/>
        </w:rPr>
        <w:fldChar w:fldCharType="begin"/>
      </w:r>
      <w:r w:rsidR="00D532BC">
        <w:rPr>
          <w:b/>
          <w:bCs/>
          <w:noProof/>
        </w:rPr>
        <w:instrText xml:space="preserve"> STYLEREF 1 \s </w:instrText>
      </w:r>
      <w:r w:rsidR="00D532BC">
        <w:rPr>
          <w:b/>
          <w:bCs/>
          <w:noProof/>
        </w:rPr>
        <w:fldChar w:fldCharType="separate"/>
      </w:r>
      <w:r w:rsidR="00B52D1E">
        <w:rPr>
          <w:b/>
          <w:bCs/>
          <w:noProof/>
        </w:rPr>
        <w:t>2</w:t>
      </w:r>
      <w:r w:rsidR="00D532BC">
        <w:rPr>
          <w:b/>
          <w:bCs/>
          <w:noProof/>
        </w:rPr>
        <w:fldChar w:fldCharType="end"/>
      </w:r>
      <w:r w:rsidR="00D532BC">
        <w:rPr>
          <w:b/>
          <w:bCs/>
          <w:noProof/>
        </w:rPr>
        <w:t>.</w:t>
      </w:r>
      <w:r w:rsidR="00D532BC">
        <w:rPr>
          <w:b/>
          <w:bCs/>
          <w:noProof/>
        </w:rPr>
        <w:fldChar w:fldCharType="begin"/>
      </w:r>
      <w:r w:rsidR="00D532BC">
        <w:rPr>
          <w:b/>
          <w:bCs/>
          <w:noProof/>
        </w:rPr>
        <w:instrText xml:space="preserve"> SEQ Figure \* ARABIC \s 1 </w:instrText>
      </w:r>
      <w:r w:rsidR="00D532BC">
        <w:rPr>
          <w:b/>
          <w:bCs/>
          <w:noProof/>
        </w:rPr>
        <w:fldChar w:fldCharType="separate"/>
      </w:r>
      <w:r w:rsidR="00B52D1E">
        <w:rPr>
          <w:b/>
          <w:bCs/>
          <w:noProof/>
        </w:rPr>
        <w:t>1</w:t>
      </w:r>
      <w:r w:rsidR="00D532BC">
        <w:rPr>
          <w:b/>
          <w:bCs/>
          <w:noProof/>
        </w:rPr>
        <w:fldChar w:fldCharType="end"/>
      </w:r>
      <w:r w:rsidRPr="000D42BF">
        <w:rPr>
          <w:b/>
          <w:bCs/>
          <w:noProof/>
        </w:rPr>
        <w:t>:</w:t>
      </w:r>
      <w:r>
        <w:rPr>
          <w:noProof/>
        </w:rPr>
        <w:t xml:space="preserve"> </w:t>
      </w:r>
      <w:r w:rsidRPr="00F909A0">
        <w:rPr>
          <w:noProof/>
        </w:rPr>
        <w:t xml:space="preserve">Regional map showing the subsurface tectonic features of Kansas. The Wellington field is located </w:t>
      </w:r>
      <w:r>
        <w:rPr>
          <w:noProof/>
        </w:rPr>
        <w:t>in</w:t>
      </w:r>
      <w:r w:rsidRPr="00F909A0">
        <w:rPr>
          <w:noProof/>
        </w:rPr>
        <w:t xml:space="preserve"> Sumner County, Kansas (Red square</w:t>
      </w:r>
      <w:r>
        <w:rPr>
          <w:noProof/>
        </w:rPr>
        <w:t xml:space="preserve">, </w:t>
      </w:r>
      <w:r w:rsidRPr="00F909A0">
        <w:rPr>
          <w:noProof/>
        </w:rPr>
        <w:t>Modified after Dutton, 1984; Campbell et al., 1988; McConnell, 1989; Northcutt and Campbell, 1995; Johnson and Luza, 2008; LoCriccho, 2012).</w:t>
      </w:r>
      <w:bookmarkEnd w:id="167"/>
      <w:bookmarkEnd w:id="168"/>
    </w:p>
    <w:p w14:paraId="5D802A15" w14:textId="77777777" w:rsidR="00090F82" w:rsidRDefault="00090F82" w:rsidP="00090F82">
      <w:pPr>
        <w:pStyle w:val="Caption"/>
        <w:rPr>
          <w:noProof/>
        </w:rPr>
      </w:pPr>
      <w:r>
        <w:rPr>
          <w:noProof/>
        </w:rPr>
        <w:lastRenderedPageBreak/>
        <w:drawing>
          <wp:inline distT="0" distB="0" distL="0" distR="0" wp14:anchorId="012A4BFB" wp14:editId="4EB18AF0">
            <wp:extent cx="5902036" cy="6548647"/>
            <wp:effectExtent l="0" t="0" r="3810" b="5080"/>
            <wp:docPr id="72" name="Picture 7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10;&#10;Description automatically generate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15899" cy="6564029"/>
                    </a:xfrm>
                    <a:prstGeom prst="rect">
                      <a:avLst/>
                    </a:prstGeom>
                    <a:noFill/>
                  </pic:spPr>
                </pic:pic>
              </a:graphicData>
            </a:graphic>
          </wp:inline>
        </w:drawing>
      </w:r>
    </w:p>
    <w:p w14:paraId="18DB3DCD" w14:textId="77777777" w:rsidR="00090F82" w:rsidRDefault="00090F82" w:rsidP="00090F82">
      <w:pPr>
        <w:pStyle w:val="Caption"/>
        <w:rPr>
          <w:noProof/>
        </w:rPr>
      </w:pPr>
    </w:p>
    <w:p w14:paraId="2DDEA79B" w14:textId="68CAA1F9" w:rsidR="00090F82" w:rsidRPr="0025236B" w:rsidRDefault="00090F82" w:rsidP="00090F82">
      <w:pPr>
        <w:pStyle w:val="Caption"/>
        <w:rPr>
          <w:noProof/>
        </w:rPr>
      </w:pPr>
      <w:bookmarkStart w:id="169" w:name="_Toc119516548"/>
      <w:bookmarkStart w:id="170" w:name="_Toc121095115"/>
      <w:r w:rsidRPr="00225E7E">
        <w:rPr>
          <w:b/>
          <w:bCs/>
          <w:noProof/>
        </w:rPr>
        <w:t xml:space="preserve">Figure </w:t>
      </w:r>
      <w:r w:rsidR="00D532BC">
        <w:rPr>
          <w:b/>
          <w:bCs/>
          <w:noProof/>
        </w:rPr>
        <w:fldChar w:fldCharType="begin"/>
      </w:r>
      <w:r w:rsidR="00D532BC">
        <w:rPr>
          <w:b/>
          <w:bCs/>
          <w:noProof/>
        </w:rPr>
        <w:instrText xml:space="preserve"> STYLEREF 1 \s </w:instrText>
      </w:r>
      <w:r w:rsidR="00D532BC">
        <w:rPr>
          <w:b/>
          <w:bCs/>
          <w:noProof/>
        </w:rPr>
        <w:fldChar w:fldCharType="separate"/>
      </w:r>
      <w:r w:rsidR="00B52D1E">
        <w:rPr>
          <w:b/>
          <w:bCs/>
          <w:noProof/>
        </w:rPr>
        <w:t>2</w:t>
      </w:r>
      <w:r w:rsidR="00D532BC">
        <w:rPr>
          <w:b/>
          <w:bCs/>
          <w:noProof/>
        </w:rPr>
        <w:fldChar w:fldCharType="end"/>
      </w:r>
      <w:r w:rsidR="00D532BC">
        <w:rPr>
          <w:b/>
          <w:bCs/>
          <w:noProof/>
        </w:rPr>
        <w:t>.</w:t>
      </w:r>
      <w:r w:rsidR="00D532BC">
        <w:rPr>
          <w:b/>
          <w:bCs/>
          <w:noProof/>
        </w:rPr>
        <w:fldChar w:fldCharType="begin"/>
      </w:r>
      <w:r w:rsidR="00D532BC">
        <w:rPr>
          <w:b/>
          <w:bCs/>
          <w:noProof/>
        </w:rPr>
        <w:instrText xml:space="preserve"> SEQ Figure \* ARABIC \s 1 </w:instrText>
      </w:r>
      <w:r w:rsidR="00D532BC">
        <w:rPr>
          <w:b/>
          <w:bCs/>
          <w:noProof/>
        </w:rPr>
        <w:fldChar w:fldCharType="separate"/>
      </w:r>
      <w:r w:rsidR="00B52D1E">
        <w:rPr>
          <w:b/>
          <w:bCs/>
          <w:noProof/>
        </w:rPr>
        <w:t>2</w:t>
      </w:r>
      <w:r w:rsidR="00D532BC">
        <w:rPr>
          <w:b/>
          <w:bCs/>
          <w:noProof/>
        </w:rPr>
        <w:fldChar w:fldCharType="end"/>
      </w:r>
      <w:r w:rsidRPr="00225E7E">
        <w:rPr>
          <w:b/>
          <w:bCs/>
          <w:noProof/>
        </w:rPr>
        <w:t>:</w:t>
      </w:r>
      <w:r>
        <w:rPr>
          <w:noProof/>
        </w:rPr>
        <w:t xml:space="preserve"> Detailed base map of the study area showing the 3D seismic survey and the wells used in the study. </w:t>
      </w:r>
      <w:r w:rsidRPr="001B0D3A">
        <w:rPr>
          <w:noProof/>
        </w:rPr>
        <w:t>A-</w:t>
      </w:r>
      <w:r>
        <w:rPr>
          <w:noProof/>
        </w:rPr>
        <w:t>A’ is the approximate location of the arbitrary line shown in figures 3, 12, and 13. B-B’ is the arbitrary line shown in figure 11.</w:t>
      </w:r>
      <w:bookmarkEnd w:id="169"/>
      <w:bookmarkEnd w:id="170"/>
      <w:r>
        <w:rPr>
          <w:noProof/>
        </w:rPr>
        <w:br w:type="page"/>
      </w:r>
    </w:p>
    <w:p w14:paraId="51D0BFBF" w14:textId="77777777" w:rsidR="00090F82" w:rsidRDefault="00090F82" w:rsidP="00090F82">
      <w:pPr>
        <w:pStyle w:val="Caption"/>
        <w:rPr>
          <w:b/>
          <w:bCs/>
        </w:rPr>
      </w:pPr>
      <w:r>
        <w:rPr>
          <w:b/>
          <w:bCs/>
          <w:noProof/>
        </w:rPr>
        <w:lastRenderedPageBreak/>
        <w:drawing>
          <wp:inline distT="0" distB="0" distL="0" distR="0" wp14:anchorId="0C2C0038" wp14:editId="0F1119EC">
            <wp:extent cx="5946760" cy="4230024"/>
            <wp:effectExtent l="0" t="0" r="0" b="0"/>
            <wp:docPr id="74" name="Picture 7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10;&#10;Description automatically generated"/>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958724" cy="4238534"/>
                    </a:xfrm>
                    <a:prstGeom prst="rect">
                      <a:avLst/>
                    </a:prstGeom>
                    <a:noFill/>
                  </pic:spPr>
                </pic:pic>
              </a:graphicData>
            </a:graphic>
          </wp:inline>
        </w:drawing>
      </w:r>
    </w:p>
    <w:p w14:paraId="5058E571" w14:textId="77777777" w:rsidR="00090F82" w:rsidRDefault="00090F82" w:rsidP="00090F82">
      <w:pPr>
        <w:pStyle w:val="Caption"/>
        <w:rPr>
          <w:b/>
          <w:bCs/>
        </w:rPr>
      </w:pPr>
    </w:p>
    <w:p w14:paraId="7D66FED5" w14:textId="2A4C3D59" w:rsidR="00090F82" w:rsidRPr="00B63C95" w:rsidRDefault="00090F82" w:rsidP="00090F82">
      <w:pPr>
        <w:pStyle w:val="Caption"/>
        <w:sectPr w:rsidR="00090F82" w:rsidRPr="00B63C95" w:rsidSect="00086BA9">
          <w:type w:val="continuous"/>
          <w:pgSz w:w="12240" w:h="15840"/>
          <w:pgMar w:top="1440" w:right="1440" w:bottom="1440" w:left="1440" w:header="720" w:footer="720" w:gutter="0"/>
          <w:cols w:space="720"/>
          <w:docGrid w:linePitch="360"/>
        </w:sectPr>
      </w:pPr>
      <w:bookmarkStart w:id="171" w:name="_Toc119516549"/>
      <w:bookmarkStart w:id="172" w:name="_Toc121095116"/>
      <w:r w:rsidRPr="00B63C95">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3</w:t>
      </w:r>
      <w:r w:rsidR="00D532BC">
        <w:rPr>
          <w:b/>
          <w:bCs/>
        </w:rPr>
        <w:fldChar w:fldCharType="end"/>
      </w:r>
      <w:r w:rsidRPr="00B63C95">
        <w:rPr>
          <w:b/>
          <w:bCs/>
        </w:rPr>
        <w:t>:</w:t>
      </w:r>
      <w:r w:rsidRPr="00B63C95">
        <w:t xml:space="preserve"> Arbitrary seismic line B-B’ through the Berexco Wellington KGS #1-32 and Berexco Wellington KGS #1-28 showing the seismic survey used in the interpretation of the key horizons in the study interval (upper image). See Figure 2 for the location of the seismic line and wells. Pre-stack angle gathers </w:t>
      </w:r>
      <w:r>
        <w:t xml:space="preserve">were </w:t>
      </w:r>
      <w:r w:rsidRPr="00B63C95">
        <w:t>used in the study (lower image).</w:t>
      </w:r>
      <w:bookmarkEnd w:id="171"/>
      <w:bookmarkEnd w:id="172"/>
    </w:p>
    <w:p w14:paraId="734B28F6" w14:textId="77777777" w:rsidR="00090F82" w:rsidRPr="00BA6384" w:rsidRDefault="00090F82" w:rsidP="00090F82">
      <w:pPr>
        <w:pStyle w:val="Caption"/>
        <w:rPr>
          <w:b/>
          <w:bCs/>
        </w:rPr>
      </w:pPr>
      <w:r>
        <w:rPr>
          <w:b/>
          <w:bCs/>
          <w:noProof/>
        </w:rPr>
        <w:lastRenderedPageBreak/>
        <w:drawing>
          <wp:inline distT="0" distB="0" distL="0" distR="0" wp14:anchorId="1E1C2158" wp14:editId="3837DFB2">
            <wp:extent cx="8161283" cy="4301490"/>
            <wp:effectExtent l="0" t="0" r="0" b="3810"/>
            <wp:docPr id="78" name="Picture 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Diagram&#10;&#10;Description automatically generated"/>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8171182" cy="4306708"/>
                    </a:xfrm>
                    <a:prstGeom prst="rect">
                      <a:avLst/>
                    </a:prstGeom>
                    <a:noFill/>
                  </pic:spPr>
                </pic:pic>
              </a:graphicData>
            </a:graphic>
          </wp:inline>
        </w:drawing>
      </w:r>
    </w:p>
    <w:p w14:paraId="256F61AD" w14:textId="77777777" w:rsidR="00090F82" w:rsidRDefault="00090F82" w:rsidP="00090F82">
      <w:pPr>
        <w:pStyle w:val="Caption"/>
        <w:rPr>
          <w:b/>
          <w:bCs/>
        </w:rPr>
      </w:pPr>
    </w:p>
    <w:p w14:paraId="3D02EA83" w14:textId="6D71DEFD" w:rsidR="00090F82" w:rsidRPr="00B94A0A" w:rsidRDefault="00090F82" w:rsidP="00090F82">
      <w:pPr>
        <w:pStyle w:val="Caption"/>
        <w:rPr>
          <w:b/>
          <w:bCs/>
        </w:rPr>
        <w:sectPr w:rsidR="00090F82" w:rsidRPr="00B94A0A" w:rsidSect="00086BA9">
          <w:type w:val="continuous"/>
          <w:pgSz w:w="15840" w:h="12240" w:orient="landscape"/>
          <w:pgMar w:top="1440" w:right="1440" w:bottom="1440" w:left="1440" w:header="720" w:footer="720" w:gutter="0"/>
          <w:cols w:space="720"/>
          <w:docGrid w:linePitch="360"/>
        </w:sectPr>
      </w:pPr>
      <w:bookmarkStart w:id="173" w:name="_Toc119516550"/>
      <w:bookmarkStart w:id="174" w:name="_Toc121095117"/>
      <w:r w:rsidRPr="00B94A0A">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4</w:t>
      </w:r>
      <w:r w:rsidR="00D532BC">
        <w:rPr>
          <w:b/>
          <w:bCs/>
        </w:rPr>
        <w:fldChar w:fldCharType="end"/>
      </w:r>
      <w:r w:rsidRPr="00B94A0A">
        <w:rPr>
          <w:b/>
          <w:bCs/>
        </w:rPr>
        <w:t xml:space="preserve">: </w:t>
      </w:r>
      <w:r>
        <w:rPr>
          <w:noProof/>
        </w:rPr>
        <w:t>Generalized Workflow showing the three main steps followed in this study. These steps are simultaneous Pre-stack inversion for P and S Impedance volumes (Left), Supervised Random Forest Classifier (Middle), Petrophysics-based rock typing based on Flow Zone Indicator (Right).</w:t>
      </w:r>
      <w:bookmarkEnd w:id="173"/>
      <w:bookmarkEnd w:id="174"/>
    </w:p>
    <w:p w14:paraId="33EB7410" w14:textId="085246A5" w:rsidR="00090F82" w:rsidRDefault="003E47B6" w:rsidP="00090F82">
      <w:pPr>
        <w:pStyle w:val="Caption"/>
        <w:keepNext/>
        <w:jc w:val="center"/>
      </w:pPr>
      <w:r>
        <w:rPr>
          <w:noProof/>
        </w:rPr>
        <w:lastRenderedPageBreak/>
        <w:drawing>
          <wp:inline distT="0" distB="0" distL="0" distR="0" wp14:anchorId="594D6724" wp14:editId="3C9DAF13">
            <wp:extent cx="5663565" cy="68827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663565" cy="6882765"/>
                    </a:xfrm>
                    <a:prstGeom prst="rect">
                      <a:avLst/>
                    </a:prstGeom>
                    <a:noFill/>
                  </pic:spPr>
                </pic:pic>
              </a:graphicData>
            </a:graphic>
          </wp:inline>
        </w:drawing>
      </w:r>
    </w:p>
    <w:p w14:paraId="6AD066CC" w14:textId="77777777" w:rsidR="00090F82" w:rsidRDefault="00090F82" w:rsidP="00090F82">
      <w:pPr>
        <w:pStyle w:val="Caption"/>
        <w:rPr>
          <w:b/>
          <w:bCs/>
        </w:rPr>
      </w:pPr>
    </w:p>
    <w:p w14:paraId="580489E8" w14:textId="23CECE00" w:rsidR="00090F82" w:rsidRPr="00EA4831" w:rsidRDefault="00090F82" w:rsidP="00090F82">
      <w:pPr>
        <w:pStyle w:val="Caption"/>
      </w:pPr>
      <w:bookmarkStart w:id="175" w:name="_Toc119516551"/>
      <w:bookmarkStart w:id="176" w:name="_Toc121095118"/>
      <w:r w:rsidRPr="00E2672B">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5</w:t>
      </w:r>
      <w:r w:rsidR="00D532BC">
        <w:rPr>
          <w:b/>
          <w:bCs/>
        </w:rPr>
        <w:fldChar w:fldCharType="end"/>
      </w:r>
      <w:r w:rsidRPr="00E2672B">
        <w:rPr>
          <w:b/>
          <w:bCs/>
        </w:rPr>
        <w:t>:</w:t>
      </w:r>
      <w:r>
        <w:t xml:space="preserve"> </w:t>
      </w:r>
      <w:r w:rsidRPr="00FB67E0">
        <w:rPr>
          <w:iCs w:val="0"/>
          <w:noProof/>
          <w:color w:val="auto"/>
          <w:szCs w:val="22"/>
        </w:rPr>
        <w:t xml:space="preserve">Generalized stratigraphic column of the study interval and Berexco Wellington KGS </w:t>
      </w:r>
      <w:r>
        <w:rPr>
          <w:iCs w:val="0"/>
          <w:noProof/>
          <w:color w:val="auto"/>
          <w:szCs w:val="22"/>
        </w:rPr>
        <w:t>#</w:t>
      </w:r>
      <w:r w:rsidRPr="00FB67E0">
        <w:rPr>
          <w:iCs w:val="0"/>
          <w:noProof/>
          <w:color w:val="auto"/>
          <w:szCs w:val="22"/>
        </w:rPr>
        <w:t>1-32 type log. Gamma-ray (GR), deep resistivity (RESD), neutron porosity (NPHI)</w:t>
      </w:r>
      <w:r>
        <w:rPr>
          <w:iCs w:val="0"/>
          <w:noProof/>
          <w:color w:val="auto"/>
          <w:szCs w:val="22"/>
        </w:rPr>
        <w:t>,</w:t>
      </w:r>
      <w:r w:rsidRPr="00FB67E0">
        <w:rPr>
          <w:iCs w:val="0"/>
          <w:noProof/>
          <w:color w:val="auto"/>
          <w:szCs w:val="22"/>
        </w:rPr>
        <w:t xml:space="preserve"> and density porosity (PHID) are shown.</w:t>
      </w:r>
      <w:bookmarkEnd w:id="175"/>
      <w:r w:rsidR="00F30746">
        <w:rPr>
          <w:iCs w:val="0"/>
          <w:noProof/>
          <w:color w:val="auto"/>
          <w:szCs w:val="22"/>
        </w:rPr>
        <w:t xml:space="preserve"> Gray </w:t>
      </w:r>
      <w:r w:rsidR="006D3588">
        <w:rPr>
          <w:iCs w:val="0"/>
          <w:noProof/>
          <w:color w:val="auto"/>
          <w:szCs w:val="22"/>
        </w:rPr>
        <w:t>bars represent cored intervals.</w:t>
      </w:r>
      <w:bookmarkEnd w:id="176"/>
      <w:r>
        <w:rPr>
          <w:iCs w:val="0"/>
          <w:noProof/>
          <w:color w:val="auto"/>
          <w:szCs w:val="22"/>
        </w:rPr>
        <w:br w:type="page"/>
      </w:r>
    </w:p>
    <w:p w14:paraId="412B7567" w14:textId="77777777" w:rsidR="00090F82" w:rsidRPr="00E52153" w:rsidRDefault="00090F82" w:rsidP="00090F82">
      <w:pPr>
        <w:pStyle w:val="Caption"/>
        <w:keepNext/>
        <w:jc w:val="center"/>
      </w:pPr>
      <w:r>
        <w:rPr>
          <w:noProof/>
        </w:rPr>
        <w:lastRenderedPageBreak/>
        <w:drawing>
          <wp:inline distT="0" distB="0" distL="0" distR="0" wp14:anchorId="4B988BCC" wp14:editId="36380014">
            <wp:extent cx="5712802" cy="6602681"/>
            <wp:effectExtent l="0" t="0" r="2540" b="8255"/>
            <wp:docPr id="80" name="Picture 8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hart&#10;&#10;Description automatically generated"/>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31073" cy="6623798"/>
                    </a:xfrm>
                    <a:prstGeom prst="rect">
                      <a:avLst/>
                    </a:prstGeom>
                    <a:noFill/>
                  </pic:spPr>
                </pic:pic>
              </a:graphicData>
            </a:graphic>
          </wp:inline>
        </w:drawing>
      </w:r>
    </w:p>
    <w:p w14:paraId="3B43CE61" w14:textId="77777777" w:rsidR="00090F82" w:rsidRDefault="00090F82" w:rsidP="00090F82">
      <w:pPr>
        <w:pStyle w:val="Caption"/>
        <w:rPr>
          <w:b/>
          <w:bCs/>
        </w:rPr>
      </w:pPr>
    </w:p>
    <w:p w14:paraId="33513089" w14:textId="4674F617" w:rsidR="00090F82" w:rsidRDefault="00090F82" w:rsidP="00090F82">
      <w:pPr>
        <w:pStyle w:val="Caption"/>
      </w:pPr>
      <w:bookmarkStart w:id="177" w:name="_Toc119516552"/>
      <w:bookmarkStart w:id="178" w:name="_Toc121095119"/>
      <w:r w:rsidRPr="000F11F1">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6</w:t>
      </w:r>
      <w:r w:rsidR="00D532BC">
        <w:rPr>
          <w:b/>
          <w:bCs/>
        </w:rPr>
        <w:fldChar w:fldCharType="end"/>
      </w:r>
      <w:r w:rsidRPr="000F11F1">
        <w:rPr>
          <w:b/>
          <w:bCs/>
        </w:rPr>
        <w:t>:</w:t>
      </w:r>
      <w:r>
        <w:t xml:space="preserve"> </w:t>
      </w:r>
      <w:r>
        <w:rPr>
          <w:noProof/>
        </w:rPr>
        <w:t>(A) The Extracted statistical wavelet group used in the simultaneous pre-stack inversion process. (B) Seismic-to-well correlation for the Berexco Wellington KGS #1-32. Using the near-angle wavelet, the synthetic seismogram was adjusted to match the near-angle trace at the well location. A cross-correlation of 80% was achieved.</w:t>
      </w:r>
      <w:bookmarkEnd w:id="177"/>
      <w:bookmarkEnd w:id="178"/>
    </w:p>
    <w:p w14:paraId="4CBFD4AE" w14:textId="77777777" w:rsidR="00090F82" w:rsidRDefault="00090F82" w:rsidP="00090F82">
      <w:pPr>
        <w:pStyle w:val="Caption"/>
        <w:keepNext/>
        <w:jc w:val="center"/>
      </w:pPr>
      <w:r>
        <w:rPr>
          <w:noProof/>
        </w:rPr>
        <w:lastRenderedPageBreak/>
        <w:drawing>
          <wp:inline distT="0" distB="0" distL="0" distR="0" wp14:anchorId="1D67D97B" wp14:editId="340F11D6">
            <wp:extent cx="5379522" cy="6699210"/>
            <wp:effectExtent l="0" t="0" r="0" b="6985"/>
            <wp:docPr id="81" name="Picture 81"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picture containing map&#10;&#10;Description automatically generated"/>
                    <pic:cNvPicPr>
                      <a:picLocks noChangeAspect="1" noChangeArrowheads="1"/>
                    </pic:cNvPicPr>
                  </pic:nvPicPr>
                  <pic:blipFill rotWithShape="1">
                    <a:blip r:embed="rId147">
                      <a:extLst>
                        <a:ext uri="{28A0092B-C50C-407E-A947-70E740481C1C}">
                          <a14:useLocalDpi xmlns:a14="http://schemas.microsoft.com/office/drawing/2010/main" val="0"/>
                        </a:ext>
                      </a:extLst>
                    </a:blip>
                    <a:srcRect/>
                    <a:stretch/>
                  </pic:blipFill>
                  <pic:spPr bwMode="auto">
                    <a:xfrm>
                      <a:off x="0" y="0"/>
                      <a:ext cx="5389741" cy="6711936"/>
                    </a:xfrm>
                    <a:prstGeom prst="rect">
                      <a:avLst/>
                    </a:prstGeom>
                    <a:noFill/>
                    <a:ln>
                      <a:noFill/>
                    </a:ln>
                    <a:extLst>
                      <a:ext uri="{53640926-AAD7-44D8-BBD7-CCE9431645EC}">
                        <a14:shadowObscured xmlns:a14="http://schemas.microsoft.com/office/drawing/2010/main"/>
                      </a:ext>
                    </a:extLst>
                  </pic:spPr>
                </pic:pic>
              </a:graphicData>
            </a:graphic>
          </wp:inline>
        </w:drawing>
      </w:r>
    </w:p>
    <w:p w14:paraId="764EFA0A" w14:textId="77777777" w:rsidR="00090F82" w:rsidRDefault="00090F82" w:rsidP="00090F82">
      <w:pPr>
        <w:pStyle w:val="Caption"/>
      </w:pPr>
    </w:p>
    <w:p w14:paraId="4EDB41E0" w14:textId="78FD320B" w:rsidR="00090F82" w:rsidRPr="001B0D3A" w:rsidRDefault="00090F82" w:rsidP="00090F82">
      <w:pPr>
        <w:pStyle w:val="Caption"/>
      </w:pPr>
      <w:bookmarkStart w:id="179" w:name="_Toc119516553"/>
      <w:bookmarkStart w:id="180" w:name="_Toc121095120"/>
      <w:r w:rsidRPr="00867D3A">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7</w:t>
      </w:r>
      <w:r w:rsidR="00D532BC">
        <w:rPr>
          <w:b/>
          <w:bCs/>
        </w:rPr>
        <w:fldChar w:fldCharType="end"/>
      </w:r>
      <w:r w:rsidRPr="00867D3A">
        <w:rPr>
          <w:b/>
          <w:bCs/>
        </w:rPr>
        <w:t>:</w:t>
      </w:r>
      <w:r w:rsidRPr="001B0D3A">
        <w:t xml:space="preserve"> Core photographs of the identified Arbuckle lithologies in the study area: (A) Peloidal dolomitic packstone, (B) Argillaceous dolomitic packstone, (C) Argillaceous micritic dolomite, (D) Crystalline dolomite, (E) Crystalline micritic dolomite, (F) Dolomitic breccia, (G) Dolomitic mudstone, (H) Fine-grained dolomitic packstone, (I) Medium-grained dolomitic wackestone.</w:t>
      </w:r>
      <w:bookmarkEnd w:id="179"/>
      <w:bookmarkEnd w:id="180"/>
    </w:p>
    <w:p w14:paraId="4C7B0C1C" w14:textId="63B0D160" w:rsidR="00090F82" w:rsidRPr="001B0D3A" w:rsidRDefault="00090F82" w:rsidP="00090F82">
      <w:pPr>
        <w:pStyle w:val="Caption"/>
      </w:pPr>
    </w:p>
    <w:p w14:paraId="278C70EE" w14:textId="2C4635DE" w:rsidR="00090F82" w:rsidRDefault="00867D3A" w:rsidP="00867D3A">
      <w:pPr>
        <w:pStyle w:val="Caption"/>
        <w:jc w:val="center"/>
      </w:pPr>
      <w:r>
        <w:rPr>
          <w:noProof/>
        </w:rPr>
        <w:lastRenderedPageBreak/>
        <w:drawing>
          <wp:inline distT="0" distB="0" distL="0" distR="0" wp14:anchorId="1E7484AD" wp14:editId="6DB47FF4">
            <wp:extent cx="5452533" cy="7158312"/>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69655" cy="7180790"/>
                    </a:xfrm>
                    <a:prstGeom prst="rect">
                      <a:avLst/>
                    </a:prstGeom>
                    <a:noFill/>
                  </pic:spPr>
                </pic:pic>
              </a:graphicData>
            </a:graphic>
          </wp:inline>
        </w:drawing>
      </w:r>
    </w:p>
    <w:p w14:paraId="51D51D5F" w14:textId="0DE29EF1" w:rsidR="00090F82" w:rsidRPr="00B63C95" w:rsidRDefault="00090F82" w:rsidP="00090F82">
      <w:pPr>
        <w:pStyle w:val="Caption"/>
        <w:rPr>
          <w:b/>
          <w:bCs/>
        </w:rPr>
        <w:sectPr w:rsidR="00090F82" w:rsidRPr="00B63C95" w:rsidSect="00086BA9">
          <w:type w:val="continuous"/>
          <w:pgSz w:w="12240" w:h="15840"/>
          <w:pgMar w:top="1440" w:right="1440" w:bottom="1440" w:left="1440" w:header="720" w:footer="720" w:gutter="0"/>
          <w:cols w:space="720"/>
          <w:docGrid w:linePitch="360"/>
        </w:sectPr>
      </w:pPr>
      <w:bookmarkStart w:id="181" w:name="_Toc119516554"/>
      <w:bookmarkStart w:id="182" w:name="_Toc121095121"/>
      <w:r w:rsidRPr="001B0D3A">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8</w:t>
      </w:r>
      <w:r w:rsidR="00D532BC">
        <w:rPr>
          <w:b/>
          <w:bCs/>
        </w:rPr>
        <w:fldChar w:fldCharType="end"/>
      </w:r>
      <w:r w:rsidRPr="001B0D3A">
        <w:rPr>
          <w:b/>
          <w:bCs/>
        </w:rPr>
        <w:t>:</w:t>
      </w:r>
      <w:r w:rsidRPr="001B0D3A">
        <w:t xml:space="preserve"> Petrofacies definition for the Arbuckle group. </w:t>
      </w:r>
      <w:r>
        <w:t>The u</w:t>
      </w:r>
      <w:r w:rsidRPr="001B0D3A">
        <w:t>pper image shows the cross-plot of core</w:t>
      </w:r>
      <w:r>
        <w:t>-</w:t>
      </w:r>
      <w:r w:rsidRPr="001B0D3A">
        <w:t xml:space="preserve">measured permeability versus porosity. </w:t>
      </w:r>
      <w:r>
        <w:t>The l</w:t>
      </w:r>
      <w:r w:rsidRPr="001B0D3A">
        <w:t>ower figure shows the defined petrofacies using the FZI method.</w:t>
      </w:r>
      <w:bookmarkEnd w:id="181"/>
      <w:bookmarkEnd w:id="182"/>
      <w:r w:rsidRPr="00B63C95">
        <w:rPr>
          <w:b/>
          <w:bCs/>
        </w:rPr>
        <w:t xml:space="preserve">  </w:t>
      </w:r>
    </w:p>
    <w:p w14:paraId="77D4A737" w14:textId="77777777" w:rsidR="00090F82" w:rsidRDefault="00090F82" w:rsidP="00090F82">
      <w:pPr>
        <w:pStyle w:val="Caption"/>
        <w:keepNext/>
      </w:pPr>
      <w:r>
        <w:rPr>
          <w:iCs w:val="0"/>
          <w:noProof/>
          <w:szCs w:val="24"/>
        </w:rPr>
        <w:lastRenderedPageBreak/>
        <w:drawing>
          <wp:inline distT="0" distB="0" distL="0" distR="0" wp14:anchorId="447A9F96" wp14:editId="2F491589">
            <wp:extent cx="8230235" cy="3975100"/>
            <wp:effectExtent l="0" t="0" r="0" b="5715"/>
            <wp:docPr id="83" name="Picture 83" descr="Chart, timeline,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 timeline, bar chart&#10;&#10;Description automatically generated"/>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8230235" cy="3975100"/>
                    </a:xfrm>
                    <a:prstGeom prst="rect">
                      <a:avLst/>
                    </a:prstGeom>
                    <a:noFill/>
                  </pic:spPr>
                </pic:pic>
              </a:graphicData>
            </a:graphic>
          </wp:inline>
        </w:drawing>
      </w:r>
    </w:p>
    <w:p w14:paraId="341FE3CA" w14:textId="77777777" w:rsidR="00090F82" w:rsidRDefault="00090F82" w:rsidP="00090F82">
      <w:pPr>
        <w:pStyle w:val="Caption"/>
      </w:pPr>
    </w:p>
    <w:p w14:paraId="46728B22" w14:textId="171C20CF" w:rsidR="00090F82" w:rsidRPr="006F6F05" w:rsidRDefault="00090F82" w:rsidP="00090F82">
      <w:pPr>
        <w:pStyle w:val="Caption"/>
        <w:sectPr w:rsidR="00090F82" w:rsidRPr="006F6F05" w:rsidSect="00086BA9">
          <w:type w:val="continuous"/>
          <w:pgSz w:w="15840" w:h="12240" w:orient="landscape"/>
          <w:pgMar w:top="1440" w:right="1440" w:bottom="1440" w:left="1440" w:header="720" w:footer="720" w:gutter="0"/>
          <w:cols w:space="720"/>
          <w:docGrid w:linePitch="360"/>
        </w:sectPr>
      </w:pPr>
      <w:bookmarkStart w:id="183" w:name="_Toc119516555"/>
      <w:bookmarkStart w:id="184" w:name="_Toc121095122"/>
      <w:r w:rsidRPr="002A7CE2">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9</w:t>
      </w:r>
      <w:r w:rsidR="00D532BC">
        <w:rPr>
          <w:b/>
          <w:bCs/>
        </w:rPr>
        <w:fldChar w:fldCharType="end"/>
      </w:r>
      <w:r w:rsidRPr="002A7CE2">
        <w:rPr>
          <w:b/>
          <w:bCs/>
        </w:rPr>
        <w:t>:</w:t>
      </w:r>
      <w:r>
        <w:t xml:space="preserve"> </w:t>
      </w:r>
      <w:r w:rsidRPr="002A2739">
        <w:rPr>
          <w:iCs w:val="0"/>
          <w:szCs w:val="24"/>
        </w:rPr>
        <w:t>Core</w:t>
      </w:r>
      <w:r>
        <w:rPr>
          <w:iCs w:val="0"/>
          <w:szCs w:val="24"/>
        </w:rPr>
        <w:t>-</w:t>
      </w:r>
      <w:r w:rsidRPr="002A2739">
        <w:rPr>
          <w:iCs w:val="0"/>
          <w:szCs w:val="24"/>
        </w:rPr>
        <w:t xml:space="preserve">defined petrofacies and the petrofacies classification from the ANN (right-most tracks) shown with </w:t>
      </w:r>
      <w:r>
        <w:rPr>
          <w:iCs w:val="0"/>
          <w:szCs w:val="24"/>
        </w:rPr>
        <w:t xml:space="preserve">a </w:t>
      </w:r>
      <w:r w:rsidRPr="002A2739">
        <w:rPr>
          <w:iCs w:val="0"/>
          <w:szCs w:val="24"/>
        </w:rPr>
        <w:t xml:space="preserve">suite of well logs used in the ANN </w:t>
      </w:r>
      <w:r>
        <w:rPr>
          <w:iCs w:val="0"/>
          <w:szCs w:val="24"/>
        </w:rPr>
        <w:t>training</w:t>
      </w:r>
      <w:r w:rsidRPr="002A2739">
        <w:rPr>
          <w:iCs w:val="0"/>
          <w:szCs w:val="24"/>
        </w:rPr>
        <w:t xml:space="preserve"> (Gamma-ray (GR), </w:t>
      </w:r>
      <w:r w:rsidR="00867D3A">
        <w:rPr>
          <w:iCs w:val="0"/>
          <w:szCs w:val="24"/>
        </w:rPr>
        <w:t>p</w:t>
      </w:r>
      <w:r w:rsidRPr="002A2739">
        <w:rPr>
          <w:iCs w:val="0"/>
          <w:szCs w:val="24"/>
        </w:rPr>
        <w:t>hotoelectric effect (PEF), deep resistivity (RESD), neutron porosity (NPHI) and density porosity (PHID), and P-wave sonic (DT)).</w:t>
      </w:r>
      <w:bookmarkEnd w:id="183"/>
      <w:bookmarkEnd w:id="184"/>
    </w:p>
    <w:p w14:paraId="33506D85" w14:textId="35C77A54" w:rsidR="00090F82" w:rsidRDefault="00DE502F" w:rsidP="00090F82">
      <w:pPr>
        <w:pStyle w:val="Caption"/>
        <w:keepNext/>
      </w:pPr>
      <w:r>
        <w:rPr>
          <w:noProof/>
        </w:rPr>
        <w:lastRenderedPageBreak/>
        <w:drawing>
          <wp:inline distT="0" distB="0" distL="0" distR="0" wp14:anchorId="35E3EADF" wp14:editId="29F67B89">
            <wp:extent cx="5913755" cy="416085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24077" cy="4168116"/>
                    </a:xfrm>
                    <a:prstGeom prst="rect">
                      <a:avLst/>
                    </a:prstGeom>
                    <a:noFill/>
                  </pic:spPr>
                </pic:pic>
              </a:graphicData>
            </a:graphic>
          </wp:inline>
        </w:drawing>
      </w:r>
    </w:p>
    <w:p w14:paraId="2F865CD0" w14:textId="77777777" w:rsidR="00090F82" w:rsidRDefault="00090F82" w:rsidP="00090F82">
      <w:pPr>
        <w:pStyle w:val="Caption"/>
        <w:rPr>
          <w:b/>
          <w:bCs/>
        </w:rPr>
      </w:pPr>
    </w:p>
    <w:p w14:paraId="50A354B4" w14:textId="1E1A5DBF" w:rsidR="00090F82" w:rsidRPr="00A609ED" w:rsidRDefault="00090F82" w:rsidP="00090F82">
      <w:pPr>
        <w:pStyle w:val="Caption"/>
        <w:sectPr w:rsidR="00090F82" w:rsidRPr="00A609ED" w:rsidSect="00086BA9">
          <w:type w:val="continuous"/>
          <w:pgSz w:w="12240" w:h="15840"/>
          <w:pgMar w:top="1440" w:right="1440" w:bottom="1440" w:left="1440" w:header="720" w:footer="720" w:gutter="0"/>
          <w:cols w:space="720"/>
          <w:docGrid w:linePitch="360"/>
        </w:sectPr>
      </w:pPr>
      <w:bookmarkStart w:id="185" w:name="_Toc119516556"/>
      <w:bookmarkStart w:id="186" w:name="_Toc121095123"/>
      <w:r w:rsidRPr="00A609ED">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10</w:t>
      </w:r>
      <w:r w:rsidR="00D532BC">
        <w:rPr>
          <w:b/>
          <w:bCs/>
        </w:rPr>
        <w:fldChar w:fldCharType="end"/>
      </w:r>
      <w:r w:rsidRPr="00A609ED">
        <w:rPr>
          <w:b/>
          <w:bCs/>
        </w:rPr>
        <w:t>:</w:t>
      </w:r>
      <w:r>
        <w:t xml:space="preserve"> </w:t>
      </w:r>
      <w:r w:rsidRPr="00D842A3">
        <w:rPr>
          <w:iCs w:val="0"/>
          <w:szCs w:val="24"/>
        </w:rPr>
        <w:t xml:space="preserve">Quantitative Quality Control of the simultaneous pre-stack inversion results. </w:t>
      </w:r>
      <w:r>
        <w:rPr>
          <w:iCs w:val="0"/>
          <w:szCs w:val="24"/>
        </w:rPr>
        <w:t>The f</w:t>
      </w:r>
      <w:r w:rsidRPr="00D842A3">
        <w:rPr>
          <w:iCs w:val="0"/>
          <w:szCs w:val="24"/>
        </w:rPr>
        <w:t xml:space="preserve">irst two tracks show the overlay of </w:t>
      </w:r>
      <w:r>
        <w:rPr>
          <w:iCs w:val="0"/>
          <w:szCs w:val="24"/>
        </w:rPr>
        <w:t xml:space="preserve">low-frequency background models with </w:t>
      </w:r>
      <w:r w:rsidRPr="00D842A3">
        <w:rPr>
          <w:iCs w:val="0"/>
          <w:szCs w:val="24"/>
        </w:rPr>
        <w:t>actual and inverted impedance logs. Tracks 3-5 show the synthetic gather created by the inversion process, actual gathers used in the inversion</w:t>
      </w:r>
      <w:r>
        <w:rPr>
          <w:iCs w:val="0"/>
          <w:szCs w:val="24"/>
        </w:rPr>
        <w:t>,</w:t>
      </w:r>
      <w:r w:rsidRPr="00D842A3">
        <w:rPr>
          <w:iCs w:val="0"/>
          <w:szCs w:val="24"/>
        </w:rPr>
        <w:t xml:space="preserve"> and the residual difference (error) </w:t>
      </w:r>
      <w:r>
        <w:rPr>
          <w:iCs w:val="0"/>
          <w:szCs w:val="24"/>
        </w:rPr>
        <w:t xml:space="preserve">in </w:t>
      </w:r>
      <w:r w:rsidRPr="00D842A3">
        <w:rPr>
          <w:iCs w:val="0"/>
          <w:szCs w:val="24"/>
        </w:rPr>
        <w:t>between</w:t>
      </w:r>
      <w:r>
        <w:rPr>
          <w:iCs w:val="0"/>
          <w:szCs w:val="24"/>
        </w:rPr>
        <w:t>,</w:t>
      </w:r>
      <w:r w:rsidRPr="00D842A3">
        <w:rPr>
          <w:iCs w:val="0"/>
          <w:szCs w:val="24"/>
        </w:rPr>
        <w:t xml:space="preserve"> respectively. 89% correlation was achieved for the Berexco Wellington #1-32 well.</w:t>
      </w:r>
      <w:bookmarkEnd w:id="185"/>
      <w:bookmarkEnd w:id="186"/>
    </w:p>
    <w:p w14:paraId="24F55FA0" w14:textId="2762F829" w:rsidR="00090F82" w:rsidRDefault="00AC32CE" w:rsidP="00090F82">
      <w:pPr>
        <w:pStyle w:val="Caption"/>
        <w:keepNext/>
        <w:jc w:val="center"/>
      </w:pPr>
      <w:r>
        <w:rPr>
          <w:noProof/>
        </w:rPr>
        <w:lastRenderedPageBreak/>
        <w:drawing>
          <wp:inline distT="0" distB="0" distL="0" distR="0" wp14:anchorId="34DBE726" wp14:editId="1873A3E3">
            <wp:extent cx="8035290" cy="4974590"/>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035290" cy="4974590"/>
                    </a:xfrm>
                    <a:prstGeom prst="rect">
                      <a:avLst/>
                    </a:prstGeom>
                    <a:noFill/>
                  </pic:spPr>
                </pic:pic>
              </a:graphicData>
            </a:graphic>
          </wp:inline>
        </w:drawing>
      </w:r>
    </w:p>
    <w:p w14:paraId="7462359E" w14:textId="74ADD7AD" w:rsidR="00090F82" w:rsidRPr="00A609ED" w:rsidRDefault="00090F82" w:rsidP="00090F82">
      <w:pPr>
        <w:pStyle w:val="Caption"/>
        <w:rPr>
          <w:b/>
          <w:bCs/>
        </w:rPr>
        <w:sectPr w:rsidR="00090F82" w:rsidRPr="00A609ED" w:rsidSect="00086BA9">
          <w:type w:val="continuous"/>
          <w:pgSz w:w="15840" w:h="12240" w:orient="landscape"/>
          <w:pgMar w:top="1440" w:right="1440" w:bottom="1440" w:left="1440" w:header="720" w:footer="720" w:gutter="0"/>
          <w:cols w:space="720"/>
          <w:docGrid w:linePitch="360"/>
        </w:sectPr>
      </w:pPr>
      <w:bookmarkStart w:id="187" w:name="_Toc119516557"/>
      <w:bookmarkStart w:id="188" w:name="_Toc121095124"/>
      <w:r w:rsidRPr="00A609ED">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11</w:t>
      </w:r>
      <w:r w:rsidR="00D532BC">
        <w:rPr>
          <w:b/>
          <w:bCs/>
        </w:rPr>
        <w:fldChar w:fldCharType="end"/>
      </w:r>
      <w:r w:rsidRPr="00A609ED">
        <w:rPr>
          <w:b/>
          <w:bCs/>
        </w:rPr>
        <w:t>:</w:t>
      </w:r>
      <w:r>
        <w:rPr>
          <w:b/>
          <w:bCs/>
        </w:rPr>
        <w:t xml:space="preserve"> East-west </w:t>
      </w:r>
      <w:r w:rsidRPr="00160B6C">
        <w:rPr>
          <w:rFonts w:cs="Times New Roman"/>
          <w:iCs w:val="0"/>
          <w:noProof/>
          <w:szCs w:val="24"/>
        </w:rPr>
        <w:t>arbitrary line</w:t>
      </w:r>
      <w:r>
        <w:rPr>
          <w:rFonts w:cs="Times New Roman"/>
          <w:iCs w:val="0"/>
          <w:noProof/>
          <w:szCs w:val="24"/>
        </w:rPr>
        <w:t xml:space="preserve"> (B-B’)</w:t>
      </w:r>
      <w:r w:rsidRPr="00160B6C">
        <w:rPr>
          <w:rFonts w:cs="Times New Roman"/>
          <w:iCs w:val="0"/>
          <w:noProof/>
          <w:szCs w:val="24"/>
        </w:rPr>
        <w:t xml:space="preserve">  through </w:t>
      </w:r>
      <w:r w:rsidRPr="002D41B7">
        <w:rPr>
          <w:rFonts w:cs="Times New Roman"/>
          <w:iCs w:val="0"/>
          <w:szCs w:val="24"/>
        </w:rPr>
        <w:t>Berexco Wellington KGS #1–32</w:t>
      </w:r>
      <w:r>
        <w:rPr>
          <w:rFonts w:cs="Times New Roman"/>
          <w:iCs w:val="0"/>
          <w:szCs w:val="24"/>
        </w:rPr>
        <w:t xml:space="preserve"> </w:t>
      </w:r>
      <w:r w:rsidRPr="00160B6C">
        <w:rPr>
          <w:rFonts w:cs="Times New Roman"/>
          <w:iCs w:val="0"/>
          <w:noProof/>
          <w:szCs w:val="24"/>
        </w:rPr>
        <w:t xml:space="preserve">showing the simultaneous pre-stack inversion results (Upper image: P-impedance, Lower image: S-impedance). </w:t>
      </w:r>
      <w:r w:rsidRPr="00160B6C">
        <w:rPr>
          <w:rFonts w:cs="Times New Roman"/>
          <w:iCs w:val="0"/>
          <w:szCs w:val="36"/>
        </w:rPr>
        <w:t xml:space="preserve">High impedance values can be seen </w:t>
      </w:r>
      <w:r>
        <w:rPr>
          <w:rFonts w:cs="Times New Roman"/>
          <w:iCs w:val="0"/>
          <w:szCs w:val="36"/>
        </w:rPr>
        <w:t>in</w:t>
      </w:r>
      <w:r w:rsidRPr="00160B6C">
        <w:rPr>
          <w:rFonts w:cs="Times New Roman"/>
          <w:iCs w:val="0"/>
          <w:szCs w:val="36"/>
        </w:rPr>
        <w:t xml:space="preserve"> the middle portion, while relatively lower values of impedances are </w:t>
      </w:r>
      <w:r>
        <w:rPr>
          <w:rFonts w:cs="Times New Roman"/>
          <w:iCs w:val="0"/>
          <w:szCs w:val="36"/>
        </w:rPr>
        <w:t>primari</w:t>
      </w:r>
      <w:r w:rsidRPr="00160B6C">
        <w:rPr>
          <w:rFonts w:cs="Times New Roman"/>
          <w:iCs w:val="0"/>
          <w:szCs w:val="36"/>
        </w:rPr>
        <w:t xml:space="preserve">ly located in the </w:t>
      </w:r>
      <w:r>
        <w:rPr>
          <w:rFonts w:cs="Times New Roman"/>
          <w:iCs w:val="0"/>
          <w:szCs w:val="36"/>
        </w:rPr>
        <w:t xml:space="preserve">Arbuckle </w:t>
      </w:r>
      <w:r w:rsidR="00081C81">
        <w:rPr>
          <w:rFonts w:cs="Times New Roman"/>
          <w:iCs w:val="0"/>
          <w:szCs w:val="36"/>
        </w:rPr>
        <w:t xml:space="preserve">Group's </w:t>
      </w:r>
      <w:r>
        <w:rPr>
          <w:rFonts w:cs="Times New Roman"/>
          <w:iCs w:val="0"/>
          <w:szCs w:val="36"/>
        </w:rPr>
        <w:t>lower and</w:t>
      </w:r>
      <w:r w:rsidRPr="00160B6C">
        <w:rPr>
          <w:rFonts w:cs="Times New Roman"/>
          <w:iCs w:val="0"/>
          <w:szCs w:val="36"/>
        </w:rPr>
        <w:t xml:space="preserve"> upper p</w:t>
      </w:r>
      <w:r>
        <w:rPr>
          <w:rFonts w:cs="Times New Roman"/>
          <w:iCs w:val="0"/>
          <w:szCs w:val="36"/>
        </w:rPr>
        <w:t>arts</w:t>
      </w:r>
      <w:r w:rsidRPr="00160B6C">
        <w:rPr>
          <w:rFonts w:cs="Times New Roman"/>
          <w:iCs w:val="0"/>
          <w:szCs w:val="36"/>
        </w:rPr>
        <w:t xml:space="preserve"> of the Arbuckle </w:t>
      </w:r>
      <w:r w:rsidR="00081C81">
        <w:rPr>
          <w:rFonts w:cs="Times New Roman"/>
          <w:iCs w:val="0"/>
          <w:szCs w:val="36"/>
        </w:rPr>
        <w:t>G</w:t>
      </w:r>
      <w:r w:rsidR="00081C81" w:rsidRPr="00160B6C">
        <w:rPr>
          <w:rFonts w:cs="Times New Roman"/>
          <w:iCs w:val="0"/>
          <w:szCs w:val="36"/>
        </w:rPr>
        <w:t>roup</w:t>
      </w:r>
      <w:r>
        <w:rPr>
          <w:rFonts w:cs="Times New Roman"/>
          <w:iCs w:val="0"/>
          <w:szCs w:val="36"/>
        </w:rPr>
        <w:t>.</w:t>
      </w:r>
      <w:bookmarkEnd w:id="187"/>
      <w:bookmarkEnd w:id="188"/>
    </w:p>
    <w:p w14:paraId="76AFECF3" w14:textId="77777777" w:rsidR="00090F82" w:rsidRDefault="00090F82" w:rsidP="00090F82">
      <w:pPr>
        <w:pStyle w:val="Caption"/>
        <w:keepNext/>
      </w:pPr>
      <w:r>
        <w:rPr>
          <w:noProof/>
        </w:rPr>
        <w:lastRenderedPageBreak/>
        <w:drawing>
          <wp:inline distT="0" distB="0" distL="0" distR="0" wp14:anchorId="7858B4F0" wp14:editId="7E225BD6">
            <wp:extent cx="8194040" cy="3377565"/>
            <wp:effectExtent l="0" t="0" r="0" b="0"/>
            <wp:docPr id="86" name="Picture 8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10;&#10;Description automatically generated"/>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8194040" cy="3377565"/>
                    </a:xfrm>
                    <a:prstGeom prst="rect">
                      <a:avLst/>
                    </a:prstGeom>
                    <a:noFill/>
                  </pic:spPr>
                </pic:pic>
              </a:graphicData>
            </a:graphic>
          </wp:inline>
        </w:drawing>
      </w:r>
    </w:p>
    <w:p w14:paraId="56221E89" w14:textId="5F5FCAF4" w:rsidR="00090F82" w:rsidRPr="006F6F05" w:rsidRDefault="00090F82" w:rsidP="00090F82">
      <w:pPr>
        <w:pStyle w:val="Caption"/>
        <w:sectPr w:rsidR="00090F82" w:rsidRPr="006F6F05" w:rsidSect="00086BA9">
          <w:type w:val="continuous"/>
          <w:pgSz w:w="15840" w:h="12240" w:orient="landscape"/>
          <w:pgMar w:top="1440" w:right="1440" w:bottom="1440" w:left="1440" w:header="720" w:footer="720" w:gutter="0"/>
          <w:cols w:space="720"/>
          <w:docGrid w:linePitch="360"/>
        </w:sectPr>
      </w:pPr>
      <w:bookmarkStart w:id="189" w:name="_Toc119516558"/>
      <w:bookmarkStart w:id="190" w:name="_Toc121095125"/>
      <w:r w:rsidRPr="00B71F11">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12</w:t>
      </w:r>
      <w:r w:rsidR="00D532BC">
        <w:rPr>
          <w:b/>
          <w:bCs/>
        </w:rPr>
        <w:fldChar w:fldCharType="end"/>
      </w:r>
      <w:r w:rsidRPr="00B71F11">
        <w:rPr>
          <w:b/>
          <w:bCs/>
        </w:rPr>
        <w:t>:</w:t>
      </w:r>
      <w:r>
        <w:t xml:space="preserve"> </w:t>
      </w:r>
      <w:r w:rsidRPr="00797916">
        <w:rPr>
          <w:rFonts w:cs="Times New Roman"/>
          <w:iCs w:val="0"/>
          <w:szCs w:val="24"/>
        </w:rPr>
        <w:t>West-East arbitrary line</w:t>
      </w:r>
      <w:r>
        <w:rPr>
          <w:rFonts w:cs="Times New Roman"/>
          <w:iCs w:val="0"/>
          <w:szCs w:val="24"/>
        </w:rPr>
        <w:t xml:space="preserve"> (A-A’)</w:t>
      </w:r>
      <w:r w:rsidRPr="00797916">
        <w:rPr>
          <w:rFonts w:cs="Times New Roman"/>
          <w:iCs w:val="0"/>
          <w:szCs w:val="24"/>
        </w:rPr>
        <w:t xml:space="preserve"> passing through the wells </w:t>
      </w:r>
      <w:r w:rsidRPr="002D41B7">
        <w:rPr>
          <w:rFonts w:cs="Times New Roman"/>
          <w:iCs w:val="0"/>
          <w:szCs w:val="24"/>
        </w:rPr>
        <w:t>Berexco Wellington KGS #1–32</w:t>
      </w:r>
      <w:r>
        <w:rPr>
          <w:rFonts w:cs="Times New Roman"/>
          <w:iCs w:val="0"/>
          <w:szCs w:val="24"/>
        </w:rPr>
        <w:t xml:space="preserve"> and #1-28</w:t>
      </w:r>
      <w:r>
        <w:rPr>
          <w:noProof/>
        </w:rPr>
        <w:t xml:space="preserve"> </w:t>
      </w:r>
      <w:r w:rsidRPr="00797916">
        <w:rPr>
          <w:rFonts w:cs="Times New Roman"/>
          <w:iCs w:val="0"/>
          <w:szCs w:val="24"/>
        </w:rPr>
        <w:t>showing the</w:t>
      </w:r>
      <w:r>
        <w:rPr>
          <w:rFonts w:cs="Times New Roman"/>
          <w:iCs w:val="0"/>
          <w:szCs w:val="24"/>
        </w:rPr>
        <w:t xml:space="preserve"> random forest petrofacies </w:t>
      </w:r>
      <w:r w:rsidRPr="00797916">
        <w:rPr>
          <w:rFonts w:cs="Times New Roman"/>
          <w:iCs w:val="0"/>
          <w:szCs w:val="24"/>
        </w:rPr>
        <w:t>predic</w:t>
      </w:r>
      <w:r>
        <w:rPr>
          <w:rFonts w:cs="Times New Roman"/>
          <w:iCs w:val="0"/>
          <w:szCs w:val="24"/>
        </w:rPr>
        <w:t xml:space="preserve">tion result. A good match between actual and predicted petrofacies at the well locations can be observed. </w:t>
      </w:r>
      <w:r w:rsidRPr="00797916">
        <w:rPr>
          <w:rFonts w:cs="Times New Roman"/>
          <w:iCs w:val="0"/>
          <w:szCs w:val="24"/>
        </w:rPr>
        <w:t>Note th</w:t>
      </w:r>
      <w:r>
        <w:rPr>
          <w:rFonts w:cs="Times New Roman"/>
          <w:iCs w:val="0"/>
          <w:szCs w:val="24"/>
        </w:rPr>
        <w:t>at</w:t>
      </w:r>
      <w:r w:rsidRPr="00797916">
        <w:rPr>
          <w:rFonts w:cs="Times New Roman"/>
          <w:iCs w:val="0"/>
          <w:szCs w:val="24"/>
        </w:rPr>
        <w:t xml:space="preserve"> </w:t>
      </w:r>
      <w:r>
        <w:rPr>
          <w:rFonts w:cs="Times New Roman"/>
          <w:iCs w:val="0"/>
          <w:szCs w:val="24"/>
        </w:rPr>
        <w:t>petrofacies</w:t>
      </w:r>
      <w:r w:rsidRPr="00797916">
        <w:rPr>
          <w:rFonts w:cs="Times New Roman"/>
          <w:iCs w:val="0"/>
          <w:szCs w:val="24"/>
        </w:rPr>
        <w:t xml:space="preserve"> 1 is mainly abundant in the lower Arbuckle, while</w:t>
      </w:r>
      <w:r>
        <w:rPr>
          <w:rFonts w:cs="Times New Roman"/>
          <w:iCs w:val="0"/>
          <w:szCs w:val="24"/>
        </w:rPr>
        <w:t xml:space="preserve"> petrofacies 2 and 3 are at</w:t>
      </w:r>
      <w:r w:rsidRPr="00797916">
        <w:rPr>
          <w:rFonts w:cs="Times New Roman"/>
          <w:iCs w:val="0"/>
          <w:szCs w:val="24"/>
        </w:rPr>
        <w:t xml:space="preserve"> </w:t>
      </w:r>
      <w:r>
        <w:rPr>
          <w:rFonts w:cs="Times New Roman"/>
          <w:iCs w:val="0"/>
          <w:szCs w:val="24"/>
        </w:rPr>
        <w:t>the middle Arbuckle interval. The location of the arbitrary line is shown in Figure 2.</w:t>
      </w:r>
      <w:bookmarkEnd w:id="189"/>
      <w:bookmarkEnd w:id="190"/>
    </w:p>
    <w:p w14:paraId="75FA5C23" w14:textId="77777777" w:rsidR="00090F82" w:rsidRDefault="00090F82" w:rsidP="00090F82">
      <w:pPr>
        <w:pStyle w:val="Caption"/>
        <w:keepNext/>
        <w:jc w:val="center"/>
      </w:pPr>
      <w:r>
        <w:rPr>
          <w:noProof/>
        </w:rPr>
        <w:lastRenderedPageBreak/>
        <w:drawing>
          <wp:inline distT="0" distB="0" distL="0" distR="0" wp14:anchorId="072A1C4E" wp14:editId="758C7DAD">
            <wp:extent cx="5964110" cy="543120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81669" cy="5447194"/>
                    </a:xfrm>
                    <a:prstGeom prst="rect">
                      <a:avLst/>
                    </a:prstGeom>
                    <a:noFill/>
                  </pic:spPr>
                </pic:pic>
              </a:graphicData>
            </a:graphic>
          </wp:inline>
        </w:drawing>
      </w:r>
    </w:p>
    <w:p w14:paraId="20AD99E9" w14:textId="267282AF" w:rsidR="00090F82" w:rsidRPr="006F6F05" w:rsidRDefault="00090F82" w:rsidP="00090F82">
      <w:pPr>
        <w:pStyle w:val="Caption"/>
        <w:sectPr w:rsidR="00090F82" w:rsidRPr="006F6F05" w:rsidSect="00086BA9">
          <w:type w:val="continuous"/>
          <w:pgSz w:w="12240" w:h="15840"/>
          <w:pgMar w:top="1440" w:right="1440" w:bottom="1440" w:left="1440" w:header="720" w:footer="720" w:gutter="0"/>
          <w:cols w:space="720"/>
          <w:docGrid w:linePitch="360"/>
        </w:sectPr>
      </w:pPr>
      <w:bookmarkStart w:id="191" w:name="_Toc119516559"/>
      <w:bookmarkStart w:id="192" w:name="_Toc121095126"/>
      <w:r w:rsidRPr="00B71F11">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13</w:t>
      </w:r>
      <w:r w:rsidR="00D532BC">
        <w:rPr>
          <w:b/>
          <w:bCs/>
        </w:rPr>
        <w:fldChar w:fldCharType="end"/>
      </w:r>
      <w:r>
        <w:t xml:space="preserve">: </w:t>
      </w:r>
      <w:r>
        <w:rPr>
          <w:rFonts w:cs="Times New Roman"/>
          <w:iCs w:val="0"/>
          <w:szCs w:val="24"/>
        </w:rPr>
        <w:t>Southwest-northeast</w:t>
      </w:r>
      <w:r w:rsidRPr="002544C4">
        <w:rPr>
          <w:rFonts w:cs="Times New Roman"/>
          <w:iCs w:val="0"/>
          <w:szCs w:val="24"/>
        </w:rPr>
        <w:t xml:space="preserve"> arbitrary line</w:t>
      </w:r>
      <w:r>
        <w:rPr>
          <w:rFonts w:cs="Times New Roman"/>
          <w:iCs w:val="0"/>
          <w:szCs w:val="24"/>
        </w:rPr>
        <w:t xml:space="preserve"> (A-A’)</w:t>
      </w:r>
      <w:r w:rsidRPr="002544C4">
        <w:rPr>
          <w:rFonts w:cs="Times New Roman"/>
          <w:iCs w:val="0"/>
          <w:szCs w:val="24"/>
        </w:rPr>
        <w:t xml:space="preserve"> showing the </w:t>
      </w:r>
      <w:r>
        <w:rPr>
          <w:rFonts w:cs="Times New Roman"/>
          <w:iCs w:val="0"/>
          <w:szCs w:val="24"/>
        </w:rPr>
        <w:t>individual probability of prediction for each petrofacies: (A) probability of petrofacies 1, (A) probability of petrofacies 2, (A) probability of petrofacies 3. Location of the arbitrary line is shown in Figure 2.</w:t>
      </w:r>
      <w:bookmarkEnd w:id="191"/>
      <w:bookmarkEnd w:id="192"/>
    </w:p>
    <w:p w14:paraId="3EF64866" w14:textId="77777777" w:rsidR="00090F82" w:rsidRDefault="00090F82" w:rsidP="00090F82">
      <w:pPr>
        <w:pStyle w:val="Caption"/>
        <w:keepNext/>
      </w:pPr>
      <w:r>
        <w:rPr>
          <w:noProof/>
        </w:rPr>
        <w:lastRenderedPageBreak/>
        <w:drawing>
          <wp:inline distT="0" distB="0" distL="0" distR="0" wp14:anchorId="29BE4F88" wp14:editId="04FDEDA6">
            <wp:extent cx="8195770" cy="4113043"/>
            <wp:effectExtent l="0" t="0" r="0" b="1905"/>
            <wp:docPr id="88" name="Picture 8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Diagram&#10;&#10;Description automatically generated"/>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8213168" cy="4121774"/>
                    </a:xfrm>
                    <a:prstGeom prst="rect">
                      <a:avLst/>
                    </a:prstGeom>
                    <a:noFill/>
                  </pic:spPr>
                </pic:pic>
              </a:graphicData>
            </a:graphic>
          </wp:inline>
        </w:drawing>
      </w:r>
    </w:p>
    <w:p w14:paraId="09445935" w14:textId="77777777" w:rsidR="00090F82" w:rsidRDefault="00090F82" w:rsidP="00090F82">
      <w:pPr>
        <w:pStyle w:val="Caption"/>
        <w:rPr>
          <w:b/>
          <w:bCs/>
        </w:rPr>
      </w:pPr>
    </w:p>
    <w:p w14:paraId="1E1F0C2A" w14:textId="76B51A4A" w:rsidR="00090F82" w:rsidRPr="008E65E3" w:rsidRDefault="00090F82" w:rsidP="00090F82">
      <w:pPr>
        <w:pStyle w:val="Caption"/>
        <w:rPr>
          <w:rFonts w:cs="Times New Roman"/>
          <w:iCs w:val="0"/>
          <w:szCs w:val="24"/>
        </w:rPr>
      </w:pPr>
      <w:bookmarkStart w:id="193" w:name="_Toc119516560"/>
      <w:bookmarkStart w:id="194" w:name="_Toc121095127"/>
      <w:r w:rsidRPr="00291E11">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2</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14</w:t>
      </w:r>
      <w:r w:rsidR="00D532BC">
        <w:rPr>
          <w:b/>
          <w:bCs/>
        </w:rPr>
        <w:fldChar w:fldCharType="end"/>
      </w:r>
      <w:r w:rsidRPr="00291E11">
        <w:rPr>
          <w:b/>
          <w:bCs/>
        </w:rPr>
        <w:t>:</w:t>
      </w:r>
      <w:r>
        <w:t xml:space="preserve"> </w:t>
      </w:r>
      <w:r>
        <w:rPr>
          <w:rFonts w:cs="Times New Roman"/>
          <w:iCs w:val="0"/>
          <w:szCs w:val="24"/>
        </w:rPr>
        <w:t>Petrofacies</w:t>
      </w:r>
      <w:r w:rsidRPr="000939F3">
        <w:rPr>
          <w:rFonts w:cs="Times New Roman"/>
          <w:iCs w:val="0"/>
          <w:szCs w:val="24"/>
        </w:rPr>
        <w:t xml:space="preserve"> volume values extracted </w:t>
      </w:r>
      <w:r>
        <w:rPr>
          <w:rFonts w:cs="Times New Roman"/>
          <w:iCs w:val="0"/>
          <w:szCs w:val="24"/>
        </w:rPr>
        <w:t>on various stratal slices between the top and the base of the Arbuckle horizons</w:t>
      </w:r>
      <w:r w:rsidRPr="000939F3">
        <w:rPr>
          <w:rFonts w:cs="Times New Roman"/>
          <w:iCs w:val="0"/>
          <w:szCs w:val="24"/>
        </w:rPr>
        <w:t xml:space="preserve">. </w:t>
      </w:r>
      <w:r>
        <w:rPr>
          <w:rFonts w:cs="Times New Roman"/>
          <w:iCs w:val="0"/>
          <w:szCs w:val="24"/>
        </w:rPr>
        <w:t xml:space="preserve">(A) Petrofacies volume values extracted from 20 ms above the base Arbuckle horizon. This </w:t>
      </w:r>
      <w:r w:rsidRPr="000939F3">
        <w:rPr>
          <w:rFonts w:cs="Times New Roman"/>
          <w:iCs w:val="0"/>
          <w:szCs w:val="24"/>
        </w:rPr>
        <w:t xml:space="preserve">interval mainly consists of </w:t>
      </w:r>
      <w:r>
        <w:rPr>
          <w:rFonts w:cs="Times New Roman"/>
          <w:iCs w:val="0"/>
          <w:szCs w:val="24"/>
        </w:rPr>
        <w:t>petrofacies</w:t>
      </w:r>
      <w:r w:rsidRPr="000939F3">
        <w:rPr>
          <w:rFonts w:cs="Times New Roman"/>
          <w:iCs w:val="0"/>
          <w:szCs w:val="24"/>
        </w:rPr>
        <w:t xml:space="preserve"> 1</w:t>
      </w:r>
      <w:r>
        <w:rPr>
          <w:rFonts w:cs="Times New Roman"/>
          <w:iCs w:val="0"/>
          <w:szCs w:val="24"/>
        </w:rPr>
        <w:t>. (B) Petrofacies Horizon slice extraction 50ms above the base Arbuckle horizon. This interval is dominated by petrofacies 2 and 3. (C) Horizon slice extracted 15ms below the top Arbuckle horizon. Petrofacies 1 and 2 are prevalent in this interval. H</w:t>
      </w:r>
      <w:r w:rsidRPr="000939F3">
        <w:rPr>
          <w:rFonts w:cs="Times New Roman"/>
          <w:iCs w:val="0"/>
          <w:szCs w:val="24"/>
        </w:rPr>
        <w:t>eterogeneous distribution</w:t>
      </w:r>
      <w:r>
        <w:rPr>
          <w:rFonts w:cs="Times New Roman"/>
          <w:iCs w:val="0"/>
          <w:szCs w:val="24"/>
        </w:rPr>
        <w:t xml:space="preserve"> of petrofacies is observed throughout all the maps.</w:t>
      </w:r>
      <w:bookmarkEnd w:id="193"/>
      <w:bookmarkEnd w:id="194"/>
      <w:r w:rsidRPr="000939F3">
        <w:rPr>
          <w:rFonts w:cs="Times New Roman"/>
          <w:iCs w:val="0"/>
          <w:szCs w:val="24"/>
        </w:rPr>
        <w:t xml:space="preserve"> </w:t>
      </w:r>
    </w:p>
    <w:p w14:paraId="28226CCB" w14:textId="77777777" w:rsidR="00090F82" w:rsidRDefault="00090F82" w:rsidP="00090F82">
      <w:pPr>
        <w:pStyle w:val="Caption"/>
        <w:rPr>
          <w:rFonts w:cs="Times New Roman"/>
          <w:i/>
          <w:iCs w:val="0"/>
          <w:szCs w:val="36"/>
        </w:rPr>
        <w:sectPr w:rsidR="00090F82" w:rsidSect="00086BA9">
          <w:type w:val="continuous"/>
          <w:pgSz w:w="15840" w:h="12240" w:orient="landscape"/>
          <w:pgMar w:top="1440" w:right="1440" w:bottom="1440" w:left="1440" w:header="720" w:footer="720" w:gutter="0"/>
          <w:cols w:space="720"/>
          <w:docGrid w:linePitch="360"/>
        </w:sectPr>
      </w:pPr>
    </w:p>
    <w:p w14:paraId="4BB470CD" w14:textId="77777777" w:rsidR="00090F82" w:rsidRDefault="00090F82" w:rsidP="00090F82">
      <w:pPr>
        <w:pStyle w:val="Heading2"/>
      </w:pPr>
      <w:bookmarkStart w:id="195" w:name="_Toc119516640"/>
      <w:bookmarkStart w:id="196" w:name="_Toc121095975"/>
      <w:r>
        <w:lastRenderedPageBreak/>
        <w:t>Chapter 2 Tables</w:t>
      </w:r>
      <w:bookmarkEnd w:id="195"/>
      <w:bookmarkEnd w:id="196"/>
    </w:p>
    <w:tbl>
      <w:tblPr>
        <w:tblW w:w="5000" w:type="pct"/>
        <w:tblCellMar>
          <w:left w:w="0" w:type="dxa"/>
          <w:right w:w="0" w:type="dxa"/>
        </w:tblCellMar>
        <w:tblLook w:val="0600" w:firstRow="0" w:lastRow="0" w:firstColumn="0" w:lastColumn="0" w:noHBand="1" w:noVBand="1"/>
      </w:tblPr>
      <w:tblGrid>
        <w:gridCol w:w="1865"/>
        <w:gridCol w:w="1885"/>
        <w:gridCol w:w="1864"/>
        <w:gridCol w:w="1864"/>
        <w:gridCol w:w="1862"/>
      </w:tblGrid>
      <w:tr w:rsidR="00090F82" w:rsidRPr="005F3CB7" w14:paraId="49CCC61C" w14:textId="77777777" w:rsidTr="00DB229C">
        <w:trPr>
          <w:cantSplit/>
          <w:trHeight w:val="20"/>
        </w:trPr>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584622" w14:textId="77777777" w:rsidR="00090F82" w:rsidRPr="00D052F6" w:rsidRDefault="00090F82" w:rsidP="00620605">
            <w:pPr>
              <w:spacing w:after="0" w:line="240" w:lineRule="auto"/>
              <w:jc w:val="center"/>
              <w:rPr>
                <w:rFonts w:eastAsia="Times New Roman" w:cs="Times New Roman"/>
                <w:szCs w:val="24"/>
              </w:rPr>
            </w:pPr>
          </w:p>
        </w:tc>
        <w:tc>
          <w:tcPr>
            <w:tcW w:w="4002"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876224" w14:textId="77777777" w:rsidR="00090F82" w:rsidRPr="00575E44" w:rsidRDefault="00090F82" w:rsidP="00620605">
            <w:pPr>
              <w:spacing w:after="0" w:line="240" w:lineRule="auto"/>
              <w:jc w:val="center"/>
              <w:rPr>
                <w:rFonts w:ascii="Arial" w:eastAsia="Times New Roman" w:hAnsi="Arial" w:cs="Arial"/>
                <w:b/>
                <w:bCs/>
                <w:szCs w:val="24"/>
              </w:rPr>
            </w:pPr>
            <w:r w:rsidRPr="00575E44">
              <w:rPr>
                <w:rFonts w:ascii="Arial" w:eastAsia="Times New Roman" w:hAnsi="Arial" w:cs="Arial"/>
                <w:b/>
                <w:bCs/>
                <w:color w:val="000000"/>
                <w:kern w:val="24"/>
                <w:sz w:val="28"/>
                <w:szCs w:val="28"/>
              </w:rPr>
              <w:t>Classified Petrofacies</w:t>
            </w:r>
          </w:p>
        </w:tc>
      </w:tr>
      <w:tr w:rsidR="00090F82" w:rsidRPr="005F3CB7" w14:paraId="19D1C06E" w14:textId="77777777" w:rsidTr="00DB229C">
        <w:trPr>
          <w:cantSplit/>
          <w:trHeight w:val="160"/>
        </w:trPr>
        <w:tc>
          <w:tcPr>
            <w:tcW w:w="998"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vAlign w:val="center"/>
            <w:hideMark/>
          </w:tcPr>
          <w:p w14:paraId="4FD90181" w14:textId="77777777" w:rsidR="00090F82" w:rsidRPr="00575E44" w:rsidRDefault="00090F82" w:rsidP="00620605">
            <w:pPr>
              <w:spacing w:after="0" w:line="240" w:lineRule="auto"/>
              <w:jc w:val="center"/>
              <w:rPr>
                <w:rFonts w:ascii="Arial" w:eastAsia="Times New Roman" w:hAnsi="Arial" w:cs="Arial"/>
                <w:b/>
                <w:bCs/>
                <w:sz w:val="28"/>
                <w:szCs w:val="28"/>
              </w:rPr>
            </w:pPr>
            <w:r w:rsidRPr="00575E44">
              <w:rPr>
                <w:rFonts w:ascii="Arial" w:eastAsia="Times New Roman" w:hAnsi="Arial" w:cs="Arial"/>
                <w:b/>
                <w:bCs/>
                <w:color w:val="000000"/>
                <w:kern w:val="24"/>
                <w:sz w:val="28"/>
                <w:szCs w:val="28"/>
              </w:rPr>
              <w:t>Actual Petrofacies</w:t>
            </w:r>
          </w:p>
        </w:tc>
        <w:tc>
          <w:tcPr>
            <w:tcW w:w="100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1B89D4" w14:textId="77777777" w:rsidR="00090F82" w:rsidRPr="00D052F6" w:rsidRDefault="00090F82" w:rsidP="00620605">
            <w:pPr>
              <w:spacing w:after="0" w:line="240" w:lineRule="auto"/>
              <w:jc w:val="center"/>
              <w:rPr>
                <w:rFonts w:ascii="Arial" w:eastAsia="Times New Roman" w:hAnsi="Arial" w:cs="Arial"/>
                <w:sz w:val="28"/>
                <w:szCs w:val="28"/>
              </w:rPr>
            </w:pPr>
          </w:p>
        </w:tc>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836D4B"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1</w:t>
            </w:r>
          </w:p>
        </w:tc>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04C9EF"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2</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DC3C10C"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3</w:t>
            </w:r>
          </w:p>
        </w:tc>
      </w:tr>
      <w:tr w:rsidR="00090F82" w:rsidRPr="005F3CB7" w14:paraId="6367C296" w14:textId="77777777" w:rsidTr="00DB229C">
        <w:trPr>
          <w:cantSplit/>
          <w:trHeight w:val="70"/>
        </w:trPr>
        <w:tc>
          <w:tcPr>
            <w:tcW w:w="998"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CFF1FD" w14:textId="77777777" w:rsidR="00090F82" w:rsidRPr="00D052F6" w:rsidRDefault="00090F82" w:rsidP="00620605">
            <w:pPr>
              <w:spacing w:after="0" w:line="240" w:lineRule="auto"/>
              <w:jc w:val="center"/>
              <w:rPr>
                <w:rFonts w:ascii="Arial" w:eastAsia="Times New Roman" w:hAnsi="Arial" w:cs="Arial"/>
                <w:sz w:val="28"/>
                <w:szCs w:val="28"/>
              </w:rPr>
            </w:pPr>
          </w:p>
        </w:tc>
        <w:tc>
          <w:tcPr>
            <w:tcW w:w="100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8328F7"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1</w:t>
            </w:r>
          </w:p>
        </w:tc>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C74C19" w14:textId="77777777" w:rsidR="00090F82" w:rsidRPr="00DB229C" w:rsidRDefault="00090F82" w:rsidP="00620605">
            <w:pPr>
              <w:spacing w:after="0" w:line="240" w:lineRule="auto"/>
              <w:jc w:val="center"/>
              <w:rPr>
                <w:rFonts w:ascii="Arial" w:eastAsia="Times New Roman" w:hAnsi="Arial" w:cs="Arial"/>
                <w:b/>
                <w:bCs/>
                <w:sz w:val="28"/>
                <w:szCs w:val="28"/>
              </w:rPr>
            </w:pPr>
            <w:r w:rsidRPr="00DB229C">
              <w:rPr>
                <w:rFonts w:ascii="Arial" w:eastAsia="Times New Roman" w:hAnsi="Arial" w:cs="Arial"/>
                <w:b/>
                <w:bCs/>
                <w:color w:val="000000"/>
                <w:kern w:val="24"/>
                <w:sz w:val="28"/>
                <w:szCs w:val="28"/>
              </w:rPr>
              <w:t>84.2%</w:t>
            </w:r>
          </w:p>
        </w:tc>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BF0FAE"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15.5%</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C973AE"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0.3%</w:t>
            </w:r>
          </w:p>
        </w:tc>
      </w:tr>
      <w:tr w:rsidR="00090F82" w:rsidRPr="005F3CB7" w14:paraId="181F0E64" w14:textId="77777777" w:rsidTr="00DB229C">
        <w:trPr>
          <w:cantSplit/>
          <w:trHeight w:val="20"/>
        </w:trPr>
        <w:tc>
          <w:tcPr>
            <w:tcW w:w="998"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A0CF62" w14:textId="77777777" w:rsidR="00090F82" w:rsidRPr="00D052F6" w:rsidRDefault="00090F82" w:rsidP="00620605">
            <w:pPr>
              <w:spacing w:after="0" w:line="240" w:lineRule="auto"/>
              <w:jc w:val="center"/>
              <w:rPr>
                <w:rFonts w:ascii="Arial" w:eastAsia="Times New Roman" w:hAnsi="Arial" w:cs="Arial"/>
                <w:sz w:val="28"/>
                <w:szCs w:val="28"/>
              </w:rPr>
            </w:pPr>
          </w:p>
        </w:tc>
        <w:tc>
          <w:tcPr>
            <w:tcW w:w="100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40A2BE"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2</w:t>
            </w:r>
          </w:p>
        </w:tc>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B01915"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5.6%</w:t>
            </w:r>
          </w:p>
        </w:tc>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ABF0E19" w14:textId="77777777" w:rsidR="00090F82" w:rsidRPr="00DB229C" w:rsidRDefault="00090F82" w:rsidP="00620605">
            <w:pPr>
              <w:spacing w:after="0" w:line="240" w:lineRule="auto"/>
              <w:jc w:val="center"/>
              <w:rPr>
                <w:rFonts w:ascii="Arial" w:eastAsia="Times New Roman" w:hAnsi="Arial" w:cs="Arial"/>
                <w:b/>
                <w:bCs/>
                <w:sz w:val="28"/>
                <w:szCs w:val="28"/>
              </w:rPr>
            </w:pPr>
            <w:r w:rsidRPr="00DB229C">
              <w:rPr>
                <w:rFonts w:ascii="Arial" w:eastAsia="Times New Roman" w:hAnsi="Arial" w:cs="Arial"/>
                <w:b/>
                <w:bCs/>
                <w:color w:val="000000"/>
                <w:kern w:val="24"/>
                <w:sz w:val="28"/>
                <w:szCs w:val="28"/>
              </w:rPr>
              <w:t>87.1%</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8CBC43"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7.3%</w:t>
            </w:r>
          </w:p>
        </w:tc>
      </w:tr>
      <w:tr w:rsidR="00090F82" w:rsidRPr="005F3CB7" w14:paraId="3EF4377C" w14:textId="77777777" w:rsidTr="00DB229C">
        <w:trPr>
          <w:cantSplit/>
          <w:trHeight w:val="20"/>
        </w:trPr>
        <w:tc>
          <w:tcPr>
            <w:tcW w:w="998"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77C0B5" w14:textId="77777777" w:rsidR="00090F82" w:rsidRPr="00D052F6" w:rsidRDefault="00090F82" w:rsidP="00620605">
            <w:pPr>
              <w:spacing w:after="0" w:line="240" w:lineRule="auto"/>
              <w:jc w:val="center"/>
              <w:rPr>
                <w:rFonts w:ascii="Arial" w:eastAsia="Times New Roman" w:hAnsi="Arial" w:cs="Arial"/>
                <w:sz w:val="28"/>
                <w:szCs w:val="28"/>
              </w:rPr>
            </w:pPr>
          </w:p>
        </w:tc>
        <w:tc>
          <w:tcPr>
            <w:tcW w:w="100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28CA4D"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3</w:t>
            </w:r>
          </w:p>
        </w:tc>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E5D134"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0.4%</w:t>
            </w:r>
          </w:p>
        </w:tc>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977A94"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color w:val="000000"/>
                <w:kern w:val="24"/>
                <w:sz w:val="28"/>
                <w:szCs w:val="28"/>
              </w:rPr>
              <w:t>12.9%</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464C91" w14:textId="77777777" w:rsidR="00090F82" w:rsidRPr="00DB229C" w:rsidRDefault="00090F82" w:rsidP="00620605">
            <w:pPr>
              <w:spacing w:after="0" w:line="240" w:lineRule="auto"/>
              <w:jc w:val="center"/>
              <w:rPr>
                <w:rFonts w:ascii="Arial" w:eastAsia="Times New Roman" w:hAnsi="Arial" w:cs="Arial"/>
                <w:b/>
                <w:bCs/>
                <w:sz w:val="28"/>
                <w:szCs w:val="28"/>
              </w:rPr>
            </w:pPr>
            <w:r w:rsidRPr="00DB229C">
              <w:rPr>
                <w:rFonts w:ascii="Arial" w:eastAsia="Times New Roman" w:hAnsi="Arial" w:cs="Arial"/>
                <w:b/>
                <w:bCs/>
                <w:color w:val="000000"/>
                <w:kern w:val="24"/>
                <w:sz w:val="28"/>
                <w:szCs w:val="28"/>
              </w:rPr>
              <w:t>86.7%</w:t>
            </w:r>
          </w:p>
        </w:tc>
      </w:tr>
      <w:tr w:rsidR="00090F82" w:rsidRPr="005F3CB7" w14:paraId="365E7109" w14:textId="77777777" w:rsidTr="00DB229C">
        <w:trPr>
          <w:cantSplit/>
          <w:trHeight w:val="20"/>
        </w:trPr>
        <w:tc>
          <w:tcPr>
            <w:tcW w:w="9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015D99" w14:textId="77777777" w:rsidR="00090F82" w:rsidRPr="00575E44" w:rsidRDefault="00090F82" w:rsidP="00620605">
            <w:pPr>
              <w:spacing w:after="0" w:line="240" w:lineRule="auto"/>
              <w:jc w:val="center"/>
              <w:rPr>
                <w:rFonts w:ascii="Arial" w:eastAsia="Times New Roman" w:hAnsi="Arial" w:cs="Arial"/>
                <w:b/>
                <w:bCs/>
                <w:sz w:val="28"/>
                <w:szCs w:val="28"/>
              </w:rPr>
            </w:pPr>
            <w:r w:rsidRPr="00575E44">
              <w:rPr>
                <w:rFonts w:ascii="Arial" w:eastAsia="Times New Roman" w:hAnsi="Arial" w:cs="Arial"/>
                <w:b/>
                <w:bCs/>
                <w:color w:val="000000"/>
                <w:kern w:val="24"/>
                <w:sz w:val="28"/>
                <w:szCs w:val="28"/>
              </w:rPr>
              <w:t>Overall Accuracy</w:t>
            </w:r>
          </w:p>
        </w:tc>
        <w:tc>
          <w:tcPr>
            <w:tcW w:w="4002"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709058" w14:textId="77777777" w:rsidR="00090F82" w:rsidRPr="00D052F6" w:rsidRDefault="00090F82" w:rsidP="00620605">
            <w:pPr>
              <w:keepNext/>
              <w:spacing w:after="0" w:line="240" w:lineRule="auto"/>
              <w:jc w:val="center"/>
              <w:rPr>
                <w:rFonts w:ascii="Arial" w:eastAsia="Times New Roman" w:hAnsi="Arial" w:cs="Arial"/>
                <w:b/>
                <w:bCs/>
                <w:szCs w:val="24"/>
              </w:rPr>
            </w:pPr>
            <w:r w:rsidRPr="00D052F6">
              <w:rPr>
                <w:rFonts w:ascii="Arial" w:eastAsia="Times New Roman" w:hAnsi="Arial" w:cs="Arial"/>
                <w:b/>
                <w:bCs/>
                <w:color w:val="000000"/>
                <w:kern w:val="24"/>
                <w:sz w:val="28"/>
                <w:szCs w:val="28"/>
              </w:rPr>
              <w:t>87%</w:t>
            </w:r>
          </w:p>
        </w:tc>
      </w:tr>
    </w:tbl>
    <w:p w14:paraId="602343C7" w14:textId="77777777" w:rsidR="00090F82" w:rsidRDefault="00090F82" w:rsidP="00090F82">
      <w:pPr>
        <w:pStyle w:val="Caption"/>
        <w:rPr>
          <w:b/>
          <w:bCs/>
        </w:rPr>
      </w:pPr>
    </w:p>
    <w:p w14:paraId="43EC1D82" w14:textId="70F24EB4" w:rsidR="00090F82" w:rsidRPr="00D052F6" w:rsidRDefault="00090F82" w:rsidP="00090F82">
      <w:pPr>
        <w:pStyle w:val="Caption"/>
        <w:rPr>
          <w:b/>
          <w:bCs/>
        </w:rPr>
      </w:pPr>
      <w:bookmarkStart w:id="197" w:name="_Toc119516444"/>
      <w:bookmarkStart w:id="198" w:name="_Toc120472456"/>
      <w:r w:rsidRPr="00D052F6">
        <w:rPr>
          <w:b/>
          <w:bCs/>
        </w:rPr>
        <w:t xml:space="preserve">Table </w:t>
      </w:r>
      <w:r>
        <w:rPr>
          <w:b/>
          <w:bCs/>
        </w:rPr>
        <w:fldChar w:fldCharType="begin"/>
      </w:r>
      <w:r>
        <w:rPr>
          <w:b/>
          <w:bCs/>
        </w:rPr>
        <w:instrText xml:space="preserve"> STYLEREF 1 \s </w:instrText>
      </w:r>
      <w:r>
        <w:rPr>
          <w:b/>
          <w:bCs/>
        </w:rPr>
        <w:fldChar w:fldCharType="separate"/>
      </w:r>
      <w:r w:rsidR="00B52D1E">
        <w:rPr>
          <w:b/>
          <w:bCs/>
          <w:noProof/>
        </w:rPr>
        <w:t>2</w:t>
      </w:r>
      <w:r>
        <w:rPr>
          <w:b/>
          <w:bCs/>
        </w:rPr>
        <w:fldChar w:fldCharType="end"/>
      </w:r>
      <w:r>
        <w:rPr>
          <w:b/>
          <w:bCs/>
        </w:rPr>
        <w:t>.</w:t>
      </w:r>
      <w:r>
        <w:rPr>
          <w:b/>
          <w:bCs/>
        </w:rPr>
        <w:fldChar w:fldCharType="begin"/>
      </w:r>
      <w:r>
        <w:rPr>
          <w:b/>
          <w:bCs/>
        </w:rPr>
        <w:instrText xml:space="preserve"> SEQ Table \* ARABIC \s 1 </w:instrText>
      </w:r>
      <w:r>
        <w:rPr>
          <w:b/>
          <w:bCs/>
        </w:rPr>
        <w:fldChar w:fldCharType="separate"/>
      </w:r>
      <w:r w:rsidR="00B52D1E">
        <w:rPr>
          <w:b/>
          <w:bCs/>
          <w:noProof/>
        </w:rPr>
        <w:t>1</w:t>
      </w:r>
      <w:r>
        <w:rPr>
          <w:b/>
          <w:bCs/>
        </w:rPr>
        <w:fldChar w:fldCharType="end"/>
      </w:r>
      <w:r>
        <w:rPr>
          <w:b/>
          <w:bCs/>
        </w:rPr>
        <w:t xml:space="preserve">: </w:t>
      </w:r>
      <w:r w:rsidRPr="00992AE0">
        <w:rPr>
          <w:rFonts w:cs="Times New Roman"/>
          <w:iCs w:val="0"/>
          <w:szCs w:val="24"/>
        </w:rPr>
        <w:t xml:space="preserve">Confusion matrix displaying the accuracy for the ANN petrofacies log classification in Berexco Wellington #1-32 using a log suite of </w:t>
      </w:r>
      <w:r>
        <w:rPr>
          <w:rFonts w:cs="Times New Roman"/>
          <w:iCs w:val="0"/>
          <w:szCs w:val="24"/>
        </w:rPr>
        <w:t xml:space="preserve">the </w:t>
      </w:r>
      <w:r w:rsidRPr="00992AE0">
        <w:rPr>
          <w:rFonts w:cs="Times New Roman"/>
          <w:iCs w:val="0"/>
          <w:szCs w:val="24"/>
        </w:rPr>
        <w:t>photoelectric effect (PEF), deep resistivity (RESD), total porosity (PHIT), and P-wave sonic (DT).</w:t>
      </w:r>
      <w:bookmarkEnd w:id="197"/>
      <w:bookmarkEnd w:id="198"/>
    </w:p>
    <w:p w14:paraId="5434D380" w14:textId="77777777" w:rsidR="00090F82" w:rsidRDefault="00090F82" w:rsidP="00090F82">
      <w:pPr>
        <w:spacing w:line="259" w:lineRule="auto"/>
        <w:jc w:val="left"/>
        <w:rPr>
          <w:rFonts w:cs="Times New Roman"/>
          <w:szCs w:val="24"/>
        </w:rPr>
      </w:pPr>
      <w:r>
        <w:rPr>
          <w:rFonts w:cs="Times New Roman"/>
          <w:iCs/>
          <w:szCs w:val="24"/>
        </w:rPr>
        <w:br w:type="page"/>
      </w:r>
    </w:p>
    <w:tbl>
      <w:tblPr>
        <w:tblW w:w="9314" w:type="dxa"/>
        <w:tblCellMar>
          <w:left w:w="0" w:type="dxa"/>
          <w:right w:w="0" w:type="dxa"/>
        </w:tblCellMar>
        <w:tblLook w:val="0600" w:firstRow="0" w:lastRow="0" w:firstColumn="0" w:lastColumn="0" w:noHBand="1" w:noVBand="1"/>
      </w:tblPr>
      <w:tblGrid>
        <w:gridCol w:w="1858"/>
        <w:gridCol w:w="1881"/>
        <w:gridCol w:w="1858"/>
        <w:gridCol w:w="1858"/>
        <w:gridCol w:w="1859"/>
      </w:tblGrid>
      <w:tr w:rsidR="00090F82" w:rsidRPr="00E03EE2" w14:paraId="4BADAD57" w14:textId="77777777" w:rsidTr="00DB229C">
        <w:trPr>
          <w:trHeight w:val="417"/>
        </w:trPr>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A2B616" w14:textId="77777777" w:rsidR="00090F82" w:rsidRPr="00D052F6" w:rsidRDefault="00090F82" w:rsidP="00620605">
            <w:pPr>
              <w:spacing w:after="0" w:line="240" w:lineRule="auto"/>
              <w:jc w:val="left"/>
              <w:rPr>
                <w:rFonts w:eastAsia="Times New Roman" w:cs="Times New Roman"/>
                <w:sz w:val="28"/>
                <w:szCs w:val="28"/>
              </w:rPr>
            </w:pPr>
          </w:p>
        </w:tc>
        <w:tc>
          <w:tcPr>
            <w:tcW w:w="7456"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3022A3" w14:textId="77777777" w:rsidR="00090F82" w:rsidRPr="00575E44" w:rsidRDefault="00090F82" w:rsidP="00620605">
            <w:pPr>
              <w:spacing w:after="0" w:line="240" w:lineRule="auto"/>
              <w:jc w:val="center"/>
              <w:rPr>
                <w:rFonts w:ascii="Arial" w:eastAsia="Times New Roman" w:hAnsi="Arial" w:cs="Arial"/>
                <w:b/>
                <w:bCs/>
                <w:sz w:val="28"/>
                <w:szCs w:val="28"/>
              </w:rPr>
            </w:pPr>
            <w:r w:rsidRPr="00575E44">
              <w:rPr>
                <w:rFonts w:ascii="Arial" w:eastAsia="Times New Roman" w:hAnsi="Arial" w:cs="Arial"/>
                <w:b/>
                <w:bCs/>
                <w:kern w:val="24"/>
                <w:sz w:val="28"/>
                <w:szCs w:val="28"/>
              </w:rPr>
              <w:t>Classified Petrofacies</w:t>
            </w:r>
          </w:p>
        </w:tc>
      </w:tr>
      <w:tr w:rsidR="00090F82" w:rsidRPr="00E03EE2" w14:paraId="50371BE3" w14:textId="77777777" w:rsidTr="00DB229C">
        <w:trPr>
          <w:trHeight w:val="423"/>
        </w:trPr>
        <w:tc>
          <w:tcPr>
            <w:tcW w:w="185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vAlign w:val="center"/>
            <w:hideMark/>
          </w:tcPr>
          <w:p w14:paraId="60DFD28C" w14:textId="77777777" w:rsidR="00090F82" w:rsidRPr="00575E44" w:rsidRDefault="00090F82" w:rsidP="00620605">
            <w:pPr>
              <w:spacing w:after="0" w:line="240" w:lineRule="auto"/>
              <w:jc w:val="center"/>
              <w:rPr>
                <w:rFonts w:ascii="Arial" w:eastAsia="Times New Roman" w:hAnsi="Arial" w:cs="Arial"/>
                <w:b/>
                <w:bCs/>
                <w:sz w:val="28"/>
                <w:szCs w:val="28"/>
              </w:rPr>
            </w:pPr>
            <w:r w:rsidRPr="00575E44">
              <w:rPr>
                <w:rFonts w:ascii="Arial" w:eastAsia="Times New Roman" w:hAnsi="Arial" w:cs="Arial"/>
                <w:b/>
                <w:bCs/>
                <w:kern w:val="24"/>
                <w:sz w:val="28"/>
                <w:szCs w:val="28"/>
              </w:rPr>
              <w:t>Actual Petrofacies</w:t>
            </w:r>
          </w:p>
        </w:tc>
        <w:tc>
          <w:tcPr>
            <w:tcW w:w="1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59D2CF0" w14:textId="77777777" w:rsidR="00090F82" w:rsidRPr="00D052F6" w:rsidRDefault="00090F82" w:rsidP="00620605">
            <w:pPr>
              <w:spacing w:after="0" w:line="240" w:lineRule="auto"/>
              <w:jc w:val="left"/>
              <w:rPr>
                <w:rFonts w:ascii="Arial" w:eastAsia="Times New Roman" w:hAnsi="Arial" w:cs="Arial"/>
                <w:sz w:val="28"/>
                <w:szCs w:val="28"/>
              </w:rPr>
            </w:pP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D1B220"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1</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AB65A4"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2</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6733B2"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3</w:t>
            </w:r>
          </w:p>
        </w:tc>
      </w:tr>
      <w:tr w:rsidR="00090F82" w:rsidRPr="00E03EE2" w14:paraId="5F0D97B3" w14:textId="77777777" w:rsidTr="00DB229C">
        <w:trPr>
          <w:trHeight w:val="115"/>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35C6B4" w14:textId="77777777" w:rsidR="00090F82" w:rsidRPr="00EA0B42" w:rsidRDefault="00090F82" w:rsidP="00620605">
            <w:pPr>
              <w:spacing w:after="0" w:line="240" w:lineRule="auto"/>
              <w:jc w:val="left"/>
              <w:rPr>
                <w:rFonts w:ascii="Arial" w:eastAsia="Times New Roman" w:hAnsi="Arial" w:cs="Arial"/>
                <w:b/>
                <w:bCs/>
                <w:sz w:val="28"/>
                <w:szCs w:val="28"/>
              </w:rPr>
            </w:pPr>
          </w:p>
        </w:tc>
        <w:tc>
          <w:tcPr>
            <w:tcW w:w="1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14CF2B"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1</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5C6E21" w14:textId="77777777" w:rsidR="00090F82" w:rsidRPr="00DB229C" w:rsidRDefault="00090F82" w:rsidP="00620605">
            <w:pPr>
              <w:spacing w:after="0" w:line="240" w:lineRule="auto"/>
              <w:jc w:val="center"/>
              <w:rPr>
                <w:rFonts w:ascii="Arial" w:eastAsia="Times New Roman" w:hAnsi="Arial" w:cs="Arial"/>
                <w:b/>
                <w:bCs/>
                <w:sz w:val="28"/>
                <w:szCs w:val="28"/>
              </w:rPr>
            </w:pPr>
            <w:r w:rsidRPr="00DB229C">
              <w:rPr>
                <w:rFonts w:ascii="Arial" w:eastAsia="Times New Roman" w:hAnsi="Arial" w:cs="Arial"/>
                <w:b/>
                <w:bCs/>
                <w:kern w:val="24"/>
                <w:sz w:val="28"/>
                <w:szCs w:val="28"/>
              </w:rPr>
              <w:t>83.3%</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F9A2BB"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15.0%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E4C95C"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1.7%</w:t>
            </w:r>
          </w:p>
        </w:tc>
      </w:tr>
      <w:tr w:rsidR="00090F82" w:rsidRPr="00E03EE2" w14:paraId="1AC404BB" w14:textId="77777777" w:rsidTr="00DB229C">
        <w:trPr>
          <w:trHeight w:val="423"/>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81A098" w14:textId="77777777" w:rsidR="00090F82" w:rsidRPr="00EA0B42" w:rsidRDefault="00090F82" w:rsidP="00620605">
            <w:pPr>
              <w:spacing w:after="0" w:line="240" w:lineRule="auto"/>
              <w:jc w:val="left"/>
              <w:rPr>
                <w:rFonts w:ascii="Arial" w:eastAsia="Times New Roman" w:hAnsi="Arial" w:cs="Arial"/>
                <w:b/>
                <w:bCs/>
                <w:sz w:val="28"/>
                <w:szCs w:val="28"/>
              </w:rPr>
            </w:pPr>
          </w:p>
        </w:tc>
        <w:tc>
          <w:tcPr>
            <w:tcW w:w="1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2FAB6A5"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2</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3DA019"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0.5%</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33B5D9" w14:textId="77777777" w:rsidR="00090F82" w:rsidRPr="00DB229C" w:rsidRDefault="00090F82" w:rsidP="00620605">
            <w:pPr>
              <w:spacing w:after="0" w:line="240" w:lineRule="auto"/>
              <w:jc w:val="center"/>
              <w:rPr>
                <w:rFonts w:ascii="Arial" w:eastAsia="Times New Roman" w:hAnsi="Arial" w:cs="Arial"/>
                <w:b/>
                <w:bCs/>
                <w:sz w:val="28"/>
                <w:szCs w:val="28"/>
              </w:rPr>
            </w:pPr>
            <w:r w:rsidRPr="00DB229C">
              <w:rPr>
                <w:rFonts w:ascii="Arial" w:eastAsiaTheme="minorEastAsia" w:hAnsi="Arial" w:cs="Arial"/>
                <w:b/>
                <w:bCs/>
                <w:kern w:val="24"/>
                <w:sz w:val="28"/>
                <w:szCs w:val="28"/>
              </w:rPr>
              <w:t>87.0%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D42CB5"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12.5%</w:t>
            </w:r>
          </w:p>
        </w:tc>
      </w:tr>
      <w:tr w:rsidR="00090F82" w:rsidRPr="00E03EE2" w14:paraId="5A25737E" w14:textId="77777777" w:rsidTr="00DB229C">
        <w:trPr>
          <w:trHeight w:val="423"/>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F63FC4" w14:textId="77777777" w:rsidR="00090F82" w:rsidRPr="00EA0B42" w:rsidRDefault="00090F82" w:rsidP="00620605">
            <w:pPr>
              <w:spacing w:after="0" w:line="240" w:lineRule="auto"/>
              <w:jc w:val="left"/>
              <w:rPr>
                <w:rFonts w:ascii="Arial" w:eastAsia="Times New Roman" w:hAnsi="Arial" w:cs="Arial"/>
                <w:b/>
                <w:bCs/>
                <w:sz w:val="28"/>
                <w:szCs w:val="28"/>
              </w:rPr>
            </w:pPr>
          </w:p>
        </w:tc>
        <w:tc>
          <w:tcPr>
            <w:tcW w:w="1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DF92722"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3</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5F109B"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5.2%</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0CC833" w14:textId="77777777" w:rsidR="00090F82" w:rsidRPr="00D052F6" w:rsidRDefault="00090F82" w:rsidP="00620605">
            <w:pPr>
              <w:spacing w:after="0" w:line="240" w:lineRule="auto"/>
              <w:jc w:val="center"/>
              <w:rPr>
                <w:rFonts w:ascii="Arial" w:eastAsia="Times New Roman" w:hAnsi="Arial" w:cs="Arial"/>
                <w:sz w:val="28"/>
                <w:szCs w:val="28"/>
              </w:rPr>
            </w:pPr>
            <w:r w:rsidRPr="00D052F6">
              <w:rPr>
                <w:rFonts w:ascii="Arial" w:eastAsia="Times New Roman" w:hAnsi="Arial" w:cs="Arial"/>
                <w:kern w:val="24"/>
                <w:sz w:val="28"/>
                <w:szCs w:val="28"/>
              </w:rPr>
              <w:t>16.0%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6927B8" w14:textId="77777777" w:rsidR="00090F82" w:rsidRPr="00DB229C" w:rsidRDefault="00090F82" w:rsidP="00620605">
            <w:pPr>
              <w:spacing w:after="0" w:line="240" w:lineRule="auto"/>
              <w:jc w:val="center"/>
              <w:rPr>
                <w:rFonts w:ascii="Arial" w:eastAsia="Times New Roman" w:hAnsi="Arial" w:cs="Arial"/>
                <w:b/>
                <w:bCs/>
                <w:sz w:val="28"/>
                <w:szCs w:val="28"/>
              </w:rPr>
            </w:pPr>
            <w:r w:rsidRPr="00DB229C">
              <w:rPr>
                <w:rFonts w:ascii="Arial" w:eastAsia="Times New Roman" w:hAnsi="Arial" w:cs="Arial"/>
                <w:b/>
                <w:bCs/>
                <w:kern w:val="24"/>
                <w:sz w:val="28"/>
                <w:szCs w:val="28"/>
              </w:rPr>
              <w:t>84.5%</w:t>
            </w:r>
          </w:p>
        </w:tc>
      </w:tr>
      <w:tr w:rsidR="00090F82" w:rsidRPr="00E03EE2" w14:paraId="77AB9814" w14:textId="77777777" w:rsidTr="00DB229C">
        <w:trPr>
          <w:trHeight w:val="423"/>
        </w:trPr>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CC84B5" w14:textId="77777777" w:rsidR="00090F82" w:rsidRPr="00575E44" w:rsidRDefault="00090F82" w:rsidP="00620605">
            <w:pPr>
              <w:spacing w:after="0" w:line="240" w:lineRule="auto"/>
              <w:jc w:val="center"/>
              <w:rPr>
                <w:rFonts w:ascii="Arial" w:eastAsia="Times New Roman" w:hAnsi="Arial" w:cs="Arial"/>
                <w:b/>
                <w:bCs/>
                <w:sz w:val="28"/>
                <w:szCs w:val="28"/>
              </w:rPr>
            </w:pPr>
            <w:r w:rsidRPr="00575E44">
              <w:rPr>
                <w:rFonts w:ascii="Arial" w:eastAsia="Times New Roman" w:hAnsi="Arial" w:cs="Arial"/>
                <w:b/>
                <w:bCs/>
                <w:kern w:val="24"/>
                <w:sz w:val="28"/>
                <w:szCs w:val="28"/>
              </w:rPr>
              <w:t>Overall Accuracy</w:t>
            </w:r>
          </w:p>
        </w:tc>
        <w:tc>
          <w:tcPr>
            <w:tcW w:w="7456"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0C0F15" w14:textId="77777777" w:rsidR="00090F82" w:rsidRPr="00D052F6" w:rsidRDefault="00090F82" w:rsidP="00620605">
            <w:pPr>
              <w:keepNext/>
              <w:spacing w:after="0" w:line="240" w:lineRule="auto"/>
              <w:jc w:val="center"/>
              <w:rPr>
                <w:rFonts w:ascii="Arial" w:eastAsia="Times New Roman" w:hAnsi="Arial" w:cs="Arial"/>
                <w:b/>
                <w:bCs/>
                <w:sz w:val="28"/>
                <w:szCs w:val="28"/>
              </w:rPr>
            </w:pPr>
            <w:r w:rsidRPr="00D052F6">
              <w:rPr>
                <w:rFonts w:ascii="Arial" w:eastAsia="Times New Roman" w:hAnsi="Arial" w:cs="Arial"/>
                <w:b/>
                <w:bCs/>
                <w:kern w:val="24"/>
                <w:sz w:val="28"/>
                <w:szCs w:val="28"/>
              </w:rPr>
              <w:t>86%</w:t>
            </w:r>
          </w:p>
        </w:tc>
      </w:tr>
    </w:tbl>
    <w:p w14:paraId="0CF63659" w14:textId="77777777" w:rsidR="00090F82" w:rsidRDefault="00090F82" w:rsidP="00090F82">
      <w:pPr>
        <w:pStyle w:val="Caption"/>
      </w:pPr>
    </w:p>
    <w:p w14:paraId="5C8FAA34" w14:textId="4F95638A" w:rsidR="00090F82" w:rsidRPr="00D052F6" w:rsidRDefault="00090F82" w:rsidP="00090F82">
      <w:pPr>
        <w:pStyle w:val="Caption"/>
        <w:rPr>
          <w:b/>
          <w:bCs/>
        </w:rPr>
      </w:pPr>
      <w:bookmarkStart w:id="199" w:name="_Toc119516445"/>
      <w:bookmarkStart w:id="200" w:name="_Toc120472457"/>
      <w:r w:rsidRPr="00D052F6">
        <w:rPr>
          <w:b/>
          <w:bCs/>
        </w:rPr>
        <w:t xml:space="preserve">Table </w:t>
      </w:r>
      <w:r>
        <w:rPr>
          <w:b/>
          <w:bCs/>
        </w:rPr>
        <w:fldChar w:fldCharType="begin"/>
      </w:r>
      <w:r>
        <w:rPr>
          <w:b/>
          <w:bCs/>
        </w:rPr>
        <w:instrText xml:space="preserve"> STYLEREF 1 \s </w:instrText>
      </w:r>
      <w:r>
        <w:rPr>
          <w:b/>
          <w:bCs/>
        </w:rPr>
        <w:fldChar w:fldCharType="separate"/>
      </w:r>
      <w:r w:rsidR="00B52D1E">
        <w:rPr>
          <w:b/>
          <w:bCs/>
          <w:noProof/>
        </w:rPr>
        <w:t>2</w:t>
      </w:r>
      <w:r>
        <w:rPr>
          <w:b/>
          <w:bCs/>
        </w:rPr>
        <w:fldChar w:fldCharType="end"/>
      </w:r>
      <w:r>
        <w:rPr>
          <w:b/>
          <w:bCs/>
        </w:rPr>
        <w:t>.</w:t>
      </w:r>
      <w:r>
        <w:rPr>
          <w:b/>
          <w:bCs/>
        </w:rPr>
        <w:fldChar w:fldCharType="begin"/>
      </w:r>
      <w:r>
        <w:rPr>
          <w:b/>
          <w:bCs/>
        </w:rPr>
        <w:instrText xml:space="preserve"> SEQ Table \* ARABIC \s 1 </w:instrText>
      </w:r>
      <w:r>
        <w:rPr>
          <w:b/>
          <w:bCs/>
        </w:rPr>
        <w:fldChar w:fldCharType="separate"/>
      </w:r>
      <w:r w:rsidR="00B52D1E">
        <w:rPr>
          <w:b/>
          <w:bCs/>
          <w:noProof/>
        </w:rPr>
        <w:t>2</w:t>
      </w:r>
      <w:r>
        <w:rPr>
          <w:b/>
          <w:bCs/>
        </w:rPr>
        <w:fldChar w:fldCharType="end"/>
      </w:r>
      <w:r w:rsidRPr="00D052F6">
        <w:rPr>
          <w:b/>
          <w:bCs/>
        </w:rPr>
        <w:t xml:space="preserve">: </w:t>
      </w:r>
      <w:r>
        <w:rPr>
          <w:rFonts w:cs="Times New Roman"/>
          <w:iCs w:val="0"/>
          <w:szCs w:val="24"/>
        </w:rPr>
        <w:t xml:space="preserve">3D seismic scale petrofacies prediction results. </w:t>
      </w:r>
      <w:r w:rsidRPr="00F030B1">
        <w:rPr>
          <w:rFonts w:cs="Times New Roman"/>
          <w:iCs w:val="0"/>
          <w:szCs w:val="24"/>
        </w:rPr>
        <w:t xml:space="preserve">Confusion matrix showing the match between the actual </w:t>
      </w:r>
      <w:r>
        <w:rPr>
          <w:rFonts w:cs="Times New Roman"/>
          <w:iCs w:val="0"/>
          <w:szCs w:val="24"/>
        </w:rPr>
        <w:t>petrofacies</w:t>
      </w:r>
      <w:r w:rsidRPr="00F030B1">
        <w:rPr>
          <w:rFonts w:cs="Times New Roman"/>
          <w:iCs w:val="0"/>
          <w:szCs w:val="24"/>
        </w:rPr>
        <w:t xml:space="preserve"> (logs) and the predicted </w:t>
      </w:r>
      <w:r>
        <w:rPr>
          <w:rFonts w:cs="Times New Roman"/>
          <w:iCs w:val="0"/>
          <w:szCs w:val="24"/>
        </w:rPr>
        <w:t>petrofacies values from the supervised random forest classifier</w:t>
      </w:r>
      <w:r w:rsidRPr="00F030B1">
        <w:rPr>
          <w:rFonts w:cs="Times New Roman"/>
          <w:iCs w:val="0"/>
          <w:szCs w:val="24"/>
        </w:rPr>
        <w:t>.</w:t>
      </w:r>
      <w:bookmarkEnd w:id="199"/>
      <w:bookmarkEnd w:id="200"/>
    </w:p>
    <w:p w14:paraId="74E12553" w14:textId="5020564F" w:rsidR="00545369" w:rsidRPr="00D46315" w:rsidRDefault="00090F82" w:rsidP="004D247B">
      <w:pPr>
        <w:spacing w:line="259" w:lineRule="auto"/>
        <w:jc w:val="left"/>
        <w:rPr>
          <w:rFonts w:cs="Times New Roman"/>
          <w:szCs w:val="24"/>
        </w:rPr>
      </w:pPr>
      <w:r>
        <w:rPr>
          <w:rFonts w:cs="Times New Roman"/>
          <w:iCs/>
          <w:szCs w:val="24"/>
        </w:rPr>
        <w:br w:type="page"/>
      </w:r>
    </w:p>
    <w:p w14:paraId="3CBADDEF" w14:textId="21FBE49B" w:rsidR="00431BE4" w:rsidRPr="0053782E" w:rsidRDefault="00431BE4" w:rsidP="00415766">
      <w:pPr>
        <w:pStyle w:val="Heading1"/>
        <w:numPr>
          <w:ilvl w:val="0"/>
          <w:numId w:val="37"/>
        </w:numPr>
        <w:jc w:val="center"/>
      </w:pPr>
      <w:bookmarkStart w:id="201" w:name="_Toc120469746"/>
      <w:bookmarkStart w:id="202" w:name="_Toc120470104"/>
      <w:bookmarkStart w:id="203" w:name="_Toc120469747"/>
      <w:bookmarkStart w:id="204" w:name="_Toc120470105"/>
      <w:bookmarkStart w:id="205" w:name="_Toc120469748"/>
      <w:bookmarkStart w:id="206" w:name="_Toc120470106"/>
      <w:bookmarkStart w:id="207" w:name="_Toc120469749"/>
      <w:bookmarkStart w:id="208" w:name="_Toc120470107"/>
      <w:bookmarkStart w:id="209" w:name="_Toc120469750"/>
      <w:bookmarkStart w:id="210" w:name="_Toc120470108"/>
      <w:bookmarkStart w:id="211" w:name="_Toc120469751"/>
      <w:bookmarkStart w:id="212" w:name="_Toc120470109"/>
      <w:bookmarkStart w:id="213" w:name="_Toc120469752"/>
      <w:bookmarkStart w:id="214" w:name="_Toc120470110"/>
      <w:bookmarkStart w:id="215" w:name="_Toc120469753"/>
      <w:bookmarkStart w:id="216" w:name="_Toc120470111"/>
      <w:bookmarkStart w:id="217" w:name="_Toc120469754"/>
      <w:bookmarkStart w:id="218" w:name="_Toc120470112"/>
      <w:bookmarkStart w:id="219" w:name="_Toc120469755"/>
      <w:bookmarkStart w:id="220" w:name="_Toc120470113"/>
      <w:bookmarkStart w:id="221" w:name="_Toc120469756"/>
      <w:bookmarkStart w:id="222" w:name="_Toc120470114"/>
      <w:bookmarkStart w:id="223" w:name="_Toc120469757"/>
      <w:bookmarkStart w:id="224" w:name="_Toc120470115"/>
      <w:bookmarkStart w:id="225" w:name="_Toc120469758"/>
      <w:bookmarkStart w:id="226" w:name="_Toc120470116"/>
      <w:bookmarkStart w:id="227" w:name="_Toc120469759"/>
      <w:bookmarkStart w:id="228" w:name="_Toc120470117"/>
      <w:bookmarkStart w:id="229" w:name="_Toc120469760"/>
      <w:bookmarkStart w:id="230" w:name="_Toc120470118"/>
      <w:bookmarkStart w:id="231" w:name="_Toc120469761"/>
      <w:bookmarkStart w:id="232" w:name="_Toc120470119"/>
      <w:bookmarkStart w:id="233" w:name="_Toc120469762"/>
      <w:bookmarkStart w:id="234" w:name="_Toc120470120"/>
      <w:bookmarkStart w:id="235" w:name="_Toc120469763"/>
      <w:bookmarkStart w:id="236" w:name="_Toc120470121"/>
      <w:bookmarkStart w:id="237" w:name="_Toc120469764"/>
      <w:bookmarkStart w:id="238" w:name="_Toc120470122"/>
      <w:bookmarkStart w:id="239" w:name="_Toc120469765"/>
      <w:bookmarkStart w:id="240" w:name="_Toc120470123"/>
      <w:bookmarkStart w:id="241" w:name="_Toc120469766"/>
      <w:bookmarkStart w:id="242" w:name="_Toc120470124"/>
      <w:bookmarkStart w:id="243" w:name="_Toc120469767"/>
      <w:bookmarkStart w:id="244" w:name="_Toc120470125"/>
      <w:bookmarkStart w:id="245" w:name="_Toc120469768"/>
      <w:bookmarkStart w:id="246" w:name="_Toc120470126"/>
      <w:bookmarkStart w:id="247" w:name="_Toc120469769"/>
      <w:bookmarkStart w:id="248" w:name="_Toc120470127"/>
      <w:bookmarkStart w:id="249" w:name="_Toc120469770"/>
      <w:bookmarkStart w:id="250" w:name="_Toc120470128"/>
      <w:bookmarkStart w:id="251" w:name="_Toc120469771"/>
      <w:bookmarkStart w:id="252" w:name="_Toc120470129"/>
      <w:bookmarkStart w:id="253" w:name="_Toc120469772"/>
      <w:bookmarkStart w:id="254" w:name="_Toc120470130"/>
      <w:bookmarkStart w:id="255" w:name="_Toc120469773"/>
      <w:bookmarkStart w:id="256" w:name="_Toc120470131"/>
      <w:bookmarkStart w:id="257" w:name="_Toc120469774"/>
      <w:bookmarkStart w:id="258" w:name="_Toc120470132"/>
      <w:bookmarkStart w:id="259" w:name="_Toc120469775"/>
      <w:bookmarkStart w:id="260" w:name="_Toc120470133"/>
      <w:bookmarkStart w:id="261" w:name="_Toc120469776"/>
      <w:bookmarkStart w:id="262" w:name="_Toc120470134"/>
      <w:bookmarkStart w:id="263" w:name="_Toc120469777"/>
      <w:bookmarkStart w:id="264" w:name="_Toc120470135"/>
      <w:bookmarkStart w:id="265" w:name="_Toc120469778"/>
      <w:bookmarkStart w:id="266" w:name="_Toc120470136"/>
      <w:bookmarkStart w:id="267" w:name="_Toc120469779"/>
      <w:bookmarkStart w:id="268" w:name="_Toc120470137"/>
      <w:bookmarkStart w:id="269" w:name="_Toc120469780"/>
      <w:bookmarkStart w:id="270" w:name="_Toc120470138"/>
      <w:bookmarkStart w:id="271" w:name="_Toc120469781"/>
      <w:bookmarkStart w:id="272" w:name="_Toc120470139"/>
      <w:bookmarkStart w:id="273" w:name="_Toc120469782"/>
      <w:bookmarkStart w:id="274" w:name="_Toc120470140"/>
      <w:bookmarkStart w:id="275" w:name="_Toc120469783"/>
      <w:bookmarkStart w:id="276" w:name="_Toc120470141"/>
      <w:bookmarkStart w:id="277" w:name="_Toc120469784"/>
      <w:bookmarkStart w:id="278" w:name="_Toc120470142"/>
      <w:bookmarkStart w:id="279" w:name="_Toc120469785"/>
      <w:bookmarkStart w:id="280" w:name="_Toc120470143"/>
      <w:bookmarkStart w:id="281" w:name="_Toc120469786"/>
      <w:bookmarkStart w:id="282" w:name="_Toc120470144"/>
      <w:bookmarkStart w:id="283" w:name="_Toc120469787"/>
      <w:bookmarkStart w:id="284" w:name="_Toc120470145"/>
      <w:bookmarkStart w:id="285" w:name="_Toc120469788"/>
      <w:bookmarkStart w:id="286" w:name="_Toc120470146"/>
      <w:bookmarkStart w:id="287" w:name="_Toc120469789"/>
      <w:bookmarkStart w:id="288" w:name="_Toc120470147"/>
      <w:bookmarkStart w:id="289" w:name="_Toc120469790"/>
      <w:bookmarkStart w:id="290" w:name="_Toc120470148"/>
      <w:bookmarkStart w:id="291" w:name="_Toc120469791"/>
      <w:bookmarkStart w:id="292" w:name="_Toc120470149"/>
      <w:bookmarkStart w:id="293" w:name="_Toc120469792"/>
      <w:bookmarkStart w:id="294" w:name="_Toc120470150"/>
      <w:bookmarkStart w:id="295" w:name="_Toc120469793"/>
      <w:bookmarkStart w:id="296" w:name="_Toc120470151"/>
      <w:bookmarkStart w:id="297" w:name="_Toc120469794"/>
      <w:bookmarkStart w:id="298" w:name="_Toc120470152"/>
      <w:bookmarkStart w:id="299" w:name="_Toc120469795"/>
      <w:bookmarkStart w:id="300" w:name="_Toc120470153"/>
      <w:bookmarkStart w:id="301" w:name="_Toc120469796"/>
      <w:bookmarkStart w:id="302" w:name="_Toc120470154"/>
      <w:bookmarkStart w:id="303" w:name="_Toc120469797"/>
      <w:bookmarkStart w:id="304" w:name="_Toc120470155"/>
      <w:bookmarkStart w:id="305" w:name="_Toc120469798"/>
      <w:bookmarkStart w:id="306" w:name="_Toc120470156"/>
      <w:bookmarkStart w:id="307" w:name="_Toc120469799"/>
      <w:bookmarkStart w:id="308" w:name="_Toc120470157"/>
      <w:bookmarkStart w:id="309" w:name="_Toc120469800"/>
      <w:bookmarkStart w:id="310" w:name="_Toc120470158"/>
      <w:bookmarkStart w:id="311" w:name="_Toc120469801"/>
      <w:bookmarkStart w:id="312" w:name="_Toc120470159"/>
      <w:bookmarkStart w:id="313" w:name="_Toc120469802"/>
      <w:bookmarkStart w:id="314" w:name="_Toc120470160"/>
      <w:bookmarkStart w:id="315" w:name="_Toc120469803"/>
      <w:bookmarkStart w:id="316" w:name="_Toc120470161"/>
      <w:bookmarkStart w:id="317" w:name="_Toc120469804"/>
      <w:bookmarkStart w:id="318" w:name="_Toc120470162"/>
      <w:bookmarkStart w:id="319" w:name="_Toc120469805"/>
      <w:bookmarkStart w:id="320" w:name="_Toc120470163"/>
      <w:bookmarkStart w:id="321" w:name="_Toc120469806"/>
      <w:bookmarkStart w:id="322" w:name="_Toc120470164"/>
      <w:bookmarkStart w:id="323" w:name="_Toc120469807"/>
      <w:bookmarkStart w:id="324" w:name="_Toc120470165"/>
      <w:bookmarkStart w:id="325" w:name="_Toc120469808"/>
      <w:bookmarkStart w:id="326" w:name="_Toc120470166"/>
      <w:bookmarkStart w:id="327" w:name="_Toc120469809"/>
      <w:bookmarkStart w:id="328" w:name="_Toc120470167"/>
      <w:bookmarkStart w:id="329" w:name="_Toc120469810"/>
      <w:bookmarkStart w:id="330" w:name="_Toc120470168"/>
      <w:bookmarkStart w:id="331" w:name="_Toc120469811"/>
      <w:bookmarkStart w:id="332" w:name="_Toc120470169"/>
      <w:bookmarkStart w:id="333" w:name="_Toc120469812"/>
      <w:bookmarkStart w:id="334" w:name="_Toc120470170"/>
      <w:bookmarkStart w:id="335" w:name="_Toc120469813"/>
      <w:bookmarkStart w:id="336" w:name="_Toc120470171"/>
      <w:bookmarkStart w:id="337" w:name="_Toc120469814"/>
      <w:bookmarkStart w:id="338" w:name="_Toc120470172"/>
      <w:bookmarkStart w:id="339" w:name="_Toc120469815"/>
      <w:bookmarkStart w:id="340" w:name="_Toc120470173"/>
      <w:bookmarkStart w:id="341" w:name="_Toc120469816"/>
      <w:bookmarkStart w:id="342" w:name="_Toc120470174"/>
      <w:bookmarkStart w:id="343" w:name="_Toc120469818"/>
      <w:bookmarkStart w:id="344" w:name="_Toc120470176"/>
      <w:bookmarkStart w:id="345" w:name="_Toc120469819"/>
      <w:bookmarkStart w:id="346" w:name="_Toc120470177"/>
      <w:bookmarkStart w:id="347" w:name="_Toc120469820"/>
      <w:bookmarkStart w:id="348" w:name="_Toc120470178"/>
      <w:bookmarkStart w:id="349" w:name="_Toc120469821"/>
      <w:bookmarkStart w:id="350" w:name="_Toc120470179"/>
      <w:bookmarkStart w:id="351" w:name="_Toc120469822"/>
      <w:bookmarkStart w:id="352" w:name="_Toc120470180"/>
      <w:bookmarkStart w:id="353" w:name="_Toc120469823"/>
      <w:bookmarkStart w:id="354" w:name="_Toc120470181"/>
      <w:bookmarkStart w:id="355" w:name="_Toc120469824"/>
      <w:bookmarkStart w:id="356" w:name="_Toc120470182"/>
      <w:bookmarkStart w:id="357" w:name="_Toc120469825"/>
      <w:bookmarkStart w:id="358" w:name="_Toc120470183"/>
      <w:bookmarkStart w:id="359" w:name="_Toc120469826"/>
      <w:bookmarkStart w:id="360" w:name="_Toc120470184"/>
      <w:bookmarkStart w:id="361" w:name="_Toc120469827"/>
      <w:bookmarkStart w:id="362" w:name="_Toc120470185"/>
      <w:bookmarkStart w:id="363" w:name="_Toc120469828"/>
      <w:bookmarkStart w:id="364" w:name="_Toc120470186"/>
      <w:bookmarkStart w:id="365" w:name="_Toc120469829"/>
      <w:bookmarkStart w:id="366" w:name="_Toc120470187"/>
      <w:bookmarkStart w:id="367" w:name="_Toc120469830"/>
      <w:bookmarkStart w:id="368" w:name="_Toc120470188"/>
      <w:bookmarkStart w:id="369" w:name="_Toc120469831"/>
      <w:bookmarkStart w:id="370" w:name="_Toc120470189"/>
      <w:bookmarkStart w:id="371" w:name="_Toc120469832"/>
      <w:bookmarkStart w:id="372" w:name="_Toc120470190"/>
      <w:bookmarkStart w:id="373" w:name="_Toc120469833"/>
      <w:bookmarkStart w:id="374" w:name="_Toc120470191"/>
      <w:bookmarkStart w:id="375" w:name="_Toc120469834"/>
      <w:bookmarkStart w:id="376" w:name="_Toc120470192"/>
      <w:bookmarkStart w:id="377" w:name="_Toc120469835"/>
      <w:bookmarkStart w:id="378" w:name="_Toc120470193"/>
      <w:bookmarkStart w:id="379" w:name="_Toc120469836"/>
      <w:bookmarkStart w:id="380" w:name="_Toc120470194"/>
      <w:bookmarkStart w:id="381" w:name="_Toc120469837"/>
      <w:bookmarkStart w:id="382" w:name="_Toc120470195"/>
      <w:bookmarkStart w:id="383" w:name="_Toc120469838"/>
      <w:bookmarkStart w:id="384" w:name="_Toc120470196"/>
      <w:bookmarkStart w:id="385" w:name="_Toc120469839"/>
      <w:bookmarkStart w:id="386" w:name="_Toc120470197"/>
      <w:bookmarkStart w:id="387" w:name="_Toc120469840"/>
      <w:bookmarkStart w:id="388" w:name="_Toc120470198"/>
      <w:bookmarkStart w:id="389" w:name="_Toc120469841"/>
      <w:bookmarkStart w:id="390" w:name="_Toc120470199"/>
      <w:bookmarkStart w:id="391" w:name="_Toc120469842"/>
      <w:bookmarkStart w:id="392" w:name="_Toc120470200"/>
      <w:bookmarkStart w:id="393" w:name="_Toc120469843"/>
      <w:bookmarkStart w:id="394" w:name="_Toc120470201"/>
      <w:bookmarkStart w:id="395" w:name="_Toc120469844"/>
      <w:bookmarkStart w:id="396" w:name="_Toc120470202"/>
      <w:bookmarkStart w:id="397" w:name="_Toc120469845"/>
      <w:bookmarkStart w:id="398" w:name="_Toc120470203"/>
      <w:bookmarkStart w:id="399" w:name="_Toc120469846"/>
      <w:bookmarkStart w:id="400" w:name="_Toc120470204"/>
      <w:bookmarkStart w:id="401" w:name="_Toc120469847"/>
      <w:bookmarkStart w:id="402" w:name="_Toc120470205"/>
      <w:bookmarkStart w:id="403" w:name="_Toc120469848"/>
      <w:bookmarkStart w:id="404" w:name="_Toc120470206"/>
      <w:bookmarkStart w:id="405" w:name="_Toc120469849"/>
      <w:bookmarkStart w:id="406" w:name="_Toc120470207"/>
      <w:bookmarkStart w:id="407" w:name="_Toc120469850"/>
      <w:bookmarkStart w:id="408" w:name="_Toc120470208"/>
      <w:bookmarkStart w:id="409" w:name="_Toc120469851"/>
      <w:bookmarkStart w:id="410" w:name="_Toc120470209"/>
      <w:bookmarkStart w:id="411" w:name="_Toc120469852"/>
      <w:bookmarkStart w:id="412" w:name="_Toc120470210"/>
      <w:bookmarkStart w:id="413" w:name="_Toc120469853"/>
      <w:bookmarkStart w:id="414" w:name="_Toc120470211"/>
      <w:bookmarkStart w:id="415" w:name="_Toc120469854"/>
      <w:bookmarkStart w:id="416" w:name="_Toc120470212"/>
      <w:bookmarkStart w:id="417" w:name="_Toc120469855"/>
      <w:bookmarkStart w:id="418" w:name="_Toc120470213"/>
      <w:bookmarkStart w:id="419" w:name="_Toc120469856"/>
      <w:bookmarkStart w:id="420" w:name="_Toc120470214"/>
      <w:bookmarkStart w:id="421" w:name="_Toc120469857"/>
      <w:bookmarkStart w:id="422" w:name="_Toc120470215"/>
      <w:bookmarkStart w:id="423" w:name="_Toc120469858"/>
      <w:bookmarkStart w:id="424" w:name="_Toc120470216"/>
      <w:bookmarkStart w:id="425" w:name="_Toc120469859"/>
      <w:bookmarkStart w:id="426" w:name="_Toc120470217"/>
      <w:bookmarkStart w:id="427" w:name="_Toc120469860"/>
      <w:bookmarkStart w:id="428" w:name="_Toc120470218"/>
      <w:bookmarkStart w:id="429" w:name="_Toc120469861"/>
      <w:bookmarkStart w:id="430" w:name="_Toc120470219"/>
      <w:bookmarkStart w:id="431" w:name="_Toc120469862"/>
      <w:bookmarkStart w:id="432" w:name="_Toc120470220"/>
      <w:bookmarkStart w:id="433" w:name="_Toc120469863"/>
      <w:bookmarkStart w:id="434" w:name="_Toc120470221"/>
      <w:bookmarkStart w:id="435" w:name="_Toc120469864"/>
      <w:bookmarkStart w:id="436" w:name="_Toc120470222"/>
      <w:bookmarkStart w:id="437" w:name="_Toc120469865"/>
      <w:bookmarkStart w:id="438" w:name="_Toc120470223"/>
      <w:bookmarkStart w:id="439" w:name="_Toc120469866"/>
      <w:bookmarkStart w:id="440" w:name="_Toc120470224"/>
      <w:bookmarkStart w:id="441" w:name="_Toc120469867"/>
      <w:bookmarkStart w:id="442" w:name="_Toc120470225"/>
      <w:bookmarkStart w:id="443" w:name="_Toc120469868"/>
      <w:bookmarkStart w:id="444" w:name="_Toc120470226"/>
      <w:bookmarkStart w:id="445" w:name="_Toc120469869"/>
      <w:bookmarkStart w:id="446" w:name="_Toc120470227"/>
      <w:bookmarkStart w:id="447" w:name="_Toc120469870"/>
      <w:bookmarkStart w:id="448" w:name="_Toc120470228"/>
      <w:bookmarkStart w:id="449" w:name="_Toc120469871"/>
      <w:bookmarkStart w:id="450" w:name="_Toc120470229"/>
      <w:bookmarkStart w:id="451" w:name="_Toc120469872"/>
      <w:bookmarkStart w:id="452" w:name="_Toc120470230"/>
      <w:bookmarkStart w:id="453" w:name="_Toc120469873"/>
      <w:bookmarkStart w:id="454" w:name="_Toc120470231"/>
      <w:bookmarkStart w:id="455" w:name="_Toc120469874"/>
      <w:bookmarkStart w:id="456" w:name="_Toc120470232"/>
      <w:bookmarkStart w:id="457" w:name="_Toc120469875"/>
      <w:bookmarkStart w:id="458" w:name="_Toc120470233"/>
      <w:bookmarkStart w:id="459" w:name="_Toc120469876"/>
      <w:bookmarkStart w:id="460" w:name="_Toc120470234"/>
      <w:bookmarkStart w:id="461" w:name="_Toc120469877"/>
      <w:bookmarkStart w:id="462" w:name="_Toc120470235"/>
      <w:bookmarkStart w:id="463" w:name="_Toc120469878"/>
      <w:bookmarkStart w:id="464" w:name="_Toc120470236"/>
      <w:bookmarkStart w:id="465" w:name="_Toc120469879"/>
      <w:bookmarkStart w:id="466" w:name="_Toc120470237"/>
      <w:bookmarkStart w:id="467" w:name="_Toc120469880"/>
      <w:bookmarkStart w:id="468" w:name="_Toc120470238"/>
      <w:bookmarkStart w:id="469" w:name="_Toc120469881"/>
      <w:bookmarkStart w:id="470" w:name="_Toc120470239"/>
      <w:bookmarkStart w:id="471" w:name="_Toc120469882"/>
      <w:bookmarkStart w:id="472" w:name="_Toc120470240"/>
      <w:bookmarkStart w:id="473" w:name="_Toc120469883"/>
      <w:bookmarkStart w:id="474" w:name="_Toc120470241"/>
      <w:bookmarkStart w:id="475" w:name="_Toc120469884"/>
      <w:bookmarkStart w:id="476" w:name="_Toc120470242"/>
      <w:bookmarkStart w:id="477" w:name="_Toc120469885"/>
      <w:bookmarkStart w:id="478" w:name="_Toc120470243"/>
      <w:bookmarkStart w:id="479" w:name="_Toc120469886"/>
      <w:bookmarkStart w:id="480" w:name="_Toc120470244"/>
      <w:bookmarkStart w:id="481" w:name="_Toc120469887"/>
      <w:bookmarkStart w:id="482" w:name="_Toc120470245"/>
      <w:bookmarkStart w:id="483" w:name="_Toc120469888"/>
      <w:bookmarkStart w:id="484" w:name="_Toc120470246"/>
      <w:bookmarkStart w:id="485" w:name="_Toc120469889"/>
      <w:bookmarkStart w:id="486" w:name="_Toc120470247"/>
      <w:bookmarkStart w:id="487" w:name="_Toc120469890"/>
      <w:bookmarkStart w:id="488" w:name="_Toc120470248"/>
      <w:bookmarkStart w:id="489" w:name="_Toc120469891"/>
      <w:bookmarkStart w:id="490" w:name="_Toc120470249"/>
      <w:bookmarkStart w:id="491" w:name="_Toc120469892"/>
      <w:bookmarkStart w:id="492" w:name="_Toc120470250"/>
      <w:bookmarkStart w:id="493" w:name="_Toc120469893"/>
      <w:bookmarkStart w:id="494" w:name="_Toc120470251"/>
      <w:bookmarkStart w:id="495" w:name="_Toc120469894"/>
      <w:bookmarkStart w:id="496" w:name="_Toc120470252"/>
      <w:bookmarkStart w:id="497" w:name="_Toc120469895"/>
      <w:bookmarkStart w:id="498" w:name="_Toc120470253"/>
      <w:bookmarkStart w:id="499" w:name="_Toc120469896"/>
      <w:bookmarkStart w:id="500" w:name="_Toc120470254"/>
      <w:bookmarkStart w:id="501" w:name="_Toc120469897"/>
      <w:bookmarkStart w:id="502" w:name="_Toc120470255"/>
      <w:bookmarkStart w:id="503" w:name="_Toc120469898"/>
      <w:bookmarkStart w:id="504" w:name="_Toc120470256"/>
      <w:bookmarkStart w:id="505" w:name="_Toc120469899"/>
      <w:bookmarkStart w:id="506" w:name="_Toc120470257"/>
      <w:bookmarkStart w:id="507" w:name="_Toc120469900"/>
      <w:bookmarkStart w:id="508" w:name="_Toc120470258"/>
      <w:bookmarkStart w:id="509" w:name="_Toc120469901"/>
      <w:bookmarkStart w:id="510" w:name="_Toc120470259"/>
      <w:bookmarkStart w:id="511" w:name="_Toc120469902"/>
      <w:bookmarkStart w:id="512" w:name="_Toc120470260"/>
      <w:bookmarkStart w:id="513" w:name="_Toc120469903"/>
      <w:bookmarkStart w:id="514" w:name="_Toc120470261"/>
      <w:bookmarkStart w:id="515" w:name="_Toc120469904"/>
      <w:bookmarkStart w:id="516" w:name="_Toc120470262"/>
      <w:bookmarkStart w:id="517" w:name="_Toc120469905"/>
      <w:bookmarkStart w:id="518" w:name="_Toc120470263"/>
      <w:bookmarkStart w:id="519" w:name="_Toc120469906"/>
      <w:bookmarkStart w:id="520" w:name="_Toc120470264"/>
      <w:bookmarkStart w:id="521" w:name="_Toc120469907"/>
      <w:bookmarkStart w:id="522" w:name="_Toc120470265"/>
      <w:bookmarkStart w:id="523" w:name="_Toc120469908"/>
      <w:bookmarkStart w:id="524" w:name="_Toc120470266"/>
      <w:bookmarkStart w:id="525" w:name="_Toc120469909"/>
      <w:bookmarkStart w:id="526" w:name="_Toc120470267"/>
      <w:bookmarkStart w:id="527" w:name="_Toc120469910"/>
      <w:bookmarkStart w:id="528" w:name="_Toc120470268"/>
      <w:bookmarkStart w:id="529" w:name="_Toc120469911"/>
      <w:bookmarkStart w:id="530" w:name="_Toc120470269"/>
      <w:bookmarkStart w:id="531" w:name="_Toc120469912"/>
      <w:bookmarkStart w:id="532" w:name="_Toc120470270"/>
      <w:bookmarkStart w:id="533" w:name="_Toc120469913"/>
      <w:bookmarkStart w:id="534" w:name="_Toc120470271"/>
      <w:bookmarkStart w:id="535" w:name="_Toc120469914"/>
      <w:bookmarkStart w:id="536" w:name="_Toc120470272"/>
      <w:bookmarkStart w:id="537" w:name="_Toc120469915"/>
      <w:bookmarkStart w:id="538" w:name="_Toc120470273"/>
      <w:bookmarkStart w:id="539" w:name="_Toc120469916"/>
      <w:bookmarkStart w:id="540" w:name="_Toc120470274"/>
      <w:bookmarkStart w:id="541" w:name="_Toc120469917"/>
      <w:bookmarkStart w:id="542" w:name="_Toc120470275"/>
      <w:bookmarkStart w:id="543" w:name="_Toc120469918"/>
      <w:bookmarkStart w:id="544" w:name="_Toc120470276"/>
      <w:bookmarkStart w:id="545" w:name="_Toc120469919"/>
      <w:bookmarkStart w:id="546" w:name="_Toc120470277"/>
      <w:bookmarkStart w:id="547" w:name="_Toc120469920"/>
      <w:bookmarkStart w:id="548" w:name="_Toc120470278"/>
      <w:bookmarkStart w:id="549" w:name="_Toc120469921"/>
      <w:bookmarkStart w:id="550" w:name="_Toc120470279"/>
      <w:bookmarkStart w:id="551" w:name="_Toc120469922"/>
      <w:bookmarkStart w:id="552" w:name="_Toc120470280"/>
      <w:bookmarkStart w:id="553" w:name="_Toc120469923"/>
      <w:bookmarkStart w:id="554" w:name="_Toc120470281"/>
      <w:bookmarkStart w:id="555" w:name="_Toc120469924"/>
      <w:bookmarkStart w:id="556" w:name="_Toc120470282"/>
      <w:bookmarkStart w:id="557" w:name="_Toc120469925"/>
      <w:bookmarkStart w:id="558" w:name="_Toc120470283"/>
      <w:bookmarkStart w:id="559" w:name="_Toc120469926"/>
      <w:bookmarkStart w:id="560" w:name="_Toc120470284"/>
      <w:bookmarkStart w:id="561" w:name="_Toc120469927"/>
      <w:bookmarkStart w:id="562" w:name="_Toc120470285"/>
      <w:bookmarkStart w:id="563" w:name="_Toc120469928"/>
      <w:bookmarkStart w:id="564" w:name="_Toc120470286"/>
      <w:bookmarkStart w:id="565" w:name="_Toc120469929"/>
      <w:bookmarkStart w:id="566" w:name="_Toc120470287"/>
      <w:bookmarkStart w:id="567" w:name="_Toc120469930"/>
      <w:bookmarkStart w:id="568" w:name="_Toc120470288"/>
      <w:bookmarkStart w:id="569" w:name="_Toc120469931"/>
      <w:bookmarkStart w:id="570" w:name="_Toc120470289"/>
      <w:bookmarkStart w:id="571" w:name="_Toc120469932"/>
      <w:bookmarkStart w:id="572" w:name="_Toc120470290"/>
      <w:bookmarkStart w:id="573" w:name="_Toc120469933"/>
      <w:bookmarkStart w:id="574" w:name="_Toc120470291"/>
      <w:bookmarkStart w:id="575" w:name="_Toc120469934"/>
      <w:bookmarkStart w:id="576" w:name="_Toc120470292"/>
      <w:bookmarkStart w:id="577" w:name="_Toc120469935"/>
      <w:bookmarkStart w:id="578" w:name="_Toc120470293"/>
      <w:bookmarkStart w:id="579" w:name="_Toc120469936"/>
      <w:bookmarkStart w:id="580" w:name="_Toc120470294"/>
      <w:bookmarkStart w:id="581" w:name="_Toc120469937"/>
      <w:bookmarkStart w:id="582" w:name="_Toc120470295"/>
      <w:bookmarkStart w:id="583" w:name="_Toc120469938"/>
      <w:bookmarkStart w:id="584" w:name="_Toc120470296"/>
      <w:bookmarkStart w:id="585" w:name="_Toc120469939"/>
      <w:bookmarkStart w:id="586" w:name="_Toc120470297"/>
      <w:bookmarkStart w:id="587" w:name="_Toc120469940"/>
      <w:bookmarkStart w:id="588" w:name="_Toc120470298"/>
      <w:bookmarkStart w:id="589" w:name="_Toc120469941"/>
      <w:bookmarkStart w:id="590" w:name="_Toc120470299"/>
      <w:bookmarkStart w:id="591" w:name="_Toc120469942"/>
      <w:bookmarkStart w:id="592" w:name="_Toc120470300"/>
      <w:bookmarkStart w:id="593" w:name="_Toc120469943"/>
      <w:bookmarkStart w:id="594" w:name="_Toc120470301"/>
      <w:bookmarkStart w:id="595" w:name="_Toc120469944"/>
      <w:bookmarkStart w:id="596" w:name="_Toc120470302"/>
      <w:bookmarkStart w:id="597" w:name="_Toc120469945"/>
      <w:bookmarkStart w:id="598" w:name="_Toc120470303"/>
      <w:bookmarkStart w:id="599" w:name="_Toc120469946"/>
      <w:bookmarkStart w:id="600" w:name="_Toc120470304"/>
      <w:bookmarkStart w:id="601" w:name="_Toc120469947"/>
      <w:bookmarkStart w:id="602" w:name="_Toc120470305"/>
      <w:bookmarkStart w:id="603" w:name="_Toc120469948"/>
      <w:bookmarkStart w:id="604" w:name="_Toc120470306"/>
      <w:bookmarkStart w:id="605" w:name="_Toc120469949"/>
      <w:bookmarkStart w:id="606" w:name="_Toc120470307"/>
      <w:bookmarkStart w:id="607" w:name="_Toc120469950"/>
      <w:bookmarkStart w:id="608" w:name="_Toc120470308"/>
      <w:bookmarkStart w:id="609" w:name="_Toc120469951"/>
      <w:bookmarkStart w:id="610" w:name="_Toc120470309"/>
      <w:bookmarkStart w:id="611" w:name="_Toc120469952"/>
      <w:bookmarkStart w:id="612" w:name="_Toc120470310"/>
      <w:bookmarkStart w:id="613" w:name="_Toc120469953"/>
      <w:bookmarkStart w:id="614" w:name="_Toc120470311"/>
      <w:bookmarkStart w:id="615" w:name="_Toc120469954"/>
      <w:bookmarkStart w:id="616" w:name="_Toc120470312"/>
      <w:bookmarkStart w:id="617" w:name="_Toc120469955"/>
      <w:bookmarkStart w:id="618" w:name="_Toc120470313"/>
      <w:bookmarkStart w:id="619" w:name="_Toc120469956"/>
      <w:bookmarkStart w:id="620" w:name="_Toc120470314"/>
      <w:bookmarkStart w:id="621" w:name="_Toc120469957"/>
      <w:bookmarkStart w:id="622" w:name="_Toc120470315"/>
      <w:bookmarkStart w:id="623" w:name="_Toc120469958"/>
      <w:bookmarkStart w:id="624" w:name="_Toc120470316"/>
      <w:bookmarkStart w:id="625" w:name="_Toc120469959"/>
      <w:bookmarkStart w:id="626" w:name="_Toc120470317"/>
      <w:bookmarkStart w:id="627" w:name="_Toc120469960"/>
      <w:bookmarkStart w:id="628" w:name="_Toc120470318"/>
      <w:bookmarkStart w:id="629" w:name="_Toc120469961"/>
      <w:bookmarkStart w:id="630" w:name="_Toc120470319"/>
      <w:bookmarkStart w:id="631" w:name="_Toc120469962"/>
      <w:bookmarkStart w:id="632" w:name="_Toc120470320"/>
      <w:bookmarkStart w:id="633" w:name="_Toc120469963"/>
      <w:bookmarkStart w:id="634" w:name="_Toc120470321"/>
      <w:bookmarkStart w:id="635" w:name="_Toc120469964"/>
      <w:bookmarkStart w:id="636" w:name="_Toc120470322"/>
      <w:bookmarkStart w:id="637" w:name="_Toc120469965"/>
      <w:bookmarkStart w:id="638" w:name="_Toc120470323"/>
      <w:bookmarkStart w:id="639" w:name="_Toc120469966"/>
      <w:bookmarkStart w:id="640" w:name="_Toc120470324"/>
      <w:bookmarkStart w:id="641" w:name="_Toc120469993"/>
      <w:bookmarkStart w:id="642" w:name="_Toc120470351"/>
      <w:bookmarkStart w:id="643" w:name="_Toc120469994"/>
      <w:bookmarkStart w:id="644" w:name="_Toc120470352"/>
      <w:bookmarkStart w:id="645" w:name="_Toc120469995"/>
      <w:bookmarkStart w:id="646" w:name="_Toc120470353"/>
      <w:bookmarkStart w:id="647" w:name="_Toc120470022"/>
      <w:bookmarkStart w:id="648" w:name="_Toc120470380"/>
      <w:bookmarkStart w:id="649" w:name="_Toc120470023"/>
      <w:bookmarkStart w:id="650" w:name="_Toc120470381"/>
      <w:bookmarkStart w:id="651" w:name="_Toc121095976"/>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sidRPr="0053782E">
        <w:lastRenderedPageBreak/>
        <w:t>: Seismic-</w:t>
      </w:r>
      <w:r w:rsidR="00584119">
        <w:t>c</w:t>
      </w:r>
      <w:r w:rsidRPr="0053782E">
        <w:t xml:space="preserve">onstrained </w:t>
      </w:r>
      <w:r w:rsidR="00584119">
        <w:t>r</w:t>
      </w:r>
      <w:r>
        <w:t xml:space="preserve">eservoir </w:t>
      </w:r>
      <w:r w:rsidR="00584119">
        <w:t>m</w:t>
      </w:r>
      <w:r w:rsidRPr="0053782E">
        <w:t>odeling</w:t>
      </w:r>
      <w:r>
        <w:t xml:space="preserve"> and</w:t>
      </w:r>
      <w:r w:rsidRPr="0053782E">
        <w:t xml:space="preserve"> </w:t>
      </w:r>
      <w:r w:rsidR="00584119">
        <w:t>s</w:t>
      </w:r>
      <w:r w:rsidRPr="0053782E">
        <w:t>imulation for CO</w:t>
      </w:r>
      <w:r w:rsidRPr="0053782E">
        <w:rPr>
          <w:vertAlign w:val="subscript"/>
        </w:rPr>
        <w:t>2</w:t>
      </w:r>
      <w:r w:rsidRPr="0053782E">
        <w:t xml:space="preserve"> </w:t>
      </w:r>
      <w:r w:rsidR="00F32356">
        <w:t>sequestration potential</w:t>
      </w:r>
      <w:r w:rsidRPr="0053782E">
        <w:t xml:space="preserve"> assessment</w:t>
      </w:r>
      <w:r w:rsidR="00DB5D2C">
        <w:t xml:space="preserve"> of the Arbuckle </w:t>
      </w:r>
      <w:r w:rsidR="00584119">
        <w:t>G</w:t>
      </w:r>
      <w:r w:rsidR="00DB5D2C">
        <w:t>roup</w:t>
      </w:r>
      <w:r w:rsidRPr="0053782E">
        <w:t>: Wellington Field, Kansas*</w:t>
      </w:r>
      <w:bookmarkEnd w:id="651"/>
    </w:p>
    <w:p w14:paraId="67E0F011" w14:textId="132A0B0D" w:rsidR="00431BE4" w:rsidRDefault="00431BE4" w:rsidP="00431BE4">
      <w:r>
        <w:t>*</w:t>
      </w:r>
      <w:r w:rsidRPr="00967D41">
        <w:t xml:space="preserve">This chapter was presented in an invited talk </w:t>
      </w:r>
      <w:r w:rsidR="002E30AF">
        <w:t>at</w:t>
      </w:r>
      <w:r w:rsidRPr="00967D41">
        <w:t xml:space="preserve"> </w:t>
      </w:r>
      <w:r w:rsidR="002E30AF">
        <w:t xml:space="preserve">the </w:t>
      </w:r>
      <w:r>
        <w:t>2nd</w:t>
      </w:r>
      <w:r w:rsidRPr="00967D41">
        <w:t xml:space="preserve"> International Meeting for Applied Geoscience and Energy (IMAGE) </w:t>
      </w:r>
      <w:r w:rsidR="00C06232">
        <w:t>c</w:t>
      </w:r>
      <w:r w:rsidR="00C06232" w:rsidRPr="00967D41">
        <w:t>onference</w:t>
      </w:r>
      <w:r w:rsidR="00C06232">
        <w:t xml:space="preserve"> in 2022</w:t>
      </w:r>
      <w:r w:rsidRPr="00967D41">
        <w:t>:</w:t>
      </w:r>
    </w:p>
    <w:p w14:paraId="3B6698A3" w14:textId="77777777" w:rsidR="00431BE4" w:rsidRPr="00967D41" w:rsidRDefault="00431BE4" w:rsidP="00431BE4"/>
    <w:p w14:paraId="69FA8499" w14:textId="3B860427" w:rsidR="00431BE4" w:rsidRDefault="00431BE4" w:rsidP="00431BE4">
      <w:pPr>
        <w:rPr>
          <w:iCs/>
          <w:szCs w:val="18"/>
        </w:rPr>
      </w:pPr>
      <w:r w:rsidRPr="00A6021F">
        <w:rPr>
          <w:iCs/>
          <w:szCs w:val="18"/>
        </w:rPr>
        <w:t>Caf, A., B., D. Lubo-Robles, K. J. Marfurt, H. Bedle, M. J. Pranter</w:t>
      </w:r>
      <w:r w:rsidR="002E30AF">
        <w:rPr>
          <w:iCs/>
          <w:szCs w:val="18"/>
        </w:rPr>
        <w:t>,</w:t>
      </w:r>
      <w:r w:rsidRPr="00A6021F">
        <w:rPr>
          <w:iCs/>
          <w:szCs w:val="18"/>
        </w:rPr>
        <w:t xml:space="preserve"> and </w:t>
      </w:r>
      <w:r w:rsidRPr="00ED1708">
        <w:rPr>
          <w:iCs/>
          <w:szCs w:val="18"/>
        </w:rPr>
        <w:t>Z. Reza,</w:t>
      </w:r>
      <w:r w:rsidRPr="00A6021F">
        <w:rPr>
          <w:iCs/>
          <w:szCs w:val="18"/>
        </w:rPr>
        <w:t xml:space="preserve"> 202</w:t>
      </w:r>
      <w:r w:rsidRPr="00ED1708">
        <w:rPr>
          <w:iCs/>
          <w:szCs w:val="18"/>
        </w:rPr>
        <w:t>2</w:t>
      </w:r>
      <w:r w:rsidRPr="00A6021F">
        <w:rPr>
          <w:iCs/>
          <w:szCs w:val="18"/>
        </w:rPr>
        <w:t xml:space="preserve">, </w:t>
      </w:r>
      <w:r w:rsidRPr="00ED1708">
        <w:rPr>
          <w:iCs/>
          <w:szCs w:val="18"/>
        </w:rPr>
        <w:t>CO</w:t>
      </w:r>
      <w:r w:rsidRPr="00B43505">
        <w:rPr>
          <w:iCs/>
          <w:szCs w:val="18"/>
          <w:vertAlign w:val="subscript"/>
        </w:rPr>
        <w:t>2</w:t>
      </w:r>
      <w:r w:rsidRPr="00ED1708">
        <w:rPr>
          <w:iCs/>
          <w:szCs w:val="18"/>
        </w:rPr>
        <w:t xml:space="preserve"> injectivity and storage potential assessment of the Arbuckle Group using supervised machine learning and seismic-constrained reservoir modeling and simulation, Wellington Field, Kansas</w:t>
      </w:r>
      <w:r>
        <w:rPr>
          <w:iCs/>
          <w:szCs w:val="18"/>
        </w:rPr>
        <w:t xml:space="preserve">, </w:t>
      </w:r>
      <w:r w:rsidRPr="00E042F0">
        <w:rPr>
          <w:iCs/>
          <w:szCs w:val="18"/>
        </w:rPr>
        <w:t>International Meeting for Applied Geoscience and Energy (IMAGE) Conference</w:t>
      </w:r>
      <w:r>
        <w:rPr>
          <w:iCs/>
          <w:szCs w:val="18"/>
        </w:rPr>
        <w:t xml:space="preserve">, </w:t>
      </w:r>
      <w:r w:rsidRPr="00ED1708">
        <w:rPr>
          <w:iCs/>
          <w:szCs w:val="18"/>
        </w:rPr>
        <w:t>Houston</w:t>
      </w:r>
      <w:r>
        <w:rPr>
          <w:iCs/>
          <w:szCs w:val="18"/>
        </w:rPr>
        <w:t xml:space="preserve">, </w:t>
      </w:r>
      <w:r w:rsidRPr="00ED1708">
        <w:rPr>
          <w:iCs/>
          <w:szCs w:val="18"/>
        </w:rPr>
        <w:t>TX</w:t>
      </w:r>
      <w:r>
        <w:rPr>
          <w:iCs/>
          <w:szCs w:val="18"/>
        </w:rPr>
        <w:t>, September 202</w:t>
      </w:r>
      <w:r w:rsidRPr="00ED1708">
        <w:rPr>
          <w:iCs/>
          <w:szCs w:val="18"/>
        </w:rPr>
        <w:t>2</w:t>
      </w:r>
      <w:r>
        <w:rPr>
          <w:iCs/>
          <w:szCs w:val="18"/>
        </w:rPr>
        <w:t>.</w:t>
      </w:r>
    </w:p>
    <w:p w14:paraId="4ABDC430" w14:textId="77777777" w:rsidR="00431BE4" w:rsidRDefault="00431BE4" w:rsidP="00431BE4">
      <w:pPr>
        <w:rPr>
          <w:iCs/>
          <w:szCs w:val="18"/>
        </w:rPr>
      </w:pPr>
    </w:p>
    <w:p w14:paraId="6D1C40C6" w14:textId="3DF8E261" w:rsidR="00431BE4" w:rsidRPr="00114CCC" w:rsidRDefault="00431BE4" w:rsidP="00431BE4">
      <w:pPr>
        <w:rPr>
          <w:rFonts w:eastAsia="Times New Roman" w:cs="Times New Roman"/>
          <w:i/>
          <w:iCs/>
          <w:sz w:val="20"/>
          <w:szCs w:val="18"/>
        </w:rPr>
      </w:pPr>
      <w:r w:rsidRPr="00114CCC">
        <w:t>*</w:t>
      </w:r>
      <w:r w:rsidRPr="00114CCC">
        <w:rPr>
          <w:rFonts w:eastAsia="Times New Roman" w:cs="Times New Roman"/>
          <w:i/>
          <w:iCs/>
          <w:sz w:val="20"/>
          <w:szCs w:val="18"/>
        </w:rPr>
        <w:t xml:space="preserve">This chapter will be sent in for publication </w:t>
      </w:r>
      <w:r w:rsidR="00114CCC" w:rsidRPr="00114CCC">
        <w:rPr>
          <w:rFonts w:eastAsia="Times New Roman" w:cs="Times New Roman"/>
          <w:i/>
          <w:iCs/>
          <w:sz w:val="20"/>
          <w:szCs w:val="18"/>
        </w:rPr>
        <w:t>in</w:t>
      </w:r>
      <w:r w:rsidRPr="00114CCC">
        <w:rPr>
          <w:rFonts w:eastAsia="Times New Roman" w:cs="Times New Roman"/>
          <w:i/>
          <w:iCs/>
          <w:sz w:val="20"/>
          <w:szCs w:val="18"/>
        </w:rPr>
        <w:t xml:space="preserve"> Interpretation Journal in early 2023.</w:t>
      </w:r>
    </w:p>
    <w:p w14:paraId="6FEDD5E0" w14:textId="77777777" w:rsidR="00431BE4" w:rsidRDefault="00431BE4" w:rsidP="00431BE4">
      <w:pPr>
        <w:spacing w:line="259" w:lineRule="auto"/>
        <w:jc w:val="left"/>
        <w:rPr>
          <w:rFonts w:eastAsia="Times New Roman" w:cs="Times New Roman"/>
          <w:i/>
          <w:iCs/>
          <w:color w:val="FF0000"/>
          <w:sz w:val="20"/>
          <w:szCs w:val="18"/>
        </w:rPr>
      </w:pPr>
      <w:r>
        <w:rPr>
          <w:rFonts w:eastAsia="Times New Roman" w:cs="Times New Roman"/>
          <w:i/>
          <w:iCs/>
          <w:color w:val="FF0000"/>
          <w:sz w:val="20"/>
          <w:szCs w:val="18"/>
        </w:rPr>
        <w:br w:type="page"/>
      </w:r>
    </w:p>
    <w:p w14:paraId="72D715C8" w14:textId="77777777" w:rsidR="000144A9" w:rsidRDefault="000144A9" w:rsidP="000144A9">
      <w:pPr>
        <w:pStyle w:val="Heading2"/>
      </w:pPr>
      <w:bookmarkStart w:id="652" w:name="_Toc121095977"/>
      <w:r>
        <w:lastRenderedPageBreak/>
        <w:t>Abstract</w:t>
      </w:r>
      <w:bookmarkEnd w:id="652"/>
    </w:p>
    <w:p w14:paraId="79429287" w14:textId="02088443" w:rsidR="000144A9" w:rsidRPr="00226FA8" w:rsidRDefault="000144A9" w:rsidP="00CB3BA5">
      <w:pPr>
        <w:ind w:firstLine="720"/>
      </w:pPr>
      <w:r w:rsidRPr="00226FA8">
        <w:t>The Arbuckle Group in the Wellington field in Kansas has recently been a focal point for CO</w:t>
      </w:r>
      <w:r w:rsidRPr="00226FA8">
        <w:rPr>
          <w:vertAlign w:val="subscript"/>
        </w:rPr>
        <w:t>2</w:t>
      </w:r>
      <w:r w:rsidRPr="00226FA8">
        <w:t xml:space="preserve"> geosequestration feasibility studies, mainly through petrophysical, geophysical, and geostatistical modeling methods. The limited well control and the geological complexity of the study area add uncertainty to mapping the subsurface property variability. Therefore, the spatial variability of petrofacies and corresponding petrophysical properties of the Arbuckle Group </w:t>
      </w:r>
      <w:r w:rsidR="005520BF">
        <w:t>are</w:t>
      </w:r>
      <w:r w:rsidR="005520BF" w:rsidRPr="00226FA8">
        <w:t xml:space="preserve"> </w:t>
      </w:r>
      <w:r w:rsidRPr="00226FA8">
        <w:t>further addressed by integrating seismic-scale 3D petrofacies and petrophysical</w:t>
      </w:r>
      <w:r w:rsidR="005520BF">
        <w:t>-</w:t>
      </w:r>
      <w:r w:rsidRPr="00226FA8">
        <w:t xml:space="preserve">property trends with well-log and core data to generate </w:t>
      </w:r>
      <w:r w:rsidR="005520BF">
        <w:t xml:space="preserve">3-D </w:t>
      </w:r>
      <w:r w:rsidRPr="00226FA8">
        <w:t>seismic-constrained petrofacies, porosity, and permeability models of the Arbuckle Group via geostatistical modeling.</w:t>
      </w:r>
      <w:r w:rsidR="00C12D0C">
        <w:t xml:space="preserve"> </w:t>
      </w:r>
      <w:r w:rsidRPr="00226FA8">
        <w:t xml:space="preserve">The seismic-constrained models reveal the lateral and stratigraphic heterogeneity of petrofacies, porosity, and permeability. Low permeability petrofacies of the middle Arbuckle interval act as baffles and barriers to fluid flow. Relatively higher porosity and permeability petrofacies in both the lower and upper Arbuckle are candidate injection zones.  </w:t>
      </w:r>
      <w:r w:rsidR="005520BF">
        <w:t>We calculated the theoretical CO</w:t>
      </w:r>
      <w:r w:rsidR="005520BF" w:rsidRPr="00A31ADB">
        <w:rPr>
          <w:vertAlign w:val="subscript"/>
        </w:rPr>
        <w:t>2</w:t>
      </w:r>
      <w:r w:rsidR="005520BF">
        <w:t xml:space="preserve"> storage capacity </w:t>
      </w:r>
      <w:r w:rsidR="005520BF">
        <w:rPr>
          <w:rFonts w:cs="Times New Roman"/>
          <w:szCs w:val="24"/>
        </w:rPr>
        <w:t>using the DOE-NETL equation for saline aquifers. The theoretical CO</w:t>
      </w:r>
      <w:r w:rsidR="005520BF" w:rsidRPr="002F0779">
        <w:rPr>
          <w:rFonts w:cs="Times New Roman"/>
          <w:szCs w:val="24"/>
          <w:vertAlign w:val="subscript"/>
        </w:rPr>
        <w:t>2</w:t>
      </w:r>
      <w:r w:rsidR="005520BF">
        <w:rPr>
          <w:rFonts w:cs="Times New Roman"/>
          <w:szCs w:val="24"/>
        </w:rPr>
        <w:t xml:space="preserve"> storage capacity for the study area is estimated between 0.95, 5.41, and 22.5 Mt for low-, mean-, and high-case scenarios.</w:t>
      </w:r>
      <w:r w:rsidR="005520BF">
        <w:t xml:space="preserve"> </w:t>
      </w:r>
      <w:r w:rsidR="005520BF" w:rsidRPr="00226FA8">
        <w:t xml:space="preserve">Using these </w:t>
      </w:r>
      <w:r w:rsidR="005520BF">
        <w:t xml:space="preserve">static </w:t>
      </w:r>
      <w:r w:rsidR="005520BF" w:rsidRPr="00226FA8">
        <w:t>models, we performed dynamic CO</w:t>
      </w:r>
      <w:r w:rsidR="005520BF" w:rsidRPr="00226FA8">
        <w:rPr>
          <w:vertAlign w:val="subscript"/>
        </w:rPr>
        <w:t>2</w:t>
      </w:r>
      <w:r w:rsidR="005520BF" w:rsidRPr="00226FA8">
        <w:t xml:space="preserve"> injection simulations to evaluate the subsurface behavior of </w:t>
      </w:r>
      <w:r w:rsidR="005520BF">
        <w:t xml:space="preserve">a theoretical </w:t>
      </w:r>
      <w:r w:rsidR="005520BF" w:rsidRPr="00226FA8">
        <w:t>CO</w:t>
      </w:r>
      <w:r w:rsidR="005520BF" w:rsidRPr="00F95681">
        <w:rPr>
          <w:vertAlign w:val="subscript"/>
        </w:rPr>
        <w:t>2</w:t>
      </w:r>
      <w:r w:rsidR="005520BF" w:rsidRPr="00226FA8">
        <w:t xml:space="preserve"> plume for long-term carbon-storage potential.</w:t>
      </w:r>
      <w:r w:rsidR="005520BF">
        <w:t xml:space="preserve"> </w:t>
      </w:r>
      <w:r w:rsidRPr="00226FA8">
        <w:t>Dynamic simulation results show the CO</w:t>
      </w:r>
      <w:r w:rsidRPr="00226FA8">
        <w:rPr>
          <w:vertAlign w:val="subscript"/>
        </w:rPr>
        <w:t>2</w:t>
      </w:r>
      <w:r w:rsidRPr="00226FA8">
        <w:t xml:space="preserve"> plume is dispersing laterally and contained within the injection zone during both injection and post</w:t>
      </w:r>
      <w:r w:rsidR="004A15F7">
        <w:t>-</w:t>
      </w:r>
      <w:r w:rsidRPr="00226FA8">
        <w:t xml:space="preserve">injection periods. The integrated workflow allows us to integrate supervised machine learning and seismic information to further constrain the geostatistical models. Compared to the previous studies, this workflow </w:t>
      </w:r>
      <w:r w:rsidR="00C5357B" w:rsidRPr="00226FA8">
        <w:t xml:space="preserve">created </w:t>
      </w:r>
      <w:r w:rsidR="00C5357B">
        <w:t>3</w:t>
      </w:r>
      <w:r w:rsidR="009216C3">
        <w:t xml:space="preserve">D reservoir </w:t>
      </w:r>
      <w:r w:rsidR="0029019C" w:rsidRPr="00226FA8">
        <w:t xml:space="preserve">models </w:t>
      </w:r>
      <w:r w:rsidR="0029019C">
        <w:t>that</w:t>
      </w:r>
      <w:r w:rsidR="002F2938">
        <w:t xml:space="preserve"> </w:t>
      </w:r>
      <w:r w:rsidR="009216C3">
        <w:t>show</w:t>
      </w:r>
      <w:r w:rsidR="007B260F">
        <w:t xml:space="preserve"> </w:t>
      </w:r>
      <w:r w:rsidRPr="00226FA8">
        <w:lastRenderedPageBreak/>
        <w:t>stratigraphic variability of subsurface properties</w:t>
      </w:r>
      <w:r w:rsidR="002F2938">
        <w:t xml:space="preserve"> in </w:t>
      </w:r>
      <w:r w:rsidR="004A15F7">
        <w:t>great</w:t>
      </w:r>
      <w:r w:rsidR="002F2938">
        <w:t>er detail</w:t>
      </w:r>
      <w:r w:rsidRPr="00226FA8">
        <w:t xml:space="preserve"> </w:t>
      </w:r>
      <w:r w:rsidR="00451073" w:rsidRPr="00226FA8">
        <w:t xml:space="preserve">and </w:t>
      </w:r>
      <w:r w:rsidR="00451073">
        <w:t>further</w:t>
      </w:r>
      <w:r w:rsidR="007B260F">
        <w:t xml:space="preserve"> </w:t>
      </w:r>
      <w:r w:rsidRPr="00226FA8">
        <w:t>reduce</w:t>
      </w:r>
      <w:r w:rsidR="007B260F">
        <w:t xml:space="preserve"> the </w:t>
      </w:r>
      <w:r w:rsidR="007E259E">
        <w:t xml:space="preserve">subsurface </w:t>
      </w:r>
      <w:r w:rsidR="007E259E" w:rsidRPr="00226FA8">
        <w:t>uncertainty</w:t>
      </w:r>
      <w:r w:rsidRPr="00226FA8">
        <w:t xml:space="preserve"> in</w:t>
      </w:r>
      <w:r w:rsidR="00451073">
        <w:t xml:space="preserve"> the study area</w:t>
      </w:r>
      <w:r w:rsidR="007E259E">
        <w:t>.</w:t>
      </w:r>
    </w:p>
    <w:p w14:paraId="09FC3D15" w14:textId="77777777" w:rsidR="000144A9" w:rsidRDefault="000144A9" w:rsidP="000144A9">
      <w:pPr>
        <w:pStyle w:val="Heading2"/>
      </w:pPr>
      <w:bookmarkStart w:id="653" w:name="_Toc121095978"/>
      <w:r>
        <w:t>Introduction</w:t>
      </w:r>
      <w:bookmarkEnd w:id="653"/>
    </w:p>
    <w:p w14:paraId="2CC001CE" w14:textId="16DCD316" w:rsidR="000144A9" w:rsidRDefault="000144A9" w:rsidP="000144A9">
      <w:pPr>
        <w:ind w:firstLine="720"/>
      </w:pPr>
      <w:r>
        <w:t xml:space="preserve">Carbon-storage technologies are crucial to reduce anthropogenic carbon dioxide </w:t>
      </w:r>
      <w:r w:rsidRPr="002239B9">
        <w:t>(CO</w:t>
      </w:r>
      <w:r w:rsidRPr="002239B9">
        <w:rPr>
          <w:vertAlign w:val="subscript"/>
        </w:rPr>
        <w:t>2</w:t>
      </w:r>
      <w:r w:rsidRPr="002239B9">
        <w:t>)</w:t>
      </w:r>
      <w:r>
        <w:t xml:space="preserve"> emissions to help meet energy needs and alleviate climate impacts. Geologic carbon sequestration is one of the most effective carbon storage methods</w:t>
      </w:r>
      <w:r w:rsidR="004A15F7">
        <w:t>,</w:t>
      </w:r>
      <w:r>
        <w:t xml:space="preserve"> given its efficiency, potential storage capacity, and cost. </w:t>
      </w:r>
      <w:r w:rsidRPr="002239B9">
        <w:t>Th</w:t>
      </w:r>
      <w:r>
        <w:t>e</w:t>
      </w:r>
      <w:r w:rsidRPr="002239B9">
        <w:t xml:space="preserve"> process </w:t>
      </w:r>
      <w:r>
        <w:t>require</w:t>
      </w:r>
      <w:r w:rsidRPr="002239B9">
        <w:t>s the injection and storage of CO</w:t>
      </w:r>
      <w:r w:rsidRPr="002239B9">
        <w:rPr>
          <w:vertAlign w:val="subscript"/>
        </w:rPr>
        <w:t>2</w:t>
      </w:r>
      <w:r w:rsidRPr="002239B9">
        <w:t xml:space="preserve"> into a deep saline aquifer or a depleted hydrocarbon reservoir</w:t>
      </w:r>
      <w:r>
        <w:t xml:space="preserve"> </w:t>
      </w:r>
      <w:r w:rsidRPr="002239B9">
        <w:t>(</w:t>
      </w:r>
      <w:r>
        <w:t xml:space="preserve">Bachu, 2000; </w:t>
      </w:r>
      <w:r w:rsidRPr="002239B9">
        <w:t>Gale, 2004; Friedmann, 2007; Breuning et al., 2013)</w:t>
      </w:r>
      <w:r>
        <w:t>.</w:t>
      </w:r>
    </w:p>
    <w:p w14:paraId="2A7B491E" w14:textId="56A5508D" w:rsidR="00BF722E" w:rsidRDefault="000144A9" w:rsidP="000144A9">
      <w:pPr>
        <w:ind w:firstLine="720"/>
      </w:pPr>
      <w:r>
        <w:t xml:space="preserve">The Arbuckle Group saline aquifer </w:t>
      </w:r>
      <w:r w:rsidRPr="00EC1750">
        <w:t xml:space="preserve">has historically been used for </w:t>
      </w:r>
      <w:r>
        <w:t>various</w:t>
      </w:r>
      <w:r w:rsidRPr="00EC1750">
        <w:t xml:space="preserve"> waste</w:t>
      </w:r>
      <w:r>
        <w:t xml:space="preserve">-water </w:t>
      </w:r>
      <w:r w:rsidRPr="00EC1750">
        <w:t>disposal operations</w:t>
      </w:r>
      <w:r>
        <w:t xml:space="preserve">. Recently, the Arbuckle Group in southern Kansas and Oklahoma </w:t>
      </w:r>
      <w:r w:rsidRPr="00CF0F4B">
        <w:t xml:space="preserve">has become a focus for </w:t>
      </w:r>
      <w:r>
        <w:t>CO</w:t>
      </w:r>
      <w:r w:rsidRPr="005D0071">
        <w:rPr>
          <w:vertAlign w:val="subscript"/>
        </w:rPr>
        <w:t>2</w:t>
      </w:r>
      <w:r w:rsidRPr="00CF0F4B">
        <w:t xml:space="preserve"> sequestration</w:t>
      </w:r>
      <w:r>
        <w:t>-</w:t>
      </w:r>
      <w:r w:rsidRPr="00CF0F4B">
        <w:t>related studies</w:t>
      </w:r>
      <w:r>
        <w:t xml:space="preserve"> due to its proximity to significant </w:t>
      </w:r>
      <w:r w:rsidR="004848D1">
        <w:t xml:space="preserve">sources </w:t>
      </w:r>
      <w:r>
        <w:t>of CO</w:t>
      </w:r>
      <w:r w:rsidRPr="00F32C71">
        <w:rPr>
          <w:vertAlign w:val="subscript"/>
        </w:rPr>
        <w:t>2</w:t>
      </w:r>
      <w:r>
        <w:t xml:space="preserve"> emission and </w:t>
      </w:r>
      <w:r w:rsidR="004848D1">
        <w:t xml:space="preserve">given its favorable </w:t>
      </w:r>
      <w:r>
        <w:t xml:space="preserve">geological properties </w:t>
      </w:r>
      <w:r w:rsidRPr="00CF0F4B">
        <w:t>(</w:t>
      </w:r>
      <w:r>
        <w:t>Watney and Rush, 2012; Holubnyak, 2017</w:t>
      </w:r>
      <w:r w:rsidRPr="00CF0F4B">
        <w:t>).</w:t>
      </w:r>
      <w:r w:rsidRPr="000E627A">
        <w:t xml:space="preserve"> To evaluate</w:t>
      </w:r>
      <w:r>
        <w:t xml:space="preserve"> the CO</w:t>
      </w:r>
      <w:r w:rsidRPr="005D0071">
        <w:rPr>
          <w:vertAlign w:val="subscript"/>
        </w:rPr>
        <w:t>2</w:t>
      </w:r>
      <w:r w:rsidRPr="000E627A">
        <w:t xml:space="preserve"> sequestration potential</w:t>
      </w:r>
      <w:r>
        <w:t xml:space="preserve"> of the Arbuckle Group</w:t>
      </w:r>
      <w:r w:rsidR="00DD0C8C">
        <w:t xml:space="preserve"> </w:t>
      </w:r>
      <w:r w:rsidR="009C1F80">
        <w:t xml:space="preserve">in </w:t>
      </w:r>
      <w:r w:rsidR="00DD0C8C">
        <w:t>the study area</w:t>
      </w:r>
      <w:r>
        <w:t xml:space="preserve"> numerous studies</w:t>
      </w:r>
      <w:r w:rsidR="004848D1">
        <w:t xml:space="preserve"> with different levels of detail</w:t>
      </w:r>
      <w:r>
        <w:t xml:space="preserve"> have been carried out (Carr et al., 2005; Holubnyak 2007 et al., 2007; Watney and Rush, 2012; </w:t>
      </w:r>
      <w:r w:rsidRPr="000F1F51">
        <w:t>Ohl and Raef, 2014;</w:t>
      </w:r>
      <w:r>
        <w:rPr>
          <w:sz w:val="20"/>
          <w:szCs w:val="20"/>
        </w:rPr>
        <w:t xml:space="preserve"> </w:t>
      </w:r>
      <w:r>
        <w:t xml:space="preserve">Gupta et al., 2017; Doveton and Watney, </w:t>
      </w:r>
      <w:r w:rsidRPr="00F2591F">
        <w:t xml:space="preserve">2015). </w:t>
      </w:r>
    </w:p>
    <w:p w14:paraId="5D1217FF" w14:textId="6146BFAD" w:rsidR="000144A9" w:rsidRPr="00753321" w:rsidRDefault="000144A9" w:rsidP="000144A9">
      <w:pPr>
        <w:ind w:firstLine="720"/>
      </w:pPr>
      <w:r>
        <w:t>Carr et al. (2005) used large-scale relational databases and geographic information system tools to integrate temperature, pressure, and water geochemistry data from numerous wells to create regional-scale hydrogeological models of the lower Paleozoic aquifer systems in Kansas and to evaluate their potential for geologic CO</w:t>
      </w:r>
      <w:r w:rsidRPr="00963443">
        <w:rPr>
          <w:vertAlign w:val="subscript"/>
        </w:rPr>
        <w:t>2</w:t>
      </w:r>
      <w:r>
        <w:t xml:space="preserve"> sequestration. Holubnyak et al. (2007) developed </w:t>
      </w:r>
      <w:r>
        <w:lastRenderedPageBreak/>
        <w:t>regional-scale subsurface models to assess the CO</w:t>
      </w:r>
      <w:r w:rsidRPr="00963443">
        <w:rPr>
          <w:vertAlign w:val="subscript"/>
        </w:rPr>
        <w:t>2</w:t>
      </w:r>
      <w:r>
        <w:t xml:space="preserve"> storage capacity for the Arbuckle Group in southern Kansas and investigated potential candidate injection zones.  </w:t>
      </w:r>
      <w:r w:rsidRPr="001C4DDD">
        <w:t>Ohl and Raef (2014) performed</w:t>
      </w:r>
      <w:r>
        <w:t xml:space="preserve"> seismic</w:t>
      </w:r>
      <w:r w:rsidRPr="001C4DDD">
        <w:t xml:space="preserve"> multi-attribute analysis </w:t>
      </w:r>
      <w:r>
        <w:t>to create 3D</w:t>
      </w:r>
      <w:r w:rsidRPr="001C4DDD">
        <w:t xml:space="preserve"> </w:t>
      </w:r>
      <w:r>
        <w:t>electrofacies</w:t>
      </w:r>
      <w:r w:rsidRPr="001C4DDD">
        <w:t xml:space="preserve"> clusters</w:t>
      </w:r>
      <w:r>
        <w:t xml:space="preserve"> for seismic-scale characterization of the Arbuckle reservoir.</w:t>
      </w:r>
      <w:r w:rsidRPr="001C4DDD">
        <w:t xml:space="preserve"> Gupta et al. (2017)</w:t>
      </w:r>
      <w:r>
        <w:t xml:space="preserve"> </w:t>
      </w:r>
      <w:r w:rsidRPr="001C4DDD">
        <w:t xml:space="preserve">utilized S-wave amplitude variation </w:t>
      </w:r>
      <w:r>
        <w:t>w</w:t>
      </w:r>
      <w:r w:rsidRPr="001C4DDD">
        <w:t xml:space="preserve">ith offset </w:t>
      </w:r>
      <w:r w:rsidRPr="005E5725">
        <w:t>to</w:t>
      </w:r>
      <w:r>
        <w:t xml:space="preserve"> evaluate</w:t>
      </w:r>
      <w:r w:rsidRPr="001C4DDD">
        <w:t xml:space="preserve"> fracture presence affecting the injectivity and </w:t>
      </w:r>
      <w:r>
        <w:t>CO</w:t>
      </w:r>
      <w:r w:rsidRPr="005D0071">
        <w:rPr>
          <w:vertAlign w:val="subscript"/>
        </w:rPr>
        <w:t>2</w:t>
      </w:r>
      <w:r w:rsidRPr="001C4DDD">
        <w:t xml:space="preserve"> movement in the subsurface</w:t>
      </w:r>
      <w:r>
        <w:t xml:space="preserve">. Among these studies, the most notable work in the study area is </w:t>
      </w:r>
      <w:r w:rsidR="004E6806">
        <w:t xml:space="preserve">by </w:t>
      </w:r>
      <w:r w:rsidRPr="00F2591F">
        <w:t>Watney and Rush (2012)</w:t>
      </w:r>
      <w:r>
        <w:t xml:space="preserve">, </w:t>
      </w:r>
      <w:r w:rsidRPr="00857F0F">
        <w:t>where</w:t>
      </w:r>
      <w:r w:rsidR="004E6806">
        <w:t>by</w:t>
      </w:r>
      <w:r w:rsidRPr="00857F0F">
        <w:t xml:space="preserve"> the</w:t>
      </w:r>
      <w:r w:rsidR="004E6806">
        <w:t>y</w:t>
      </w:r>
      <w:r w:rsidRPr="00857F0F">
        <w:t xml:space="preserve"> utilized well logs, core measurements, and </w:t>
      </w:r>
      <w:r w:rsidR="004E6806">
        <w:t xml:space="preserve">3D </w:t>
      </w:r>
      <w:r w:rsidRPr="00857F0F">
        <w:t>seismic data to create porosity</w:t>
      </w:r>
      <w:r>
        <w:t>, permeability</w:t>
      </w:r>
      <w:r w:rsidR="0093622E">
        <w:t>,</w:t>
      </w:r>
      <w:r>
        <w:t xml:space="preserve"> rock</w:t>
      </w:r>
      <w:r w:rsidR="004E6806">
        <w:t>-</w:t>
      </w:r>
      <w:r>
        <w:t>type models</w:t>
      </w:r>
      <w:r w:rsidR="00DD0A29">
        <w:t>,</w:t>
      </w:r>
      <w:r>
        <w:t xml:space="preserve"> </w:t>
      </w:r>
      <w:r w:rsidRPr="00857F0F">
        <w:t>and CO</w:t>
      </w:r>
      <w:r w:rsidRPr="00857F0F">
        <w:rPr>
          <w:vertAlign w:val="subscript"/>
        </w:rPr>
        <w:t>2</w:t>
      </w:r>
      <w:r w:rsidRPr="00857F0F">
        <w:t xml:space="preserve"> plume simulations. </w:t>
      </w:r>
      <w:r>
        <w:t xml:space="preserve">They </w:t>
      </w:r>
      <w:r w:rsidR="000A355F">
        <w:t>used</w:t>
      </w:r>
      <w:r w:rsidR="000A355F" w:rsidRPr="00857F0F">
        <w:t xml:space="preserve"> </w:t>
      </w:r>
      <w:r w:rsidRPr="00857F0F">
        <w:t xml:space="preserve">the seismic reflection data </w:t>
      </w:r>
      <w:r>
        <w:t xml:space="preserve">to create a </w:t>
      </w:r>
      <w:r w:rsidR="004E6806">
        <w:t xml:space="preserve">3D </w:t>
      </w:r>
      <w:r>
        <w:t xml:space="preserve">pseudo-porosity attribute using </w:t>
      </w:r>
      <w:r w:rsidR="000A355F">
        <w:t xml:space="preserve">an </w:t>
      </w:r>
      <w:r>
        <w:t xml:space="preserve">artificial neural network method. Then, they used </w:t>
      </w:r>
      <w:r w:rsidR="000A355F">
        <w:t>th</w:t>
      </w:r>
      <w:r w:rsidR="004E6806">
        <w:t>e</w:t>
      </w:r>
      <w:r w:rsidR="000A355F">
        <w:t xml:space="preserve"> </w:t>
      </w:r>
      <w:r>
        <w:t xml:space="preserve">porosity attribute volume as </w:t>
      </w:r>
      <w:r w:rsidR="004368F4">
        <w:t>a secondary</w:t>
      </w:r>
      <w:r w:rsidR="000E3FCD">
        <w:t xml:space="preserve"> 3D variable </w:t>
      </w:r>
      <w:r w:rsidR="004E6806">
        <w:t>with co</w:t>
      </w:r>
      <w:r w:rsidR="00531579">
        <w:t xml:space="preserve">-Kriging to </w:t>
      </w:r>
      <w:r w:rsidR="005A4C04">
        <w:t>create a</w:t>
      </w:r>
      <w:r>
        <w:t xml:space="preserve"> 3D porosity model</w:t>
      </w:r>
      <w:r w:rsidR="00531579">
        <w:t xml:space="preserve"> via sequential</w:t>
      </w:r>
      <w:r w:rsidR="004E6806">
        <w:t xml:space="preserve"> G</w:t>
      </w:r>
      <w:r w:rsidR="00531579">
        <w:t>aussian simulation (SGS)</w:t>
      </w:r>
      <w:r>
        <w:t xml:space="preserve">. </w:t>
      </w:r>
      <w:r w:rsidR="004E6806" w:rsidRPr="00F2591F">
        <w:t>Watney and Rush (2012)</w:t>
      </w:r>
      <w:r w:rsidR="004E6806">
        <w:t xml:space="preserve"> used the 3D porosity model as a constraint (secondary variable) with SGS to </w:t>
      </w:r>
      <w:r>
        <w:t>create 3D models of horizontal, vertical</w:t>
      </w:r>
      <w:r w:rsidR="0093622E">
        <w:t>,</w:t>
      </w:r>
      <w:r>
        <w:t xml:space="preserve"> and maximum permeability</w:t>
      </w:r>
      <w:r w:rsidR="005D1554">
        <w:t>.</w:t>
      </w:r>
      <w:r>
        <w:t xml:space="preserve"> </w:t>
      </w:r>
      <w:r w:rsidR="004E6806">
        <w:t xml:space="preserve">However, </w:t>
      </w:r>
      <w:r w:rsidR="009C1F80">
        <w:t>the 3</w:t>
      </w:r>
      <w:r w:rsidR="004E6806">
        <w:t xml:space="preserve">D porosity and permeability </w:t>
      </w:r>
      <w:r>
        <w:t xml:space="preserve">models were created without </w:t>
      </w:r>
      <w:r w:rsidRPr="00857F0F">
        <w:t>any</w:t>
      </w:r>
      <w:r w:rsidR="004E6806">
        <w:t xml:space="preserve"> constraint to</w:t>
      </w:r>
      <w:r w:rsidRPr="00857F0F">
        <w:t xml:space="preserve"> litholog</w:t>
      </w:r>
      <w:r w:rsidR="004E6806">
        <w:t>ies</w:t>
      </w:r>
      <w:r w:rsidRPr="00857F0F">
        <w:t xml:space="preserve"> or facies information.</w:t>
      </w:r>
      <w:r>
        <w:t xml:space="preserve"> </w:t>
      </w:r>
      <w:r w:rsidR="0092620C">
        <w:t xml:space="preserve">Rather, </w:t>
      </w:r>
      <w:r w:rsidR="0092620C" w:rsidRPr="00F2591F">
        <w:t>Watney and Rush (2012)</w:t>
      </w:r>
      <w:r w:rsidR="0092620C">
        <w:t xml:space="preserve"> used the 3D porosity and permeability models to calculate a 3D reservoir quality index (RQI) model, and then arbitrarily </w:t>
      </w:r>
      <w:r>
        <w:t>defined rock types for the Arbuckle Group based on ranges of reservoir quality index (RQI</w:t>
      </w:r>
      <w:r w:rsidR="0092620C">
        <w:t xml:space="preserve"> cutoff values</w:t>
      </w:r>
      <w:r>
        <w:t xml:space="preserve">).  Finally, </w:t>
      </w:r>
      <w:r w:rsidR="00456844" w:rsidRPr="00F2591F">
        <w:t>Watney and Rush (2012)</w:t>
      </w:r>
      <w:r w:rsidR="00456844">
        <w:t xml:space="preserve"> </w:t>
      </w:r>
      <w:r>
        <w:t>performed dynamic simulation</w:t>
      </w:r>
      <w:r w:rsidR="00DD0A29">
        <w:t>s</w:t>
      </w:r>
      <w:r>
        <w:t xml:space="preserve"> to determine the potential pressure impact of 40</w:t>
      </w:r>
      <w:r w:rsidR="00456844">
        <w:t>,</w:t>
      </w:r>
      <w:r>
        <w:t xml:space="preserve">000 </w:t>
      </w:r>
      <w:r w:rsidR="00456844">
        <w:t>Mt</w:t>
      </w:r>
      <w:r>
        <w:t xml:space="preserve"> of CO</w:t>
      </w:r>
      <w:r w:rsidRPr="003E7969">
        <w:rPr>
          <w:vertAlign w:val="subscript"/>
        </w:rPr>
        <w:t>2</w:t>
      </w:r>
      <w:r>
        <w:rPr>
          <w:vertAlign w:val="subscript"/>
        </w:rPr>
        <w:t xml:space="preserve"> </w:t>
      </w:r>
      <w:r>
        <w:t>injection and map</w:t>
      </w:r>
      <w:r w:rsidR="00456844">
        <w:t>ped</w:t>
      </w:r>
      <w:r>
        <w:t xml:space="preserve"> the CO</w:t>
      </w:r>
      <w:r w:rsidRPr="003E7969">
        <w:rPr>
          <w:vertAlign w:val="subscript"/>
        </w:rPr>
        <w:t>2</w:t>
      </w:r>
      <w:r>
        <w:t xml:space="preserve"> plume extent. Their rock</w:t>
      </w:r>
      <w:r w:rsidR="00456844">
        <w:t>-</w:t>
      </w:r>
      <w:r>
        <w:t xml:space="preserve">type and petrophysical models illustrated that the lower portion of the Arbuckle </w:t>
      </w:r>
      <w:r w:rsidR="00456844">
        <w:t xml:space="preserve">Group </w:t>
      </w:r>
      <w:r>
        <w:t xml:space="preserve">is highly porous and permeable and therefore </w:t>
      </w:r>
      <w:r w:rsidR="00456844">
        <w:t>was</w:t>
      </w:r>
      <w:r>
        <w:t xml:space="preserve"> </w:t>
      </w:r>
      <w:r w:rsidR="00DD0A29">
        <w:t xml:space="preserve">the </w:t>
      </w:r>
      <w:r>
        <w:t>favorable interval for the injection. They also show</w:t>
      </w:r>
      <w:r w:rsidR="00456844">
        <w:t>ed</w:t>
      </w:r>
      <w:r>
        <w:t xml:space="preserve"> that, if injected, 40</w:t>
      </w:r>
      <w:r w:rsidR="00456844">
        <w:t>,</w:t>
      </w:r>
      <w:r>
        <w:t>000 tons of CO</w:t>
      </w:r>
      <w:r w:rsidRPr="003E7969">
        <w:rPr>
          <w:vertAlign w:val="subscript"/>
        </w:rPr>
        <w:t>2</w:t>
      </w:r>
      <w:r>
        <w:t xml:space="preserve"> </w:t>
      </w:r>
      <w:r w:rsidR="00456844">
        <w:t xml:space="preserve">could potentially </w:t>
      </w:r>
      <w:r>
        <w:t xml:space="preserve">reach </w:t>
      </w:r>
      <w:r w:rsidR="00DD0A29">
        <w:t xml:space="preserve">a </w:t>
      </w:r>
      <w:r>
        <w:t xml:space="preserve">maximum lateral </w:t>
      </w:r>
      <w:r w:rsidR="00456844">
        <w:t>extent</w:t>
      </w:r>
      <w:r>
        <w:t xml:space="preserve"> of 2150 ft</w:t>
      </w:r>
      <w:r w:rsidR="00456844">
        <w:t xml:space="preserve"> (</w:t>
      </w:r>
      <w:r w:rsidR="001C7C69">
        <w:t xml:space="preserve">655 </w:t>
      </w:r>
      <w:r w:rsidR="00456844">
        <w:t>m)</w:t>
      </w:r>
      <w:r>
        <w:t xml:space="preserve"> after 100 years of injection.</w:t>
      </w:r>
    </w:p>
    <w:p w14:paraId="2AA21D51" w14:textId="0D5C48CE" w:rsidR="000144A9" w:rsidRDefault="000144A9" w:rsidP="000144A9">
      <w:pPr>
        <w:ind w:firstLine="720"/>
      </w:pPr>
      <w:r>
        <w:lastRenderedPageBreak/>
        <w:t>Watney and Rush (2012) and other previous studies mentioned here</w:t>
      </w:r>
      <w:r w:rsidRPr="00857F0F">
        <w:t xml:space="preserve"> </w:t>
      </w:r>
      <w:r>
        <w:t xml:space="preserve">were </w:t>
      </w:r>
      <w:r w:rsidRPr="00857F0F">
        <w:t xml:space="preserve">conducted </w:t>
      </w:r>
      <w:r>
        <w:t xml:space="preserve">mainly </w:t>
      </w:r>
      <w:r w:rsidRPr="00857F0F">
        <w:t xml:space="preserve">with core and petrophysical </w:t>
      </w:r>
      <w:r>
        <w:t xml:space="preserve">property </w:t>
      </w:r>
      <w:r w:rsidR="00BE4D75">
        <w:t>data</w:t>
      </w:r>
      <w:r>
        <w:t>,</w:t>
      </w:r>
      <w:r w:rsidRPr="00857F0F">
        <w:t xml:space="preserve"> </w:t>
      </w:r>
      <w:r>
        <w:t xml:space="preserve">and they </w:t>
      </w:r>
      <w:r w:rsidRPr="00857F0F">
        <w:t xml:space="preserve">limited </w:t>
      </w:r>
      <w:r>
        <w:t xml:space="preserve">their </w:t>
      </w:r>
      <w:r w:rsidRPr="00857F0F">
        <w:t xml:space="preserve">integration </w:t>
      </w:r>
      <w:r w:rsidR="00BE4D75">
        <w:t xml:space="preserve">of </w:t>
      </w:r>
      <w:r>
        <w:t>seismic data</w:t>
      </w:r>
      <w:r w:rsidRPr="00857F0F">
        <w:t xml:space="preserve"> </w:t>
      </w:r>
      <w:r w:rsidR="00BE4D75">
        <w:t xml:space="preserve">as a modeling </w:t>
      </w:r>
      <w:r w:rsidRPr="00857F0F">
        <w:t>constrain</w:t>
      </w:r>
      <w:r w:rsidR="00BE4D75">
        <w:t>t.</w:t>
      </w:r>
      <w:r w:rsidRPr="00857F0F">
        <w:t xml:space="preserve"> </w:t>
      </w:r>
      <w:r>
        <w:t>I</w:t>
      </w:r>
      <w:r w:rsidRPr="00857F0F">
        <w:t xml:space="preserve">ntegrated studies </w:t>
      </w:r>
      <w:r w:rsidR="00E92FA9">
        <w:t xml:space="preserve">that </w:t>
      </w:r>
      <w:r>
        <w:t>combin</w:t>
      </w:r>
      <w:r w:rsidR="00E92FA9">
        <w:t>e</w:t>
      </w:r>
      <w:r>
        <w:t xml:space="preserve"> core</w:t>
      </w:r>
      <w:r w:rsidR="00BE4D75">
        <w:t xml:space="preserve"> lithologies</w:t>
      </w:r>
      <w:r w:rsidR="00E92FA9">
        <w:t xml:space="preserve"> (rock types)</w:t>
      </w:r>
      <w:r>
        <w:t>, well log</w:t>
      </w:r>
      <w:r w:rsidR="00BE4D75">
        <w:t>s</w:t>
      </w:r>
      <w:r>
        <w:t xml:space="preserve">, and </w:t>
      </w:r>
      <w:r w:rsidR="00E92FA9">
        <w:t xml:space="preserve">3-D </w:t>
      </w:r>
      <w:r>
        <w:t>seismic data</w:t>
      </w:r>
      <w:r w:rsidR="00E92FA9">
        <w:t xml:space="preserve"> and their attributes</w:t>
      </w:r>
      <w:r>
        <w:t xml:space="preserve"> to</w:t>
      </w:r>
      <w:r w:rsidR="00BE4D75">
        <w:t xml:space="preserve"> </w:t>
      </w:r>
      <w:r w:rsidR="00E92FA9">
        <w:t xml:space="preserve">1) </w:t>
      </w:r>
      <w:r w:rsidR="00BE4D75">
        <w:t>m</w:t>
      </w:r>
      <w:r w:rsidR="00E92FA9">
        <w:t>odel</w:t>
      </w:r>
      <w:r w:rsidR="00BE4D75">
        <w:t xml:space="preserve"> rock types</w:t>
      </w:r>
      <w:r w:rsidR="00E92FA9">
        <w:t xml:space="preserve"> and </w:t>
      </w:r>
      <w:r w:rsidR="00BE4D75">
        <w:t>associated petrophysical properties</w:t>
      </w:r>
      <w:r w:rsidR="00E92FA9">
        <w:t>, 2)</w:t>
      </w:r>
      <w:r w:rsidR="00BE4D75">
        <w:t xml:space="preserve"> </w:t>
      </w:r>
      <w:r w:rsidR="00E92FA9">
        <w:t xml:space="preserve">evaluate </w:t>
      </w:r>
      <w:r w:rsidR="00E92FA9">
        <w:rPr>
          <w:rFonts w:cs="Times New Roman"/>
          <w:szCs w:val="24"/>
        </w:rPr>
        <w:t>theoretical CO</w:t>
      </w:r>
      <w:r w:rsidR="00E92FA9" w:rsidRPr="002F0779">
        <w:rPr>
          <w:rFonts w:cs="Times New Roman"/>
          <w:szCs w:val="24"/>
          <w:vertAlign w:val="subscript"/>
        </w:rPr>
        <w:t>2</w:t>
      </w:r>
      <w:r w:rsidR="00E92FA9">
        <w:rPr>
          <w:rFonts w:cs="Times New Roman"/>
          <w:szCs w:val="24"/>
        </w:rPr>
        <w:t xml:space="preserve"> storage </w:t>
      </w:r>
      <w:r w:rsidR="005D561C">
        <w:rPr>
          <w:rFonts w:cs="Times New Roman"/>
          <w:szCs w:val="24"/>
        </w:rPr>
        <w:t xml:space="preserve">capacity, </w:t>
      </w:r>
      <w:r w:rsidR="005D561C">
        <w:t>and</w:t>
      </w:r>
      <w:r w:rsidR="00E92FA9">
        <w:t xml:space="preserve"> 3) assess the impact of seismic-constrained rock-type variability on CO</w:t>
      </w:r>
      <w:r w:rsidR="00E92FA9" w:rsidRPr="005D561C">
        <w:rPr>
          <w:vertAlign w:val="subscript"/>
        </w:rPr>
        <w:t>2</w:t>
      </w:r>
      <w:r w:rsidR="00E92FA9">
        <w:t xml:space="preserve"> plume behavior</w:t>
      </w:r>
      <w:r w:rsidRPr="00857F0F">
        <w:t xml:space="preserve"> </w:t>
      </w:r>
      <w:r>
        <w:t>have been</w:t>
      </w:r>
      <w:r w:rsidRPr="00857F0F">
        <w:t xml:space="preserve"> limited. </w:t>
      </w:r>
    </w:p>
    <w:p w14:paraId="284B8644" w14:textId="09217A51" w:rsidR="000144A9" w:rsidRDefault="000144A9" w:rsidP="00F15CF8">
      <w:pPr>
        <w:ind w:firstLine="720"/>
      </w:pPr>
      <w:r>
        <w:t xml:space="preserve">To build upon this previous knowledge of the Arbuckle Group, we utilize seismic-constrained modeling that combines </w:t>
      </w:r>
      <w:r w:rsidR="00541E36">
        <w:t xml:space="preserve">the Arbuckle Group </w:t>
      </w:r>
      <w:r>
        <w:t xml:space="preserve">stratigraphic </w:t>
      </w:r>
      <w:r w:rsidR="00541E36">
        <w:t xml:space="preserve">and structural </w:t>
      </w:r>
      <w:r>
        <w:t xml:space="preserve">framework, </w:t>
      </w:r>
      <w:r w:rsidR="00541E36">
        <w:t xml:space="preserve">core-and </w:t>
      </w:r>
      <w:r>
        <w:t>petrophysics-based rock</w:t>
      </w:r>
      <w:r w:rsidR="00541E36">
        <w:t>-</w:t>
      </w:r>
      <w:r>
        <w:t>type</w:t>
      </w:r>
      <w:r w:rsidR="00541E36">
        <w:t>s</w:t>
      </w:r>
      <w:r>
        <w:t xml:space="preserve"> (petrofacies), </w:t>
      </w:r>
      <w:r w:rsidR="00A17DCD">
        <w:t xml:space="preserve">and </w:t>
      </w:r>
      <w:r>
        <w:t>seismic-based 3D petrofacies, and porosity trends</w:t>
      </w:r>
      <w:r w:rsidR="00AF064D">
        <w:t>.</w:t>
      </w:r>
      <w:r w:rsidR="00F15CF8">
        <w:t xml:space="preserve"> </w:t>
      </w:r>
      <w:r w:rsidR="00AF064D">
        <w:t>The aim is to</w:t>
      </w:r>
      <w:r>
        <w:t xml:space="preserve"> model the 3D spatial variability of petrofacies, pore volume,</w:t>
      </w:r>
      <w:r w:rsidR="00541E36">
        <w:t xml:space="preserve"> </w:t>
      </w:r>
      <w:r w:rsidR="00541E36">
        <w:rPr>
          <w:rFonts w:cs="Times New Roman"/>
          <w:szCs w:val="24"/>
        </w:rPr>
        <w:t>theoretical CO</w:t>
      </w:r>
      <w:r w:rsidR="00541E36" w:rsidRPr="002F0779">
        <w:rPr>
          <w:rFonts w:cs="Times New Roman"/>
          <w:szCs w:val="24"/>
          <w:vertAlign w:val="subscript"/>
        </w:rPr>
        <w:t>2</w:t>
      </w:r>
      <w:r w:rsidR="00541E36">
        <w:rPr>
          <w:rFonts w:cs="Times New Roman"/>
          <w:szCs w:val="24"/>
        </w:rPr>
        <w:t xml:space="preserve"> storage capacity,</w:t>
      </w:r>
      <w:r>
        <w:t xml:space="preserve"> permeability, and CO</w:t>
      </w:r>
      <w:r w:rsidRPr="00C53CDC">
        <w:rPr>
          <w:vertAlign w:val="subscript"/>
        </w:rPr>
        <w:t>2</w:t>
      </w:r>
      <w:r>
        <w:t xml:space="preserve"> plume behavior using dynamic simulations. Th</w:t>
      </w:r>
      <w:r w:rsidR="00194DC1">
        <w:t>is</w:t>
      </w:r>
      <w:r>
        <w:t xml:space="preserve"> </w:t>
      </w:r>
      <w:r w:rsidR="00194DC1">
        <w:t xml:space="preserve">study </w:t>
      </w:r>
      <w:r>
        <w:t>integrate</w:t>
      </w:r>
      <w:r w:rsidR="00541E36">
        <w:t>s</w:t>
      </w:r>
      <w:r>
        <w:t xml:space="preserve"> data from different sources and scales to create </w:t>
      </w:r>
      <w:r w:rsidR="00541E36">
        <w:t xml:space="preserve">3D geological </w:t>
      </w:r>
      <w:r>
        <w:t xml:space="preserve">models to capture </w:t>
      </w:r>
      <w:r w:rsidR="004A6CF3">
        <w:t xml:space="preserve">the </w:t>
      </w:r>
      <w:r w:rsidR="00265DF0">
        <w:t xml:space="preserve">detailed </w:t>
      </w:r>
      <w:r>
        <w:t>stratigraphic and spatial variability of petrofacies and corresponding petrophysical properties</w:t>
      </w:r>
      <w:r w:rsidR="004A6CF3">
        <w:t xml:space="preserve"> and assess the CO</w:t>
      </w:r>
      <w:r w:rsidR="004A6CF3" w:rsidRPr="00F15CF8">
        <w:rPr>
          <w:vertAlign w:val="subscript"/>
        </w:rPr>
        <w:t>2</w:t>
      </w:r>
      <w:r w:rsidR="004A6CF3">
        <w:t xml:space="preserve"> storage potential</w:t>
      </w:r>
      <w:r>
        <w:t xml:space="preserve"> in the study area. </w:t>
      </w:r>
    </w:p>
    <w:p w14:paraId="746AB05F" w14:textId="64793EF6" w:rsidR="000144A9" w:rsidRDefault="000144A9" w:rsidP="000144A9">
      <w:pPr>
        <w:ind w:firstLine="720"/>
      </w:pPr>
      <w:r w:rsidRPr="00082F4B">
        <w:t xml:space="preserve">The Wellington </w:t>
      </w:r>
      <w:r w:rsidR="008159D8">
        <w:t>F</w:t>
      </w:r>
      <w:r w:rsidR="008159D8" w:rsidRPr="00082F4B">
        <w:t xml:space="preserve">ield </w:t>
      </w:r>
      <w:r w:rsidRPr="00082F4B">
        <w:t>is in Sumner County, Kansas (</w:t>
      </w:r>
      <w:r w:rsidRPr="00224C7C">
        <w:t xml:space="preserve">Figure </w:t>
      </w:r>
      <w:r w:rsidR="00201A51">
        <w:t>3.</w:t>
      </w:r>
      <w:r>
        <w:t>1</w:t>
      </w:r>
      <w:r w:rsidRPr="00082F4B">
        <w:t>)</w:t>
      </w:r>
      <w:r>
        <w:t>. Data for this study include a 3-D pre-stack time-migrated (PSTM) seismic survey covering a 12.6-</w:t>
      </w:r>
      <w:r w:rsidRPr="00C417F5">
        <w:t>mi</w:t>
      </w:r>
      <w:r w:rsidRPr="00C417F5">
        <w:rPr>
          <w:vertAlign w:val="superscript"/>
        </w:rPr>
        <w:t>2</w:t>
      </w:r>
      <w:r w:rsidRPr="00C417F5">
        <w:t xml:space="preserve"> (~</w:t>
      </w:r>
      <w:r>
        <w:t>32.7-</w:t>
      </w:r>
      <w:r w:rsidRPr="00C417F5">
        <w:t>km</w:t>
      </w:r>
      <w:r w:rsidRPr="00C417F5">
        <w:rPr>
          <w:vertAlign w:val="superscript"/>
        </w:rPr>
        <w:t>2</w:t>
      </w:r>
      <w:r w:rsidRPr="00C417F5">
        <w:t>)</w:t>
      </w:r>
      <w:r>
        <w:t xml:space="preserve"> area. The seismic survey has</w:t>
      </w:r>
      <w:r w:rsidRPr="00C417F5">
        <w:t xml:space="preserve"> a </w:t>
      </w:r>
      <w:r>
        <w:t>2</w:t>
      </w:r>
      <w:r w:rsidRPr="00C417F5">
        <w:t xml:space="preserve"> ms sample rate and </w:t>
      </w:r>
      <w:r>
        <w:t xml:space="preserve">is </w:t>
      </w:r>
      <w:r w:rsidRPr="00C417F5">
        <w:t>processed with a bin size of 82.5 by 82.5 ft (25 by 25 m)</w:t>
      </w:r>
      <w:r>
        <w:t xml:space="preserve">. </w:t>
      </w:r>
      <w:r w:rsidRPr="00C417F5">
        <w:t xml:space="preserve">The survey consists of </w:t>
      </w:r>
      <w:r w:rsidRPr="00F5355E">
        <w:t>288</w:t>
      </w:r>
      <w:r w:rsidRPr="00C417F5">
        <w:t xml:space="preserve"> inlines and </w:t>
      </w:r>
      <w:r w:rsidRPr="00F5355E">
        <w:t>178</w:t>
      </w:r>
      <w:r w:rsidRPr="00C417F5">
        <w:t xml:space="preserve"> crosslines and a record length of </w:t>
      </w:r>
      <w:r>
        <w:t>two</w:t>
      </w:r>
      <w:r w:rsidRPr="00C417F5">
        <w:t xml:space="preserve"> seconds. The vertical </w:t>
      </w:r>
      <w:r>
        <w:t xml:space="preserve">seismic </w:t>
      </w:r>
      <w:r w:rsidRPr="00C417F5">
        <w:t>resolution (equal to one-fourth of a wavelength</w:t>
      </w:r>
      <w:r>
        <w:t>)</w:t>
      </w:r>
      <w:r w:rsidRPr="00C417F5">
        <w:t xml:space="preserve"> at</w:t>
      </w:r>
      <w:r>
        <w:t xml:space="preserve"> the interval of interest </w:t>
      </w:r>
      <w:r w:rsidRPr="00C417F5">
        <w:t xml:space="preserve">is </w:t>
      </w:r>
      <w:r w:rsidRPr="007253F0">
        <w:t>115</w:t>
      </w:r>
      <w:r w:rsidRPr="00C417F5">
        <w:t xml:space="preserve"> ft (~</w:t>
      </w:r>
      <w:r w:rsidRPr="007253F0">
        <w:t>35</w:t>
      </w:r>
      <w:r>
        <w:t xml:space="preserve"> </w:t>
      </w:r>
      <w:r w:rsidRPr="00C417F5">
        <w:t>m)</w:t>
      </w:r>
      <w:r>
        <w:t xml:space="preserve">. The dataset also includes two vertical wells, </w:t>
      </w:r>
      <w:r w:rsidRPr="00B412BA">
        <w:rPr>
          <w:rFonts w:cs="Times New Roman"/>
          <w:szCs w:val="24"/>
        </w:rPr>
        <w:t>Berexco Wellington KGS #1–28 and #1-32</w:t>
      </w:r>
      <w:r w:rsidR="002E2598">
        <w:rPr>
          <w:rFonts w:cs="Times New Roman"/>
          <w:szCs w:val="24"/>
        </w:rPr>
        <w:t xml:space="preserve"> wells</w:t>
      </w:r>
      <w:r>
        <w:rPr>
          <w:rFonts w:cs="Times New Roman"/>
          <w:szCs w:val="24"/>
        </w:rPr>
        <w:t>, with a full suite of open-hole logs</w:t>
      </w:r>
      <w:r w:rsidR="00142A61">
        <w:rPr>
          <w:rFonts w:cs="Times New Roman"/>
          <w:szCs w:val="24"/>
        </w:rPr>
        <w:t>,</w:t>
      </w:r>
      <w:r w:rsidR="005971C5">
        <w:rPr>
          <w:rFonts w:cs="Times New Roman"/>
          <w:szCs w:val="24"/>
        </w:rPr>
        <w:t xml:space="preserve"> </w:t>
      </w:r>
      <w:r w:rsidR="00DE4FD7">
        <w:rPr>
          <w:rFonts w:cs="Times New Roman"/>
          <w:szCs w:val="24"/>
        </w:rPr>
        <w:t xml:space="preserve">800 </w:t>
      </w:r>
      <w:r>
        <w:rPr>
          <w:rFonts w:cs="Times New Roman"/>
          <w:szCs w:val="24"/>
        </w:rPr>
        <w:t xml:space="preserve">ft </w:t>
      </w:r>
      <w:r w:rsidR="002E2598">
        <w:rPr>
          <w:rFonts w:cs="Times New Roman"/>
          <w:szCs w:val="24"/>
        </w:rPr>
        <w:t>(</w:t>
      </w:r>
      <w:r w:rsidR="00311C50">
        <w:rPr>
          <w:rFonts w:cs="Times New Roman"/>
          <w:szCs w:val="24"/>
        </w:rPr>
        <w:t>245</w:t>
      </w:r>
      <w:r w:rsidR="002E2598">
        <w:rPr>
          <w:rFonts w:cs="Times New Roman"/>
          <w:szCs w:val="24"/>
        </w:rPr>
        <w:t xml:space="preserve"> m) </w:t>
      </w:r>
      <w:r>
        <w:t>of core with petrophysical measurements</w:t>
      </w:r>
      <w:r>
        <w:rPr>
          <w:rFonts w:cs="Times New Roman"/>
          <w:szCs w:val="24"/>
        </w:rPr>
        <w:t xml:space="preserve"> </w:t>
      </w:r>
      <w:r w:rsidR="0095254A">
        <w:rPr>
          <w:rFonts w:cs="Times New Roman"/>
          <w:szCs w:val="24"/>
        </w:rPr>
        <w:t xml:space="preserve">and brine samples </w:t>
      </w:r>
      <w:r w:rsidR="002E2598">
        <w:rPr>
          <w:rFonts w:cs="Times New Roman"/>
          <w:szCs w:val="24"/>
        </w:rPr>
        <w:t>from the</w:t>
      </w:r>
      <w:r w:rsidR="0095254A">
        <w:t xml:space="preserve"> </w:t>
      </w:r>
      <w:r w:rsidR="0095254A" w:rsidRPr="00B412BA">
        <w:rPr>
          <w:rFonts w:cs="Times New Roman"/>
          <w:szCs w:val="24"/>
        </w:rPr>
        <w:t>Berexco Wellington KGS #1–</w:t>
      </w:r>
      <w:r w:rsidR="0095254A">
        <w:rPr>
          <w:rFonts w:cs="Times New Roman"/>
          <w:szCs w:val="24"/>
        </w:rPr>
        <w:t>32 well</w:t>
      </w:r>
      <w:r w:rsidR="00194DC1">
        <w:rPr>
          <w:rFonts w:cs="Times New Roman"/>
          <w:szCs w:val="24"/>
        </w:rPr>
        <w:t xml:space="preserve"> (Figure </w:t>
      </w:r>
      <w:r w:rsidR="00201A51">
        <w:rPr>
          <w:rFonts w:cs="Times New Roman"/>
          <w:szCs w:val="24"/>
        </w:rPr>
        <w:t>3.</w:t>
      </w:r>
      <w:r w:rsidR="00194DC1">
        <w:rPr>
          <w:rFonts w:cs="Times New Roman"/>
          <w:szCs w:val="24"/>
        </w:rPr>
        <w:t>2)</w:t>
      </w:r>
      <w:r>
        <w:rPr>
          <w:rFonts w:cs="Times New Roman"/>
          <w:szCs w:val="24"/>
        </w:rPr>
        <w:t xml:space="preserve">. </w:t>
      </w:r>
    </w:p>
    <w:p w14:paraId="3BFD2C44" w14:textId="29CE5C0F" w:rsidR="000144A9" w:rsidRPr="00B639DD" w:rsidRDefault="000144A9" w:rsidP="00EE437A">
      <w:pPr>
        <w:ind w:firstLine="720"/>
        <w:rPr>
          <w:rFonts w:eastAsiaTheme="minorEastAsia"/>
          <w:szCs w:val="18"/>
        </w:rPr>
      </w:pPr>
      <w:r>
        <w:lastRenderedPageBreak/>
        <w:t>The dataset also includes</w:t>
      </w:r>
      <w:r>
        <w:rPr>
          <w:rFonts w:cs="Times New Roman"/>
          <w:szCs w:val="24"/>
        </w:rPr>
        <w:t xml:space="preserve"> </w:t>
      </w:r>
      <w:r>
        <w:t>petrophysics-defined rock types (petrofacies) for the two wells (Figure 3), an acoustic impedance volume obtained from simultaneous pre-stack inversion, and seismic-scale 3D petrofacies and individual petrofacies probability volumes obtained via a supervised random forest algorithm.  These data were obtained through the workflow shown in Chapter 2. The seismic and well data were used for seismic-to-well correlation and interpretation of key horizons to build the stratigraphic</w:t>
      </w:r>
      <w:r w:rsidR="00A42E00">
        <w:t xml:space="preserve"> and structural</w:t>
      </w:r>
      <w:r>
        <w:t xml:space="preserve"> framework (3D model grid). Acoustic impedance</w:t>
      </w:r>
      <w:r w:rsidR="00187DFD">
        <w:t xml:space="preserve"> volume was used </w:t>
      </w:r>
      <w:r w:rsidR="00DF2C11">
        <w:t>to create a 3D porosity probability volume to constrain the 3D porosity model</w:t>
      </w:r>
      <w:r w:rsidR="00CE7A78">
        <w:t xml:space="preserve">. Petrofacies and individual petrofacies probability volumes were used </w:t>
      </w:r>
      <w:r w:rsidR="00EE437A">
        <w:t xml:space="preserve">as 3D probability trends to constraints for petrofacies model. </w:t>
      </w:r>
      <w:r w:rsidR="00194DC1">
        <w:t>The r</w:t>
      </w:r>
      <w:r>
        <w:t>esulting 3D static models</w:t>
      </w:r>
      <w:r w:rsidR="00C12D0C">
        <w:t xml:space="preserve"> and the </w:t>
      </w:r>
      <w:r w:rsidR="005660E0">
        <w:t xml:space="preserve">stratigraphic </w:t>
      </w:r>
      <w:r w:rsidR="00A42E00">
        <w:t xml:space="preserve">and structural </w:t>
      </w:r>
      <w:r w:rsidR="005660E0">
        <w:t>framework</w:t>
      </w:r>
      <w:r>
        <w:t xml:space="preserve"> were used as input</w:t>
      </w:r>
      <w:r w:rsidR="005660E0">
        <w:t>s</w:t>
      </w:r>
      <w:r>
        <w:t xml:space="preserve"> </w:t>
      </w:r>
      <w:r w:rsidR="005660E0">
        <w:t>for theoretical CO</w:t>
      </w:r>
      <w:r w:rsidR="005660E0" w:rsidRPr="00EE437A">
        <w:rPr>
          <w:vertAlign w:val="subscript"/>
        </w:rPr>
        <w:t>2</w:t>
      </w:r>
      <w:r w:rsidR="005660E0">
        <w:t xml:space="preserve"> storage capacity calculations and</w:t>
      </w:r>
      <w:r>
        <w:t xml:space="preserve"> dynamic simulations to </w:t>
      </w:r>
      <w:r>
        <w:rPr>
          <w:rFonts w:eastAsiaTheme="minorEastAsia"/>
          <w:szCs w:val="18"/>
        </w:rPr>
        <w:t>investigate CO</w:t>
      </w:r>
      <w:r w:rsidRPr="00D1310C">
        <w:rPr>
          <w:rFonts w:eastAsiaTheme="minorEastAsia"/>
          <w:szCs w:val="18"/>
          <w:vertAlign w:val="subscript"/>
        </w:rPr>
        <w:t>2</w:t>
      </w:r>
      <w:r>
        <w:rPr>
          <w:rFonts w:eastAsiaTheme="minorEastAsia"/>
          <w:szCs w:val="18"/>
        </w:rPr>
        <w:t xml:space="preserve"> plume movement in injection and post-injection periods</w:t>
      </w:r>
      <w:r w:rsidR="00210BB7">
        <w:rPr>
          <w:rFonts w:eastAsiaTheme="minorEastAsia"/>
          <w:szCs w:val="18"/>
        </w:rPr>
        <w:t xml:space="preserve"> (Figure </w:t>
      </w:r>
      <w:r w:rsidR="00201A51">
        <w:rPr>
          <w:rFonts w:eastAsiaTheme="minorEastAsia"/>
          <w:szCs w:val="18"/>
        </w:rPr>
        <w:t>3.</w:t>
      </w:r>
      <w:r w:rsidR="00210BB7">
        <w:rPr>
          <w:rFonts w:eastAsiaTheme="minorEastAsia"/>
          <w:szCs w:val="18"/>
        </w:rPr>
        <w:t>3)</w:t>
      </w:r>
      <w:r>
        <w:rPr>
          <w:rFonts w:eastAsiaTheme="minorEastAsia"/>
          <w:szCs w:val="18"/>
        </w:rPr>
        <w:t>.</w:t>
      </w:r>
    </w:p>
    <w:p w14:paraId="7A97FB00" w14:textId="77777777" w:rsidR="000144A9" w:rsidRDefault="000144A9" w:rsidP="000144A9">
      <w:pPr>
        <w:pStyle w:val="Heading2"/>
      </w:pPr>
      <w:bookmarkStart w:id="654" w:name="_Toc121095979"/>
      <w:r>
        <w:t>Geological Setting</w:t>
      </w:r>
      <w:bookmarkEnd w:id="654"/>
    </w:p>
    <w:p w14:paraId="33852816" w14:textId="67874A00" w:rsidR="000144A9" w:rsidRDefault="000144A9" w:rsidP="000144A9">
      <w:pPr>
        <w:ind w:firstLine="720"/>
      </w:pPr>
      <w:r>
        <w:t xml:space="preserve">The Wellington </w:t>
      </w:r>
      <w:r w:rsidR="005971C5">
        <w:t>Field</w:t>
      </w:r>
      <w:r w:rsidR="005971C5" w:rsidRPr="00316554">
        <w:t xml:space="preserve"> </w:t>
      </w:r>
      <w:r w:rsidRPr="00316554">
        <w:t>is</w:t>
      </w:r>
      <w:r>
        <w:t xml:space="preserve"> located</w:t>
      </w:r>
      <w:r w:rsidRPr="00316554">
        <w:t xml:space="preserve"> at the southern portion of the major pre-Desmoinesian to post-Missi</w:t>
      </w:r>
      <w:r>
        <w:t>s</w:t>
      </w:r>
      <w:r w:rsidRPr="00316554">
        <w:t>sippian</w:t>
      </w:r>
      <w:r>
        <w:t>-</w:t>
      </w:r>
      <w:r w:rsidRPr="00316554">
        <w:t>age</w:t>
      </w:r>
      <w:r>
        <w:t>d</w:t>
      </w:r>
      <w:r w:rsidRPr="00316554">
        <w:t>, shelf</w:t>
      </w:r>
      <w:r>
        <w:t>-</w:t>
      </w:r>
      <w:r w:rsidRPr="00316554">
        <w:t>like, southerly plunging feature</w:t>
      </w:r>
      <w:r>
        <w:t xml:space="preserve"> called the Sedgwick Basin. The main structural components surrounding the study area are </w:t>
      </w:r>
      <w:r w:rsidRPr="00316554">
        <w:t>Central Kansas Uplift to the west,</w:t>
      </w:r>
      <w:r>
        <w:t xml:space="preserve"> the Nemaha uplift to the east,</w:t>
      </w:r>
      <w:r w:rsidRPr="00316554">
        <w:t xml:space="preserve"> the Salina Basin to the north, and the Anadarko Basin to the south (Merriam, 1963).</w:t>
      </w:r>
      <w:r>
        <w:t xml:space="preserve"> </w:t>
      </w:r>
      <w:r w:rsidRPr="00857F0F">
        <w:t>In the study area</w:t>
      </w:r>
      <w:r>
        <w:t xml:space="preserve">, The Arbuckle </w:t>
      </w:r>
      <w:r w:rsidR="005971C5">
        <w:t xml:space="preserve">Group </w:t>
      </w:r>
      <w:r>
        <w:t xml:space="preserve">overlays the Precambrian granitic basement and the Reagan Sandstone and is </w:t>
      </w:r>
      <w:r w:rsidR="0058530D">
        <w:t>overlai</w:t>
      </w:r>
      <w:r w:rsidR="00C301AD">
        <w:t>d</w:t>
      </w:r>
      <w:r w:rsidR="0058530D">
        <w:t xml:space="preserve"> </w:t>
      </w:r>
      <w:r>
        <w:t xml:space="preserve">by the Simpson Group (Figure </w:t>
      </w:r>
      <w:r w:rsidR="00C301AD">
        <w:t>3.</w:t>
      </w:r>
      <w:r w:rsidR="0008733B">
        <w:t>4</w:t>
      </w:r>
      <w:r>
        <w:t xml:space="preserve">). The Arbuckle Group consists of </w:t>
      </w:r>
      <w:r w:rsidRPr="00316554">
        <w:t>(</w:t>
      </w:r>
      <w:r>
        <w:t>bottom to top</w:t>
      </w:r>
      <w:r w:rsidRPr="00316554">
        <w:t>) the</w:t>
      </w:r>
      <w:r>
        <w:t xml:space="preserve"> Eminence Dolomite, Gasconade Dolomite with basal Gunther Sandstone, Robidoux formation, and Jefferson City/Cotter Dolomite. These rocks are described as platform carbonates mainly deposited in ramp-style subtidal to peritidal </w:t>
      </w:r>
      <w:r>
        <w:lastRenderedPageBreak/>
        <w:t>environments within a hyper-saline shallow continental sea (Meriam 1963, Franseen 2004). During the Cambrian- to Ordovician, relative changes in the sea level manifested themselves with cyclical shallow subtidal to intertidal environments bounded by major unconformities resulting from major relative sea-level fall and consequent subaerial exposure (Franseen, 2004; Sloss, 1963). The Arbuckle Group underwent post-depositional dolomitization due to mixing fresh waters rich in magnesium with local marine waters. This resulted in complex rock fabrics and diverse reservoir and non-reservoir lithologies distribution due to dolomitization, hydrothermal alteration, karstification, and fracturing (Franseen et al., 2004). With a variety of pore types, including intercrystalline, moldic, fenestral, and vuggy, these lithologies are mostly boundstones, grainstones, packstones, and mudstones (Doveton and Watney, 2015).</w:t>
      </w:r>
      <w:r w:rsidRPr="00897922">
        <w:t xml:space="preserve"> </w:t>
      </w:r>
    </w:p>
    <w:p w14:paraId="165F9BDA" w14:textId="4D7746D1" w:rsidR="000144A9" w:rsidRDefault="000144A9" w:rsidP="000144A9">
      <w:pPr>
        <w:ind w:firstLine="720"/>
      </w:pPr>
      <w:r w:rsidRPr="00897922">
        <w:t xml:space="preserve">The Arbuckle Group is regionally extensive over Kansas, except for a few structurally high areas on the Central Kansas uplift and the Nemaha anticline, where the Arbuckle has been </w:t>
      </w:r>
      <w:r>
        <w:t>eroded</w:t>
      </w:r>
      <w:r w:rsidRPr="00897922">
        <w:t xml:space="preserve"> (Carr, 1986; Franseen et al., 2004).</w:t>
      </w:r>
      <w:r>
        <w:t xml:space="preserve"> The average thickness of the Arbuckle </w:t>
      </w:r>
      <w:r w:rsidR="005971C5">
        <w:t xml:space="preserve">Group </w:t>
      </w:r>
      <w:r>
        <w:t>reaches approximately 1000- 1200 ft (304-360 m) and gets thinner towards the north. Depth to the top of the Arbuckle is approximately at 4000 ft (~1220 m) at the study area, and it ranges approximately from 500ft (~150 m) in the southeast and deepens towards to west up to 6000ft (~1800 m) below the surface (Keroher and Kirby, 1948).</w:t>
      </w:r>
    </w:p>
    <w:p w14:paraId="6CEAB516" w14:textId="77777777" w:rsidR="000144A9" w:rsidRDefault="000144A9" w:rsidP="000144A9">
      <w:pPr>
        <w:pStyle w:val="Heading2"/>
      </w:pPr>
      <w:bookmarkStart w:id="655" w:name="_Toc121095980"/>
      <w:r>
        <w:t>Methods</w:t>
      </w:r>
      <w:bookmarkEnd w:id="655"/>
    </w:p>
    <w:p w14:paraId="0332045B" w14:textId="2CA9BDB2" w:rsidR="000144A9" w:rsidRDefault="000144A9" w:rsidP="000144A9">
      <w:pPr>
        <w:pStyle w:val="Heading3"/>
      </w:pPr>
      <w:bookmarkStart w:id="656" w:name="_Toc121095981"/>
      <w:r>
        <w:t xml:space="preserve">Lithologies and </w:t>
      </w:r>
      <w:r w:rsidR="00F61807">
        <w:t>p</w:t>
      </w:r>
      <w:r>
        <w:t>etrofacies</w:t>
      </w:r>
      <w:bookmarkEnd w:id="656"/>
      <w:r>
        <w:t xml:space="preserve"> </w:t>
      </w:r>
    </w:p>
    <w:p w14:paraId="30DDD82C" w14:textId="1C6A9E4E" w:rsidR="000144A9" w:rsidRPr="00782C09" w:rsidRDefault="000144A9" w:rsidP="000144A9">
      <w:pPr>
        <w:ind w:firstLine="720"/>
        <w:rPr>
          <w:color w:val="FF0000"/>
        </w:rPr>
      </w:pPr>
      <w:r>
        <w:t xml:space="preserve">This study builds on the lithology and petrofacies analysis results, as discussed in detail in Chapter 2. Arbuckle Group lithologies are from Watney et al. (2012) and based on core </w:t>
      </w:r>
      <w:r>
        <w:lastRenderedPageBreak/>
        <w:t>descriptions of the Berexco Wellington KGS #1–32 well. Using core-derived porosity and permeability measurements from the Berexco Wellington KGS #1–32 well, three petrofacies were defined, and petrofacies logs were created by the Flow Zone Indicator (FZI) approach (Amaefule et al., 1993). Then, using an Artificial Neural Network (ANN) method, petrofacies logs were classified for the uncored Berexco Wellington KGS #1-28 well.</w:t>
      </w:r>
    </w:p>
    <w:p w14:paraId="49BAE3E8" w14:textId="77777777" w:rsidR="000144A9" w:rsidRDefault="000144A9" w:rsidP="000144A9">
      <w:pPr>
        <w:pStyle w:val="Heading3"/>
      </w:pPr>
      <w:bookmarkStart w:id="657" w:name="_Toc121095982"/>
      <w:r>
        <w:t>Stratigraphic and structural framework – 3D seismic horizon interpretation</w:t>
      </w:r>
      <w:bookmarkEnd w:id="657"/>
    </w:p>
    <w:p w14:paraId="244DE123" w14:textId="41270F3F" w:rsidR="000144A9" w:rsidRDefault="00B162BB" w:rsidP="008C0C88">
      <w:pPr>
        <w:ind w:firstLine="720"/>
        <w:rPr>
          <w:rFonts w:cs="Times New Roman"/>
          <w:szCs w:val="24"/>
        </w:rPr>
      </w:pPr>
      <w:r>
        <w:rPr>
          <w:rFonts w:cs="Times New Roman"/>
          <w:szCs w:val="24"/>
        </w:rPr>
        <w:t xml:space="preserve">The </w:t>
      </w:r>
      <w:r w:rsidR="000144A9">
        <w:rPr>
          <w:rFonts w:cs="Times New Roman"/>
          <w:szCs w:val="24"/>
        </w:rPr>
        <w:t>3D seismic and well data were used to interpret t</w:t>
      </w:r>
      <w:r w:rsidR="000144A9" w:rsidRPr="004B000A">
        <w:rPr>
          <w:rFonts w:cs="Times New Roman"/>
          <w:szCs w:val="24"/>
        </w:rPr>
        <w:t xml:space="preserve">he stratigraphic and structural </w:t>
      </w:r>
      <w:r w:rsidR="000144A9">
        <w:rPr>
          <w:rFonts w:cs="Times New Roman"/>
          <w:szCs w:val="24"/>
        </w:rPr>
        <w:t>framework of the Arbuckle Group. This framework</w:t>
      </w:r>
      <w:r w:rsidR="000144A9" w:rsidRPr="004B000A">
        <w:rPr>
          <w:rFonts w:cs="Times New Roman"/>
          <w:szCs w:val="24"/>
        </w:rPr>
        <w:t xml:space="preserve"> was used to </w:t>
      </w:r>
      <w:r w:rsidR="000144A9">
        <w:rPr>
          <w:rFonts w:cs="Times New Roman"/>
          <w:szCs w:val="24"/>
        </w:rPr>
        <w:t>construct</w:t>
      </w:r>
      <w:r w:rsidR="000144A9" w:rsidRPr="004B000A">
        <w:rPr>
          <w:rFonts w:cs="Times New Roman"/>
          <w:szCs w:val="24"/>
        </w:rPr>
        <w:t xml:space="preserve"> a 3-D reservoir model grid for </w:t>
      </w:r>
      <w:r w:rsidR="000144A9">
        <w:rPr>
          <w:rFonts w:cs="Times New Roman"/>
          <w:szCs w:val="24"/>
        </w:rPr>
        <w:t xml:space="preserve">3D </w:t>
      </w:r>
      <w:r w:rsidR="000144A9" w:rsidRPr="004B000A">
        <w:rPr>
          <w:rFonts w:cs="Times New Roman"/>
          <w:szCs w:val="24"/>
        </w:rPr>
        <w:t xml:space="preserve">petrofacies and petrophysical </w:t>
      </w:r>
      <w:r w:rsidR="000144A9">
        <w:rPr>
          <w:rFonts w:cs="Times New Roman"/>
          <w:szCs w:val="24"/>
        </w:rPr>
        <w:t xml:space="preserve">property </w:t>
      </w:r>
      <w:r w:rsidR="000144A9" w:rsidRPr="004B000A">
        <w:rPr>
          <w:rFonts w:cs="Times New Roman"/>
          <w:szCs w:val="24"/>
        </w:rPr>
        <w:t>modeling. For this proce</w:t>
      </w:r>
      <w:r w:rsidR="000144A9">
        <w:rPr>
          <w:rFonts w:cs="Times New Roman"/>
          <w:szCs w:val="24"/>
        </w:rPr>
        <w:t>ss, Berexco Wellington KGS #1-32 and #1-28 wells</w:t>
      </w:r>
      <w:r w:rsidR="000144A9" w:rsidRPr="004B000A">
        <w:rPr>
          <w:rFonts w:cs="Times New Roman"/>
          <w:szCs w:val="24"/>
        </w:rPr>
        <w:t xml:space="preserve"> were tied to the time-migrated seismic volume</w:t>
      </w:r>
      <w:r w:rsidR="000144A9">
        <w:rPr>
          <w:rFonts w:cs="Times New Roman"/>
          <w:szCs w:val="24"/>
        </w:rPr>
        <w:t>,</w:t>
      </w:r>
      <w:r w:rsidR="000144A9" w:rsidRPr="004B000A">
        <w:rPr>
          <w:rFonts w:cs="Times New Roman"/>
          <w:szCs w:val="24"/>
        </w:rPr>
        <w:t xml:space="preserve"> and the seismic reflectors </w:t>
      </w:r>
      <w:r w:rsidR="000144A9">
        <w:rPr>
          <w:rFonts w:cs="Times New Roman"/>
          <w:szCs w:val="24"/>
        </w:rPr>
        <w:t>corresponding</w:t>
      </w:r>
      <w:r w:rsidR="000144A9" w:rsidRPr="004B000A">
        <w:rPr>
          <w:rFonts w:cs="Times New Roman"/>
          <w:szCs w:val="24"/>
        </w:rPr>
        <w:t xml:space="preserve"> to the top </w:t>
      </w:r>
      <w:r w:rsidR="000144A9">
        <w:rPr>
          <w:rFonts w:cs="Times New Roman"/>
          <w:szCs w:val="24"/>
        </w:rPr>
        <w:t xml:space="preserve">and base </w:t>
      </w:r>
      <w:r w:rsidR="000144A9" w:rsidRPr="004B000A">
        <w:rPr>
          <w:rFonts w:cs="Times New Roman"/>
          <w:szCs w:val="24"/>
        </w:rPr>
        <w:t xml:space="preserve">of the Arbuckle </w:t>
      </w:r>
      <w:r w:rsidR="000144A9">
        <w:rPr>
          <w:rFonts w:cs="Times New Roman"/>
          <w:szCs w:val="24"/>
        </w:rPr>
        <w:t>G</w:t>
      </w:r>
      <w:r w:rsidR="000144A9" w:rsidRPr="004B000A">
        <w:rPr>
          <w:rFonts w:cs="Times New Roman"/>
          <w:szCs w:val="24"/>
        </w:rPr>
        <w:t xml:space="preserve">roup were identified </w:t>
      </w:r>
      <w:r w:rsidR="008C0C88">
        <w:rPr>
          <w:rFonts w:cs="Times New Roman"/>
          <w:szCs w:val="24"/>
        </w:rPr>
        <w:t xml:space="preserve">(Figure </w:t>
      </w:r>
      <w:r w:rsidR="008B0564">
        <w:rPr>
          <w:rFonts w:cs="Times New Roman"/>
          <w:szCs w:val="24"/>
        </w:rPr>
        <w:t>3.</w:t>
      </w:r>
      <w:r w:rsidR="008C0C88">
        <w:rPr>
          <w:rFonts w:cs="Times New Roman"/>
          <w:szCs w:val="24"/>
        </w:rPr>
        <w:t>5).</w:t>
      </w:r>
      <w:r w:rsidR="00A607E3">
        <w:t xml:space="preserve"> </w:t>
      </w:r>
      <w:r w:rsidR="000144A9">
        <w:t>Because the internal reflectors of the Arbuckle Group are not of high enough resolution to distinguish internal stratigraphy, w</w:t>
      </w:r>
      <w:r w:rsidR="000144A9">
        <w:rPr>
          <w:rFonts w:cs="Times New Roman"/>
          <w:szCs w:val="24"/>
        </w:rPr>
        <w:t xml:space="preserve">e incorporated the acoustic impedance volume derived from the simultaneous pre-stack inversion process to further subdivide the Arbuckle into three stratigraphic intervals, from deepest to shallowest, Arbuckle zones A through C, and mapped them throughout the study area (Figure </w:t>
      </w:r>
      <w:r w:rsidR="008B0564">
        <w:rPr>
          <w:rFonts w:cs="Times New Roman"/>
          <w:szCs w:val="24"/>
        </w:rPr>
        <w:t>3.</w:t>
      </w:r>
      <w:r w:rsidR="00B83ACF">
        <w:rPr>
          <w:rFonts w:cs="Times New Roman"/>
          <w:szCs w:val="24"/>
        </w:rPr>
        <w:t>6</w:t>
      </w:r>
      <w:r w:rsidR="000144A9">
        <w:rPr>
          <w:rFonts w:cs="Times New Roman"/>
          <w:szCs w:val="24"/>
        </w:rPr>
        <w:t xml:space="preserve">). </w:t>
      </w:r>
      <w:r w:rsidR="00C6778D">
        <w:rPr>
          <w:rFonts w:cs="Times New Roman"/>
          <w:szCs w:val="24"/>
        </w:rPr>
        <w:t xml:space="preserve">In previous studies of the Arbuckle </w:t>
      </w:r>
      <w:r w:rsidR="00D55EDB">
        <w:rPr>
          <w:rFonts w:cs="Times New Roman"/>
          <w:szCs w:val="24"/>
        </w:rPr>
        <w:t xml:space="preserve">Group </w:t>
      </w:r>
      <w:r w:rsidR="00C6778D">
        <w:rPr>
          <w:rFonts w:cs="Times New Roman"/>
          <w:szCs w:val="24"/>
        </w:rPr>
        <w:t>in this area (e.g.,</w:t>
      </w:r>
      <w:r w:rsidR="00C6778D">
        <w:t xml:space="preserve"> </w:t>
      </w:r>
      <w:r w:rsidR="00C6778D" w:rsidRPr="00F2591F">
        <w:t>Watney and Rush</w:t>
      </w:r>
      <w:r w:rsidR="00C6778D">
        <w:t>,</w:t>
      </w:r>
      <w:r w:rsidR="00C6778D" w:rsidRPr="00F2591F">
        <w:t xml:space="preserve"> 2012</w:t>
      </w:r>
      <w:r w:rsidR="00C6778D">
        <w:t xml:space="preserve">; </w:t>
      </w:r>
      <w:r w:rsidR="00C6778D" w:rsidRPr="001C4DDD">
        <w:t>Gupta et al.</w:t>
      </w:r>
      <w:r w:rsidR="00C6778D">
        <w:t xml:space="preserve">, </w:t>
      </w:r>
      <w:r w:rsidR="00C6778D" w:rsidRPr="001C4DDD">
        <w:t>2017</w:t>
      </w:r>
      <w:r w:rsidR="00C6778D" w:rsidRPr="00F2591F">
        <w:t>)</w:t>
      </w:r>
      <w:r w:rsidR="00C6778D">
        <w:rPr>
          <w:rFonts w:cs="Times New Roman"/>
          <w:szCs w:val="24"/>
        </w:rPr>
        <w:t>, t</w:t>
      </w:r>
      <w:r>
        <w:rPr>
          <w:rFonts w:cs="Times New Roman"/>
          <w:szCs w:val="24"/>
        </w:rPr>
        <w:t xml:space="preserve">hese Arbuckle Group stratigraphic zones </w:t>
      </w:r>
      <w:r w:rsidR="00F57E73">
        <w:rPr>
          <w:rFonts w:cs="Times New Roman"/>
          <w:szCs w:val="24"/>
        </w:rPr>
        <w:t>were not</w:t>
      </w:r>
      <w:r w:rsidR="00C6778D">
        <w:rPr>
          <w:rFonts w:cs="Times New Roman"/>
          <w:szCs w:val="24"/>
        </w:rPr>
        <w:t xml:space="preserve"> </w:t>
      </w:r>
      <w:r>
        <w:rPr>
          <w:rFonts w:cs="Times New Roman"/>
          <w:szCs w:val="24"/>
        </w:rPr>
        <w:t>defined, mapped</w:t>
      </w:r>
      <w:r w:rsidR="00D55EDB">
        <w:rPr>
          <w:rFonts w:cs="Times New Roman"/>
          <w:szCs w:val="24"/>
        </w:rPr>
        <w:t xml:space="preserve"> with seismic data</w:t>
      </w:r>
      <w:r>
        <w:rPr>
          <w:rFonts w:cs="Times New Roman"/>
          <w:szCs w:val="24"/>
        </w:rPr>
        <w:t xml:space="preserve">, and explicitly </w:t>
      </w:r>
      <w:r w:rsidR="00D55EDB">
        <w:rPr>
          <w:rFonts w:cs="Times New Roman"/>
          <w:szCs w:val="24"/>
        </w:rPr>
        <w:t>incorporated as part of the 3D grid and static and dynamic models</w:t>
      </w:r>
      <w:r>
        <w:rPr>
          <w:rFonts w:cs="Times New Roman"/>
          <w:szCs w:val="24"/>
        </w:rPr>
        <w:t xml:space="preserve">. </w:t>
      </w:r>
      <w:r w:rsidR="00C6778D">
        <w:rPr>
          <w:rFonts w:cs="Times New Roman"/>
          <w:szCs w:val="24"/>
        </w:rPr>
        <w:t xml:space="preserve">Importantly, </w:t>
      </w:r>
      <w:r w:rsidR="000144A9">
        <w:rPr>
          <w:rFonts w:cs="Times New Roman"/>
          <w:szCs w:val="24"/>
        </w:rPr>
        <w:t xml:space="preserve">Arbuckle </w:t>
      </w:r>
      <w:r w:rsidR="00C6778D">
        <w:rPr>
          <w:rFonts w:cs="Times New Roman"/>
          <w:szCs w:val="24"/>
        </w:rPr>
        <w:t xml:space="preserve">Group </w:t>
      </w:r>
      <w:r w:rsidR="000144A9">
        <w:rPr>
          <w:rFonts w:cs="Times New Roman"/>
          <w:szCs w:val="24"/>
        </w:rPr>
        <w:t>A and Arbuckle C have relatively low impedance values, while Arbuckle B is characterized by continuous-high impedance values throughout the study area.</w:t>
      </w:r>
    </w:p>
    <w:p w14:paraId="5AC2D10F" w14:textId="77777777" w:rsidR="000144A9" w:rsidRDefault="000144A9" w:rsidP="000144A9">
      <w:pPr>
        <w:pStyle w:val="Heading3"/>
      </w:pPr>
      <w:bookmarkStart w:id="658" w:name="_Toc121095983"/>
      <w:r>
        <w:lastRenderedPageBreak/>
        <w:t>Velocity model</w:t>
      </w:r>
      <w:bookmarkEnd w:id="658"/>
    </w:p>
    <w:p w14:paraId="7EDB0204" w14:textId="02557771" w:rsidR="000144A9" w:rsidRPr="009869A9" w:rsidRDefault="000144A9" w:rsidP="000144A9">
      <w:pPr>
        <w:ind w:firstLine="720"/>
        <w:rPr>
          <w:rFonts w:cs="Times New Roman"/>
          <w:szCs w:val="24"/>
        </w:rPr>
      </w:pPr>
      <w:r>
        <w:rPr>
          <w:rFonts w:cs="Times New Roman"/>
          <w:szCs w:val="24"/>
        </w:rPr>
        <w:t>W</w:t>
      </w:r>
      <w:r w:rsidRPr="009869A9">
        <w:rPr>
          <w:rFonts w:cs="Times New Roman"/>
          <w:szCs w:val="24"/>
        </w:rPr>
        <w:t>e created a velocity model to convert seismic horizon</w:t>
      </w:r>
      <w:r>
        <w:rPr>
          <w:rFonts w:cs="Times New Roman"/>
          <w:szCs w:val="24"/>
        </w:rPr>
        <w:t>s, the</w:t>
      </w:r>
      <w:r w:rsidRPr="009869A9">
        <w:rPr>
          <w:rFonts w:cs="Times New Roman"/>
          <w:szCs w:val="24"/>
        </w:rPr>
        <w:t xml:space="preserve"> 3D petrofacies volume</w:t>
      </w:r>
      <w:r>
        <w:rPr>
          <w:rFonts w:cs="Times New Roman"/>
          <w:szCs w:val="24"/>
        </w:rPr>
        <w:t>,</w:t>
      </w:r>
      <w:r w:rsidRPr="009869A9">
        <w:rPr>
          <w:rFonts w:cs="Times New Roman"/>
          <w:szCs w:val="24"/>
        </w:rPr>
        <w:t xml:space="preserve"> individual </w:t>
      </w:r>
      <w:r>
        <w:rPr>
          <w:rFonts w:cs="Times New Roman"/>
          <w:szCs w:val="24"/>
        </w:rPr>
        <w:t xml:space="preserve">3D </w:t>
      </w:r>
      <w:r w:rsidRPr="009869A9">
        <w:rPr>
          <w:rFonts w:cs="Times New Roman"/>
          <w:szCs w:val="24"/>
        </w:rPr>
        <w:t>petrofacies probabilities</w:t>
      </w:r>
      <w:r>
        <w:rPr>
          <w:rFonts w:cs="Times New Roman"/>
          <w:szCs w:val="24"/>
        </w:rPr>
        <w:t xml:space="preserve"> volumes</w:t>
      </w:r>
      <w:r w:rsidRPr="009869A9">
        <w:rPr>
          <w:rFonts w:cs="Times New Roman"/>
          <w:szCs w:val="24"/>
        </w:rPr>
        <w:t xml:space="preserve">, </w:t>
      </w:r>
      <w:r>
        <w:rPr>
          <w:rFonts w:cs="Times New Roman"/>
          <w:szCs w:val="24"/>
        </w:rPr>
        <w:t xml:space="preserve">and the </w:t>
      </w:r>
      <w:r w:rsidRPr="009869A9">
        <w:rPr>
          <w:rFonts w:cs="Times New Roman"/>
          <w:szCs w:val="24"/>
        </w:rPr>
        <w:t xml:space="preserve">acoustic impedance volume into </w:t>
      </w:r>
      <w:r>
        <w:rPr>
          <w:rFonts w:cs="Times New Roman"/>
          <w:szCs w:val="24"/>
        </w:rPr>
        <w:t xml:space="preserve">the </w:t>
      </w:r>
      <w:r w:rsidRPr="009869A9">
        <w:rPr>
          <w:rFonts w:cs="Times New Roman"/>
          <w:szCs w:val="24"/>
        </w:rPr>
        <w:t>depth domain. This</w:t>
      </w:r>
      <w:r>
        <w:rPr>
          <w:rFonts w:cs="Times New Roman"/>
          <w:szCs w:val="24"/>
        </w:rPr>
        <w:t xml:space="preserve"> task</w:t>
      </w:r>
      <w:r w:rsidRPr="009869A9">
        <w:rPr>
          <w:rFonts w:cs="Times New Roman"/>
          <w:szCs w:val="24"/>
        </w:rPr>
        <w:t xml:space="preserve"> was achieved by using </w:t>
      </w:r>
      <w:r>
        <w:rPr>
          <w:rFonts w:cs="Times New Roman"/>
          <w:szCs w:val="24"/>
        </w:rPr>
        <w:t xml:space="preserve">the </w:t>
      </w:r>
      <w:r w:rsidRPr="009869A9">
        <w:rPr>
          <w:rFonts w:cs="Times New Roman"/>
          <w:szCs w:val="24"/>
        </w:rPr>
        <w:t xml:space="preserve">interpreted seismic horizons (bottom to top: </w:t>
      </w:r>
      <w:r>
        <w:rPr>
          <w:rFonts w:cs="Times New Roman"/>
          <w:szCs w:val="24"/>
        </w:rPr>
        <w:t xml:space="preserve">Precambrian basement and the top of the </w:t>
      </w:r>
      <w:r w:rsidR="006E07D1">
        <w:rPr>
          <w:rFonts w:cs="Times New Roman"/>
          <w:szCs w:val="24"/>
        </w:rPr>
        <w:t>Arbuckle) and</w:t>
      </w:r>
      <w:r>
        <w:rPr>
          <w:rFonts w:cs="Times New Roman"/>
          <w:szCs w:val="24"/>
        </w:rPr>
        <w:t xml:space="preserve"> </w:t>
      </w:r>
      <w:r w:rsidRPr="009869A9">
        <w:rPr>
          <w:rFonts w:cs="Times New Roman"/>
          <w:szCs w:val="24"/>
        </w:rPr>
        <w:t xml:space="preserve">their corresponding well tops. The model uses the instantaneous velocities from the wells with time-depth relationships (TDR) from the seismic-to-well tie process and the seismic time horizons allowing the model layer velocities </w:t>
      </w:r>
      <w:r>
        <w:rPr>
          <w:rFonts w:cs="Times New Roman"/>
          <w:szCs w:val="24"/>
        </w:rPr>
        <w:t xml:space="preserve">to </w:t>
      </w:r>
      <w:r w:rsidRPr="009869A9">
        <w:rPr>
          <w:rFonts w:cs="Times New Roman"/>
          <w:szCs w:val="24"/>
        </w:rPr>
        <w:t>vary with depth and by stratigraphic zone</w:t>
      </w:r>
      <w:r>
        <w:rPr>
          <w:rFonts w:cs="Times New Roman"/>
          <w:szCs w:val="24"/>
        </w:rPr>
        <w:t>, using</w:t>
      </w:r>
      <w:r w:rsidRPr="009869A9">
        <w:rPr>
          <w:rFonts w:cs="Times New Roman"/>
          <w:szCs w:val="24"/>
        </w:rPr>
        <w:t xml:space="preserve"> a linear equation</w:t>
      </w:r>
      <w:r>
        <w:rPr>
          <w:rFonts w:cs="Times New Roman"/>
          <w:szCs w:val="24"/>
        </w:rPr>
        <w:t>:</w:t>
      </w:r>
    </w:p>
    <w:p w14:paraId="32E93DED" w14:textId="77777777" w:rsidR="000144A9" w:rsidRPr="00F17991" w:rsidRDefault="000144A9" w:rsidP="000144A9">
      <w:pPr>
        <w:rPr>
          <w:rFonts w:cs="Times New Roman"/>
          <w:szCs w:val="24"/>
        </w:rPr>
      </w:pPr>
      <m:oMathPara>
        <m:oMathParaPr>
          <m:jc m:val="left"/>
        </m:oMathParaPr>
        <m:oMath>
          <m:r>
            <w:rPr>
              <w:rFonts w:ascii="Cambria Math" w:hAnsi="Cambria Math" w:cs="Times New Roman"/>
              <w:szCs w:val="24"/>
            </w:rPr>
            <m:t>V</m:t>
          </m:r>
          <m:d>
            <m:dPr>
              <m:ctrlPr>
                <w:rPr>
                  <w:rFonts w:ascii="Cambria Math" w:hAnsi="Cambria Math" w:cs="Times New Roman"/>
                  <w:i/>
                  <w:szCs w:val="24"/>
                </w:rPr>
              </m:ctrlPr>
            </m:dPr>
            <m:e>
              <m:r>
                <w:rPr>
                  <w:rFonts w:ascii="Cambria Math" w:hAnsi="Cambria Math" w:cs="Times New Roman"/>
                  <w:szCs w:val="24"/>
                </w:rPr>
                <m:t>Z</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0</m:t>
              </m:r>
            </m:sub>
          </m:sSub>
          <m:r>
            <w:rPr>
              <w:rFonts w:ascii="Cambria Math" w:hAnsi="Cambria Math" w:cs="Times New Roman"/>
              <w:szCs w:val="24"/>
            </w:rPr>
            <m:t>+k*Z                                                                                                                                       (1)</m:t>
          </m:r>
        </m:oMath>
      </m:oMathPara>
    </w:p>
    <w:p w14:paraId="38F98B49" w14:textId="77777777" w:rsidR="000144A9" w:rsidRDefault="000144A9" w:rsidP="000144A9">
      <w:pPr>
        <w:rPr>
          <w:rFonts w:cs="Times New Roman"/>
          <w:szCs w:val="24"/>
        </w:rPr>
      </w:pPr>
      <w:r w:rsidRPr="009869A9">
        <w:rPr>
          <w:rFonts w:cs="Times New Roman"/>
          <w:szCs w:val="24"/>
        </w:rPr>
        <w:t xml:space="preserve">Where </w:t>
      </w:r>
      <m:oMath>
        <m:r>
          <w:rPr>
            <w:rFonts w:ascii="Cambria Math" w:hAnsi="Cambria Math" w:cs="Times New Roman"/>
            <w:szCs w:val="24"/>
          </w:rPr>
          <m:t>V</m:t>
        </m:r>
        <m:d>
          <m:dPr>
            <m:ctrlPr>
              <w:rPr>
                <w:rFonts w:ascii="Cambria Math" w:hAnsi="Cambria Math" w:cs="Times New Roman"/>
                <w:i/>
                <w:szCs w:val="24"/>
              </w:rPr>
            </m:ctrlPr>
          </m:dPr>
          <m:e>
            <m:r>
              <w:rPr>
                <w:rFonts w:ascii="Cambria Math" w:hAnsi="Cambria Math" w:cs="Times New Roman"/>
                <w:szCs w:val="24"/>
              </w:rPr>
              <m:t>Z</m:t>
            </m:r>
          </m:e>
        </m:d>
      </m:oMath>
      <w:r w:rsidRPr="009869A9">
        <w:rPr>
          <w:rFonts w:cs="Times New Roman"/>
          <w:szCs w:val="24"/>
        </w:rPr>
        <w:t xml:space="preserve"> </w:t>
      </w:r>
      <w:r>
        <w:rPr>
          <w:rFonts w:cs="Times New Roman"/>
          <w:szCs w:val="24"/>
        </w:rPr>
        <w:t xml:space="preserve">represents </w:t>
      </w:r>
      <w:r w:rsidRPr="009869A9">
        <w:rPr>
          <w:rFonts w:cs="Times New Roman"/>
          <w:szCs w:val="24"/>
        </w:rPr>
        <w:t>instantaneous velocity at depth</w:t>
      </w:r>
      <w:r>
        <w:rPr>
          <w:rFonts w:cs="Times New Roman"/>
          <w:szCs w:val="24"/>
        </w:rPr>
        <w:t xml:space="preserve"> </w:t>
      </w:r>
      <m:oMath>
        <m:r>
          <w:rPr>
            <w:rFonts w:ascii="Cambria Math" w:hAnsi="Cambria Math" w:cs="Times New Roman"/>
            <w:szCs w:val="24"/>
          </w:rPr>
          <m:t>Z</m:t>
        </m:r>
      </m:oMath>
      <w:r>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0</m:t>
            </m:r>
          </m:sub>
        </m:sSub>
      </m:oMath>
      <w:r w:rsidRPr="009869A9">
        <w:rPr>
          <w:rFonts w:cs="Times New Roman"/>
          <w:szCs w:val="24"/>
        </w:rPr>
        <w:t xml:space="preserve"> </w:t>
      </w:r>
      <w:r>
        <w:rPr>
          <w:rFonts w:cs="Times New Roman"/>
          <w:szCs w:val="24"/>
        </w:rPr>
        <w:t>is the</w:t>
      </w:r>
      <w:r w:rsidRPr="009869A9">
        <w:rPr>
          <w:rFonts w:cs="Times New Roman"/>
          <w:szCs w:val="24"/>
        </w:rPr>
        <w:t xml:space="preserve"> initial velocity</w:t>
      </w:r>
      <w:r>
        <w:rPr>
          <w:rFonts w:cs="Times New Roman"/>
          <w:szCs w:val="24"/>
        </w:rPr>
        <w:t xml:space="preserve">, </w:t>
      </w:r>
      <m:oMath>
        <m:r>
          <w:rPr>
            <w:rFonts w:ascii="Cambria Math" w:hAnsi="Cambria Math" w:cs="Times New Roman"/>
            <w:szCs w:val="24"/>
          </w:rPr>
          <m:t>k</m:t>
        </m:r>
      </m:oMath>
      <w:r w:rsidRPr="009869A9">
        <w:rPr>
          <w:rFonts w:cs="Times New Roman"/>
          <w:szCs w:val="24"/>
        </w:rPr>
        <w:t xml:space="preserve"> </w:t>
      </w:r>
      <w:r>
        <w:rPr>
          <w:rFonts w:cs="Times New Roman"/>
          <w:szCs w:val="24"/>
        </w:rPr>
        <w:t xml:space="preserve">is the time-to-depth relationship established from wells, and </w:t>
      </w:r>
      <m:oMath>
        <m:r>
          <w:rPr>
            <w:rFonts w:ascii="Cambria Math" w:hAnsi="Cambria Math" w:cs="Times New Roman"/>
            <w:szCs w:val="24"/>
          </w:rPr>
          <m:t>Z</m:t>
        </m:r>
      </m:oMath>
      <w:r>
        <w:rPr>
          <w:rFonts w:cs="Times New Roman"/>
          <w:szCs w:val="24"/>
        </w:rPr>
        <w:t xml:space="preserve"> represents the</w:t>
      </w:r>
      <w:r w:rsidRPr="009869A9">
        <w:rPr>
          <w:rFonts w:cs="Times New Roman"/>
          <w:szCs w:val="24"/>
        </w:rPr>
        <w:t xml:space="preserve"> depth</w:t>
      </w:r>
      <w:r>
        <w:rPr>
          <w:rFonts w:cs="Times New Roman"/>
          <w:szCs w:val="24"/>
        </w:rPr>
        <w:t>.</w:t>
      </w:r>
    </w:p>
    <w:p w14:paraId="58612F5B" w14:textId="77777777" w:rsidR="000144A9" w:rsidRPr="00B659C2" w:rsidRDefault="000144A9" w:rsidP="000144A9">
      <w:pPr>
        <w:pStyle w:val="Heading3"/>
      </w:pPr>
      <w:bookmarkStart w:id="659" w:name="_Toc121095984"/>
      <w:r w:rsidRPr="00B659C2">
        <w:t xml:space="preserve">Seismic-constrained </w:t>
      </w:r>
      <w:r>
        <w:t xml:space="preserve">3D </w:t>
      </w:r>
      <w:r w:rsidRPr="00B659C2">
        <w:t>reservoir modeling</w:t>
      </w:r>
      <w:bookmarkEnd w:id="659"/>
    </w:p>
    <w:p w14:paraId="2362ACF9" w14:textId="6DECC4F6" w:rsidR="000144A9" w:rsidRPr="00B9573B" w:rsidRDefault="000144A9" w:rsidP="000144A9">
      <w:pPr>
        <w:ind w:firstLine="720"/>
      </w:pPr>
      <w:r w:rsidRPr="00B9573B">
        <w:t>A 3D reservoir model grid was generated by incorporating the stratigraphic surfaces (structure-contour maps) created from the interpreted seismic horizons and well tops. The aerial cell dimensions of the 3D grid were set considering the horizontal resolution of the seismic data, while the vertical cell dimensions were set by analyzing the petrofacies</w:t>
      </w:r>
      <w:r>
        <w:t>, porosity and permeability</w:t>
      </w:r>
      <w:r w:rsidRPr="00B9573B">
        <w:t xml:space="preserve"> logs, ensuring the resulting model captures the stratigraphic variability (Figure</w:t>
      </w:r>
      <w:r>
        <w:t xml:space="preserve"> </w:t>
      </w:r>
      <w:r w:rsidR="008B0564">
        <w:t>3.</w:t>
      </w:r>
      <w:r w:rsidR="00BB2695">
        <w:t>7</w:t>
      </w:r>
      <w:r w:rsidRPr="00B9573B">
        <w:t>).</w:t>
      </w:r>
    </w:p>
    <w:p w14:paraId="1B928A0D" w14:textId="13B78892" w:rsidR="000144A9" w:rsidRPr="00B9573B" w:rsidRDefault="000144A9" w:rsidP="000144A9">
      <w:pPr>
        <w:ind w:firstLine="720"/>
      </w:pPr>
      <w:r w:rsidRPr="00B9573B">
        <w:t>Vertical variograms were derived using the petrofacies logs. The petrofacies prediction volume and corresponding petrofacies probability volumes were resampled to the 3D model grid and converted into corresponding discrete and continuous property models</w:t>
      </w:r>
      <w:r>
        <w:t>,</w:t>
      </w:r>
      <w:r w:rsidRPr="00B9573B">
        <w:t xml:space="preserve"> respectively (Figure</w:t>
      </w:r>
      <w:r>
        <w:t xml:space="preserve"> </w:t>
      </w:r>
      <w:r w:rsidR="008B0564">
        <w:lastRenderedPageBreak/>
        <w:t>3.</w:t>
      </w:r>
      <w:r w:rsidR="00BB2695">
        <w:t>8</w:t>
      </w:r>
      <w:r w:rsidRPr="00B9573B">
        <w:t xml:space="preserve">). These models were then used to </w:t>
      </w:r>
      <w:r>
        <w:t>evaluate</w:t>
      </w:r>
      <w:r w:rsidRPr="00B9573B">
        <w:t xml:space="preserve"> horizontal variogram</w:t>
      </w:r>
      <w:r>
        <w:t xml:space="preserve"> ranges and </w:t>
      </w:r>
      <w:r w:rsidRPr="00B9573B">
        <w:t>estimat</w:t>
      </w:r>
      <w:r>
        <w:t>e</w:t>
      </w:r>
      <w:r w:rsidRPr="00B9573B">
        <w:t xml:space="preserve"> the major and minor range azimuths for each property by zone </w:t>
      </w:r>
      <w:r>
        <w:t>(Appendix-A).</w:t>
      </w:r>
    </w:p>
    <w:p w14:paraId="5FC6D409" w14:textId="1999C2C2" w:rsidR="000144A9" w:rsidRPr="00B9573B" w:rsidRDefault="000144A9" w:rsidP="000144A9">
      <w:pPr>
        <w:ind w:firstLine="720"/>
      </w:pPr>
      <w:r>
        <w:t xml:space="preserve">The </w:t>
      </w:r>
      <w:r w:rsidRPr="00B9573B">
        <w:t>3D petrofacies model was generated using sequential</w:t>
      </w:r>
      <w:r w:rsidR="00F60607">
        <w:t>-</w:t>
      </w:r>
      <w:r w:rsidRPr="00B9573B">
        <w:t xml:space="preserve">indicator simulation (SIS). The model </w:t>
      </w:r>
      <w:r>
        <w:t>was</w:t>
      </w:r>
      <w:r w:rsidRPr="00B9573B">
        <w:t xml:space="preserve"> constrained by 1) the stratigraphic and structural framework (3D grid), 2) upscaled petrofacies logs, 3) </w:t>
      </w:r>
      <w:r>
        <w:t xml:space="preserve">petrofacies </w:t>
      </w:r>
      <w:r w:rsidRPr="00B9573B">
        <w:t xml:space="preserve">variogram parameters by zone, 4) petrofacies fractions by zone, and 5) </w:t>
      </w:r>
      <w:r>
        <w:t>i</w:t>
      </w:r>
      <w:r w:rsidRPr="00B9573B">
        <w:t>ndividual petrofacies probability volumes (Figure</w:t>
      </w:r>
      <w:r>
        <w:t xml:space="preserve"> </w:t>
      </w:r>
      <w:r w:rsidR="00397A04">
        <w:t>3.</w:t>
      </w:r>
      <w:r w:rsidR="00881432">
        <w:t>9</w:t>
      </w:r>
      <w:r w:rsidRPr="00B9573B">
        <w:t>). The petrofacies logs were upscaled to the 3D model grid by assigning a single value for each cell based on the most abundant petrofacies within the cell. The petrofacies fractions by zone were obtained from the upscaled logs.</w:t>
      </w:r>
    </w:p>
    <w:p w14:paraId="69C149C3" w14:textId="77777777" w:rsidR="000144A9" w:rsidRPr="00B9573B" w:rsidRDefault="000144A9" w:rsidP="000144A9">
      <w:pPr>
        <w:ind w:firstLine="720"/>
      </w:pPr>
      <w:r w:rsidRPr="00B9573B">
        <w:t>3D porosity and permeability models were generated to analyze the spatial distribution of total porosity and permeability. The porosity model was generated using sequential-Gaussian simulation (SGS)</w:t>
      </w:r>
      <w:r>
        <w:t>,</w:t>
      </w:r>
      <w:r w:rsidRPr="00B9573B">
        <w:t xml:space="preserve"> and it is constrained by </w:t>
      </w:r>
      <w:r>
        <w:t xml:space="preserve">the </w:t>
      </w:r>
      <w:r w:rsidRPr="00B9573B">
        <w:t xml:space="preserve">following: 1) 3D petrofacies model, 2) upscaled porosity logs biased to the petrofacies logs using arithmetic mean, 3) porosity histograms by zone and petrofacies, 4) variogram parameters by each zone and petrofacies, and 5) </w:t>
      </w:r>
      <w:r>
        <w:t>porosity trend</w:t>
      </w:r>
      <w:r w:rsidRPr="00B9573B">
        <w:t xml:space="preserve"> volume computed using the relationship between p-impedance and porosity</w:t>
      </w:r>
      <w:r>
        <w:t xml:space="preserve"> (Appendix-B) </w:t>
      </w:r>
    </w:p>
    <w:p w14:paraId="3737BEA4" w14:textId="0E1DBFC2" w:rsidR="000144A9" w:rsidRDefault="000144A9" w:rsidP="000144A9">
      <w:pPr>
        <w:ind w:firstLine="720"/>
        <w:rPr>
          <w:rFonts w:eastAsiaTheme="minorEastAsia"/>
          <w:szCs w:val="18"/>
        </w:rPr>
      </w:pPr>
      <w:r>
        <w:t xml:space="preserve">A </w:t>
      </w:r>
      <w:r w:rsidRPr="00B9573B">
        <w:t xml:space="preserve">3D </w:t>
      </w:r>
      <w:r w:rsidR="00EC497D">
        <w:t xml:space="preserve">horizontal </w:t>
      </w:r>
      <w:r w:rsidRPr="00B9573B">
        <w:t xml:space="preserve">permeability model was also generated using the SGS algorithm </w:t>
      </w:r>
      <w:r w:rsidRPr="00B9573B">
        <w:rPr>
          <w:rFonts w:eastAsiaTheme="minorEastAsia"/>
          <w:szCs w:val="18"/>
        </w:rPr>
        <w:t xml:space="preserve">with collocated co-kriging using the porosity model as the secondary variable. Like the porosity model, the permeability model was also constrained by </w:t>
      </w:r>
      <w:r>
        <w:rPr>
          <w:rFonts w:eastAsiaTheme="minorEastAsia"/>
          <w:szCs w:val="18"/>
        </w:rPr>
        <w:t xml:space="preserve">the </w:t>
      </w:r>
      <w:r w:rsidRPr="00B9573B">
        <w:rPr>
          <w:rFonts w:eastAsiaTheme="minorEastAsia"/>
          <w:szCs w:val="18"/>
        </w:rPr>
        <w:t>petrofacies model, upscaled permeability logs, permeability histograms</w:t>
      </w:r>
      <w:r>
        <w:rPr>
          <w:rFonts w:eastAsiaTheme="minorEastAsia"/>
          <w:szCs w:val="18"/>
        </w:rPr>
        <w:t>,</w:t>
      </w:r>
      <w:r w:rsidRPr="00B9573B">
        <w:rPr>
          <w:rFonts w:eastAsiaTheme="minorEastAsia"/>
          <w:szCs w:val="18"/>
        </w:rPr>
        <w:t xml:space="preserve"> variogram parameters by each zone and petrofacies</w:t>
      </w:r>
      <w:r w:rsidR="00F60607">
        <w:rPr>
          <w:rFonts w:eastAsiaTheme="minorEastAsia"/>
          <w:szCs w:val="18"/>
        </w:rPr>
        <w:t>, and the correlation coefficient between porosity and permeability</w:t>
      </w:r>
      <w:r w:rsidR="002A7DC7">
        <w:rPr>
          <w:rFonts w:eastAsiaTheme="minorEastAsia"/>
          <w:szCs w:val="18"/>
        </w:rPr>
        <w:t>.</w:t>
      </w:r>
      <w:r w:rsidRPr="00B9573B">
        <w:rPr>
          <w:rFonts w:eastAsiaTheme="minorEastAsia"/>
          <w:szCs w:val="18"/>
        </w:rPr>
        <w:t xml:space="preserve"> (Figure </w:t>
      </w:r>
      <w:r w:rsidR="00397A04">
        <w:rPr>
          <w:rFonts w:eastAsiaTheme="minorEastAsia"/>
          <w:szCs w:val="18"/>
        </w:rPr>
        <w:t>3.</w:t>
      </w:r>
      <w:r w:rsidR="00746F77">
        <w:rPr>
          <w:rFonts w:eastAsiaTheme="minorEastAsia"/>
          <w:szCs w:val="18"/>
        </w:rPr>
        <w:t>10</w:t>
      </w:r>
      <w:r w:rsidRPr="00B9573B">
        <w:rPr>
          <w:rFonts w:eastAsiaTheme="minorEastAsia"/>
          <w:szCs w:val="18"/>
        </w:rPr>
        <w:t>).</w:t>
      </w:r>
      <w:r>
        <w:rPr>
          <w:rFonts w:eastAsiaTheme="minorEastAsia"/>
          <w:szCs w:val="18"/>
        </w:rPr>
        <w:t xml:space="preserve"> </w:t>
      </w:r>
    </w:p>
    <w:p w14:paraId="3BA3EA04" w14:textId="6E0638BB" w:rsidR="00F61807" w:rsidRPr="00C97010" w:rsidRDefault="00B15674" w:rsidP="00F61807">
      <w:pPr>
        <w:pStyle w:val="Heading3"/>
        <w:rPr>
          <w:color w:val="auto"/>
        </w:rPr>
      </w:pPr>
      <w:bookmarkStart w:id="660" w:name="_Toc121095985"/>
      <w:r w:rsidRPr="00C97010">
        <w:rPr>
          <w:color w:val="auto"/>
        </w:rPr>
        <w:lastRenderedPageBreak/>
        <w:t xml:space="preserve">Theoretical </w:t>
      </w:r>
      <w:r w:rsidR="00F61807" w:rsidRPr="00C97010">
        <w:rPr>
          <w:color w:val="auto"/>
        </w:rPr>
        <w:t>CO</w:t>
      </w:r>
      <w:r w:rsidR="00F61807" w:rsidRPr="00C97010">
        <w:rPr>
          <w:color w:val="auto"/>
          <w:vertAlign w:val="subscript"/>
        </w:rPr>
        <w:t>2</w:t>
      </w:r>
      <w:r w:rsidR="00F61807" w:rsidRPr="00C97010">
        <w:rPr>
          <w:color w:val="auto"/>
        </w:rPr>
        <w:t xml:space="preserve"> storage capacity </w:t>
      </w:r>
      <w:r w:rsidR="008A3DC5" w:rsidRPr="00C97010">
        <w:rPr>
          <w:color w:val="auto"/>
        </w:rPr>
        <w:t>estimation</w:t>
      </w:r>
      <w:bookmarkEnd w:id="660"/>
      <w:r w:rsidR="000118E3" w:rsidRPr="00C97010">
        <w:rPr>
          <w:color w:val="auto"/>
        </w:rPr>
        <w:t xml:space="preserve"> </w:t>
      </w:r>
    </w:p>
    <w:p w14:paraId="0AAA26BA" w14:textId="34A6B515" w:rsidR="00A77E71" w:rsidRPr="00C97010" w:rsidRDefault="00943BD3" w:rsidP="00B15674">
      <w:pPr>
        <w:ind w:firstLine="720"/>
        <w:rPr>
          <w:color w:val="auto"/>
        </w:rPr>
      </w:pPr>
      <w:r w:rsidRPr="00C97010">
        <w:rPr>
          <w:color w:val="auto"/>
        </w:rPr>
        <w:t>To evaluate the CO</w:t>
      </w:r>
      <w:r w:rsidRPr="00C97010">
        <w:rPr>
          <w:color w:val="auto"/>
          <w:vertAlign w:val="subscript"/>
        </w:rPr>
        <w:t>2</w:t>
      </w:r>
      <w:r w:rsidRPr="00C97010">
        <w:rPr>
          <w:color w:val="auto"/>
        </w:rPr>
        <w:t xml:space="preserve"> storage </w:t>
      </w:r>
      <w:r w:rsidR="000C4F82">
        <w:rPr>
          <w:color w:val="auto"/>
        </w:rPr>
        <w:t>capacity</w:t>
      </w:r>
      <w:r w:rsidR="000C4F82" w:rsidRPr="00C97010">
        <w:rPr>
          <w:color w:val="auto"/>
        </w:rPr>
        <w:t xml:space="preserve"> </w:t>
      </w:r>
      <w:r w:rsidR="00B429C3" w:rsidRPr="00C97010">
        <w:rPr>
          <w:color w:val="auto"/>
        </w:rPr>
        <w:t>of the Arbuckle Group</w:t>
      </w:r>
      <w:r w:rsidR="00B15674" w:rsidRPr="00C97010">
        <w:rPr>
          <w:color w:val="auto"/>
        </w:rPr>
        <w:t xml:space="preserve"> </w:t>
      </w:r>
      <w:r w:rsidR="000E20FB">
        <w:rPr>
          <w:color w:val="auto"/>
        </w:rPr>
        <w:t xml:space="preserve">in </w:t>
      </w:r>
      <w:r w:rsidR="00B15674" w:rsidRPr="00C97010">
        <w:rPr>
          <w:color w:val="auto"/>
        </w:rPr>
        <w:t>the study area</w:t>
      </w:r>
      <w:r w:rsidRPr="00C97010">
        <w:rPr>
          <w:color w:val="auto"/>
        </w:rPr>
        <w:t>, we</w:t>
      </w:r>
      <w:r w:rsidR="00117EF4" w:rsidRPr="00C97010">
        <w:rPr>
          <w:color w:val="auto"/>
        </w:rPr>
        <w:t xml:space="preserve"> </w:t>
      </w:r>
      <w:r w:rsidR="0055571E">
        <w:rPr>
          <w:color w:val="auto"/>
        </w:rPr>
        <w:t>calculated</w:t>
      </w:r>
      <w:r w:rsidR="00117EF4" w:rsidRPr="00C97010">
        <w:rPr>
          <w:color w:val="auto"/>
        </w:rPr>
        <w:t xml:space="preserve"> the </w:t>
      </w:r>
      <w:r w:rsidR="001D1E45" w:rsidRPr="00C97010">
        <w:rPr>
          <w:color w:val="auto"/>
        </w:rPr>
        <w:t>theoretical</w:t>
      </w:r>
      <w:r w:rsidR="00117EF4" w:rsidRPr="00C97010">
        <w:rPr>
          <w:color w:val="auto"/>
        </w:rPr>
        <w:t xml:space="preserve"> storage capacity</w:t>
      </w:r>
      <w:r w:rsidR="00286F7E" w:rsidRPr="00C97010">
        <w:rPr>
          <w:color w:val="auto"/>
        </w:rPr>
        <w:t xml:space="preserve"> for low, </w:t>
      </w:r>
      <w:r w:rsidR="008D036E">
        <w:rPr>
          <w:color w:val="auto"/>
        </w:rPr>
        <w:t>median</w:t>
      </w:r>
      <w:r w:rsidR="00E90823">
        <w:rPr>
          <w:color w:val="auto"/>
        </w:rPr>
        <w:t>,</w:t>
      </w:r>
      <w:r w:rsidR="00286F7E" w:rsidRPr="00C97010">
        <w:rPr>
          <w:color w:val="auto"/>
        </w:rPr>
        <w:t xml:space="preserve"> and high cases</w:t>
      </w:r>
      <w:r w:rsidR="00117EF4" w:rsidRPr="00C97010">
        <w:rPr>
          <w:color w:val="auto"/>
        </w:rPr>
        <w:t xml:space="preserve"> using the methodology developed by US-DOE</w:t>
      </w:r>
      <w:r w:rsidR="00B429C3" w:rsidRPr="00C97010">
        <w:rPr>
          <w:color w:val="auto"/>
        </w:rPr>
        <w:t>.</w:t>
      </w:r>
      <w:r w:rsidR="0090174C" w:rsidRPr="00C97010">
        <w:rPr>
          <w:color w:val="auto"/>
        </w:rPr>
        <w:t xml:space="preserve"> </w:t>
      </w:r>
      <w:r w:rsidR="00B429C3" w:rsidRPr="00C97010">
        <w:rPr>
          <w:color w:val="auto"/>
        </w:rPr>
        <w:t>F</w:t>
      </w:r>
      <w:r w:rsidR="009D794A" w:rsidRPr="00C97010">
        <w:rPr>
          <w:color w:val="auto"/>
        </w:rPr>
        <w:t>or saline formations</w:t>
      </w:r>
      <w:r w:rsidR="009F0D8B" w:rsidRPr="00C97010">
        <w:rPr>
          <w:color w:val="auto"/>
        </w:rPr>
        <w:t>, the theoretical CO</w:t>
      </w:r>
      <w:r w:rsidR="009F0D8B" w:rsidRPr="00C97010">
        <w:rPr>
          <w:color w:val="auto"/>
          <w:vertAlign w:val="subscript"/>
        </w:rPr>
        <w:t>2</w:t>
      </w:r>
      <w:r w:rsidR="009F0D8B" w:rsidRPr="00C97010">
        <w:rPr>
          <w:color w:val="auto"/>
        </w:rPr>
        <w:t xml:space="preserve"> storage capacity is calculated </w:t>
      </w:r>
      <w:r w:rsidR="00E562BE" w:rsidRPr="00C97010">
        <w:rPr>
          <w:color w:val="auto"/>
        </w:rPr>
        <w:t>using the formula below</w:t>
      </w:r>
      <w:r w:rsidR="00861750" w:rsidRPr="00C97010">
        <w:rPr>
          <w:color w:val="auto"/>
        </w:rPr>
        <w:t xml:space="preserve"> (Goodman et al., 2011)</w:t>
      </w:r>
      <w:r w:rsidR="00E562BE" w:rsidRPr="00C97010">
        <w:rPr>
          <w:color w:val="auto"/>
        </w:rPr>
        <w:t>:</w:t>
      </w:r>
    </w:p>
    <w:p w14:paraId="36DF779C" w14:textId="33E7C298" w:rsidR="00AE5197" w:rsidRPr="00C97010" w:rsidRDefault="00000000" w:rsidP="00A77E71">
      <w:pPr>
        <w:rPr>
          <w:color w:val="auto"/>
        </w:rPr>
      </w:pPr>
      <m:oMathPara>
        <m:oMathParaPr>
          <m:jc m:val="left"/>
        </m:oMathParaPr>
        <m:oMath>
          <m:sSub>
            <m:sSubPr>
              <m:ctrlPr>
                <w:rPr>
                  <w:rFonts w:ascii="Cambria Math" w:hAnsi="Cambria Math"/>
                  <w:i/>
                  <w:color w:val="auto"/>
                </w:rPr>
              </m:ctrlPr>
            </m:sSubPr>
            <m:e>
              <m:r>
                <w:rPr>
                  <w:rFonts w:ascii="Cambria Math" w:hAnsi="Cambria Math"/>
                  <w:color w:val="auto"/>
                </w:rPr>
                <m:t>G</m:t>
              </m:r>
            </m:e>
            <m:sub>
              <m:sSub>
                <m:sSubPr>
                  <m:ctrlPr>
                    <w:rPr>
                      <w:rFonts w:ascii="Cambria Math" w:hAnsi="Cambria Math"/>
                      <w:i/>
                      <w:color w:val="auto"/>
                    </w:rPr>
                  </m:ctrlPr>
                </m:sSubPr>
                <m:e>
                  <m:r>
                    <w:rPr>
                      <w:rFonts w:ascii="Cambria Math" w:hAnsi="Cambria Math"/>
                      <w:color w:val="auto"/>
                    </w:rPr>
                    <m:t>CO</m:t>
                  </m:r>
                </m:e>
                <m:sub>
                  <m:r>
                    <w:rPr>
                      <w:rFonts w:ascii="Cambria Math" w:hAnsi="Cambria Math"/>
                      <w:color w:val="auto"/>
                    </w:rPr>
                    <m:t>2</m:t>
                  </m:r>
                </m:sub>
              </m:sSub>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t</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h</m:t>
              </m:r>
            </m:e>
            <m:sub>
              <m:r>
                <w:rPr>
                  <w:rFonts w:ascii="Cambria Math" w:hAnsi="Cambria Math"/>
                  <w:color w:val="auto"/>
                </w:rPr>
                <m:t>g</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m:t>
              </m:r>
            </m:e>
            <m:sub>
              <m:r>
                <w:rPr>
                  <w:rFonts w:ascii="Cambria Math" w:hAnsi="Cambria Math"/>
                  <w:color w:val="auto"/>
                </w:rPr>
                <m:t>total</m:t>
              </m:r>
            </m:sub>
          </m:sSub>
          <m:r>
            <w:rPr>
              <w:rFonts w:ascii="Cambria Math" w:hAnsi="Cambria Math"/>
              <w:color w:val="auto"/>
            </w:rPr>
            <m:t>*ρ*</m:t>
          </m:r>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saline</m:t>
              </m:r>
            </m:sub>
          </m:sSub>
          <m:r>
            <w:rPr>
              <w:rFonts w:ascii="Cambria Math" w:hAnsi="Cambria Math"/>
              <w:color w:val="auto"/>
            </w:rPr>
            <m:t xml:space="preserve">                                                                                                       (1)</m:t>
          </m:r>
        </m:oMath>
      </m:oMathPara>
    </w:p>
    <w:p w14:paraId="68639351" w14:textId="5C11D98B" w:rsidR="006A1ED7" w:rsidRPr="00B05CCF" w:rsidRDefault="00CC0C18" w:rsidP="00B05CCF">
      <w:pPr>
        <w:ind w:firstLine="720"/>
      </w:pPr>
      <w:r w:rsidRPr="00C97010">
        <w:rPr>
          <w:color w:val="auto"/>
        </w:rPr>
        <w:t>Where</w:t>
      </w:r>
      <w:r w:rsidR="0066226E" w:rsidRPr="00C97010">
        <w:rPr>
          <w:color w:val="auto"/>
        </w:rPr>
        <w:t xml:space="preserve"> </w:t>
      </w:r>
      <m:oMath>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t</m:t>
            </m:r>
          </m:sub>
        </m:sSub>
      </m:oMath>
      <w:r w:rsidR="00DD31E2" w:rsidRPr="00C97010">
        <w:rPr>
          <w:rFonts w:eastAsiaTheme="minorEastAsia"/>
          <w:color w:val="auto"/>
        </w:rPr>
        <w:t xml:space="preserve"> </w:t>
      </w:r>
      <w:r w:rsidR="00872F23" w:rsidRPr="00C97010">
        <w:rPr>
          <w:rFonts w:eastAsiaTheme="minorEastAsia"/>
          <w:color w:val="auto"/>
        </w:rPr>
        <w:t xml:space="preserve">represents </w:t>
      </w:r>
      <w:r w:rsidR="00E90823">
        <w:rPr>
          <w:rFonts w:eastAsiaTheme="minorEastAsia"/>
          <w:color w:val="auto"/>
        </w:rPr>
        <w:t xml:space="preserve">the </w:t>
      </w:r>
      <w:r w:rsidR="00872F23" w:rsidRPr="00C97010">
        <w:rPr>
          <w:rFonts w:eastAsiaTheme="minorEastAsia"/>
          <w:color w:val="auto"/>
        </w:rPr>
        <w:t xml:space="preserve">total area, </w:t>
      </w:r>
      <m:oMath>
        <m:sSub>
          <m:sSubPr>
            <m:ctrlPr>
              <w:rPr>
                <w:rFonts w:ascii="Cambria Math" w:hAnsi="Cambria Math"/>
                <w:i/>
                <w:color w:val="auto"/>
              </w:rPr>
            </m:ctrlPr>
          </m:sSubPr>
          <m:e>
            <m:r>
              <w:rPr>
                <w:rFonts w:ascii="Cambria Math" w:hAnsi="Cambria Math"/>
                <w:color w:val="auto"/>
              </w:rPr>
              <m:t>h</m:t>
            </m:r>
          </m:e>
          <m:sub>
            <m:r>
              <w:rPr>
                <w:rFonts w:ascii="Cambria Math" w:hAnsi="Cambria Math"/>
                <w:color w:val="auto"/>
              </w:rPr>
              <m:t>g</m:t>
            </m:r>
          </m:sub>
        </m:sSub>
      </m:oMath>
      <w:r w:rsidR="00872F23" w:rsidRPr="00C97010">
        <w:rPr>
          <w:rFonts w:eastAsiaTheme="minorEastAsia"/>
          <w:color w:val="auto"/>
        </w:rPr>
        <w:t xml:space="preserve"> </w:t>
      </w:r>
      <w:r w:rsidR="00E90823">
        <w:rPr>
          <w:rFonts w:eastAsiaTheme="minorEastAsia"/>
          <w:color w:val="auto"/>
        </w:rPr>
        <w:t>I</w:t>
      </w:r>
      <w:r w:rsidR="00872F23" w:rsidRPr="00C97010">
        <w:rPr>
          <w:rFonts w:eastAsiaTheme="minorEastAsia"/>
          <w:color w:val="auto"/>
        </w:rPr>
        <w:t xml:space="preserve">s the </w:t>
      </w:r>
      <w:r w:rsidR="001346AF" w:rsidRPr="00C97010">
        <w:rPr>
          <w:rFonts w:eastAsiaTheme="minorEastAsia"/>
          <w:color w:val="auto"/>
        </w:rPr>
        <w:t xml:space="preserve">gross formation thickness, </w:t>
      </w:r>
      <m:oMath>
        <m:sSub>
          <m:sSubPr>
            <m:ctrlPr>
              <w:rPr>
                <w:rFonts w:ascii="Cambria Math" w:hAnsi="Cambria Math"/>
                <w:i/>
                <w:color w:val="auto"/>
              </w:rPr>
            </m:ctrlPr>
          </m:sSubPr>
          <m:e>
            <m:r>
              <w:rPr>
                <w:rFonts w:ascii="Cambria Math" w:hAnsi="Cambria Math"/>
                <w:color w:val="auto"/>
              </w:rPr>
              <m:t>∅</m:t>
            </m:r>
          </m:e>
          <m:sub>
            <m:r>
              <w:rPr>
                <w:rFonts w:ascii="Cambria Math" w:hAnsi="Cambria Math"/>
                <w:color w:val="auto"/>
              </w:rPr>
              <m:t>total</m:t>
            </m:r>
          </m:sub>
        </m:sSub>
      </m:oMath>
      <w:r w:rsidR="001346AF" w:rsidRPr="00C97010">
        <w:rPr>
          <w:rFonts w:eastAsiaTheme="minorEastAsia"/>
          <w:color w:val="auto"/>
        </w:rPr>
        <w:t xml:space="preserve"> is the total porosity</w:t>
      </w:r>
      <w:r w:rsidR="00764346" w:rsidRPr="00C97010">
        <w:rPr>
          <w:rFonts w:eastAsiaTheme="minorEastAsia"/>
          <w:color w:val="auto"/>
        </w:rPr>
        <w:t xml:space="preserve"> (v/v),</w:t>
      </w:r>
      <w:r w:rsidR="00DE60DB" w:rsidRPr="00C97010">
        <w:rPr>
          <w:rFonts w:eastAsiaTheme="minorEastAsia"/>
          <w:color w:val="auto"/>
        </w:rPr>
        <w:t xml:space="preserve"> </w:t>
      </w:r>
      <m:oMath>
        <m:r>
          <w:rPr>
            <w:rFonts w:ascii="Cambria Math" w:hAnsi="Cambria Math"/>
            <w:color w:val="auto"/>
          </w:rPr>
          <m:t>ρ</m:t>
        </m:r>
      </m:oMath>
      <w:r w:rsidR="00DE60DB" w:rsidRPr="00C97010">
        <w:rPr>
          <w:rFonts w:eastAsiaTheme="minorEastAsia"/>
          <w:color w:val="auto"/>
        </w:rPr>
        <w:t xml:space="preserve"> is the density of the CO</w:t>
      </w:r>
      <w:r w:rsidR="00DE60DB" w:rsidRPr="00C97010">
        <w:rPr>
          <w:rFonts w:eastAsiaTheme="minorEastAsia"/>
          <w:color w:val="auto"/>
          <w:vertAlign w:val="subscript"/>
        </w:rPr>
        <w:t>2</w:t>
      </w:r>
      <w:r w:rsidR="00DE60DB" w:rsidRPr="00C97010">
        <w:rPr>
          <w:color w:val="auto"/>
        </w:rPr>
        <w:t xml:space="preser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saline</m:t>
            </m:r>
          </m:sub>
        </m:sSub>
        <m:r>
          <w:rPr>
            <w:rFonts w:ascii="Cambria Math" w:hAnsi="Cambria Math"/>
            <w:color w:val="auto"/>
          </w:rPr>
          <m:t xml:space="preserve"> </m:t>
        </m:r>
      </m:oMath>
      <w:r w:rsidR="00AD2199" w:rsidRPr="00C97010">
        <w:rPr>
          <w:rFonts w:eastAsiaTheme="minorEastAsia"/>
          <w:color w:val="auto"/>
        </w:rPr>
        <w:t xml:space="preserve">is the efficiency factor corresponding to the fraction of the </w:t>
      </w:r>
      <w:r w:rsidR="00C815B6" w:rsidRPr="00C97010">
        <w:rPr>
          <w:rFonts w:eastAsiaTheme="minorEastAsia"/>
          <w:color w:val="auto"/>
        </w:rPr>
        <w:t>total pore volume that will be taken by the injected CO</w:t>
      </w:r>
      <w:r w:rsidR="00C815B6" w:rsidRPr="00C97010">
        <w:rPr>
          <w:rFonts w:eastAsiaTheme="minorEastAsia"/>
          <w:color w:val="auto"/>
          <w:vertAlign w:val="subscript"/>
        </w:rPr>
        <w:t>2</w:t>
      </w:r>
      <w:r w:rsidR="00C815B6" w:rsidRPr="00C97010">
        <w:rPr>
          <w:rFonts w:eastAsiaTheme="minorEastAsia"/>
          <w:color w:val="auto"/>
        </w:rPr>
        <w:t xml:space="preserve"> (Goodman et al</w:t>
      </w:r>
      <w:r w:rsidR="00736CE3">
        <w:rPr>
          <w:rFonts w:eastAsiaTheme="minorEastAsia"/>
          <w:color w:val="auto"/>
        </w:rPr>
        <w:t>.</w:t>
      </w:r>
      <w:r w:rsidR="00C815B6" w:rsidRPr="00C97010">
        <w:rPr>
          <w:rFonts w:eastAsiaTheme="minorEastAsia"/>
          <w:color w:val="auto"/>
        </w:rPr>
        <w:t>, 2011).</w:t>
      </w:r>
      <w:r w:rsidR="00A03A3F" w:rsidRPr="00C97010">
        <w:rPr>
          <w:rFonts w:eastAsiaTheme="minorEastAsia"/>
          <w:color w:val="auto"/>
        </w:rPr>
        <w:t xml:space="preserve"> </w:t>
      </w:r>
      <w:r w:rsidR="00810D93" w:rsidRPr="00C97010">
        <w:rPr>
          <w:rFonts w:eastAsiaTheme="minorEastAsia"/>
          <w:color w:val="auto"/>
        </w:rPr>
        <w:t>For th</w:t>
      </w:r>
      <w:r w:rsidR="00A617C2" w:rsidRPr="00C97010">
        <w:rPr>
          <w:rFonts w:eastAsiaTheme="minorEastAsia"/>
          <w:color w:val="auto"/>
        </w:rPr>
        <w:t xml:space="preserve">e area calculation, we used the </w:t>
      </w:r>
      <w:r w:rsidR="00F24CCD" w:rsidRPr="00C97010">
        <w:rPr>
          <w:rFonts w:eastAsiaTheme="minorEastAsia"/>
          <w:color w:val="auto"/>
        </w:rPr>
        <w:t xml:space="preserve">total area of the reservoir model grid, and for the gross </w:t>
      </w:r>
      <w:r w:rsidR="008A736B" w:rsidRPr="00C97010">
        <w:rPr>
          <w:rFonts w:eastAsiaTheme="minorEastAsia"/>
          <w:color w:val="auto"/>
        </w:rPr>
        <w:t>thickness, we</w:t>
      </w:r>
      <w:r w:rsidR="00286F7E" w:rsidRPr="00C97010">
        <w:rPr>
          <w:rFonts w:eastAsiaTheme="minorEastAsia"/>
          <w:color w:val="auto"/>
        </w:rPr>
        <w:t xml:space="preserve"> used the minimum, </w:t>
      </w:r>
      <w:r w:rsidR="00830666">
        <w:rPr>
          <w:rFonts w:eastAsiaTheme="minorEastAsia"/>
          <w:color w:val="auto"/>
        </w:rPr>
        <w:t>median</w:t>
      </w:r>
      <w:r w:rsidR="00736CE3">
        <w:rPr>
          <w:rFonts w:eastAsiaTheme="minorEastAsia"/>
          <w:color w:val="auto"/>
        </w:rPr>
        <w:t>,</w:t>
      </w:r>
      <w:r w:rsidR="00286F7E" w:rsidRPr="00C97010">
        <w:rPr>
          <w:rFonts w:eastAsiaTheme="minorEastAsia"/>
          <w:color w:val="auto"/>
        </w:rPr>
        <w:t xml:space="preserve"> and </w:t>
      </w:r>
      <w:r w:rsidR="00830666">
        <w:rPr>
          <w:rFonts w:eastAsiaTheme="minorEastAsia"/>
          <w:color w:val="auto"/>
        </w:rPr>
        <w:t>90</w:t>
      </w:r>
      <w:r w:rsidR="00830666" w:rsidRPr="00830666">
        <w:rPr>
          <w:rFonts w:eastAsiaTheme="minorEastAsia"/>
          <w:color w:val="auto"/>
          <w:vertAlign w:val="superscript"/>
        </w:rPr>
        <w:t>th</w:t>
      </w:r>
      <w:r w:rsidR="00830666">
        <w:rPr>
          <w:rFonts w:eastAsiaTheme="minorEastAsia"/>
          <w:color w:val="auto"/>
        </w:rPr>
        <w:t xml:space="preserve"> percentile</w:t>
      </w:r>
      <w:r w:rsidR="00830666" w:rsidRPr="00C97010">
        <w:rPr>
          <w:rFonts w:eastAsiaTheme="minorEastAsia"/>
          <w:color w:val="auto"/>
        </w:rPr>
        <w:t xml:space="preserve"> </w:t>
      </w:r>
      <w:r w:rsidR="00286F7E" w:rsidRPr="00C97010">
        <w:rPr>
          <w:rFonts w:eastAsiaTheme="minorEastAsia"/>
          <w:color w:val="auto"/>
        </w:rPr>
        <w:t xml:space="preserve">thickness </w:t>
      </w:r>
      <w:r w:rsidR="00074CE6" w:rsidRPr="00C97010">
        <w:rPr>
          <w:rFonts w:eastAsiaTheme="minorEastAsia"/>
          <w:color w:val="auto"/>
        </w:rPr>
        <w:t xml:space="preserve">values taken from the </w:t>
      </w:r>
      <w:r w:rsidR="00155BB4">
        <w:rPr>
          <w:rFonts w:eastAsiaTheme="minorEastAsia"/>
          <w:color w:val="auto"/>
        </w:rPr>
        <w:t>modeling grid isopach maps for the Arbuckle zone A and the entire Arbuckle group.</w:t>
      </w:r>
      <w:r w:rsidR="00B61B01" w:rsidRPr="00C97010">
        <w:rPr>
          <w:rFonts w:eastAsiaTheme="minorEastAsia"/>
          <w:color w:val="auto"/>
        </w:rPr>
        <w:t xml:space="preserve"> </w:t>
      </w:r>
      <w:r w:rsidR="00E71226">
        <w:rPr>
          <w:rFonts w:eastAsiaTheme="minorEastAsia"/>
          <w:color w:val="auto"/>
        </w:rPr>
        <w:t>We have used the 10</w:t>
      </w:r>
      <w:r w:rsidR="00E71226" w:rsidRPr="00E86CAD">
        <w:rPr>
          <w:rFonts w:eastAsiaTheme="minorEastAsia"/>
          <w:color w:val="auto"/>
          <w:vertAlign w:val="superscript"/>
        </w:rPr>
        <w:t>th</w:t>
      </w:r>
      <w:r w:rsidR="00E71226">
        <w:rPr>
          <w:rFonts w:eastAsiaTheme="minorEastAsia"/>
          <w:color w:val="auto"/>
        </w:rPr>
        <w:t>, 50</w:t>
      </w:r>
      <w:r w:rsidR="00E71226" w:rsidRPr="00E86CAD">
        <w:rPr>
          <w:rFonts w:eastAsiaTheme="minorEastAsia"/>
          <w:color w:val="auto"/>
          <w:vertAlign w:val="superscript"/>
        </w:rPr>
        <w:t>th</w:t>
      </w:r>
      <w:r w:rsidR="00E86CAD" w:rsidRPr="00E86CAD">
        <w:rPr>
          <w:rFonts w:eastAsiaTheme="minorEastAsia"/>
          <w:color w:val="auto"/>
        </w:rPr>
        <w:t>,</w:t>
      </w:r>
      <w:r w:rsidR="00E71226">
        <w:rPr>
          <w:rFonts w:eastAsiaTheme="minorEastAsia"/>
          <w:color w:val="auto"/>
        </w:rPr>
        <w:t xml:space="preserve"> and 90</w:t>
      </w:r>
      <w:r w:rsidR="00E71226" w:rsidRPr="00E86CAD">
        <w:rPr>
          <w:rFonts w:eastAsiaTheme="minorEastAsia"/>
          <w:color w:val="auto"/>
          <w:vertAlign w:val="superscript"/>
        </w:rPr>
        <w:t>th</w:t>
      </w:r>
      <w:r w:rsidR="00E71226">
        <w:rPr>
          <w:rFonts w:eastAsiaTheme="minorEastAsia"/>
          <w:color w:val="auto"/>
        </w:rPr>
        <w:t xml:space="preserve"> percentiles of total porosity values taken from the porosity model</w:t>
      </w:r>
      <w:r w:rsidR="00F940AE" w:rsidRPr="00C97010">
        <w:rPr>
          <w:rFonts w:eastAsiaTheme="minorEastAsia"/>
          <w:color w:val="auto"/>
        </w:rPr>
        <w:t>.</w:t>
      </w:r>
      <w:r w:rsidR="005D10E6" w:rsidRPr="00C97010">
        <w:rPr>
          <w:rFonts w:eastAsiaTheme="minorEastAsia"/>
          <w:color w:val="auto"/>
        </w:rPr>
        <w:t xml:space="preserve"> For the </w:t>
      </w:r>
      <w:r w:rsidR="00981B22" w:rsidRPr="00C97010">
        <w:rPr>
          <w:rFonts w:eastAsiaTheme="minorEastAsia"/>
          <w:color w:val="auto"/>
        </w:rPr>
        <w:t>CO</w:t>
      </w:r>
      <w:r w:rsidR="00981B22" w:rsidRPr="00C97010">
        <w:rPr>
          <w:rFonts w:eastAsiaTheme="minorEastAsia"/>
          <w:color w:val="auto"/>
          <w:vertAlign w:val="subscript"/>
        </w:rPr>
        <w:t>2</w:t>
      </w:r>
      <w:r w:rsidR="005D10E6" w:rsidRPr="00C97010">
        <w:rPr>
          <w:rFonts w:eastAsiaTheme="minorEastAsia"/>
          <w:color w:val="auto"/>
        </w:rPr>
        <w:t xml:space="preserve"> density value, we used </w:t>
      </w:r>
      <w:r w:rsidR="0066422B" w:rsidRPr="00C97010">
        <w:rPr>
          <w:rFonts w:eastAsiaTheme="minorEastAsia"/>
          <w:color w:val="auto"/>
        </w:rPr>
        <w:t xml:space="preserve">the average </w:t>
      </w:r>
      <w:r w:rsidR="005D10E6" w:rsidRPr="00C97010">
        <w:rPr>
          <w:rFonts w:eastAsiaTheme="minorEastAsia"/>
          <w:color w:val="auto"/>
        </w:rPr>
        <w:t xml:space="preserve">value calculated by </w:t>
      </w:r>
      <w:r w:rsidR="00202AEE" w:rsidRPr="00C97010">
        <w:rPr>
          <w:rFonts w:eastAsiaTheme="minorEastAsia"/>
          <w:color w:val="auto"/>
        </w:rPr>
        <w:t>Watney and Rush (2012)</w:t>
      </w:r>
      <w:r w:rsidR="00981B22" w:rsidRPr="00C97010">
        <w:rPr>
          <w:rFonts w:eastAsiaTheme="minorEastAsia"/>
          <w:color w:val="auto"/>
        </w:rPr>
        <w:t xml:space="preserve"> and Holubnyak (2017)</w:t>
      </w:r>
      <w:r w:rsidR="0066422B" w:rsidRPr="00C97010">
        <w:rPr>
          <w:rFonts w:eastAsiaTheme="minorEastAsia"/>
          <w:color w:val="auto"/>
        </w:rPr>
        <w:t xml:space="preserve"> based on the average depth, temperature</w:t>
      </w:r>
      <w:r w:rsidR="00E71226">
        <w:rPr>
          <w:rFonts w:eastAsiaTheme="minorEastAsia"/>
          <w:color w:val="auto"/>
        </w:rPr>
        <w:t>,</w:t>
      </w:r>
      <w:r w:rsidR="0066422B" w:rsidRPr="00C97010">
        <w:rPr>
          <w:rFonts w:eastAsiaTheme="minorEastAsia"/>
          <w:color w:val="auto"/>
        </w:rPr>
        <w:t xml:space="preserve"> and pressure values of the Arbuckle Group in the study area</w:t>
      </w:r>
      <w:r w:rsidR="00202AEE" w:rsidRPr="00C97010">
        <w:rPr>
          <w:rFonts w:eastAsiaTheme="minorEastAsia"/>
          <w:color w:val="auto"/>
        </w:rPr>
        <w:t>.</w:t>
      </w:r>
      <w:r w:rsidR="004D367E" w:rsidRPr="00C97010">
        <w:rPr>
          <w:rFonts w:eastAsiaTheme="minorEastAsia"/>
          <w:color w:val="auto"/>
        </w:rPr>
        <w:t xml:space="preserve"> For the </w:t>
      </w:r>
      <w:r w:rsidR="0066422B" w:rsidRPr="00C97010">
        <w:rPr>
          <w:rFonts w:eastAsiaTheme="minorEastAsia"/>
          <w:color w:val="auto"/>
        </w:rPr>
        <w:t>e</w:t>
      </w:r>
      <w:r w:rsidR="004D367E" w:rsidRPr="00C97010">
        <w:rPr>
          <w:rFonts w:eastAsiaTheme="minorEastAsia"/>
          <w:color w:val="auto"/>
        </w:rPr>
        <w:t>fficiency factor values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saline</m:t>
            </m:r>
          </m:sub>
        </m:sSub>
        <m:r>
          <w:rPr>
            <w:rFonts w:ascii="Cambria Math" w:hAnsi="Cambria Math"/>
            <w:color w:val="auto"/>
          </w:rPr>
          <m:t>)</m:t>
        </m:r>
      </m:oMath>
      <w:r w:rsidR="004D367E" w:rsidRPr="00C97010">
        <w:rPr>
          <w:rFonts w:eastAsiaTheme="minorEastAsia"/>
          <w:color w:val="auto"/>
        </w:rPr>
        <w:t xml:space="preserve"> </w:t>
      </w:r>
      <w:r w:rsidR="009D3446" w:rsidRPr="00C97010">
        <w:rPr>
          <w:rFonts w:eastAsiaTheme="minorEastAsia"/>
          <w:color w:val="auto"/>
        </w:rPr>
        <w:t>we used the P10, P50</w:t>
      </w:r>
      <w:r w:rsidR="00E71226">
        <w:rPr>
          <w:rFonts w:eastAsiaTheme="minorEastAsia"/>
          <w:color w:val="auto"/>
        </w:rPr>
        <w:t>,</w:t>
      </w:r>
      <w:r w:rsidR="009D3446" w:rsidRPr="00C97010">
        <w:rPr>
          <w:rFonts w:eastAsiaTheme="minorEastAsia"/>
          <w:color w:val="auto"/>
        </w:rPr>
        <w:t xml:space="preserve"> and P90 values developed for dolomites </w:t>
      </w:r>
      <w:r w:rsidR="00F4170E" w:rsidRPr="00C97010">
        <w:rPr>
          <w:rFonts w:eastAsiaTheme="minorEastAsia"/>
          <w:color w:val="auto"/>
        </w:rPr>
        <w:t xml:space="preserve">established by Goodman et al. </w:t>
      </w:r>
      <w:r w:rsidR="00C15D4D">
        <w:rPr>
          <w:rFonts w:eastAsiaTheme="minorEastAsia"/>
          <w:color w:val="auto"/>
        </w:rPr>
        <w:t>(</w:t>
      </w:r>
      <w:r w:rsidR="00F4170E" w:rsidRPr="00C97010">
        <w:rPr>
          <w:rFonts w:eastAsiaTheme="minorEastAsia"/>
          <w:color w:val="auto"/>
        </w:rPr>
        <w:t>2011)</w:t>
      </w:r>
      <w:r w:rsidR="007A44CD">
        <w:rPr>
          <w:rFonts w:eastAsiaTheme="minorEastAsia"/>
          <w:color w:val="auto"/>
        </w:rPr>
        <w:t xml:space="preserve">. The summary of the input values can be seen </w:t>
      </w:r>
      <w:r w:rsidR="00E71226">
        <w:rPr>
          <w:rFonts w:eastAsiaTheme="minorEastAsia"/>
          <w:color w:val="auto"/>
        </w:rPr>
        <w:t>in</w:t>
      </w:r>
      <w:r w:rsidR="00B05CCF">
        <w:rPr>
          <w:rFonts w:eastAsiaTheme="minorEastAsia"/>
          <w:color w:val="auto"/>
        </w:rPr>
        <w:t xml:space="preserve"> </w:t>
      </w:r>
      <w:r w:rsidR="00B05CCF" w:rsidRPr="00C97010">
        <w:rPr>
          <w:rFonts w:eastAsiaTheme="minorEastAsia"/>
          <w:color w:val="auto"/>
        </w:rPr>
        <w:t>Table</w:t>
      </w:r>
      <w:r w:rsidR="00A875D3">
        <w:rPr>
          <w:rFonts w:eastAsiaTheme="minorEastAsia"/>
          <w:color w:val="auto"/>
        </w:rPr>
        <w:t>s</w:t>
      </w:r>
      <w:r w:rsidR="00B05CCF" w:rsidRPr="00C97010">
        <w:rPr>
          <w:rFonts w:eastAsiaTheme="minorEastAsia"/>
          <w:color w:val="auto"/>
        </w:rPr>
        <w:t xml:space="preserve"> </w:t>
      </w:r>
      <w:r w:rsidR="002F2D8F">
        <w:rPr>
          <w:rFonts w:eastAsiaTheme="minorEastAsia"/>
          <w:color w:val="auto"/>
        </w:rPr>
        <w:t>3.</w:t>
      </w:r>
      <w:r w:rsidR="00B05CCF" w:rsidRPr="00C97010">
        <w:rPr>
          <w:rFonts w:eastAsiaTheme="minorEastAsia"/>
          <w:color w:val="auto"/>
        </w:rPr>
        <w:t>1</w:t>
      </w:r>
      <w:r w:rsidR="00A875D3">
        <w:rPr>
          <w:rFonts w:eastAsiaTheme="minorEastAsia"/>
          <w:color w:val="auto"/>
        </w:rPr>
        <w:t xml:space="preserve"> and </w:t>
      </w:r>
      <w:r w:rsidR="002F2D8F">
        <w:rPr>
          <w:rFonts w:eastAsiaTheme="minorEastAsia"/>
          <w:color w:val="auto"/>
        </w:rPr>
        <w:t>3.</w:t>
      </w:r>
      <w:r w:rsidR="00A875D3">
        <w:rPr>
          <w:rFonts w:eastAsiaTheme="minorEastAsia"/>
          <w:color w:val="auto"/>
        </w:rPr>
        <w:t>2</w:t>
      </w:r>
      <w:r w:rsidR="00B05CCF" w:rsidRPr="00C97010">
        <w:rPr>
          <w:rFonts w:eastAsiaTheme="minorEastAsia"/>
          <w:color w:val="auto"/>
        </w:rPr>
        <w:t>.</w:t>
      </w:r>
      <w:r w:rsidR="00B05CCF">
        <w:t xml:space="preserve"> </w:t>
      </w:r>
    </w:p>
    <w:p w14:paraId="70997CA1" w14:textId="488AA76E" w:rsidR="000144A9" w:rsidRDefault="000144A9" w:rsidP="000144A9">
      <w:pPr>
        <w:pStyle w:val="Heading3"/>
      </w:pPr>
      <w:bookmarkStart w:id="661" w:name="_Toc121095986"/>
      <w:r>
        <w:t xml:space="preserve">Dynamic </w:t>
      </w:r>
      <w:r w:rsidR="00F61807">
        <w:t>f</w:t>
      </w:r>
      <w:r>
        <w:t xml:space="preserve">low </w:t>
      </w:r>
      <w:r w:rsidR="00F61807">
        <w:t>s</w:t>
      </w:r>
      <w:r>
        <w:t>imulation</w:t>
      </w:r>
      <w:bookmarkEnd w:id="661"/>
    </w:p>
    <w:p w14:paraId="4B4F31A3" w14:textId="3EF26757" w:rsidR="000144A9" w:rsidRPr="00F66327" w:rsidRDefault="00E71226" w:rsidP="0019292E">
      <w:pPr>
        <w:ind w:firstLine="720"/>
        <w:rPr>
          <w:rFonts w:eastAsiaTheme="minorEastAsia"/>
          <w:szCs w:val="18"/>
        </w:rPr>
      </w:pPr>
      <w:r>
        <w:t>We performed dynamic simulation using commercial reservoir simulation software to investigate CO</w:t>
      </w:r>
      <w:r w:rsidRPr="007F7604">
        <w:rPr>
          <w:vertAlign w:val="subscript"/>
        </w:rPr>
        <w:t>2</w:t>
      </w:r>
      <w:r>
        <w:t xml:space="preserve"> plume dynamics in injection and post-injection periods within the study area</w:t>
      </w:r>
      <w:r w:rsidR="000144A9" w:rsidRPr="00F66327">
        <w:rPr>
          <w:rFonts w:eastAsiaTheme="minorEastAsia"/>
          <w:szCs w:val="18"/>
        </w:rPr>
        <w:t>.</w:t>
      </w:r>
      <w:r w:rsidR="000144A9" w:rsidRPr="00F66327">
        <w:t xml:space="preserve"> </w:t>
      </w:r>
      <w:r w:rsidR="000144A9" w:rsidRPr="00F66327">
        <w:rPr>
          <w:rFonts w:eastAsiaTheme="minorEastAsia"/>
          <w:szCs w:val="18"/>
        </w:rPr>
        <w:t xml:space="preserve">For </w:t>
      </w:r>
      <w:r w:rsidR="000144A9" w:rsidRPr="00F66327">
        <w:rPr>
          <w:rFonts w:eastAsiaTheme="minorEastAsia"/>
          <w:szCs w:val="18"/>
        </w:rPr>
        <w:lastRenderedPageBreak/>
        <w:t xml:space="preserve">this process, we </w:t>
      </w:r>
      <w:r w:rsidR="000144A9">
        <w:rPr>
          <w:rFonts w:eastAsiaTheme="minorEastAsia"/>
          <w:szCs w:val="18"/>
        </w:rPr>
        <w:t>input</w:t>
      </w:r>
      <w:r w:rsidR="000144A9" w:rsidRPr="00F66327">
        <w:rPr>
          <w:rFonts w:eastAsiaTheme="minorEastAsia"/>
          <w:szCs w:val="18"/>
        </w:rPr>
        <w:t xml:space="preserve"> the </w:t>
      </w:r>
      <w:r w:rsidR="000144A9">
        <w:rPr>
          <w:rFonts w:eastAsiaTheme="minorEastAsia"/>
          <w:szCs w:val="18"/>
        </w:rPr>
        <w:t xml:space="preserve">3D </w:t>
      </w:r>
      <w:r w:rsidR="000144A9" w:rsidRPr="00F66327">
        <w:rPr>
          <w:rFonts w:eastAsiaTheme="minorEastAsia"/>
          <w:szCs w:val="18"/>
        </w:rPr>
        <w:t>petrofacies</w:t>
      </w:r>
      <w:r w:rsidR="000144A9">
        <w:rPr>
          <w:rFonts w:eastAsiaTheme="minorEastAsia"/>
          <w:szCs w:val="18"/>
        </w:rPr>
        <w:t>, porosity</w:t>
      </w:r>
      <w:r w:rsidR="00181B94">
        <w:rPr>
          <w:rFonts w:eastAsiaTheme="minorEastAsia"/>
          <w:szCs w:val="18"/>
        </w:rPr>
        <w:t>,</w:t>
      </w:r>
      <w:r w:rsidR="000144A9">
        <w:rPr>
          <w:rFonts w:eastAsiaTheme="minorEastAsia"/>
          <w:szCs w:val="18"/>
        </w:rPr>
        <w:t xml:space="preserve"> and permeability models,</w:t>
      </w:r>
      <w:r w:rsidR="000144A9" w:rsidRPr="00F66327">
        <w:rPr>
          <w:rFonts w:eastAsiaTheme="minorEastAsia"/>
          <w:szCs w:val="18"/>
        </w:rPr>
        <w:t xml:space="preserve"> </w:t>
      </w:r>
      <w:r w:rsidR="000144A9">
        <w:rPr>
          <w:rFonts w:eastAsiaTheme="minorEastAsia"/>
          <w:szCs w:val="18"/>
        </w:rPr>
        <w:t xml:space="preserve">3D models of </w:t>
      </w:r>
      <w:r w:rsidR="008C5575">
        <w:rPr>
          <w:rFonts w:eastAsiaTheme="minorEastAsia"/>
          <w:szCs w:val="18"/>
        </w:rPr>
        <w:t xml:space="preserve">ion concentrations </w:t>
      </w:r>
      <w:r w:rsidR="000144A9">
        <w:rPr>
          <w:rFonts w:eastAsiaTheme="minorEastAsia"/>
          <w:szCs w:val="18"/>
        </w:rPr>
        <w:t>in the brine</w:t>
      </w:r>
      <w:r w:rsidR="000132BD">
        <w:rPr>
          <w:rFonts w:eastAsiaTheme="minorEastAsia"/>
          <w:szCs w:val="18"/>
        </w:rPr>
        <w:t>,</w:t>
      </w:r>
      <w:r w:rsidR="00873B29">
        <w:rPr>
          <w:rFonts w:eastAsiaTheme="minorEastAsia"/>
          <w:szCs w:val="18"/>
        </w:rPr>
        <w:t xml:space="preserve"> </w:t>
      </w:r>
      <w:r w:rsidR="00D91BC4">
        <w:rPr>
          <w:rFonts w:eastAsiaTheme="minorEastAsia"/>
          <w:szCs w:val="18"/>
        </w:rPr>
        <w:t>and additional parameters such as relative permeability</w:t>
      </w:r>
      <w:r w:rsidR="002D70A7">
        <w:rPr>
          <w:rFonts w:eastAsiaTheme="minorEastAsia"/>
          <w:szCs w:val="18"/>
        </w:rPr>
        <w:t xml:space="preserve"> and ca</w:t>
      </w:r>
      <w:r w:rsidR="000C4F95">
        <w:rPr>
          <w:rFonts w:eastAsiaTheme="minorEastAsia"/>
          <w:szCs w:val="18"/>
        </w:rPr>
        <w:t>pillary pressure curves</w:t>
      </w:r>
      <w:r w:rsidR="000144A9">
        <w:rPr>
          <w:rFonts w:eastAsiaTheme="minorEastAsia"/>
          <w:szCs w:val="18"/>
        </w:rPr>
        <w:t xml:space="preserve"> </w:t>
      </w:r>
      <w:r w:rsidR="008C5575" w:rsidRPr="00F66327">
        <w:rPr>
          <w:rFonts w:eastAsiaTheme="minorEastAsia"/>
          <w:szCs w:val="18"/>
        </w:rPr>
        <w:t>(</w:t>
      </w:r>
      <w:r w:rsidR="008C5575">
        <w:rPr>
          <w:rFonts w:eastAsiaTheme="minorEastAsia"/>
          <w:szCs w:val="18"/>
        </w:rPr>
        <w:t>Appendix- C</w:t>
      </w:r>
      <w:r w:rsidR="008C5575" w:rsidRPr="00F66327">
        <w:rPr>
          <w:rFonts w:eastAsiaTheme="minorEastAsia"/>
          <w:szCs w:val="18"/>
        </w:rPr>
        <w:t>).</w:t>
      </w:r>
      <w:r w:rsidR="008C5575">
        <w:rPr>
          <w:rFonts w:eastAsiaTheme="minorEastAsia"/>
          <w:szCs w:val="18"/>
        </w:rPr>
        <w:t xml:space="preserve"> </w:t>
      </w:r>
      <w:r w:rsidR="002376BF" w:rsidRPr="00816922">
        <w:rPr>
          <w:rFonts w:eastAsiaTheme="minorEastAsia"/>
          <w:szCs w:val="18"/>
        </w:rPr>
        <w:t>Isotropic horizontal permeability (i- and j-orientation</w:t>
      </w:r>
      <w:r w:rsidR="00181B94">
        <w:rPr>
          <w:rFonts w:eastAsiaTheme="minorEastAsia"/>
          <w:szCs w:val="18"/>
        </w:rPr>
        <w:t>s</w:t>
      </w:r>
      <w:r w:rsidR="002376BF" w:rsidRPr="00816922">
        <w:rPr>
          <w:rFonts w:eastAsiaTheme="minorEastAsia"/>
          <w:szCs w:val="18"/>
        </w:rPr>
        <w:t xml:space="preserve">) </w:t>
      </w:r>
      <w:r w:rsidR="006C568F">
        <w:rPr>
          <w:rFonts w:eastAsiaTheme="minorEastAsia"/>
          <w:szCs w:val="18"/>
        </w:rPr>
        <w:t>wa</w:t>
      </w:r>
      <w:r w:rsidR="002376BF" w:rsidRPr="00816922">
        <w:rPr>
          <w:rFonts w:eastAsiaTheme="minorEastAsia"/>
          <w:szCs w:val="18"/>
        </w:rPr>
        <w:t>s used</w:t>
      </w:r>
      <w:r w:rsidR="006C568F">
        <w:rPr>
          <w:rFonts w:eastAsiaTheme="minorEastAsia"/>
          <w:szCs w:val="18"/>
        </w:rPr>
        <w:t>,</w:t>
      </w:r>
      <w:r w:rsidR="002376BF" w:rsidRPr="00816922">
        <w:rPr>
          <w:rFonts w:eastAsiaTheme="minorEastAsia"/>
          <w:szCs w:val="18"/>
        </w:rPr>
        <w:t xml:space="preserve"> and vertical</w:t>
      </w:r>
      <w:r w:rsidR="002376BF">
        <w:rPr>
          <w:rFonts w:eastAsiaTheme="minorEastAsia"/>
          <w:szCs w:val="18"/>
        </w:rPr>
        <w:t xml:space="preserve"> </w:t>
      </w:r>
      <w:r w:rsidR="002376BF" w:rsidRPr="00816922">
        <w:rPr>
          <w:rFonts w:eastAsiaTheme="minorEastAsia"/>
          <w:szCs w:val="18"/>
        </w:rPr>
        <w:t>permeability (k-orientation) was scaled to 10% of the horizontal permeabilit</w:t>
      </w:r>
      <w:r w:rsidR="002376BF">
        <w:rPr>
          <w:rFonts w:eastAsiaTheme="minorEastAsia"/>
          <w:szCs w:val="18"/>
        </w:rPr>
        <w:t>y.</w:t>
      </w:r>
      <w:r w:rsidR="0019292E">
        <w:rPr>
          <w:rFonts w:eastAsiaTheme="minorEastAsia"/>
          <w:szCs w:val="18"/>
        </w:rPr>
        <w:t xml:space="preserve"> </w:t>
      </w:r>
      <w:r w:rsidR="001F2BFC">
        <w:rPr>
          <w:rFonts w:eastAsiaTheme="minorEastAsia"/>
          <w:szCs w:val="18"/>
        </w:rPr>
        <w:t>Separate m</w:t>
      </w:r>
      <w:r w:rsidR="000144A9">
        <w:rPr>
          <w:rFonts w:eastAsiaTheme="minorEastAsia"/>
          <w:szCs w:val="18"/>
        </w:rPr>
        <w:t xml:space="preserve">odels of dissolved </w:t>
      </w:r>
      <w:r w:rsidR="001F2BFC">
        <w:rPr>
          <w:rFonts w:eastAsiaTheme="minorEastAsia"/>
          <w:szCs w:val="18"/>
        </w:rPr>
        <w:t>ions were</w:t>
      </w:r>
      <w:r w:rsidR="000144A9">
        <w:rPr>
          <w:rFonts w:eastAsiaTheme="minorEastAsia"/>
          <w:szCs w:val="18"/>
        </w:rPr>
        <w:t xml:space="preserve"> created by </w:t>
      </w:r>
      <w:r w:rsidR="00BF1CCF">
        <w:rPr>
          <w:rFonts w:eastAsiaTheme="minorEastAsia"/>
          <w:szCs w:val="18"/>
        </w:rPr>
        <w:t>creating</w:t>
      </w:r>
      <w:r w:rsidR="00AF68CC">
        <w:rPr>
          <w:rFonts w:eastAsiaTheme="minorEastAsia"/>
          <w:szCs w:val="18"/>
        </w:rPr>
        <w:t xml:space="preserve"> a linear </w:t>
      </w:r>
      <w:r w:rsidR="00BF1CCF">
        <w:rPr>
          <w:rFonts w:eastAsiaTheme="minorEastAsia"/>
          <w:szCs w:val="18"/>
        </w:rPr>
        <w:t xml:space="preserve">vertical </w:t>
      </w:r>
      <w:r w:rsidR="00AF68CC">
        <w:rPr>
          <w:rFonts w:eastAsiaTheme="minorEastAsia"/>
          <w:szCs w:val="18"/>
        </w:rPr>
        <w:t xml:space="preserve">function </w:t>
      </w:r>
      <w:r w:rsidR="00BF1CCF">
        <w:rPr>
          <w:rFonts w:eastAsiaTheme="minorEastAsia"/>
          <w:szCs w:val="18"/>
        </w:rPr>
        <w:t>from</w:t>
      </w:r>
      <w:r w:rsidR="00AF68CC">
        <w:rPr>
          <w:rFonts w:eastAsiaTheme="minorEastAsia"/>
          <w:szCs w:val="18"/>
        </w:rPr>
        <w:t xml:space="preserve"> ion </w:t>
      </w:r>
      <w:r w:rsidR="001373C2">
        <w:rPr>
          <w:rFonts w:eastAsiaTheme="minorEastAsia"/>
          <w:szCs w:val="18"/>
        </w:rPr>
        <w:t>concentration samples</w:t>
      </w:r>
      <w:r w:rsidR="002876DA">
        <w:rPr>
          <w:rFonts w:eastAsiaTheme="minorEastAsia"/>
          <w:szCs w:val="18"/>
        </w:rPr>
        <w:t xml:space="preserve"> </w:t>
      </w:r>
      <w:r w:rsidR="001373C2">
        <w:rPr>
          <w:rFonts w:eastAsiaTheme="minorEastAsia"/>
          <w:szCs w:val="18"/>
        </w:rPr>
        <w:t>versus</w:t>
      </w:r>
      <w:r w:rsidR="00AF68CC">
        <w:rPr>
          <w:rFonts w:eastAsiaTheme="minorEastAsia"/>
          <w:szCs w:val="18"/>
        </w:rPr>
        <w:t xml:space="preserve"> depth values and </w:t>
      </w:r>
      <w:r w:rsidR="000144A9">
        <w:rPr>
          <w:rFonts w:eastAsiaTheme="minorEastAsia"/>
          <w:szCs w:val="18"/>
        </w:rPr>
        <w:t>assigning the</w:t>
      </w:r>
      <w:r w:rsidR="001F70ED">
        <w:rPr>
          <w:rFonts w:eastAsiaTheme="minorEastAsia"/>
          <w:szCs w:val="18"/>
        </w:rPr>
        <w:t>m</w:t>
      </w:r>
      <w:r w:rsidR="000144A9">
        <w:rPr>
          <w:rFonts w:eastAsiaTheme="minorEastAsia"/>
          <w:szCs w:val="18"/>
        </w:rPr>
        <w:t xml:space="preserve"> to the </w:t>
      </w:r>
      <w:r w:rsidR="006E29F8">
        <w:rPr>
          <w:rFonts w:eastAsiaTheme="minorEastAsia"/>
          <w:szCs w:val="18"/>
        </w:rPr>
        <w:t xml:space="preserve">entire </w:t>
      </w:r>
      <w:r w:rsidR="000144A9">
        <w:rPr>
          <w:rFonts w:eastAsiaTheme="minorEastAsia"/>
          <w:szCs w:val="18"/>
        </w:rPr>
        <w:t xml:space="preserve">model </w:t>
      </w:r>
      <w:r w:rsidR="00116379">
        <w:rPr>
          <w:rFonts w:eastAsiaTheme="minorEastAsia"/>
          <w:szCs w:val="18"/>
        </w:rPr>
        <w:t>grid.</w:t>
      </w:r>
    </w:p>
    <w:p w14:paraId="26367D81" w14:textId="1C639DC6" w:rsidR="000144A9" w:rsidRPr="00C969C1" w:rsidRDefault="000144A9" w:rsidP="00FD6EA6">
      <w:pPr>
        <w:ind w:firstLine="720"/>
        <w:rPr>
          <w:rFonts w:eastAsiaTheme="minorEastAsia"/>
          <w:color w:val="FF0000"/>
          <w:szCs w:val="18"/>
        </w:rPr>
      </w:pPr>
      <w:r w:rsidRPr="00F66327">
        <w:t xml:space="preserve">Due to limitations in computational power and associated run time, </w:t>
      </w:r>
      <w:r>
        <w:t xml:space="preserve">the </w:t>
      </w:r>
      <w:r w:rsidRPr="00F66327">
        <w:t xml:space="preserve">fine-scale geologic models </w:t>
      </w:r>
      <w:r>
        <w:t>were</w:t>
      </w:r>
      <w:r w:rsidRPr="00F66327">
        <w:t xml:space="preserve"> upscaled prior to flow</w:t>
      </w:r>
      <w:r w:rsidR="006C568F">
        <w:t xml:space="preserve"> simulation</w:t>
      </w:r>
      <w:r w:rsidRPr="00F66327">
        <w:t xml:space="preserve">. The </w:t>
      </w:r>
      <w:r>
        <w:t>critical</w:t>
      </w:r>
      <w:r w:rsidRPr="00F66327">
        <w:t xml:space="preserve"> element in this process is the assurance of maintaining the </w:t>
      </w:r>
      <w:r>
        <w:t>essential</w:t>
      </w:r>
      <w:r w:rsidRPr="00F66327">
        <w:t xml:space="preserve"> small-scale stratigraphic variability that potentially </w:t>
      </w:r>
      <w:r>
        <w:t>a</w:t>
      </w:r>
      <w:r w:rsidRPr="00F66327">
        <w:t>ffect</w:t>
      </w:r>
      <w:r>
        <w:t>s</w:t>
      </w:r>
      <w:r w:rsidRPr="00F66327">
        <w:t xml:space="preserve"> fluid flow while coarsening the model </w:t>
      </w:r>
      <w:r w:rsidR="00181B94">
        <w:t xml:space="preserve">grid </w:t>
      </w:r>
      <w:r w:rsidRPr="00F66327">
        <w:t xml:space="preserve">adequately to achieve computationally efficient flow simulation. Therefore, we upscaled the static models using the volume-weighted averaging approach to upscale the model to a larger grid size </w:t>
      </w:r>
      <w:r w:rsidR="0019292E" w:rsidRPr="00F66327">
        <w:t xml:space="preserve">of </w:t>
      </w:r>
      <w:r w:rsidR="0019292E">
        <w:t>110</w:t>
      </w:r>
      <w:r w:rsidR="0019292E" w:rsidRPr="00F66327">
        <w:t xml:space="preserve"> ft by </w:t>
      </w:r>
      <w:r w:rsidR="0019292E">
        <w:t>110</w:t>
      </w:r>
      <w:r w:rsidR="0019292E" w:rsidRPr="00F66327">
        <w:t xml:space="preserve"> ft (</w:t>
      </w:r>
      <w:r w:rsidR="0019292E">
        <w:t>33.52 m</w:t>
      </w:r>
      <w:r w:rsidR="0019292E" w:rsidRPr="00F66327">
        <w:t>) aerially</w:t>
      </w:r>
      <w:r w:rsidR="0019292E">
        <w:t xml:space="preserve"> and to 10 ft (3.04 m)</w:t>
      </w:r>
      <w:r w:rsidR="0019292E" w:rsidRPr="00F66327">
        <w:t xml:space="preserve"> vertical</w:t>
      </w:r>
      <w:r w:rsidR="0019292E">
        <w:t xml:space="preserve"> </w:t>
      </w:r>
      <w:r w:rsidR="0019292E" w:rsidRPr="00F66327">
        <w:t>resolution</w:t>
      </w:r>
      <w:r w:rsidR="00455080">
        <w:t xml:space="preserve"> (Appendix D)</w:t>
      </w:r>
      <w:r w:rsidR="0019292E" w:rsidRPr="00F66327">
        <w:t xml:space="preserve">. </w:t>
      </w:r>
      <w:r w:rsidRPr="00F66327">
        <w:t xml:space="preserve">The </w:t>
      </w:r>
      <w:r>
        <w:t xml:space="preserve">base-case </w:t>
      </w:r>
      <w:r w:rsidRPr="00F66327">
        <w:t>simulation scenario considered a 100-year injection period and a post-injection period of</w:t>
      </w:r>
      <w:r>
        <w:t xml:space="preserve"> </w:t>
      </w:r>
      <w:r w:rsidRPr="00F66327">
        <w:t>100 years. For this scenario, CO</w:t>
      </w:r>
      <w:r w:rsidRPr="00F66327">
        <w:rPr>
          <w:vertAlign w:val="subscript"/>
        </w:rPr>
        <w:t xml:space="preserve">2 </w:t>
      </w:r>
      <w:r w:rsidRPr="00F66327">
        <w:t xml:space="preserve">is injected through </w:t>
      </w:r>
      <w:r>
        <w:t xml:space="preserve">the </w:t>
      </w:r>
      <w:r w:rsidRPr="00F66327">
        <w:rPr>
          <w:rFonts w:eastAsiaTheme="minorEastAsia"/>
          <w:szCs w:val="18"/>
        </w:rPr>
        <w:t>Berexco Wellington KGS #1-28 well with a 140 ft (42.6 m) perforation interval within the Arbuckle A interval.</w:t>
      </w:r>
      <w:r>
        <w:rPr>
          <w:rFonts w:eastAsiaTheme="minorEastAsia"/>
          <w:szCs w:val="18"/>
        </w:rPr>
        <w:t xml:space="preserve"> </w:t>
      </w:r>
      <w:r w:rsidRPr="00F66327">
        <w:t xml:space="preserve">The base-case scenario includes a target injection rate of </w:t>
      </w:r>
      <w:r>
        <w:t>100</w:t>
      </w:r>
      <w:r w:rsidRPr="00F66327">
        <w:t xml:space="preserve"> </w:t>
      </w:r>
      <w:r w:rsidR="00181B94">
        <w:t>Mt</w:t>
      </w:r>
      <w:r w:rsidRPr="00F66327">
        <w:t>/year</w:t>
      </w:r>
      <w:r>
        <w:t xml:space="preserve"> </w:t>
      </w:r>
      <w:r w:rsidRPr="00F66327">
        <w:t xml:space="preserve">and </w:t>
      </w:r>
      <w:r>
        <w:t>a</w:t>
      </w:r>
      <w:r w:rsidRPr="00F66327">
        <w:t xml:space="preserve"> bottom-hole injection pressure of 2538 psi (175 bar) </w:t>
      </w:r>
      <w:r>
        <w:t>corresponding</w:t>
      </w:r>
      <w:r w:rsidRPr="00F66327">
        <w:t xml:space="preserve"> to 90% of the estimated fracture gradient to avoid injection-induced fracturing (</w:t>
      </w:r>
      <w:r>
        <w:t>Watney and Rush, 2012</w:t>
      </w:r>
      <w:r w:rsidRPr="00F66327">
        <w:t xml:space="preserve">). </w:t>
      </w:r>
    </w:p>
    <w:p w14:paraId="13797A55" w14:textId="77777777" w:rsidR="000144A9" w:rsidRDefault="000144A9" w:rsidP="000144A9">
      <w:pPr>
        <w:pStyle w:val="Heading2"/>
      </w:pPr>
      <w:bookmarkStart w:id="662" w:name="_Toc121095987"/>
      <w:r>
        <w:lastRenderedPageBreak/>
        <w:t>Results</w:t>
      </w:r>
      <w:bookmarkEnd w:id="662"/>
    </w:p>
    <w:p w14:paraId="3656D8C2" w14:textId="3FE1D367" w:rsidR="000144A9" w:rsidRPr="00160291" w:rsidRDefault="000144A9" w:rsidP="000144A9">
      <w:pPr>
        <w:pStyle w:val="Heading3"/>
        <w:rPr>
          <w:rFonts w:eastAsiaTheme="minorEastAsia"/>
        </w:rPr>
      </w:pPr>
      <w:bookmarkStart w:id="663" w:name="_Toc121095988"/>
      <w:r>
        <w:t xml:space="preserve">Structural and </w:t>
      </w:r>
      <w:r w:rsidR="00F61807">
        <w:t>s</w:t>
      </w:r>
      <w:r>
        <w:t xml:space="preserve">tratigraphic </w:t>
      </w:r>
      <w:r w:rsidR="00F61807">
        <w:t>f</w:t>
      </w:r>
      <w:r>
        <w:t>ramework</w:t>
      </w:r>
      <w:bookmarkEnd w:id="663"/>
    </w:p>
    <w:p w14:paraId="3CC66810" w14:textId="59A59279" w:rsidR="000144A9" w:rsidRPr="00F832A6" w:rsidRDefault="0004182D" w:rsidP="00F832A6">
      <w:pPr>
        <w:ind w:firstLine="720"/>
        <w:rPr>
          <w:rFonts w:cs="Times New Roman"/>
          <w:szCs w:val="24"/>
        </w:rPr>
      </w:pPr>
      <w:r>
        <w:rPr>
          <w:rFonts w:cs="Times New Roman"/>
          <w:szCs w:val="24"/>
        </w:rPr>
        <w:t>In terms of the seismic signature, t</w:t>
      </w:r>
      <w:r w:rsidR="00F832A6" w:rsidRPr="004B000A">
        <w:rPr>
          <w:rFonts w:cs="Times New Roman"/>
          <w:szCs w:val="24"/>
        </w:rPr>
        <w:t>he top of the Arbuckle exhibits a strong peak</w:t>
      </w:r>
      <w:r w:rsidR="00F832A6">
        <w:rPr>
          <w:rFonts w:cs="Times New Roman"/>
          <w:szCs w:val="24"/>
        </w:rPr>
        <w:t>,</w:t>
      </w:r>
      <w:r w:rsidR="00F832A6" w:rsidRPr="004B000A">
        <w:rPr>
          <w:rFonts w:cs="Times New Roman"/>
          <w:szCs w:val="24"/>
        </w:rPr>
        <w:t xml:space="preserve"> while the base of the Arbuckle</w:t>
      </w:r>
      <w:r w:rsidR="00F832A6">
        <w:rPr>
          <w:rFonts w:cs="Times New Roman"/>
          <w:szCs w:val="24"/>
        </w:rPr>
        <w:t xml:space="preserve"> (Precambrian Basement)</w:t>
      </w:r>
      <w:r w:rsidR="00F832A6" w:rsidRPr="004B000A">
        <w:rPr>
          <w:rFonts w:cs="Times New Roman"/>
          <w:szCs w:val="24"/>
        </w:rPr>
        <w:t xml:space="preserve"> </w:t>
      </w:r>
      <w:r w:rsidR="00F832A6">
        <w:rPr>
          <w:rFonts w:cs="Times New Roman"/>
          <w:szCs w:val="24"/>
        </w:rPr>
        <w:t>corresponds to</w:t>
      </w:r>
      <w:r w:rsidR="00F832A6" w:rsidRPr="004B000A">
        <w:rPr>
          <w:rFonts w:cs="Times New Roman"/>
          <w:szCs w:val="24"/>
        </w:rPr>
        <w:t xml:space="preserve"> a very continuous and high amplitude, well-defined trough.</w:t>
      </w:r>
      <w:r w:rsidR="00F832A6">
        <w:rPr>
          <w:rFonts w:cs="Times New Roman"/>
          <w:szCs w:val="24"/>
        </w:rPr>
        <w:t xml:space="preserve"> </w:t>
      </w:r>
      <w:r w:rsidR="000144A9" w:rsidRPr="003552AD">
        <w:t>The Arbuckle interval in the study area dips toward the southeast</w:t>
      </w:r>
      <w:r w:rsidR="000144A9">
        <w:t>,</w:t>
      </w:r>
      <w:r w:rsidR="000144A9" w:rsidRPr="003552AD">
        <w:t xml:space="preserve"> and thickness ranges from approximately 800 to 1020 ft (243.84 to 310.89 m). The Arbuckle is thicker in the </w:t>
      </w:r>
      <w:r w:rsidR="000144A9">
        <w:t>central and southern parts of the area and thins toward the</w:t>
      </w:r>
      <w:r w:rsidR="000144A9" w:rsidRPr="003552AD">
        <w:t xml:space="preserve"> northwest (Figure </w:t>
      </w:r>
      <w:r w:rsidR="00790B96">
        <w:t>3.</w:t>
      </w:r>
      <w:r w:rsidR="000144A9">
        <w:t>1</w:t>
      </w:r>
      <w:r w:rsidR="000719C4">
        <w:t>1</w:t>
      </w:r>
      <w:r w:rsidR="000144A9" w:rsidRPr="003552AD">
        <w:t>).</w:t>
      </w:r>
      <w:r w:rsidR="00D77B14">
        <w:t xml:space="preserve"> Schwab et </w:t>
      </w:r>
      <w:r w:rsidR="00667C70">
        <w:t>al (2017) indicated that there are faults interpreted within the study area</w:t>
      </w:r>
      <w:r w:rsidR="00285A48">
        <w:t>. However, based on the seismic attribute analysis</w:t>
      </w:r>
      <w:r w:rsidR="00CC349F">
        <w:t xml:space="preserve"> we did not observe any </w:t>
      </w:r>
      <w:r w:rsidR="000144A9">
        <w:t xml:space="preserve">seismically resolvable faults were within the </w:t>
      </w:r>
      <w:r w:rsidR="00CC349F">
        <w:t>Arbuckle</w:t>
      </w:r>
      <w:r w:rsidR="000144A9">
        <w:t>; therefore,</w:t>
      </w:r>
      <w:r w:rsidR="000144A9" w:rsidRPr="003552AD">
        <w:t xml:space="preserve"> no faults were incorporated into the structural and stratigraphic grid. </w:t>
      </w:r>
    </w:p>
    <w:p w14:paraId="229302A2" w14:textId="77205070" w:rsidR="000144A9" w:rsidRDefault="000144A9" w:rsidP="000144A9">
      <w:pPr>
        <w:pStyle w:val="Heading3"/>
      </w:pPr>
      <w:bookmarkStart w:id="664" w:name="_Toc121095989"/>
      <w:r>
        <w:t xml:space="preserve">3D </w:t>
      </w:r>
      <w:r w:rsidR="00F61807">
        <w:t>g</w:t>
      </w:r>
      <w:r>
        <w:t>rid</w:t>
      </w:r>
      <w:bookmarkEnd w:id="664"/>
    </w:p>
    <w:p w14:paraId="7CD8CC00" w14:textId="1B1C6232" w:rsidR="000144A9" w:rsidRPr="006A68D0" w:rsidRDefault="000144A9" w:rsidP="00507C3E">
      <w:pPr>
        <w:ind w:firstLine="720"/>
        <w:rPr>
          <w:rFonts w:cs="Times New Roman"/>
          <w:color w:val="FF0000"/>
          <w:szCs w:val="24"/>
        </w:rPr>
      </w:pPr>
      <w:r w:rsidRPr="00794D6D">
        <w:t>The 3-D reservoir model grid integrates the stratigraphic surfaces created from interpreted seismic horizons and corresponding well tops. The grid</w:t>
      </w:r>
      <w:r w:rsidRPr="00794D6D">
        <w:rPr>
          <w:rFonts w:cs="Times New Roman"/>
          <w:szCs w:val="24"/>
        </w:rPr>
        <w:t xml:space="preserve"> contains three zones</w:t>
      </w:r>
      <w:r>
        <w:rPr>
          <w:rFonts w:cs="Times New Roman"/>
          <w:szCs w:val="24"/>
        </w:rPr>
        <w:t xml:space="preserve"> (from base to top, Arbuckle A, B, and C)</w:t>
      </w:r>
      <w:r w:rsidRPr="00794D6D">
        <w:rPr>
          <w:rFonts w:cs="Times New Roman"/>
          <w:szCs w:val="24"/>
        </w:rPr>
        <w:t xml:space="preserve"> and represents </w:t>
      </w:r>
      <w:r>
        <w:rPr>
          <w:rFonts w:cs="Times New Roman"/>
          <w:szCs w:val="24"/>
        </w:rPr>
        <w:t xml:space="preserve">the </w:t>
      </w:r>
      <w:r w:rsidRPr="00794D6D">
        <w:rPr>
          <w:rFonts w:cs="Times New Roman"/>
          <w:szCs w:val="24"/>
        </w:rPr>
        <w:t>structural and</w:t>
      </w:r>
      <w:r>
        <w:rPr>
          <w:rFonts w:cs="Times New Roman"/>
          <w:szCs w:val="24"/>
        </w:rPr>
        <w:t xml:space="preserve"> stratigraphic</w:t>
      </w:r>
      <w:r w:rsidRPr="00794D6D">
        <w:rPr>
          <w:rFonts w:cs="Times New Roman"/>
          <w:szCs w:val="24"/>
        </w:rPr>
        <w:t xml:space="preserve"> framework of the Arbuckle </w:t>
      </w:r>
      <w:r>
        <w:rPr>
          <w:rFonts w:cs="Times New Roman"/>
          <w:szCs w:val="24"/>
        </w:rPr>
        <w:t>G</w:t>
      </w:r>
      <w:r w:rsidRPr="00794D6D">
        <w:rPr>
          <w:rFonts w:cs="Times New Roman"/>
          <w:szCs w:val="24"/>
        </w:rPr>
        <w:t>roup.</w:t>
      </w:r>
      <w:r>
        <w:rPr>
          <w:rFonts w:cs="Times New Roman"/>
          <w:color w:val="FF0000"/>
          <w:szCs w:val="24"/>
        </w:rPr>
        <w:t xml:space="preserve"> </w:t>
      </w:r>
      <w:r w:rsidRPr="00794D6D">
        <w:rPr>
          <w:rFonts w:cs="Times New Roman"/>
          <w:szCs w:val="24"/>
        </w:rPr>
        <w:t>The 3D grid covers an area of approximately 10.4 mi</w:t>
      </w:r>
      <w:r w:rsidRPr="009F4EE6">
        <w:rPr>
          <w:rFonts w:cs="Times New Roman"/>
          <w:szCs w:val="24"/>
          <w:vertAlign w:val="superscript"/>
        </w:rPr>
        <w:t>2</w:t>
      </w:r>
      <w:r w:rsidRPr="00794D6D">
        <w:rPr>
          <w:rFonts w:cs="Times New Roman"/>
          <w:szCs w:val="24"/>
        </w:rPr>
        <w:t xml:space="preserve"> (26.9 km</w:t>
      </w:r>
      <w:r w:rsidRPr="009F4EE6">
        <w:rPr>
          <w:rFonts w:cs="Times New Roman"/>
          <w:szCs w:val="24"/>
          <w:vertAlign w:val="superscript"/>
        </w:rPr>
        <w:t>2</w:t>
      </w:r>
      <w:r w:rsidRPr="00794D6D">
        <w:rPr>
          <w:rFonts w:cs="Times New Roman"/>
          <w:szCs w:val="24"/>
        </w:rPr>
        <w:t>)</w:t>
      </w:r>
      <w:r>
        <w:rPr>
          <w:rFonts w:cs="Times New Roman"/>
          <w:szCs w:val="24"/>
        </w:rPr>
        <w:t>.</w:t>
      </w:r>
      <w:r w:rsidRPr="00794D6D">
        <w:rPr>
          <w:rFonts w:cs="Times New Roman"/>
          <w:szCs w:val="24"/>
        </w:rPr>
        <w:t xml:space="preserve"> </w:t>
      </w:r>
      <w:r>
        <w:rPr>
          <w:rFonts w:cs="Times New Roman"/>
          <w:szCs w:val="24"/>
        </w:rPr>
        <w:t>T</w:t>
      </w:r>
      <w:r>
        <w:t xml:space="preserve">he grid size was defined based on 1) the bin size of the seismic volume for the horizontal </w:t>
      </w:r>
      <w:r w:rsidR="00CD7819">
        <w:t xml:space="preserve">cell </w:t>
      </w:r>
      <w:r>
        <w:t xml:space="preserve">size to preserve the horizontal seismic resolution and 2) the vertical thickness of </w:t>
      </w:r>
      <w:r w:rsidR="00541C16">
        <w:t>layers</w:t>
      </w:r>
      <w:r>
        <w:t xml:space="preserve"> </w:t>
      </w:r>
      <w:r w:rsidR="00CD7819">
        <w:t xml:space="preserve">to </w:t>
      </w:r>
      <w:r>
        <w:t>represent the vertical variations observed in the petrofacies, porosity</w:t>
      </w:r>
      <w:r w:rsidR="00620951">
        <w:t>,</w:t>
      </w:r>
      <w:r>
        <w:t xml:space="preserve"> and permeability logs. </w:t>
      </w:r>
      <w:r w:rsidRPr="00794D6D">
        <w:rPr>
          <w:rFonts w:cs="Times New Roman"/>
          <w:szCs w:val="24"/>
        </w:rPr>
        <w:t xml:space="preserve">The grid </w:t>
      </w:r>
      <w:r>
        <w:rPr>
          <w:rFonts w:cs="Times New Roman"/>
          <w:szCs w:val="24"/>
        </w:rPr>
        <w:t>comprises 179 x 289 x 450 cells in the I, J, and K directions</w:t>
      </w:r>
      <w:r w:rsidRPr="00794D6D">
        <w:rPr>
          <w:rFonts w:cs="Times New Roman"/>
          <w:szCs w:val="24"/>
        </w:rPr>
        <w:t xml:space="preserve">, resulting in </w:t>
      </w:r>
      <w:r w:rsidRPr="00766CFE">
        <w:rPr>
          <w:rFonts w:cs="Times New Roman"/>
          <w:szCs w:val="24"/>
        </w:rPr>
        <w:t>23,278,950</w:t>
      </w:r>
      <w:r w:rsidRPr="00794D6D">
        <w:rPr>
          <w:rFonts w:cs="Times New Roman"/>
          <w:szCs w:val="24"/>
        </w:rPr>
        <w:t xml:space="preserve"> cells with a proportional layering scheme (</w:t>
      </w:r>
      <w:r w:rsidRPr="004C6A64">
        <w:rPr>
          <w:rFonts w:cs="Times New Roman"/>
          <w:color w:val="auto"/>
          <w:szCs w:val="24"/>
        </w:rPr>
        <w:t xml:space="preserve">Figure </w:t>
      </w:r>
      <w:r w:rsidR="00790B96">
        <w:rPr>
          <w:rFonts w:cs="Times New Roman"/>
          <w:color w:val="auto"/>
          <w:szCs w:val="24"/>
        </w:rPr>
        <w:t>3.</w:t>
      </w:r>
      <w:r w:rsidRPr="004C6A64">
        <w:rPr>
          <w:rFonts w:cs="Times New Roman"/>
          <w:color w:val="auto"/>
          <w:szCs w:val="24"/>
        </w:rPr>
        <w:t>1</w:t>
      </w:r>
      <w:r w:rsidR="006A68D0">
        <w:rPr>
          <w:rFonts w:cs="Times New Roman"/>
          <w:szCs w:val="24"/>
        </w:rPr>
        <w:t>2</w:t>
      </w:r>
      <w:r w:rsidRPr="00794D6D">
        <w:rPr>
          <w:rFonts w:cs="Times New Roman"/>
          <w:szCs w:val="24"/>
        </w:rPr>
        <w:t>).</w:t>
      </w:r>
      <w:r>
        <w:rPr>
          <w:rFonts w:cs="Times New Roman"/>
          <w:szCs w:val="24"/>
        </w:rPr>
        <w:t xml:space="preserve"> </w:t>
      </w:r>
    </w:p>
    <w:p w14:paraId="24172353" w14:textId="271C66CF" w:rsidR="000144A9" w:rsidRDefault="000144A9" w:rsidP="000144A9">
      <w:pPr>
        <w:pStyle w:val="Heading3"/>
      </w:pPr>
      <w:bookmarkStart w:id="665" w:name="_Toc121095990"/>
      <w:r>
        <w:lastRenderedPageBreak/>
        <w:t xml:space="preserve">Spatial </w:t>
      </w:r>
      <w:r w:rsidR="00F61807">
        <w:t>d</w:t>
      </w:r>
      <w:r>
        <w:t xml:space="preserve">istribution of </w:t>
      </w:r>
      <w:r w:rsidR="00F61807">
        <w:t>p</w:t>
      </w:r>
      <w:r>
        <w:t xml:space="preserve">etrofacies and </w:t>
      </w:r>
      <w:r w:rsidR="00F61807">
        <w:t>r</w:t>
      </w:r>
      <w:r>
        <w:t xml:space="preserve">eservoir </w:t>
      </w:r>
      <w:r w:rsidR="00F61807">
        <w:t>p</w:t>
      </w:r>
      <w:r>
        <w:t>roperties</w:t>
      </w:r>
      <w:bookmarkEnd w:id="665"/>
    </w:p>
    <w:p w14:paraId="6FE3B6B7" w14:textId="1E8595B8" w:rsidR="007534D7" w:rsidRDefault="000144A9" w:rsidP="008C2DF1">
      <w:pPr>
        <w:ind w:firstLine="720"/>
      </w:pPr>
      <w:r w:rsidRPr="005E0F61">
        <w:t>The petrofacies vertical variogram range</w:t>
      </w:r>
      <w:r>
        <w:t>s vary</w:t>
      </w:r>
      <w:r w:rsidRPr="005E0F61">
        <w:t xml:space="preserve"> from 5.6</w:t>
      </w:r>
      <w:r w:rsidR="00B62404">
        <w:t>-</w:t>
      </w:r>
      <w:r w:rsidRPr="005E0F61">
        <w:t>13.7 ft (1.7</w:t>
      </w:r>
      <w:r w:rsidR="00B62404">
        <w:t>-</w:t>
      </w:r>
      <w:r w:rsidRPr="005E0F61">
        <w:t>4.1 m). Horizontal variogram minor and major ranges vary from 2014</w:t>
      </w:r>
      <w:r w:rsidR="00B62404">
        <w:t>-</w:t>
      </w:r>
      <w:r w:rsidRPr="005E0F61">
        <w:t>5600 ft (61</w:t>
      </w:r>
      <w:r>
        <w:t>4</w:t>
      </w:r>
      <w:r w:rsidR="00B62404">
        <w:t>-</w:t>
      </w:r>
      <w:r w:rsidRPr="005E0F61">
        <w:t>170</w:t>
      </w:r>
      <w:r>
        <w:t>7</w:t>
      </w:r>
      <w:r w:rsidRPr="005E0F61">
        <w:t xml:space="preserve"> m) for petrofacies 1, 2194 to 5900 ft (668. to 1798 m) for petrofacies 2, and 2950 to 7100 ft (899 to 2164 m) for petrofacies 3 respectively. Major axis orientations range from 34 </w:t>
      </w:r>
      <w:r w:rsidR="00243564">
        <w:t xml:space="preserve">to 337 </w:t>
      </w:r>
      <w:r w:rsidRPr="005E0F61">
        <w:t>degrees</w:t>
      </w:r>
      <w:r w:rsidR="00EE245F">
        <w:t xml:space="preserve"> from the north</w:t>
      </w:r>
      <w:r w:rsidRPr="005E0F61">
        <w:t xml:space="preserve"> (Appendix </w:t>
      </w:r>
      <w:r>
        <w:t>A</w:t>
      </w:r>
      <w:r w:rsidRPr="005E0F61">
        <w:t xml:space="preserve">). </w:t>
      </w:r>
      <w:r w:rsidR="007534D7">
        <w:t xml:space="preserve">Zones A and C are mainly composed of petrofacies 1 and 2, </w:t>
      </w:r>
      <w:r w:rsidR="00CD7819">
        <w:t xml:space="preserve">while </w:t>
      </w:r>
      <w:r w:rsidR="007534D7">
        <w:t>Zone B is</w:t>
      </w:r>
      <w:r w:rsidR="007534D7" w:rsidRPr="005E0F61">
        <w:t xml:space="preserve"> dominated by petrofacies 2 and 3</w:t>
      </w:r>
      <w:r w:rsidR="007534D7" w:rsidRPr="00A03015">
        <w:t xml:space="preserve"> </w:t>
      </w:r>
      <w:r w:rsidR="007534D7" w:rsidRPr="005E0F61">
        <w:t>(Figure</w:t>
      </w:r>
      <w:r w:rsidR="007534D7">
        <w:t>s</w:t>
      </w:r>
      <w:r w:rsidR="007534D7" w:rsidRPr="005E0F61">
        <w:t xml:space="preserve"> </w:t>
      </w:r>
      <w:r w:rsidR="007534D7">
        <w:t>13 and 14</w:t>
      </w:r>
      <w:r w:rsidR="007534D7" w:rsidRPr="005E0F61">
        <w:t>).</w:t>
      </w:r>
      <w:r w:rsidR="007534D7">
        <w:t xml:space="preserve"> Regarding individual petrofacies percentages, the Arbuckle zone A contains 26.9% of petrofacies 1, 54.2% of petrofacies 2, and 18.9% of petrofacies 3. The Arbuckle zone B is mainly composed of petrofacies 2 and 3 (57.7% and 37.8%, respectively), with a small fraction of petrofacies 1 (4.5%). Like zone A, petrofacies 1 and 2 also comprise the highest petrofacies fractions (27.6% and 59.9%, respectively) </w:t>
      </w:r>
      <w:r w:rsidR="00CD7819">
        <w:t xml:space="preserve">of </w:t>
      </w:r>
      <w:r w:rsidR="007534D7">
        <w:t xml:space="preserve">zone C. In terms of spatial variability, </w:t>
      </w:r>
      <w:r w:rsidR="00CD7819">
        <w:t xml:space="preserve">petrofacies </w:t>
      </w:r>
      <w:r w:rsidR="007534D7">
        <w:t>1</w:t>
      </w:r>
      <w:r w:rsidR="008D036E">
        <w:t xml:space="preserve">, which are made up of vuggy and </w:t>
      </w:r>
      <w:r w:rsidR="00531F70">
        <w:t>coarse-grained dolomites</w:t>
      </w:r>
      <w:r w:rsidR="007534D7">
        <w:t xml:space="preserve"> </w:t>
      </w:r>
      <w:r w:rsidR="00531F70">
        <w:t xml:space="preserve">are </w:t>
      </w:r>
      <w:r w:rsidR="007534D7">
        <w:t xml:space="preserve">distributed </w:t>
      </w:r>
      <w:r w:rsidR="00CD7819">
        <w:t xml:space="preserve">somewhat uniformly </w:t>
      </w:r>
      <w:r w:rsidR="007534D7">
        <w:t xml:space="preserve">throughout zones A and C. </w:t>
      </w:r>
      <w:r w:rsidR="0054051F">
        <w:t>Fine</w:t>
      </w:r>
      <w:r w:rsidR="009973E3">
        <w:t>-</w:t>
      </w:r>
      <w:r w:rsidR="0054051F">
        <w:t>graine</w:t>
      </w:r>
      <w:r w:rsidR="009973E3">
        <w:t>d</w:t>
      </w:r>
      <w:r w:rsidR="0054051F">
        <w:t xml:space="preserve"> and argillaceous packstone</w:t>
      </w:r>
      <w:r w:rsidR="009973E3">
        <w:t>s</w:t>
      </w:r>
      <w:r w:rsidR="0054051F">
        <w:t xml:space="preserve"> and </w:t>
      </w:r>
      <w:r w:rsidR="009973E3">
        <w:t xml:space="preserve">mudstones of </w:t>
      </w:r>
      <w:r w:rsidR="006116F4">
        <w:t xml:space="preserve">petrofacies </w:t>
      </w:r>
      <w:r w:rsidR="007534D7">
        <w:t xml:space="preserve">2 is mainly concentrated in the northwestern portion of zone A and </w:t>
      </w:r>
      <w:r w:rsidR="00CD7819">
        <w:t xml:space="preserve">the </w:t>
      </w:r>
      <w:r w:rsidR="007534D7">
        <w:t xml:space="preserve">central and southeastern portions of zones B and C. </w:t>
      </w:r>
      <w:r w:rsidR="00EA6893">
        <w:t xml:space="preserve">Lowest permeability argillaceous dolomudstones and crystalline dolomites of </w:t>
      </w:r>
      <w:r w:rsidR="006116F4">
        <w:t xml:space="preserve">petrofacies </w:t>
      </w:r>
      <w:r w:rsidR="007534D7">
        <w:t>3 is mainly concentrated in the central and northeastern portions of zone B, while showing a similar trend with petrofacies 2 by having a southwest-northeast linear trend (Figure 1</w:t>
      </w:r>
      <w:r w:rsidR="00B001E4">
        <w:t>5</w:t>
      </w:r>
      <w:r w:rsidR="007534D7">
        <w:t>).</w:t>
      </w:r>
    </w:p>
    <w:p w14:paraId="36BF210F" w14:textId="5A114EEF" w:rsidR="000144A9" w:rsidRDefault="000144A9" w:rsidP="000144A9">
      <w:pPr>
        <w:ind w:firstLine="720"/>
      </w:pPr>
      <w:r w:rsidRPr="00796242">
        <w:t xml:space="preserve">The </w:t>
      </w:r>
      <w:r>
        <w:t xml:space="preserve">total porosity </w:t>
      </w:r>
      <w:r w:rsidRPr="00796242">
        <w:t>model displays values that range from 2 to 12% (Figure</w:t>
      </w:r>
      <w:r>
        <w:t>s</w:t>
      </w:r>
      <w:r w:rsidRPr="00796242">
        <w:t xml:space="preserve"> </w:t>
      </w:r>
      <w:r w:rsidR="00790B96">
        <w:t>3.</w:t>
      </w:r>
      <w:r w:rsidR="00694B39">
        <w:t>13</w:t>
      </w:r>
      <w:r w:rsidRPr="00796242">
        <w:t xml:space="preserve"> and </w:t>
      </w:r>
      <w:r w:rsidR="00790B96">
        <w:t>3.</w:t>
      </w:r>
      <w:r w:rsidR="00694B39">
        <w:t>14</w:t>
      </w:r>
      <w:r w:rsidRPr="00796242">
        <w:t>). The porosity model vertical variogram ranges from 4.4</w:t>
      </w:r>
      <w:r w:rsidR="00B62404">
        <w:t>-</w:t>
      </w:r>
      <w:r w:rsidRPr="00796242">
        <w:t>11.1 ft (1.3</w:t>
      </w:r>
      <w:r w:rsidR="00B62404">
        <w:t>-</w:t>
      </w:r>
      <w:r w:rsidRPr="00796242">
        <w:t>3.4 m). Horizontal minor and major ranges vary from 2960</w:t>
      </w:r>
      <w:r w:rsidR="00B62404">
        <w:t>-</w:t>
      </w:r>
      <w:r w:rsidRPr="00796242">
        <w:t>6900 ft (902</w:t>
      </w:r>
      <w:r w:rsidR="00B62404">
        <w:t>-</w:t>
      </w:r>
      <w:r w:rsidRPr="00796242">
        <w:t xml:space="preserve">2103 m). Major axis orientations are approximately </w:t>
      </w:r>
      <w:r w:rsidR="00C00A90" w:rsidRPr="00796242">
        <w:t xml:space="preserve">from 4.8 </w:t>
      </w:r>
      <w:r w:rsidR="00C00A90">
        <w:t xml:space="preserve">to 348 </w:t>
      </w:r>
      <w:r w:rsidRPr="00796242">
        <w:t>degrees</w:t>
      </w:r>
      <w:r w:rsidR="00C00A90">
        <w:t xml:space="preserve"> from the north</w:t>
      </w:r>
      <w:r w:rsidRPr="00796242">
        <w:t>.</w:t>
      </w:r>
      <w:r w:rsidR="00C00A90">
        <w:t xml:space="preserve"> (Appendix A).</w:t>
      </w:r>
      <w:r w:rsidR="00C00A90" w:rsidRPr="00796242">
        <w:t xml:space="preserve"> The</w:t>
      </w:r>
      <w:r w:rsidRPr="00796242">
        <w:t xml:space="preserve"> porosity model shows an upward </w:t>
      </w:r>
      <w:r w:rsidRPr="00796242">
        <w:lastRenderedPageBreak/>
        <w:t xml:space="preserve">decrease in total porosity moving up section </w:t>
      </w:r>
      <w:r w:rsidR="00612CC0">
        <w:t>z</w:t>
      </w:r>
      <w:r w:rsidR="00612CC0" w:rsidRPr="00796242">
        <w:t xml:space="preserve">one </w:t>
      </w:r>
      <w:r w:rsidRPr="00796242">
        <w:t xml:space="preserve">A to </w:t>
      </w:r>
      <w:r w:rsidR="00612CC0">
        <w:t>z</w:t>
      </w:r>
      <w:r w:rsidR="00612CC0" w:rsidRPr="00796242">
        <w:t xml:space="preserve">one </w:t>
      </w:r>
      <w:r w:rsidRPr="00796242">
        <w:t>B</w:t>
      </w:r>
      <w:r>
        <w:t>,</w:t>
      </w:r>
      <w:r w:rsidRPr="00796242">
        <w:t xml:space="preserve"> then increas</w:t>
      </w:r>
      <w:r>
        <w:t>ing</w:t>
      </w:r>
      <w:r w:rsidRPr="00796242">
        <w:t xml:space="preserve"> again at zone C (Figure</w:t>
      </w:r>
      <w:r>
        <w:t xml:space="preserve"> 1</w:t>
      </w:r>
      <w:r w:rsidR="00694B39">
        <w:t>3</w:t>
      </w:r>
      <w:r w:rsidRPr="00796242">
        <w:t xml:space="preserve">). Zones A and C exhibit high average porosity values (up to 8%). High porosity values are often associated </w:t>
      </w:r>
      <w:r>
        <w:t>with</w:t>
      </w:r>
      <w:r w:rsidRPr="00796242">
        <w:t xml:space="preserve"> </w:t>
      </w:r>
      <w:r w:rsidR="002C5B1A">
        <w:t xml:space="preserve">porous and permeable </w:t>
      </w:r>
      <w:r w:rsidRPr="00796242">
        <w:t xml:space="preserve">petrofacies 1. In contrast, </w:t>
      </w:r>
      <w:r w:rsidR="00612CC0">
        <w:t>z</w:t>
      </w:r>
      <w:r w:rsidR="00612CC0" w:rsidRPr="00796242">
        <w:t xml:space="preserve">one </w:t>
      </w:r>
      <w:r w:rsidRPr="00796242">
        <w:t xml:space="preserve">B has low average porosity values </w:t>
      </w:r>
      <w:r>
        <w:t xml:space="preserve">of </w:t>
      </w:r>
      <w:r w:rsidRPr="00796242">
        <w:t>up to 4%, as</w:t>
      </w:r>
      <w:r w:rsidR="000050AC">
        <w:t xml:space="preserve"> fine-grained argillaceous</w:t>
      </w:r>
      <w:r w:rsidRPr="00796242">
        <w:t xml:space="preserve"> petrofacies 2 </w:t>
      </w:r>
      <w:r w:rsidR="000050AC" w:rsidRPr="00796242">
        <w:t xml:space="preserve">and </w:t>
      </w:r>
      <w:r w:rsidR="000050AC">
        <w:t xml:space="preserve">micritic and crystalline low permeability rocks of petrofacies </w:t>
      </w:r>
      <w:r w:rsidRPr="00796242">
        <w:t xml:space="preserve">3 mainly dominate this zone (Figure </w:t>
      </w:r>
      <w:r w:rsidR="005A319B">
        <w:t>3.</w:t>
      </w:r>
      <w:r w:rsidR="005F373B">
        <w:t>1</w:t>
      </w:r>
      <w:r w:rsidR="0061457A">
        <w:t>6</w:t>
      </w:r>
      <w:r w:rsidRPr="00796242">
        <w:t xml:space="preserve">). </w:t>
      </w:r>
    </w:p>
    <w:p w14:paraId="5D63FFA9" w14:textId="45C8C55E" w:rsidR="000144A9" w:rsidRDefault="000144A9" w:rsidP="000144A9">
      <w:pPr>
        <w:ind w:firstLine="720"/>
      </w:pPr>
      <w:r w:rsidRPr="00796242">
        <w:t>The Arbuckle permeability model range</w:t>
      </w:r>
      <w:r w:rsidR="00612CC0">
        <w:t>s</w:t>
      </w:r>
      <w:r w:rsidRPr="00796242">
        <w:t xml:space="preserve"> from 0.001 to 1000 mD (Figure</w:t>
      </w:r>
      <w:r>
        <w:t>s</w:t>
      </w:r>
      <w:r w:rsidRPr="00796242">
        <w:t xml:space="preserve"> </w:t>
      </w:r>
      <w:r w:rsidR="005A319B">
        <w:t>3.</w:t>
      </w:r>
      <w:r w:rsidR="006F0A89">
        <w:t>13</w:t>
      </w:r>
      <w:r w:rsidRPr="00796242">
        <w:t xml:space="preserve"> and </w:t>
      </w:r>
      <w:r w:rsidR="005A319B">
        <w:t>3.</w:t>
      </w:r>
      <w:r w:rsidR="006F0A89">
        <w:t>14</w:t>
      </w:r>
      <w:r w:rsidRPr="00796242">
        <w:t>). Similar to the average porosity trends, high average permeability values are observed for zone A and C (250 to 300 mD, respectively)</w:t>
      </w:r>
      <w:r>
        <w:t>. In comparison,</w:t>
      </w:r>
      <w:r w:rsidRPr="00796242">
        <w:t xml:space="preserve"> zone B has comparatively low average permeability of </w:t>
      </w:r>
      <w:r w:rsidR="00612CC0">
        <w:t xml:space="preserve">approximately </w:t>
      </w:r>
      <w:r w:rsidR="004D7666">
        <w:t>37</w:t>
      </w:r>
      <w:r w:rsidR="004D7666" w:rsidRPr="00796242">
        <w:t xml:space="preserve"> </w:t>
      </w:r>
      <w:r w:rsidRPr="00796242">
        <w:t>mD (Figure</w:t>
      </w:r>
      <w:r>
        <w:t xml:space="preserve"> </w:t>
      </w:r>
      <w:r w:rsidR="00790B96">
        <w:t>3.</w:t>
      </w:r>
      <w:r w:rsidR="005F373B">
        <w:t>1</w:t>
      </w:r>
      <w:r w:rsidR="002D6F9A">
        <w:t>7</w:t>
      </w:r>
      <w:r w:rsidRPr="00796242">
        <w:t>).</w:t>
      </w:r>
    </w:p>
    <w:p w14:paraId="43E24ABC" w14:textId="77777777" w:rsidR="009B37AD" w:rsidRDefault="000A068A" w:rsidP="009B37AD">
      <w:pPr>
        <w:pStyle w:val="Heading3"/>
      </w:pPr>
      <w:bookmarkStart w:id="666" w:name="_Toc121095991"/>
      <w:r>
        <w:t>CO</w:t>
      </w:r>
      <w:r w:rsidRPr="006C568F">
        <w:rPr>
          <w:vertAlign w:val="subscript"/>
        </w:rPr>
        <w:t>2</w:t>
      </w:r>
      <w:r>
        <w:t xml:space="preserve"> storage capacity</w:t>
      </w:r>
      <w:bookmarkEnd w:id="666"/>
    </w:p>
    <w:p w14:paraId="29A3929E" w14:textId="5FDB6425" w:rsidR="00C8634B" w:rsidRDefault="00D4166A" w:rsidP="00E91BDF">
      <w:pPr>
        <w:ind w:firstLine="720"/>
      </w:pPr>
      <w:r>
        <w:t>Using the</w:t>
      </w:r>
      <w:r w:rsidR="001D43A5">
        <w:t xml:space="preserve"> DOE methodology (Goodman et al., 2011)</w:t>
      </w:r>
      <w:r w:rsidR="003C4E8F">
        <w:t>, we estimated the theoretical storage capacity</w:t>
      </w:r>
      <w:r w:rsidR="00D91A6C">
        <w:t xml:space="preserve"> of the Arbuckle zone A and the entire Arbuckle stratigraphic interval</w:t>
      </w:r>
      <w:r w:rsidR="003C4E8F">
        <w:t xml:space="preserve"> for the area covering the modeling boundary</w:t>
      </w:r>
      <w:r w:rsidR="00141E05">
        <w:t xml:space="preserve"> </w:t>
      </w:r>
      <w:r w:rsidR="009B37AD">
        <w:t xml:space="preserve">Based on the </w:t>
      </w:r>
      <w:r w:rsidR="004D6559">
        <w:t xml:space="preserve">low, </w:t>
      </w:r>
      <w:r w:rsidR="00921B55">
        <w:t>median</w:t>
      </w:r>
      <w:r w:rsidR="00C15D4D">
        <w:t>,</w:t>
      </w:r>
      <w:r w:rsidR="004D6559">
        <w:t xml:space="preserve"> and high range cut-offs for gross thickness, porosity</w:t>
      </w:r>
      <w:r w:rsidR="00C15D4D">
        <w:t>,</w:t>
      </w:r>
      <w:r w:rsidR="004D6559">
        <w:t xml:space="preserve"> and efficiency factor</w:t>
      </w:r>
      <w:r w:rsidR="005F6458">
        <w:t xml:space="preserve"> values</w:t>
      </w:r>
      <w:r w:rsidR="0017652F">
        <w:t>, the theoretical CO</w:t>
      </w:r>
      <w:r w:rsidR="0017652F" w:rsidRPr="0017652F">
        <w:rPr>
          <w:vertAlign w:val="subscript"/>
        </w:rPr>
        <w:t>2</w:t>
      </w:r>
      <w:r w:rsidR="0017652F">
        <w:t xml:space="preserve"> storage capacity</w:t>
      </w:r>
      <w:r w:rsidR="006A7358">
        <w:t xml:space="preserve"> of the Arbuckle Group in the study area is estimated between 0.95, </w:t>
      </w:r>
      <w:r w:rsidR="00DF51BA">
        <w:t>5</w:t>
      </w:r>
      <w:r w:rsidR="006A7358">
        <w:t>.</w:t>
      </w:r>
      <w:r w:rsidR="00C616D7">
        <w:t>4</w:t>
      </w:r>
      <w:r w:rsidR="006A7358">
        <w:t xml:space="preserve">1 and 22.5 Mt </w:t>
      </w:r>
      <w:r w:rsidR="00C8634B">
        <w:t xml:space="preserve">for low, </w:t>
      </w:r>
      <w:r w:rsidR="00E91BDF">
        <w:t>median</w:t>
      </w:r>
      <w:r w:rsidR="006875C2">
        <w:t>,</w:t>
      </w:r>
      <w:r w:rsidR="00C8634B">
        <w:t xml:space="preserve"> and high</w:t>
      </w:r>
      <w:r w:rsidR="006875C2">
        <w:t xml:space="preserve"> </w:t>
      </w:r>
      <w:r w:rsidR="00C8634B">
        <w:t>cases, respectively.</w:t>
      </w:r>
      <w:r w:rsidR="00D91A6C">
        <w:t xml:space="preserve"> For the Arbuckle Zone A, </w:t>
      </w:r>
      <w:r w:rsidR="00FB75FE">
        <w:t>the theoretical CO</w:t>
      </w:r>
      <w:r w:rsidR="00FB75FE" w:rsidRPr="0017652F">
        <w:rPr>
          <w:vertAlign w:val="subscript"/>
        </w:rPr>
        <w:t>2</w:t>
      </w:r>
      <w:r w:rsidR="00FB75FE">
        <w:t xml:space="preserve"> storage capacity is estimated between </w:t>
      </w:r>
      <w:r w:rsidR="00E91BDF">
        <w:t>0.4, 2.2 and 8.9 Mt for the low, median and the high cases.</w:t>
      </w:r>
      <w:r w:rsidR="00507939">
        <w:t xml:space="preserve"> </w:t>
      </w:r>
      <w:r w:rsidR="007A70E5">
        <w:t xml:space="preserve">These results provide </w:t>
      </w:r>
      <w:r w:rsidR="00BA0098">
        <w:t>estimates of the available space for CO</w:t>
      </w:r>
      <w:r w:rsidR="00BA0098" w:rsidRPr="003075E4">
        <w:rPr>
          <w:vertAlign w:val="subscript"/>
        </w:rPr>
        <w:t>2</w:t>
      </w:r>
      <w:r w:rsidR="00BA0098">
        <w:t xml:space="preserve"> injection</w:t>
      </w:r>
      <w:r w:rsidR="003808F2">
        <w:t xml:space="preserve"> in the study area</w:t>
      </w:r>
      <w:r w:rsidR="002310FD">
        <w:t xml:space="preserve"> </w:t>
      </w:r>
      <w:r w:rsidR="00804B9C">
        <w:t xml:space="preserve">and </w:t>
      </w:r>
      <w:r w:rsidR="002310FD">
        <w:t>only consider</w:t>
      </w:r>
      <w:r w:rsidR="00353AE7">
        <w:t xml:space="preserve"> the</w:t>
      </w:r>
      <w:r w:rsidR="002310FD">
        <w:t xml:space="preserve"> </w:t>
      </w:r>
      <w:r w:rsidR="00975207">
        <w:t xml:space="preserve">scenario </w:t>
      </w:r>
      <w:r w:rsidR="006875C2">
        <w:t>that</w:t>
      </w:r>
      <w:r w:rsidR="00975207">
        <w:t xml:space="preserve"> the injected CO</w:t>
      </w:r>
      <w:r w:rsidR="00975207" w:rsidRPr="00975207">
        <w:rPr>
          <w:vertAlign w:val="subscript"/>
        </w:rPr>
        <w:t>2</w:t>
      </w:r>
      <w:r w:rsidR="003808F2">
        <w:t xml:space="preserve"> </w:t>
      </w:r>
      <w:r w:rsidR="00975207">
        <w:t xml:space="preserve">will be </w:t>
      </w:r>
      <w:r w:rsidR="008B55F8">
        <w:t>trapped physically without dissolution and precipitation</w:t>
      </w:r>
      <w:r w:rsidR="00BC31AE">
        <w:t>,</w:t>
      </w:r>
      <w:r w:rsidR="004A41F8">
        <w:t xml:space="preserve"> and t</w:t>
      </w:r>
      <w:r w:rsidR="00353AE7">
        <w:t>he in-situ formation fluid will be displaced</w:t>
      </w:r>
      <w:r w:rsidR="004A41F8">
        <w:t xml:space="preserve"> away from the injected aquifer</w:t>
      </w:r>
      <w:r w:rsidR="00BC31AE">
        <w:t>.</w:t>
      </w:r>
    </w:p>
    <w:p w14:paraId="6053CD9C" w14:textId="3C95F977" w:rsidR="000144A9" w:rsidRDefault="000144A9" w:rsidP="000144A9">
      <w:pPr>
        <w:pStyle w:val="Heading3"/>
        <w:rPr>
          <w:rFonts w:eastAsiaTheme="minorEastAsia"/>
        </w:rPr>
      </w:pPr>
      <w:bookmarkStart w:id="667" w:name="_Toc121095992"/>
      <w:r w:rsidRPr="00896241">
        <w:rPr>
          <w:rFonts w:eastAsiaTheme="minorEastAsia"/>
        </w:rPr>
        <w:lastRenderedPageBreak/>
        <w:t>CO</w:t>
      </w:r>
      <w:r w:rsidRPr="004D7666">
        <w:rPr>
          <w:rFonts w:eastAsiaTheme="minorEastAsia"/>
          <w:vertAlign w:val="subscript"/>
        </w:rPr>
        <w:t>2</w:t>
      </w:r>
      <w:r w:rsidRPr="00896241">
        <w:rPr>
          <w:rFonts w:eastAsiaTheme="minorEastAsia"/>
        </w:rPr>
        <w:t xml:space="preserve"> </w:t>
      </w:r>
      <w:r w:rsidR="00F61807">
        <w:rPr>
          <w:rFonts w:eastAsiaTheme="minorEastAsia"/>
        </w:rPr>
        <w:t>p</w:t>
      </w:r>
      <w:r w:rsidRPr="00896241">
        <w:rPr>
          <w:rFonts w:eastAsiaTheme="minorEastAsia"/>
        </w:rPr>
        <w:t xml:space="preserve">lume </w:t>
      </w:r>
      <w:r w:rsidR="00F61807">
        <w:rPr>
          <w:rFonts w:eastAsiaTheme="minorEastAsia"/>
        </w:rPr>
        <w:t>b</w:t>
      </w:r>
      <w:r>
        <w:rPr>
          <w:rFonts w:eastAsiaTheme="minorEastAsia"/>
        </w:rPr>
        <w:t>ehavior</w:t>
      </w:r>
      <w:bookmarkEnd w:id="667"/>
    </w:p>
    <w:p w14:paraId="0A03C400" w14:textId="07420E74" w:rsidR="000144A9" w:rsidRDefault="000144A9" w:rsidP="0019292E">
      <w:pPr>
        <w:ind w:firstLine="720"/>
      </w:pPr>
      <w:r>
        <w:t>Using the dynamic simulation,</w:t>
      </w:r>
      <w:r w:rsidR="0019292E">
        <w:t xml:space="preserve"> </w:t>
      </w:r>
      <w:r>
        <w:t>we analyzed the CO</w:t>
      </w:r>
      <w:r w:rsidRPr="003E7969">
        <w:rPr>
          <w:vertAlign w:val="subscript"/>
        </w:rPr>
        <w:t>2</w:t>
      </w:r>
      <w:r>
        <w:t xml:space="preserve"> plume movement based on the </w:t>
      </w:r>
      <w:r w:rsidR="004723D8">
        <w:t xml:space="preserve">injection parameters defined </w:t>
      </w:r>
      <w:r w:rsidR="002163B6">
        <w:t>in</w:t>
      </w:r>
      <w:r w:rsidR="004723D8">
        <w:t xml:space="preserve"> the base-case scenario</w:t>
      </w:r>
      <w:r>
        <w:t xml:space="preserve">. To delineate the spatial extent, we used a similar approach as Zapata et al. (2020), where we considered all grid cells with </w:t>
      </w:r>
      <w:r w:rsidRPr="00AC55CE">
        <w:t>a CO</w:t>
      </w:r>
      <w:r w:rsidRPr="003E7969">
        <w:rPr>
          <w:vertAlign w:val="subscript"/>
        </w:rPr>
        <w:t>2</w:t>
      </w:r>
      <w:r w:rsidRPr="00AC55CE">
        <w:t xml:space="preserve"> aqueous mole-fraction larger than a threshold of 1 × 10</w:t>
      </w:r>
      <w:r w:rsidRPr="00AC55CE">
        <w:rPr>
          <w:vertAlign w:val="superscript"/>
        </w:rPr>
        <w:t>− 5</w:t>
      </w:r>
      <w:r w:rsidRPr="00AC55CE">
        <w:t xml:space="preserve"> as the part of the plume within the model </w:t>
      </w:r>
      <w:r w:rsidR="00494FA9" w:rsidRPr="00AC55CE">
        <w:t>framework</w:t>
      </w:r>
      <w:r w:rsidR="00494FA9">
        <w:t>.</w:t>
      </w:r>
      <w:r>
        <w:t xml:space="preserve"> The injected CO</w:t>
      </w:r>
      <w:r w:rsidRPr="003E7969">
        <w:rPr>
          <w:vertAlign w:val="subscript"/>
        </w:rPr>
        <w:t>2</w:t>
      </w:r>
      <w:r>
        <w:t xml:space="preserve"> can be seen entirely contained within the porous and permeable Arbuckle zone A due to the tight, impermeable characteristics of the Arbuckle zone B, acting as a baffle. Due to the presence of </w:t>
      </w:r>
      <w:r w:rsidR="00675CE3">
        <w:t xml:space="preserve">stratigraphic </w:t>
      </w:r>
      <w:r>
        <w:t xml:space="preserve">baffles, the average lateral propagation of the plume is larger than the vertical dispersion during both injection and post-injection </w:t>
      </w:r>
      <w:r w:rsidR="00494FA9">
        <w:t xml:space="preserve">periods (Figures </w:t>
      </w:r>
      <w:r w:rsidR="00BB2BDF">
        <w:t>3.</w:t>
      </w:r>
      <w:r w:rsidR="00494FA9">
        <w:t>1</w:t>
      </w:r>
      <w:r w:rsidR="009E1208">
        <w:t>8</w:t>
      </w:r>
      <w:r w:rsidR="00675CE3">
        <w:t xml:space="preserve">, </w:t>
      </w:r>
      <w:r w:rsidR="00BB2BDF">
        <w:t>3.</w:t>
      </w:r>
      <w:r w:rsidR="00675CE3">
        <w:t xml:space="preserve">19, </w:t>
      </w:r>
      <w:r w:rsidR="00BB2BDF">
        <w:t>3.</w:t>
      </w:r>
      <w:r w:rsidR="005E7BC8">
        <w:t>20</w:t>
      </w:r>
      <w:r w:rsidR="00494FA9">
        <w:t>)</w:t>
      </w:r>
      <w:r>
        <w:t>.</w:t>
      </w:r>
      <w:r w:rsidR="00D00020">
        <w:t xml:space="preserve"> At the end of 100 year</w:t>
      </w:r>
      <w:r w:rsidR="001004A5">
        <w:t>s</w:t>
      </w:r>
      <w:r w:rsidR="00D00020">
        <w:t xml:space="preserve"> of injection and 100 years of the post</w:t>
      </w:r>
      <w:r w:rsidR="001004A5">
        <w:t>-</w:t>
      </w:r>
      <w:r w:rsidR="00D00020">
        <w:t>injection periods,</w:t>
      </w:r>
      <w:r>
        <w:t xml:space="preserve"> </w:t>
      </w:r>
      <w:r w:rsidR="00D00020">
        <w:t>t</w:t>
      </w:r>
      <w:r>
        <w:t>he maximum lateral extent of the plume is 4450 ft (</w:t>
      </w:r>
      <w:r w:rsidRPr="00E76806">
        <w:t>1356</w:t>
      </w:r>
      <w:r w:rsidR="00675CE3">
        <w:t xml:space="preserve"> m</w:t>
      </w:r>
      <w:r>
        <w:t xml:space="preserve">), and the greatest vertical </w:t>
      </w:r>
      <w:r w:rsidR="00DB1E0C">
        <w:t xml:space="preserve">axis of the plume body </w:t>
      </w:r>
      <w:r>
        <w:t>reaches up to 340 ft (</w:t>
      </w:r>
      <w:r w:rsidRPr="002100B2">
        <w:t>103</w:t>
      </w:r>
      <w:r>
        <w:t xml:space="preserve"> m) (Figure </w:t>
      </w:r>
      <w:r w:rsidR="00BB2BDF">
        <w:t>3.</w:t>
      </w:r>
      <w:r w:rsidR="005F373B">
        <w:t>2</w:t>
      </w:r>
      <w:r w:rsidR="00B968E5">
        <w:t>1</w:t>
      </w:r>
      <w:r>
        <w:t xml:space="preserve">). </w:t>
      </w:r>
    </w:p>
    <w:p w14:paraId="4D82DDCF" w14:textId="590328E8" w:rsidR="000144A9" w:rsidRDefault="000144A9" w:rsidP="000144A9">
      <w:pPr>
        <w:pStyle w:val="Heading2"/>
      </w:pPr>
      <w:bookmarkStart w:id="668" w:name="_Toc121095993"/>
      <w:r>
        <w:t>Discussion</w:t>
      </w:r>
      <w:bookmarkEnd w:id="668"/>
    </w:p>
    <w:p w14:paraId="046B9060" w14:textId="13392496" w:rsidR="004657ED" w:rsidRPr="002D5373" w:rsidRDefault="004657ED" w:rsidP="004657ED">
      <w:pPr>
        <w:ind w:firstLine="720"/>
      </w:pPr>
      <w:r>
        <w:t xml:space="preserve">The integration of </w:t>
      </w:r>
      <w:r w:rsidR="00EE09B9">
        <w:t xml:space="preserve">core-derived lithologies and petrofacies with 3D </w:t>
      </w:r>
      <w:r>
        <w:t>seismic</w:t>
      </w:r>
      <w:r w:rsidR="00EE09B9">
        <w:t xml:space="preserve"> data</w:t>
      </w:r>
      <w:r>
        <w:t xml:space="preserve"> </w:t>
      </w:r>
      <w:r w:rsidR="00EE09B9">
        <w:t xml:space="preserve">were useful to </w:t>
      </w:r>
      <w:r>
        <w:t xml:space="preserve">identify </w:t>
      </w:r>
      <w:r w:rsidR="001732DA">
        <w:rPr>
          <w:rFonts w:cs="Times New Roman"/>
          <w:szCs w:val="24"/>
        </w:rPr>
        <w:t>the spatial</w:t>
      </w:r>
      <w:r w:rsidR="00EE09B9">
        <w:rPr>
          <w:rFonts w:cs="Times New Roman"/>
          <w:szCs w:val="24"/>
        </w:rPr>
        <w:t xml:space="preserve"> </w:t>
      </w:r>
      <w:r>
        <w:rPr>
          <w:rFonts w:cs="Times New Roman"/>
          <w:szCs w:val="24"/>
        </w:rPr>
        <w:t xml:space="preserve">variability of petrofacies and corresponding petrophysical properties </w:t>
      </w:r>
      <w:r w:rsidR="00EE09B9">
        <w:rPr>
          <w:rFonts w:cs="Times New Roman"/>
          <w:szCs w:val="24"/>
        </w:rPr>
        <w:t>of</w:t>
      </w:r>
      <w:r>
        <w:rPr>
          <w:rFonts w:cs="Times New Roman"/>
          <w:szCs w:val="24"/>
        </w:rPr>
        <w:t xml:space="preserve"> the Arbuckle Group</w:t>
      </w:r>
      <w:r w:rsidR="003A1B8E">
        <w:rPr>
          <w:rFonts w:cs="Times New Roman"/>
          <w:szCs w:val="24"/>
        </w:rPr>
        <w:t>.</w:t>
      </w:r>
      <w:r>
        <w:rPr>
          <w:rFonts w:cs="Times New Roman"/>
          <w:szCs w:val="24"/>
        </w:rPr>
        <w:t xml:space="preserve"> </w:t>
      </w:r>
    </w:p>
    <w:p w14:paraId="54B0CBA5" w14:textId="7A7780E3" w:rsidR="00F50483" w:rsidRPr="00041B70" w:rsidRDefault="004657ED" w:rsidP="00F50483">
      <w:pPr>
        <w:ind w:firstLine="720"/>
        <w:rPr>
          <w:rFonts w:cs="Times New Roman"/>
          <w:szCs w:val="24"/>
        </w:rPr>
      </w:pPr>
      <w:r>
        <w:rPr>
          <w:rFonts w:cs="Times New Roman"/>
          <w:szCs w:val="24"/>
        </w:rPr>
        <w:t xml:space="preserve">Compared to the previous work of Watney and Rush (2012), this study has several differences in </w:t>
      </w:r>
      <w:r w:rsidR="00EE09B9">
        <w:rPr>
          <w:rFonts w:cs="Times New Roman"/>
          <w:szCs w:val="24"/>
        </w:rPr>
        <w:t xml:space="preserve">the </w:t>
      </w:r>
      <w:r>
        <w:rPr>
          <w:rFonts w:cs="Times New Roman"/>
          <w:szCs w:val="24"/>
        </w:rPr>
        <w:t xml:space="preserve">workflow, modeling parameters, and data integration. </w:t>
      </w:r>
      <w:r w:rsidR="00EE09B9">
        <w:rPr>
          <w:rFonts w:cs="Times New Roman"/>
          <w:szCs w:val="24"/>
        </w:rPr>
        <w:t xml:space="preserve">Watney and Rush (2012) did not identify stratigraphic zones within the Arbuckle Group but </w:t>
      </w:r>
      <w:r>
        <w:rPr>
          <w:rFonts w:cs="Times New Roman"/>
          <w:szCs w:val="24"/>
        </w:rPr>
        <w:t xml:space="preserve">created their 3D model grid using a single top </w:t>
      </w:r>
      <w:r w:rsidR="008F402E">
        <w:rPr>
          <w:rFonts w:cs="Times New Roman"/>
          <w:szCs w:val="24"/>
        </w:rPr>
        <w:t xml:space="preserve">of Arbuckle </w:t>
      </w:r>
      <w:r>
        <w:rPr>
          <w:rFonts w:cs="Times New Roman"/>
          <w:szCs w:val="24"/>
        </w:rPr>
        <w:t>structure</w:t>
      </w:r>
      <w:r w:rsidR="008F402E">
        <w:rPr>
          <w:rFonts w:cs="Times New Roman"/>
          <w:szCs w:val="24"/>
        </w:rPr>
        <w:t>-contour</w:t>
      </w:r>
      <w:r>
        <w:rPr>
          <w:rFonts w:cs="Times New Roman"/>
          <w:szCs w:val="24"/>
        </w:rPr>
        <w:t xml:space="preserve"> map and defined the base of the </w:t>
      </w:r>
      <w:r w:rsidR="008F402E">
        <w:rPr>
          <w:rFonts w:cs="Times New Roman"/>
          <w:szCs w:val="24"/>
        </w:rPr>
        <w:t xml:space="preserve">3D </w:t>
      </w:r>
      <w:r>
        <w:rPr>
          <w:rFonts w:cs="Times New Roman"/>
          <w:szCs w:val="24"/>
        </w:rPr>
        <w:t>grid using the “follow-the-top” approach.</w:t>
      </w:r>
      <w:r w:rsidR="00146DA1">
        <w:rPr>
          <w:rFonts w:cs="Times New Roman"/>
          <w:szCs w:val="24"/>
        </w:rPr>
        <w:t xml:space="preserve"> The</w:t>
      </w:r>
      <w:r w:rsidR="008F402E">
        <w:rPr>
          <w:rFonts w:cs="Times New Roman"/>
          <w:szCs w:val="24"/>
        </w:rPr>
        <w:t>ir</w:t>
      </w:r>
      <w:r w:rsidR="00146DA1">
        <w:rPr>
          <w:rFonts w:cs="Times New Roman"/>
          <w:szCs w:val="24"/>
        </w:rPr>
        <w:t xml:space="preserve"> model consists of </w:t>
      </w:r>
      <w:r w:rsidR="00146DA1" w:rsidRPr="005F0A6C">
        <w:rPr>
          <w:rFonts w:cs="Times New Roman"/>
          <w:szCs w:val="24"/>
        </w:rPr>
        <w:t>706 x 654</w:t>
      </w:r>
      <w:r w:rsidR="008F402E">
        <w:rPr>
          <w:rFonts w:cs="Times New Roman"/>
          <w:szCs w:val="24"/>
        </w:rPr>
        <w:t xml:space="preserve"> x </w:t>
      </w:r>
      <w:r w:rsidR="001732DA" w:rsidRPr="005F0A6C">
        <w:rPr>
          <w:rFonts w:cs="Times New Roman"/>
          <w:szCs w:val="24"/>
        </w:rPr>
        <w:t>79 cells</w:t>
      </w:r>
      <w:r w:rsidR="008F402E">
        <w:rPr>
          <w:rFonts w:cs="Times New Roman"/>
          <w:szCs w:val="24"/>
        </w:rPr>
        <w:t xml:space="preserve"> in the I, J, and K directions</w:t>
      </w:r>
      <w:r w:rsidR="00146DA1" w:rsidRPr="005F0A6C">
        <w:rPr>
          <w:rFonts w:cs="Times New Roman"/>
          <w:szCs w:val="24"/>
        </w:rPr>
        <w:t xml:space="preserve"> </w:t>
      </w:r>
      <w:r w:rsidR="00146DA1" w:rsidRPr="005F0A6C">
        <w:rPr>
          <w:rFonts w:cs="Times New Roman"/>
          <w:szCs w:val="24"/>
        </w:rPr>
        <w:lastRenderedPageBreak/>
        <w:t>(total</w:t>
      </w:r>
      <w:r w:rsidR="008F402E">
        <w:rPr>
          <w:rFonts w:cs="Times New Roman"/>
          <w:szCs w:val="24"/>
        </w:rPr>
        <w:t xml:space="preserve"> =</w:t>
      </w:r>
      <w:r w:rsidR="00146DA1" w:rsidRPr="005F0A6C">
        <w:rPr>
          <w:rFonts w:cs="Times New Roman"/>
          <w:szCs w:val="24"/>
        </w:rPr>
        <w:t xml:space="preserve"> </w:t>
      </w:r>
      <w:r w:rsidR="00146DA1" w:rsidRPr="005F0A6C">
        <w:t xml:space="preserve">36,476,196 cells) </w:t>
      </w:r>
      <w:r w:rsidR="00FE2D8A" w:rsidRPr="005F0A6C">
        <w:t xml:space="preserve">and covers an area of </w:t>
      </w:r>
      <w:r w:rsidR="002B23A4" w:rsidRPr="005F0A6C">
        <w:t>1.56</w:t>
      </w:r>
      <w:r w:rsidR="0065181F" w:rsidRPr="005F0A6C">
        <w:t xml:space="preserve"> mi</w:t>
      </w:r>
      <w:r w:rsidR="0065181F" w:rsidRPr="005F0A6C">
        <w:rPr>
          <w:vertAlign w:val="superscript"/>
        </w:rPr>
        <w:t>2</w:t>
      </w:r>
      <w:r w:rsidR="00747A40" w:rsidRPr="005F0A6C">
        <w:rPr>
          <w:rFonts w:cs="Times New Roman"/>
          <w:szCs w:val="24"/>
        </w:rPr>
        <w:t xml:space="preserve"> (</w:t>
      </w:r>
      <w:r w:rsidR="002B23A4" w:rsidRPr="005F0A6C">
        <w:t>4</w:t>
      </w:r>
      <w:r w:rsidR="00747A40" w:rsidRPr="005F0A6C">
        <w:t>.</w:t>
      </w:r>
      <w:r w:rsidR="002B23A4" w:rsidRPr="005F0A6C">
        <w:t>04</w:t>
      </w:r>
      <w:r w:rsidR="00747A40" w:rsidRPr="005F0A6C">
        <w:t xml:space="preserve"> km</w:t>
      </w:r>
      <w:r w:rsidR="00747A40" w:rsidRPr="008E711D">
        <w:rPr>
          <w:vertAlign w:val="subscript"/>
        </w:rPr>
        <w:t>2</w:t>
      </w:r>
      <w:r w:rsidR="00747A40" w:rsidRPr="005F0A6C">
        <w:t>).</w:t>
      </w:r>
      <w:r w:rsidR="00041B70" w:rsidRPr="005F0A6C">
        <w:t xml:space="preserve"> </w:t>
      </w:r>
      <w:r w:rsidR="008F402E">
        <w:rPr>
          <w:rFonts w:cs="Times New Roman"/>
          <w:szCs w:val="24"/>
        </w:rPr>
        <w:t>W</w:t>
      </w:r>
      <w:r>
        <w:rPr>
          <w:rFonts w:cs="Times New Roman"/>
          <w:szCs w:val="24"/>
        </w:rPr>
        <w:t xml:space="preserve">e defined our 3D grid using the interpreted seismic horizons </w:t>
      </w:r>
      <w:r w:rsidR="008F402E">
        <w:rPr>
          <w:rFonts w:cs="Times New Roman"/>
          <w:szCs w:val="24"/>
        </w:rPr>
        <w:t>for 3 zones that were interpreted for</w:t>
      </w:r>
      <w:r>
        <w:rPr>
          <w:rFonts w:cs="Times New Roman"/>
          <w:szCs w:val="24"/>
        </w:rPr>
        <w:t xml:space="preserve"> the Arbuckle Group based on the distinct differences in acoustic impedance.</w:t>
      </w:r>
      <w:r w:rsidR="00F50483" w:rsidRPr="00F50483">
        <w:t xml:space="preserve"> </w:t>
      </w:r>
      <w:r w:rsidR="00F50483">
        <w:t xml:space="preserve">The 3D grid defined in this study spans </w:t>
      </w:r>
      <w:r w:rsidR="008F402E">
        <w:t xml:space="preserve">a larger </w:t>
      </w:r>
      <w:r w:rsidR="00F50483">
        <w:t xml:space="preserve">area of </w:t>
      </w:r>
      <w:r w:rsidR="00F50483" w:rsidRPr="00794D6D">
        <w:rPr>
          <w:rFonts w:cs="Times New Roman"/>
          <w:szCs w:val="24"/>
        </w:rPr>
        <w:t>approximately 10.4 mi</w:t>
      </w:r>
      <w:r w:rsidR="00F50483" w:rsidRPr="009F4EE6">
        <w:rPr>
          <w:rFonts w:cs="Times New Roman"/>
          <w:szCs w:val="24"/>
          <w:vertAlign w:val="superscript"/>
        </w:rPr>
        <w:t>2</w:t>
      </w:r>
      <w:r w:rsidR="00F50483" w:rsidRPr="00794D6D">
        <w:rPr>
          <w:rFonts w:cs="Times New Roman"/>
          <w:szCs w:val="24"/>
        </w:rPr>
        <w:t xml:space="preserve"> (26.9 km</w:t>
      </w:r>
      <w:r w:rsidR="00F50483" w:rsidRPr="009F4EE6">
        <w:rPr>
          <w:rFonts w:cs="Times New Roman"/>
          <w:szCs w:val="24"/>
          <w:vertAlign w:val="superscript"/>
        </w:rPr>
        <w:t>2</w:t>
      </w:r>
      <w:r w:rsidR="00F50483" w:rsidRPr="00794D6D">
        <w:rPr>
          <w:rFonts w:cs="Times New Roman"/>
          <w:szCs w:val="24"/>
        </w:rPr>
        <w:t>)</w:t>
      </w:r>
      <w:r w:rsidR="00F50483">
        <w:rPr>
          <w:rFonts w:cs="Times New Roman"/>
          <w:szCs w:val="24"/>
        </w:rPr>
        <w:t xml:space="preserve"> and comprises 179 x 289 x 450 cells in the I, J, and K directions</w:t>
      </w:r>
      <w:r w:rsidR="00F50483" w:rsidRPr="00794D6D">
        <w:rPr>
          <w:rFonts w:cs="Times New Roman"/>
          <w:szCs w:val="24"/>
        </w:rPr>
        <w:t xml:space="preserve">, resulting in </w:t>
      </w:r>
      <w:r w:rsidR="00F50483" w:rsidRPr="00766CFE">
        <w:rPr>
          <w:rFonts w:cs="Times New Roman"/>
          <w:szCs w:val="24"/>
        </w:rPr>
        <w:t>23,278,950</w:t>
      </w:r>
      <w:r w:rsidR="00F50483" w:rsidRPr="00794D6D">
        <w:rPr>
          <w:rFonts w:cs="Times New Roman"/>
          <w:szCs w:val="24"/>
        </w:rPr>
        <w:t xml:space="preserve"> cells</w:t>
      </w:r>
      <w:r w:rsidR="00F50483">
        <w:rPr>
          <w:rFonts w:cs="Times New Roman"/>
          <w:szCs w:val="24"/>
        </w:rPr>
        <w:t xml:space="preserve"> (Figure </w:t>
      </w:r>
      <w:r w:rsidR="00E57175">
        <w:rPr>
          <w:rFonts w:cs="Times New Roman"/>
          <w:szCs w:val="24"/>
        </w:rPr>
        <w:t>22)</w:t>
      </w:r>
    </w:p>
    <w:p w14:paraId="4AB45F78" w14:textId="6E70AC29" w:rsidR="004657ED" w:rsidRDefault="004657ED" w:rsidP="004657ED">
      <w:pPr>
        <w:ind w:firstLine="720"/>
        <w:rPr>
          <w:rFonts w:cs="Times New Roman"/>
          <w:szCs w:val="24"/>
        </w:rPr>
      </w:pPr>
      <w:r>
        <w:rPr>
          <w:rFonts w:cs="Times New Roman"/>
          <w:szCs w:val="24"/>
        </w:rPr>
        <w:t xml:space="preserve"> </w:t>
      </w:r>
      <w:r>
        <w:t>Watney and Rush (2012) created their rock</w:t>
      </w:r>
      <w:r w:rsidR="008F402E">
        <w:t>-</w:t>
      </w:r>
      <w:r>
        <w:t>type model by first creating porosity and permeability models</w:t>
      </w:r>
      <w:r w:rsidR="008F402E">
        <w:t>, calculating reservoir quality index (RQI),</w:t>
      </w:r>
      <w:r>
        <w:t xml:space="preserve"> and then defining rock types by </w:t>
      </w:r>
      <w:r w:rsidR="008F402E">
        <w:t xml:space="preserve">arbitrarily </w:t>
      </w:r>
      <w:r>
        <w:t xml:space="preserve">binning RQI values. </w:t>
      </w:r>
      <w:r w:rsidR="008F402E">
        <w:t xml:space="preserve">Therefore, their porosity and permeability models are not constrained to lithologies. </w:t>
      </w:r>
      <w:r>
        <w:t xml:space="preserve">In this study, we </w:t>
      </w:r>
      <w:r w:rsidR="008F402E">
        <w:t xml:space="preserve">first </w:t>
      </w:r>
      <w:r>
        <w:t xml:space="preserve">created </w:t>
      </w:r>
      <w:r w:rsidR="008F402E">
        <w:t xml:space="preserve">the 3D </w:t>
      </w:r>
      <w:r>
        <w:t xml:space="preserve">petrofacies </w:t>
      </w:r>
      <w:r w:rsidR="008F402E">
        <w:t xml:space="preserve">(rock-type) </w:t>
      </w:r>
      <w:r>
        <w:t xml:space="preserve">model using the upscaled petrofacies logs </w:t>
      </w:r>
      <w:r w:rsidR="00643A08">
        <w:t xml:space="preserve">(linked to core-based rock types) </w:t>
      </w:r>
      <w:r>
        <w:t xml:space="preserve">and the seismic-based 3D petrofacies trend volumes. </w:t>
      </w:r>
      <w:r w:rsidR="008F402E">
        <w:t>Because porosity and permeability are often related to rock type</w:t>
      </w:r>
      <w:r w:rsidR="00643A08">
        <w:t>s</w:t>
      </w:r>
      <w:r w:rsidR="008F402E">
        <w:t xml:space="preserve"> (e.g., </w:t>
      </w:r>
      <w:r w:rsidR="004C6A68">
        <w:t>lithologies</w:t>
      </w:r>
      <w:r w:rsidR="008F402E">
        <w:t xml:space="preserve"> and facies), the 3D petrofacies model was subsequently used to constrain the spatial distribution of porosity and permeability. </w:t>
      </w:r>
      <w:r>
        <w:t xml:space="preserve">Petrofacies logs were created based on the core-derived porosity and permeability measurements using the FZI method, where each petrofacies is directly related to the lithofacies defined </w:t>
      </w:r>
      <w:r w:rsidR="00643A08">
        <w:t>in</w:t>
      </w:r>
      <w:r>
        <w:t xml:space="preserve"> core. 3D petrofacies trend volumes provided spatial variability information to guide the distribution of petrofacies away and between the wells, reducing the uncertainty caused by the inherent subsurface heterogeneity and the limited control in the study area</w:t>
      </w:r>
      <w:r w:rsidR="00A77E71">
        <w:t xml:space="preserve"> </w:t>
      </w:r>
      <w:r w:rsidR="008A1B83">
        <w:t>(Figure</w:t>
      </w:r>
      <w:r w:rsidR="00A77E71">
        <w:t xml:space="preserve">s </w:t>
      </w:r>
      <w:r w:rsidR="00855A17">
        <w:t>3.</w:t>
      </w:r>
      <w:r w:rsidR="00A77E71">
        <w:t xml:space="preserve">23 and </w:t>
      </w:r>
      <w:r w:rsidR="00855A17">
        <w:t>3.</w:t>
      </w:r>
      <w:r w:rsidR="00A77E71">
        <w:t>24).</w:t>
      </w:r>
      <w:r>
        <w:t xml:space="preserve"> </w:t>
      </w:r>
    </w:p>
    <w:p w14:paraId="04BF6E2A" w14:textId="48E417DA" w:rsidR="004657ED" w:rsidRPr="005C1F4E" w:rsidRDefault="00643A08" w:rsidP="004657ED">
      <w:pPr>
        <w:ind w:firstLine="720"/>
        <w:rPr>
          <w:rFonts w:cs="Times New Roman"/>
          <w:szCs w:val="24"/>
        </w:rPr>
      </w:pPr>
      <w:r>
        <w:t xml:space="preserve">Watney and Rush (2012) </w:t>
      </w:r>
      <w:r w:rsidR="004657ED">
        <w:t>created their porosity model without any</w:t>
      </w:r>
      <w:r>
        <w:t xml:space="preserve"> constraint to a</w:t>
      </w:r>
      <w:r w:rsidR="004657ED">
        <w:t xml:space="preserve"> facies model</w:t>
      </w:r>
      <w:r>
        <w:t xml:space="preserve"> and used</w:t>
      </w:r>
      <w:r w:rsidR="004657ED">
        <w:t xml:space="preserve"> a single isotropic variogram of 5000 ft (</w:t>
      </w:r>
      <w:r w:rsidR="004657ED" w:rsidRPr="005C1F4E">
        <w:t>1524</w:t>
      </w:r>
      <w:r>
        <w:t xml:space="preserve"> m</w:t>
      </w:r>
      <w:r w:rsidR="004657ED">
        <w:t xml:space="preserve">) </w:t>
      </w:r>
      <w:r>
        <w:t xml:space="preserve">for the </w:t>
      </w:r>
      <w:r w:rsidR="004657ED">
        <w:t>horizontal range. They used the ANN</w:t>
      </w:r>
      <w:r>
        <w:t>-based</w:t>
      </w:r>
      <w:r w:rsidR="004657ED">
        <w:t xml:space="preserve"> porosity volume as a secondary variable </w:t>
      </w:r>
      <w:r>
        <w:t>with</w:t>
      </w:r>
      <w:r w:rsidR="004657ED">
        <w:t xml:space="preserve"> co-kriging, with a</w:t>
      </w:r>
      <w:r>
        <w:t>n arbitrary</w:t>
      </w:r>
      <w:r w:rsidR="004657ED">
        <w:t xml:space="preserve"> correlation coefficient of </w:t>
      </w:r>
      <w:r>
        <w:t>0.</w:t>
      </w:r>
      <w:r w:rsidR="004657ED">
        <w:t>75.</w:t>
      </w:r>
      <w:r w:rsidR="004657ED">
        <w:rPr>
          <w:rFonts w:cs="Times New Roman"/>
          <w:szCs w:val="24"/>
        </w:rPr>
        <w:t xml:space="preserve"> </w:t>
      </w:r>
      <w:r w:rsidR="004657ED">
        <w:t xml:space="preserve">In comparison, our porosity model is biased to the petrofacies </w:t>
      </w:r>
      <w:r w:rsidR="004657ED">
        <w:lastRenderedPageBreak/>
        <w:t xml:space="preserve">model, and </w:t>
      </w:r>
      <w:r w:rsidR="001B77A1">
        <w:t xml:space="preserve">each petrofacies </w:t>
      </w:r>
      <w:r>
        <w:t xml:space="preserve">has </w:t>
      </w:r>
      <w:r w:rsidR="001B77A1">
        <w:t>defined variogram parameter</w:t>
      </w:r>
      <w:r w:rsidR="004657ED">
        <w:t xml:space="preserve">s for each zone. To provide the spatial trend information, we created a porosity trend volume based on the relationship between the acoustic impedance and the total porosity. Horizontal variogram parameters were defined based on the trend volume. To create horizontal and vertical permeability models, </w:t>
      </w:r>
      <w:r>
        <w:t>Watney and Rush (2012</w:t>
      </w:r>
      <w:r w:rsidR="00D26AFF">
        <w:t>) used</w:t>
      </w:r>
      <w:r w:rsidR="004657ED">
        <w:t xml:space="preserve"> the porosity model as the secondary variable </w:t>
      </w:r>
      <w:r>
        <w:t>with</w:t>
      </w:r>
      <w:r w:rsidR="004657ED">
        <w:t xml:space="preserve"> collocated co-</w:t>
      </w:r>
      <w:r>
        <w:t xml:space="preserve">kriging </w:t>
      </w:r>
      <w:r w:rsidR="004657ED">
        <w:t xml:space="preserve">with a </w:t>
      </w:r>
      <w:r>
        <w:t>0.</w:t>
      </w:r>
      <w:r w:rsidR="004657ED">
        <w:t xml:space="preserve">70 correlation coefficient. Like the porosity model, </w:t>
      </w:r>
      <w:r>
        <w:t>Watney and Rush (2012) also</w:t>
      </w:r>
      <w:r w:rsidR="004657ED">
        <w:t xml:space="preserve"> used a single isotropic variogram for the entire model. In this study, we created a horizontal permeability model using a similar approach, using the porosity model as a secondary variable </w:t>
      </w:r>
      <w:r w:rsidR="00F16806">
        <w:t xml:space="preserve">with </w:t>
      </w:r>
      <w:r w:rsidR="004657ED">
        <w:t>collocated co-</w:t>
      </w:r>
      <w:r w:rsidR="00F16806">
        <w:t>k</w:t>
      </w:r>
      <w:r w:rsidR="004657ED">
        <w:t>riging. However, we used different variogram parameters per petrofacies and per zone (using the same values as the porosity variogram) and estimated correlation coefficients separately for each petrofacies and each zone</w:t>
      </w:r>
      <w:r w:rsidR="00A77E71">
        <w:t xml:space="preserve"> (Figures </w:t>
      </w:r>
      <w:r w:rsidR="00996021">
        <w:t>3.</w:t>
      </w:r>
      <w:r w:rsidR="00A77E71">
        <w:t xml:space="preserve">25 and </w:t>
      </w:r>
      <w:r w:rsidR="00996021">
        <w:t>3.</w:t>
      </w:r>
      <w:r w:rsidR="00A77E71">
        <w:t>26).</w:t>
      </w:r>
      <w:r w:rsidR="004657ED">
        <w:t xml:space="preserve"> </w:t>
      </w:r>
    </w:p>
    <w:p w14:paraId="477343ED" w14:textId="08815A4F" w:rsidR="00266832" w:rsidRDefault="004657ED" w:rsidP="004657ED">
      <w:pPr>
        <w:ind w:firstLine="720"/>
      </w:pPr>
      <w:r>
        <w:t>For the CO</w:t>
      </w:r>
      <w:r w:rsidRPr="002D5373">
        <w:rPr>
          <w:vertAlign w:val="subscript"/>
        </w:rPr>
        <w:t>2</w:t>
      </w:r>
      <w:r>
        <w:rPr>
          <w:vertAlign w:val="subscript"/>
        </w:rPr>
        <w:t xml:space="preserve"> </w:t>
      </w:r>
      <w:r>
        <w:t xml:space="preserve">plume simulations, our scenario involved 100 </w:t>
      </w:r>
      <w:r w:rsidR="00467F59">
        <w:t>t/</w:t>
      </w:r>
      <w:r>
        <w:t>day injection rate for 100 years (</w:t>
      </w:r>
      <w:r w:rsidR="00353031">
        <w:t xml:space="preserve">total of </w:t>
      </w:r>
      <w:r>
        <w:t xml:space="preserve">3.6 </w:t>
      </w:r>
      <w:r w:rsidR="00353031">
        <w:t>Mt</w:t>
      </w:r>
      <w:r>
        <w:t xml:space="preserve">) and 100 years post-injection periods. </w:t>
      </w:r>
      <w:r w:rsidRPr="004657ED">
        <w:t>The amount of simulated CO</w:t>
      </w:r>
      <w:r w:rsidRPr="004657ED">
        <w:rPr>
          <w:vertAlign w:val="subscript"/>
        </w:rPr>
        <w:t>2</w:t>
      </w:r>
      <w:r w:rsidRPr="004657ED">
        <w:t xml:space="preserve"> injection is well within the range of</w:t>
      </w:r>
      <w:r w:rsidR="00DD0203">
        <w:t xml:space="preserve"> our </w:t>
      </w:r>
      <w:r w:rsidRPr="004657ED">
        <w:t xml:space="preserve">theoretical storage capacity estimates </w:t>
      </w:r>
      <w:r w:rsidR="00DD0203">
        <w:t>and</w:t>
      </w:r>
      <w:r w:rsidRPr="004657ED">
        <w:t xml:space="preserve"> nearby analog fields with similar average porosity, area, and thickness calculated by Holubnyak et al. (2017). </w:t>
      </w:r>
      <w:r>
        <w:t>In comparison, Watney and Rush (2012) simulated nine months of CO</w:t>
      </w:r>
      <w:r w:rsidRPr="002D5373">
        <w:rPr>
          <w:vertAlign w:val="subscript"/>
        </w:rPr>
        <w:t>2</w:t>
      </w:r>
      <w:r>
        <w:t xml:space="preserve"> injection with the rate of 150 </w:t>
      </w:r>
      <w:r w:rsidR="00467F59">
        <w:t>M</w:t>
      </w:r>
      <w:r>
        <w:t xml:space="preserve">t/day (a total of 40,000 </w:t>
      </w:r>
      <w:r w:rsidR="00467F59">
        <w:t>M</w:t>
      </w:r>
      <w:r>
        <w:t>t) and 100-year post-injection periods based on</w:t>
      </w:r>
      <w:r w:rsidR="00A235CA">
        <w:t xml:space="preserve"> the </w:t>
      </w:r>
      <w:r w:rsidR="00F516B1">
        <w:t xml:space="preserve">permit that the </w:t>
      </w:r>
      <w:r w:rsidR="00586980">
        <w:t>operating company</w:t>
      </w:r>
      <w:r w:rsidR="00F516B1">
        <w:t xml:space="preserve"> is seeking for </w:t>
      </w:r>
      <w:r w:rsidR="00D26AFF">
        <w:t xml:space="preserve">the intended </w:t>
      </w:r>
      <w:r w:rsidR="00F516B1">
        <w:t>small-scale field test</w:t>
      </w:r>
      <w:r w:rsidR="00D26AFF">
        <w:t>.</w:t>
      </w:r>
      <w:r w:rsidR="00701D05">
        <w:t xml:space="preserve"> </w:t>
      </w:r>
      <w:r w:rsidR="00243A0F">
        <w:t xml:space="preserve">In terms of the plume </w:t>
      </w:r>
      <w:r w:rsidR="00C41987">
        <w:t xml:space="preserve">migration, the simulated plume </w:t>
      </w:r>
      <w:r w:rsidR="0033179D">
        <w:t>from Watney and Rush (2012)</w:t>
      </w:r>
      <w:r w:rsidR="007E1552">
        <w:t xml:space="preserve"> </w:t>
      </w:r>
      <w:r w:rsidR="00D9738F">
        <w:t xml:space="preserve">axis </w:t>
      </w:r>
      <w:r w:rsidR="00EB6FE8">
        <w:t xml:space="preserve">reaches </w:t>
      </w:r>
      <w:r w:rsidR="001A5C07">
        <w:t xml:space="preserve">up to </w:t>
      </w:r>
      <w:r w:rsidR="00FE57AB">
        <w:t>2150</w:t>
      </w:r>
      <w:r w:rsidR="001A5C07">
        <w:t xml:space="preserve"> feet (</w:t>
      </w:r>
      <w:r w:rsidR="0069468F">
        <w:t>655</w:t>
      </w:r>
      <w:r w:rsidR="001A5C07">
        <w:t xml:space="preserve"> m) laterally and </w:t>
      </w:r>
      <w:r w:rsidR="00177E40">
        <w:t>vertically stays within the perforated zone (</w:t>
      </w:r>
      <w:r w:rsidR="00F20664">
        <w:t>140 ft-42.6 m</w:t>
      </w:r>
      <w:r w:rsidR="0033179D">
        <w:t>)</w:t>
      </w:r>
      <w:r w:rsidR="00B74880">
        <w:t>. In this study, the</w:t>
      </w:r>
      <w:r w:rsidR="00EB6FE8">
        <w:t xml:space="preserve"> horizontal axis of </w:t>
      </w:r>
      <w:r w:rsidR="00A46537">
        <w:t>the plume</w:t>
      </w:r>
      <w:r w:rsidR="00B74880">
        <w:t xml:space="preserve"> </w:t>
      </w:r>
      <w:r w:rsidR="005752C4">
        <w:t xml:space="preserve">horizontal </w:t>
      </w:r>
      <w:r w:rsidR="00EB6FE8">
        <w:t>reaches</w:t>
      </w:r>
      <w:r w:rsidR="009C1408">
        <w:t xml:space="preserve"> 4450 ft (</w:t>
      </w:r>
      <w:r w:rsidR="009C1408" w:rsidRPr="00E76806">
        <w:t>1356</w:t>
      </w:r>
      <w:r w:rsidR="009C1408">
        <w:t xml:space="preserve"> m), </w:t>
      </w:r>
      <w:r w:rsidR="005752C4">
        <w:t xml:space="preserve">and the </w:t>
      </w:r>
      <w:r w:rsidR="009C1408">
        <w:t xml:space="preserve">vertical axis </w:t>
      </w:r>
      <w:r w:rsidR="00A46537">
        <w:t xml:space="preserve">reaches up to </w:t>
      </w:r>
      <w:r w:rsidR="009C1408">
        <w:t>340 ft (</w:t>
      </w:r>
      <w:r w:rsidR="009C1408" w:rsidRPr="002100B2">
        <w:t>103</w:t>
      </w:r>
      <w:r w:rsidR="009C1408">
        <w:t xml:space="preserve"> m)</w:t>
      </w:r>
      <w:r w:rsidR="00BB0477">
        <w:t xml:space="preserve">. </w:t>
      </w:r>
      <w:r w:rsidR="00BB0477">
        <w:lastRenderedPageBreak/>
        <w:t>These differences are due to the</w:t>
      </w:r>
      <w:r w:rsidR="00A46537">
        <w:t xml:space="preserve"> differences in the</w:t>
      </w:r>
      <w:r w:rsidR="00BB0477">
        <w:t xml:space="preserve"> injection amount </w:t>
      </w:r>
      <w:r w:rsidR="00A46537">
        <w:t>and in</w:t>
      </w:r>
      <w:r w:rsidR="00F37A44">
        <w:t xml:space="preserve"> the </w:t>
      </w:r>
      <w:r w:rsidR="00D9738F">
        <w:t xml:space="preserve">static models of porosity, permeability and the rock </w:t>
      </w:r>
      <w:r w:rsidR="004C6A68">
        <w:t>type.</w:t>
      </w:r>
    </w:p>
    <w:p w14:paraId="308435AD" w14:textId="77777777" w:rsidR="000144A9" w:rsidRDefault="000144A9" w:rsidP="000144A9">
      <w:pPr>
        <w:pStyle w:val="Heading2"/>
      </w:pPr>
      <w:bookmarkStart w:id="669" w:name="_Toc121095994"/>
      <w:r>
        <w:t>Conclusions</w:t>
      </w:r>
      <w:bookmarkEnd w:id="669"/>
    </w:p>
    <w:p w14:paraId="6E77987B" w14:textId="497CBE56" w:rsidR="00451738" w:rsidRDefault="000144A9" w:rsidP="000144A9">
      <w:pPr>
        <w:ind w:firstLine="720"/>
      </w:pPr>
      <w:r w:rsidRPr="00A13D9C">
        <w:t xml:space="preserve">In this study, we successfully applied seismic-constrained reservoir modeling and simulation workflows to </w:t>
      </w:r>
      <w:r w:rsidR="00451738">
        <w:t>characterize</w:t>
      </w:r>
      <w:r w:rsidR="005C47F9">
        <w:t xml:space="preserve"> the subsurface heterogeneity </w:t>
      </w:r>
      <w:r w:rsidR="00B601C1">
        <w:t xml:space="preserve">of the Arbuckle Group </w:t>
      </w:r>
      <w:r w:rsidR="00E666B7">
        <w:t xml:space="preserve">by investigating the </w:t>
      </w:r>
      <w:r w:rsidR="00E666B7" w:rsidRPr="00A13D9C">
        <w:t>fine-scale stratigraphic and spatial variability of petrophysically defined facies and corresponding petrophysical properties</w:t>
      </w:r>
      <w:r w:rsidR="00E666B7">
        <w:t>.</w:t>
      </w:r>
    </w:p>
    <w:p w14:paraId="1570C5C1" w14:textId="379DA0C6" w:rsidR="00045163" w:rsidRPr="00253DC2" w:rsidRDefault="000144A9" w:rsidP="000144A9">
      <w:pPr>
        <w:ind w:firstLine="720"/>
      </w:pPr>
      <w:r w:rsidRPr="00A13D9C">
        <w:t xml:space="preserve">The resulting </w:t>
      </w:r>
      <w:r w:rsidR="005017BC">
        <w:t>3D</w:t>
      </w:r>
      <w:r w:rsidR="009479F5">
        <w:t xml:space="preserve"> </w:t>
      </w:r>
      <w:r w:rsidR="00A077DD">
        <w:t>model</w:t>
      </w:r>
      <w:r w:rsidR="005017BC">
        <w:t>s</w:t>
      </w:r>
      <w:r w:rsidR="006478AC">
        <w:t xml:space="preserve"> </w:t>
      </w:r>
      <w:r w:rsidR="00A40194">
        <w:t>showed that</w:t>
      </w:r>
      <w:r w:rsidR="007A580E">
        <w:t xml:space="preserve"> the </w:t>
      </w:r>
      <w:r w:rsidR="009D2A9F">
        <w:t xml:space="preserve">Arbuckle group </w:t>
      </w:r>
      <w:r w:rsidR="00CA6AE3">
        <w:t xml:space="preserve">is made up of </w:t>
      </w:r>
      <w:r w:rsidR="009479F5">
        <w:t>three stratigraphic intervals</w:t>
      </w:r>
      <w:r w:rsidR="008670C2">
        <w:t xml:space="preserve"> (Zones </w:t>
      </w:r>
      <w:r w:rsidR="00203968">
        <w:t>A, B</w:t>
      </w:r>
      <w:r w:rsidR="004F1609">
        <w:t>,</w:t>
      </w:r>
      <w:r w:rsidR="008670C2">
        <w:t xml:space="preserve"> and C) </w:t>
      </w:r>
      <w:r w:rsidR="009479F5">
        <w:t xml:space="preserve">with distinct petrophysical </w:t>
      </w:r>
      <w:r w:rsidR="0066698A">
        <w:t>and fluid flow characteristics.</w:t>
      </w:r>
      <w:r w:rsidR="00332D42">
        <w:t xml:space="preserve"> The lowermost </w:t>
      </w:r>
      <w:r w:rsidR="00B73898">
        <w:t>and the u</w:t>
      </w:r>
      <w:r w:rsidR="005831A2">
        <w:t xml:space="preserve">ppermost </w:t>
      </w:r>
      <w:r w:rsidR="001929FE">
        <w:t>zone</w:t>
      </w:r>
      <w:r w:rsidR="005831A2">
        <w:t>s</w:t>
      </w:r>
      <w:r w:rsidR="001929FE">
        <w:t xml:space="preserve"> </w:t>
      </w:r>
      <w:r w:rsidR="00612987">
        <w:t>ha</w:t>
      </w:r>
      <w:r w:rsidR="00650582">
        <w:t>ve</w:t>
      </w:r>
      <w:r w:rsidR="00612987">
        <w:t xml:space="preserve"> </w:t>
      </w:r>
      <w:r w:rsidR="00650582">
        <w:t xml:space="preserve">high </w:t>
      </w:r>
      <w:r w:rsidR="00612987">
        <w:t>average porosity and permeability values,</w:t>
      </w:r>
      <w:r w:rsidR="00E10A5D">
        <w:t xml:space="preserve"> s</w:t>
      </w:r>
      <w:r w:rsidR="00464DF5">
        <w:t xml:space="preserve">howing </w:t>
      </w:r>
      <w:r w:rsidR="008B5112">
        <w:t xml:space="preserve">a </w:t>
      </w:r>
      <w:r w:rsidR="00464DF5">
        <w:t>high poten</w:t>
      </w:r>
      <w:r w:rsidR="00337FB6">
        <w:t>tial for CO</w:t>
      </w:r>
      <w:r w:rsidR="00337FB6" w:rsidRPr="00E6620F">
        <w:rPr>
          <w:vertAlign w:val="subscript"/>
        </w:rPr>
        <w:t>2</w:t>
      </w:r>
      <w:r w:rsidR="00337FB6">
        <w:t xml:space="preserve"> injection</w:t>
      </w:r>
      <w:r w:rsidR="00FD2E3C">
        <w:t xml:space="preserve"> and storage</w:t>
      </w:r>
      <w:r w:rsidR="004F1609">
        <w:t>.</w:t>
      </w:r>
      <w:r w:rsidR="00337FB6">
        <w:t xml:space="preserve"> The mi</w:t>
      </w:r>
      <w:r w:rsidR="004657ED">
        <w:t xml:space="preserve">ddle </w:t>
      </w:r>
      <w:r w:rsidR="00B0595E">
        <w:t xml:space="preserve">Arbuckle zone </w:t>
      </w:r>
      <w:r w:rsidR="00EE4051">
        <w:t>shows the lowest average porosity and permeability val</w:t>
      </w:r>
      <w:r w:rsidR="00FD2E3C">
        <w:t>ues,</w:t>
      </w:r>
      <w:r w:rsidR="000054DE">
        <w:t xml:space="preserve"> displaying </w:t>
      </w:r>
      <w:r w:rsidR="00E150A0">
        <w:t xml:space="preserve">the characteristic of </w:t>
      </w:r>
      <w:r w:rsidR="004F1609">
        <w:t xml:space="preserve">a </w:t>
      </w:r>
      <w:r w:rsidR="00E150A0">
        <w:t>fluid-flow barrier.</w:t>
      </w:r>
      <w:r w:rsidR="00045163">
        <w:t xml:space="preserve"> </w:t>
      </w:r>
      <w:r w:rsidR="008B5112">
        <w:t>The d</w:t>
      </w:r>
      <w:r w:rsidR="00045163">
        <w:t xml:space="preserve">istribution of the petrophysical properties </w:t>
      </w:r>
      <w:r w:rsidR="000B3E87">
        <w:t>is</w:t>
      </w:r>
      <w:r w:rsidR="00045163">
        <w:t xml:space="preserve"> directly correlated to the petrofacies, where </w:t>
      </w:r>
      <w:r w:rsidR="00F70E3B">
        <w:t>petrofacies 1, having the highest permeability for a given porosity, is mainly at Arbuckle's lower and upper zones</w:t>
      </w:r>
      <w:r w:rsidR="008B5112">
        <w:t>. In contrast,</w:t>
      </w:r>
      <w:r w:rsidR="00DE1097">
        <w:t xml:space="preserve"> </w:t>
      </w:r>
      <w:r w:rsidR="00E14B32">
        <w:t>petrofacies 3</w:t>
      </w:r>
      <w:r w:rsidR="008B5112">
        <w:t>,</w:t>
      </w:r>
      <w:r w:rsidR="00E14B32">
        <w:t xml:space="preserve"> with the lowest porosity and permeability</w:t>
      </w:r>
      <w:r w:rsidR="008B5112">
        <w:t>,</w:t>
      </w:r>
      <w:r w:rsidR="00E14B32">
        <w:t xml:space="preserve"> is </w:t>
      </w:r>
      <w:r w:rsidR="000B3E87">
        <w:t>concentrated at the middle Arbuckle interval.</w:t>
      </w:r>
      <w:r w:rsidR="00F70E3B">
        <w:t xml:space="preserve"> </w:t>
      </w:r>
      <w:r w:rsidR="00C126F7">
        <w:t>Based on the DOE’s methodology, t</w:t>
      </w:r>
      <w:r w:rsidR="00F70E3B">
        <w:t xml:space="preserve">heoretical </w:t>
      </w:r>
      <w:r w:rsidR="00253DC2">
        <w:t>CO</w:t>
      </w:r>
      <w:r w:rsidR="00253DC2" w:rsidRPr="00253DC2">
        <w:rPr>
          <w:vertAlign w:val="subscript"/>
        </w:rPr>
        <w:t>2</w:t>
      </w:r>
      <w:r w:rsidR="00253DC2">
        <w:t xml:space="preserve"> </w:t>
      </w:r>
      <w:r w:rsidR="00190065">
        <w:t xml:space="preserve">storage capacity </w:t>
      </w:r>
      <w:r w:rsidR="00B54244">
        <w:t>ranges</w:t>
      </w:r>
      <w:r w:rsidR="00C126F7">
        <w:t xml:space="preserve"> from </w:t>
      </w:r>
      <w:r w:rsidR="00BE622E">
        <w:t>1 to 22Mt at the Arbuckle group in the study area.</w:t>
      </w:r>
    </w:p>
    <w:p w14:paraId="76ACA6D3" w14:textId="3900E622" w:rsidR="000144A9" w:rsidRPr="00A13D9C" w:rsidRDefault="000144A9" w:rsidP="00203968">
      <w:pPr>
        <w:ind w:firstLine="720"/>
      </w:pPr>
      <w:r w:rsidRPr="00A13D9C">
        <w:t xml:space="preserve">Dynamic simulation results illustrate the subsurface plume evaluation as a function of hydrogeological, petrophysical, and operational parameters. Simulation results also revealed that </w:t>
      </w:r>
      <w:r w:rsidR="00F70E3B">
        <w:t xml:space="preserve">a </w:t>
      </w:r>
      <w:r w:rsidR="008E1D39">
        <w:t xml:space="preserve">theoretical injection of </w:t>
      </w:r>
      <w:r w:rsidR="00F406DD">
        <w:t>3.6 million tons of CO</w:t>
      </w:r>
      <w:r w:rsidR="00F406DD" w:rsidRPr="00C42B03">
        <w:rPr>
          <w:vertAlign w:val="subscript"/>
        </w:rPr>
        <w:t>2</w:t>
      </w:r>
      <w:r w:rsidR="00F406DD">
        <w:t xml:space="preserve"> w</w:t>
      </w:r>
      <w:r w:rsidR="00F70E3B">
        <w:t>ould</w:t>
      </w:r>
      <w:r w:rsidR="00F406DD">
        <w:t xml:space="preserve"> </w:t>
      </w:r>
      <w:r w:rsidR="007A4234">
        <w:t xml:space="preserve">be </w:t>
      </w:r>
      <w:r w:rsidR="007A4234" w:rsidRPr="00A13D9C">
        <w:t xml:space="preserve">contained within the injected </w:t>
      </w:r>
      <w:r w:rsidR="00272911">
        <w:t>zone A</w:t>
      </w:r>
      <w:r w:rsidR="00AD24A5">
        <w:t xml:space="preserve"> </w:t>
      </w:r>
      <w:r w:rsidR="007A4234" w:rsidRPr="00A13D9C">
        <w:t>due to the low permeability characteristics of zone B</w:t>
      </w:r>
      <w:r w:rsidR="007A4234">
        <w:t xml:space="preserve">. Additionally, </w:t>
      </w:r>
      <w:r w:rsidR="00AD24A5" w:rsidRPr="00A13D9C">
        <w:t xml:space="preserve">the lateral propagation of the </w:t>
      </w:r>
      <w:r w:rsidR="00AD24A5" w:rsidRPr="00A13D9C">
        <w:lastRenderedPageBreak/>
        <w:t xml:space="preserve">plume is larger than the vertical dispersion during both injection and post-injection periods due to the </w:t>
      </w:r>
      <w:r w:rsidR="00AD24A5">
        <w:t>internal stratification and baffles</w:t>
      </w:r>
      <w:r w:rsidR="00272911">
        <w:t xml:space="preserve">. </w:t>
      </w:r>
      <w:r w:rsidR="00203968">
        <w:t xml:space="preserve">Moreover, </w:t>
      </w:r>
      <w:r w:rsidRPr="00A13D9C">
        <w:t xml:space="preserve">the lateral propagation of the plume is larger than the vertical dispersion during both injection and post-injection periods due to the </w:t>
      </w:r>
      <w:r>
        <w:t>internal stratification and baffles</w:t>
      </w:r>
      <w:r w:rsidRPr="00A13D9C">
        <w:t xml:space="preserve">. </w:t>
      </w:r>
    </w:p>
    <w:p w14:paraId="5888D8B3" w14:textId="479FEE03" w:rsidR="000144A9" w:rsidRPr="00A13D9C" w:rsidRDefault="000144A9" w:rsidP="000144A9">
      <w:pPr>
        <w:ind w:firstLine="720"/>
      </w:pPr>
      <w:r w:rsidRPr="00A13D9C">
        <w:t xml:space="preserve">The integration of seismic data in this study added value to the accuracy of the reservoir models by helping to define the structural and stratigraphic framework of the area through the incorporation of interpreted horizons. Additionally, seismic-scale 3D petrofacies and probability volumes aided the modeling process by adding a lateral constraint to the spatial distribution of petrofacies between and away from the wells. The seismic data also add a lateral constraint to the distribution </w:t>
      </w:r>
      <w:r>
        <w:t xml:space="preserve">of </w:t>
      </w:r>
      <w:r w:rsidRPr="00A13D9C">
        <w:t xml:space="preserve">petrophysical properties by using the acoustic impedance volume to guide the </w:t>
      </w:r>
      <w:r>
        <w:t>porosity distribution</w:t>
      </w:r>
      <w:r w:rsidRPr="00A13D9C">
        <w:t xml:space="preserve"> within the model framework.  Overall, </w:t>
      </w:r>
      <w:r>
        <w:t>incorporating</w:t>
      </w:r>
      <w:r w:rsidRPr="00A13D9C">
        <w:t xml:space="preserve"> the seismic data into the reservoir modeling helps fully constrain the model spatial constraints improving the analysis of the Arbuckle structure, stratigraphy, and distribution of </w:t>
      </w:r>
      <w:r w:rsidR="007B4ECA">
        <w:t>petrophysical properties</w:t>
      </w:r>
      <w:r>
        <w:t>,</w:t>
      </w:r>
      <w:r w:rsidRPr="00A13D9C">
        <w:t xml:space="preserve"> and fluid flow behavior within the study area. The workflow applied in this study provided geologically sound results by bridging the gap between wells and reducing the uncertainty where the well control is limited.</w:t>
      </w:r>
    </w:p>
    <w:p w14:paraId="14EE222C" w14:textId="77777777" w:rsidR="000144A9" w:rsidRDefault="000144A9" w:rsidP="000144A9">
      <w:pPr>
        <w:pStyle w:val="Heading2"/>
      </w:pPr>
      <w:bookmarkStart w:id="670" w:name="_Toc121095995"/>
      <w:r w:rsidRPr="00F868E6">
        <w:t>Acknowledgments</w:t>
      </w:r>
      <w:bookmarkEnd w:id="670"/>
    </w:p>
    <w:p w14:paraId="5CECAEBF" w14:textId="5F5887EE" w:rsidR="008A27FF" w:rsidRPr="000144A9" w:rsidRDefault="000144A9" w:rsidP="000144A9">
      <w:pPr>
        <w:rPr>
          <w:szCs w:val="18"/>
        </w:rPr>
      </w:pPr>
      <w:r>
        <w:rPr>
          <w:rFonts w:eastAsiaTheme="minorEastAsia"/>
          <w:szCs w:val="18"/>
        </w:rPr>
        <w:t xml:space="preserve">This research was supported through the Reservoir Characterization and Modeling Laboratory (RCML), and the </w:t>
      </w:r>
      <w:r w:rsidRPr="004B0503">
        <w:rPr>
          <w:szCs w:val="18"/>
        </w:rPr>
        <w:t>Attribute Assisted Seismic Processing and Interpretation (AASPI) consortium</w:t>
      </w:r>
      <w:r>
        <w:rPr>
          <w:szCs w:val="18"/>
        </w:rPr>
        <w:t xml:space="preserve"> at the University of Oklahoma.</w:t>
      </w:r>
      <w:r>
        <w:rPr>
          <w:rFonts w:eastAsiaTheme="minorEastAsia"/>
          <w:szCs w:val="18"/>
        </w:rPr>
        <w:t xml:space="preserve"> </w:t>
      </w:r>
      <w:r w:rsidRPr="004B0503">
        <w:rPr>
          <w:rFonts w:eastAsiaTheme="minorEastAsia"/>
          <w:szCs w:val="18"/>
        </w:rPr>
        <w:t xml:space="preserve">We thank Berexco LLC for providing seismic data and </w:t>
      </w:r>
      <w:r>
        <w:rPr>
          <w:rFonts w:eastAsiaTheme="minorEastAsia"/>
          <w:szCs w:val="18"/>
        </w:rPr>
        <w:t xml:space="preserve">the </w:t>
      </w:r>
      <w:r w:rsidRPr="004B0503">
        <w:rPr>
          <w:rFonts w:eastAsiaTheme="minorEastAsia"/>
          <w:szCs w:val="18"/>
        </w:rPr>
        <w:t>Kansas Geological Survey (KGS) for well</w:t>
      </w:r>
      <w:r>
        <w:rPr>
          <w:rFonts w:eastAsiaTheme="minorEastAsia"/>
          <w:szCs w:val="18"/>
        </w:rPr>
        <w:t xml:space="preserve"> logs core information</w:t>
      </w:r>
      <w:r w:rsidRPr="004B0503">
        <w:rPr>
          <w:rFonts w:eastAsiaTheme="minorEastAsia"/>
          <w:szCs w:val="18"/>
        </w:rPr>
        <w:t xml:space="preserve">. </w:t>
      </w:r>
      <w:r w:rsidRPr="004B0503">
        <w:rPr>
          <w:szCs w:val="18"/>
        </w:rPr>
        <w:t xml:space="preserve"> </w:t>
      </w:r>
      <w:r>
        <w:rPr>
          <w:szCs w:val="18"/>
        </w:rPr>
        <w:t xml:space="preserve">We thank </w:t>
      </w:r>
      <w:r w:rsidRPr="004B0503">
        <w:rPr>
          <w:szCs w:val="18"/>
        </w:rPr>
        <w:t>CGG</w:t>
      </w:r>
      <w:r>
        <w:rPr>
          <w:szCs w:val="18"/>
        </w:rPr>
        <w:t xml:space="preserve"> for </w:t>
      </w:r>
      <w:r w:rsidRPr="004B0503">
        <w:rPr>
          <w:szCs w:val="18"/>
        </w:rPr>
        <w:t>Hampson-Russell</w:t>
      </w:r>
      <w:r>
        <w:rPr>
          <w:szCs w:val="18"/>
        </w:rPr>
        <w:t xml:space="preserve"> software</w:t>
      </w:r>
      <w:r w:rsidRPr="004B0503">
        <w:rPr>
          <w:szCs w:val="18"/>
        </w:rPr>
        <w:t xml:space="preserve"> </w:t>
      </w:r>
      <w:r>
        <w:rPr>
          <w:szCs w:val="18"/>
        </w:rPr>
        <w:t xml:space="preserve">and Schlumberger </w:t>
      </w:r>
      <w:r w:rsidRPr="004B0503">
        <w:rPr>
          <w:szCs w:val="18"/>
        </w:rPr>
        <w:t>for</w:t>
      </w:r>
      <w:r>
        <w:rPr>
          <w:szCs w:val="18"/>
        </w:rPr>
        <w:t xml:space="preserve"> Petrel and Eclipse software.</w:t>
      </w:r>
    </w:p>
    <w:p w14:paraId="11F434A8" w14:textId="77777777" w:rsidR="00431BE4" w:rsidRDefault="00431BE4" w:rsidP="00DE7461">
      <w:pPr>
        <w:pStyle w:val="Heading2"/>
      </w:pPr>
      <w:bookmarkStart w:id="671" w:name="_Toc121095996"/>
      <w:r>
        <w:lastRenderedPageBreak/>
        <w:t>References</w:t>
      </w:r>
      <w:bookmarkEnd w:id="671"/>
    </w:p>
    <w:p w14:paraId="6094BE49" w14:textId="5E7B1D5F" w:rsidR="00431BE4" w:rsidRDefault="00431BE4" w:rsidP="00431BE4">
      <w:pPr>
        <w:ind w:left="720" w:hanging="720"/>
      </w:pPr>
      <w:r>
        <w:t>Amaefule, J., M. Altunbay, D. Tiab, D. Kersey, and D. Keelan, 1993, Enhanced reservoir description: Using core and log data to identify hydraulic (flow) units and predict permeability in un-cored intervals/wells: Proceedings of SPE Annual Technical Conference and Exhibition, doi:10.2523/26436-ms.</w:t>
      </w:r>
    </w:p>
    <w:p w14:paraId="34229D67" w14:textId="475C75CA" w:rsidR="00FF11F4" w:rsidRDefault="00FF11F4" w:rsidP="00431BE4">
      <w:pPr>
        <w:ind w:left="720" w:hanging="720"/>
      </w:pPr>
      <w:r>
        <w:t>D.L. Baars, W. Lynn Watney, Don W. Steeples, and Erling A. Brostuen 2001, Petroleum: a primer for Kansas, Kansas Geological Survey, http://www.kgs.ku.edu/Publications/Oil/ primer09.html</w:t>
      </w:r>
    </w:p>
    <w:p w14:paraId="4554EBA2" w14:textId="77777777" w:rsidR="00431BE4" w:rsidRDefault="00431BE4" w:rsidP="00431BE4">
      <w:pPr>
        <w:ind w:left="720" w:hanging="720"/>
        <w:rPr>
          <w:rFonts w:cs="Times New Roman"/>
          <w:szCs w:val="24"/>
        </w:rPr>
      </w:pPr>
      <w:r w:rsidRPr="003C16EF">
        <w:rPr>
          <w:rFonts w:cs="Times New Roman"/>
          <w:szCs w:val="24"/>
        </w:rPr>
        <w:t>Bachu, S., 2000, Sequestration of CO2 in geological media: criteria and approach for site selection in response to climate change. Energy Convers. Manag., 41 (9), 953–970, doi: 10.1016/S0196-8904(99)00149-1.</w:t>
      </w:r>
    </w:p>
    <w:p w14:paraId="65E07C04" w14:textId="77777777" w:rsidR="00431BE4" w:rsidRDefault="00431BE4" w:rsidP="00431BE4">
      <w:pPr>
        <w:autoSpaceDE w:val="0"/>
        <w:autoSpaceDN w:val="0"/>
        <w:adjustRightInd w:val="0"/>
        <w:spacing w:after="0"/>
        <w:ind w:left="810" w:hanging="810"/>
        <w:jc w:val="left"/>
      </w:pPr>
      <w:r>
        <w:t>Campbell, J. A., C. J. Mankin, A. B. Schwarzkopf, and J. J. Raymer, 1988, Habitat of petroleum in Permian rocks of the Midcontinent region; in, Permian Rocks of the Midcontinent, W. A. Morgan and J. A. Babcock, eds.: Midcontinent Society of Economic Paleontologists and Mineralogists, Special Publication No. 1, 13–35.</w:t>
      </w:r>
    </w:p>
    <w:p w14:paraId="7002A14F" w14:textId="77777777" w:rsidR="00431BE4" w:rsidRDefault="00431BE4" w:rsidP="00431BE4">
      <w:pPr>
        <w:ind w:left="720" w:hanging="720"/>
        <w:rPr>
          <w:rStyle w:val="Hyperlink"/>
          <w:color w:val="auto"/>
        </w:rPr>
      </w:pPr>
      <w:r w:rsidRPr="00A571CA">
        <w:t xml:space="preserve">Carr, J., E., H. E. McGovern, T. Gogel, and J. H. Doveton, 1986, Geohydrology of and potential for fluid disposal in the Arbuckle Aquifer in Kansas. U.S. Geological Survey open-file report, 86-491, doi: </w:t>
      </w:r>
      <w:hyperlink r:id="rId155" w:history="1">
        <w:r w:rsidRPr="00A571CA">
          <w:rPr>
            <w:rStyle w:val="Hyperlink"/>
            <w:color w:val="auto"/>
          </w:rPr>
          <w:t>10.3133/ofr86491</w:t>
        </w:r>
      </w:hyperlink>
    </w:p>
    <w:p w14:paraId="2FF33735" w14:textId="77777777" w:rsidR="00431BE4" w:rsidRPr="00A571CA" w:rsidRDefault="00431BE4" w:rsidP="00431BE4">
      <w:pPr>
        <w:ind w:left="720" w:hanging="720"/>
        <w:rPr>
          <w:rStyle w:val="Hyperlink"/>
          <w:rFonts w:eastAsia="Times New Roman" w:cs="Times New Roman"/>
          <w:color w:val="auto"/>
          <w:szCs w:val="24"/>
        </w:rPr>
      </w:pPr>
      <w:r w:rsidRPr="00A571CA">
        <w:lastRenderedPageBreak/>
        <w:t>Carr, T. R., D. F. Merriam, and J. D.  Bartley, 2005, Use of relational databases to evaluate regional petroleum accumulation, groundwater flow, and CO2 sequestration in Kansas, AAPG Bulletin, 89 no. 12, 1607–1627, doi:</w:t>
      </w:r>
      <w:hyperlink r:id="rId156" w:history="1">
        <w:r w:rsidRPr="00A571CA">
          <w:rPr>
            <w:rStyle w:val="Hyperlink"/>
            <w:rFonts w:eastAsia="Times New Roman" w:cs="Times New Roman"/>
            <w:color w:val="auto"/>
            <w:szCs w:val="24"/>
          </w:rPr>
          <w:t>10.1306/07190504086</w:t>
        </w:r>
      </w:hyperlink>
    </w:p>
    <w:p w14:paraId="2099A820" w14:textId="77777777" w:rsidR="00431BE4" w:rsidRDefault="00431BE4" w:rsidP="00431BE4">
      <w:pPr>
        <w:ind w:left="720" w:hanging="720"/>
        <w:rPr>
          <w:rFonts w:cs="Times New Roman"/>
          <w:szCs w:val="24"/>
        </w:rPr>
      </w:pPr>
      <w:r w:rsidRPr="00A571CA">
        <w:rPr>
          <w:rFonts w:cs="Times New Roman"/>
          <w:szCs w:val="24"/>
        </w:rPr>
        <w:t xml:space="preserve">Doveton, J., and L. Watney, 2015, Textural and pore size analysis of carbonates from integrated core and nuclear magnetic resonance logging: An Arbuckle study, Interpretation 3, SA77-SA89, doi: </w:t>
      </w:r>
      <w:r w:rsidRPr="001D0EE9">
        <w:rPr>
          <w:rFonts w:cs="Times New Roman"/>
          <w:szCs w:val="24"/>
        </w:rPr>
        <w:t>10.1190/INT-2014-0050.1</w:t>
      </w:r>
      <w:r>
        <w:rPr>
          <w:rFonts w:cs="Times New Roman"/>
          <w:szCs w:val="24"/>
        </w:rPr>
        <w:t>.</w:t>
      </w:r>
    </w:p>
    <w:p w14:paraId="41D38C1F" w14:textId="77777777" w:rsidR="00431BE4" w:rsidRDefault="00431BE4" w:rsidP="00431BE4">
      <w:pPr>
        <w:ind w:left="720" w:hanging="720"/>
        <w:rPr>
          <w:rStyle w:val="Hyperlink"/>
          <w:rFonts w:cs="Times New Roman"/>
          <w:color w:val="auto"/>
          <w:szCs w:val="24"/>
        </w:rPr>
      </w:pPr>
      <w:r>
        <w:t>Dutton, S. P., 1984, Fan-Delta Granite Wash of the Texas Panhandle: Oklahoma City Geological Society, Short Course Notes, 1–44.</w:t>
      </w:r>
    </w:p>
    <w:p w14:paraId="6BB35973" w14:textId="53133B91" w:rsidR="00431BE4" w:rsidRPr="00A571CA" w:rsidRDefault="00431BE4" w:rsidP="00431BE4">
      <w:pPr>
        <w:ind w:left="720" w:hanging="720"/>
        <w:rPr>
          <w:rFonts w:eastAsia="Times New Roman" w:cs="Times New Roman"/>
          <w:szCs w:val="24"/>
        </w:rPr>
      </w:pPr>
      <w:r w:rsidRPr="00A571CA">
        <w:rPr>
          <w:rFonts w:eastAsia="Times New Roman" w:cs="Times New Roman"/>
          <w:szCs w:val="24"/>
        </w:rPr>
        <w:t>Franseen, E. K., Byrnes,</w:t>
      </w:r>
      <w:r w:rsidR="008E5B51" w:rsidRPr="008E5B51">
        <w:rPr>
          <w:rFonts w:eastAsia="Times New Roman" w:cs="Times New Roman"/>
          <w:szCs w:val="24"/>
        </w:rPr>
        <w:t xml:space="preserve"> </w:t>
      </w:r>
      <w:r w:rsidR="008E5B51" w:rsidRPr="00A571CA">
        <w:rPr>
          <w:rFonts w:eastAsia="Times New Roman" w:cs="Times New Roman"/>
          <w:szCs w:val="24"/>
        </w:rPr>
        <w:t>A. P.</w:t>
      </w:r>
      <w:r w:rsidR="008E5B51">
        <w:rPr>
          <w:rFonts w:eastAsia="Times New Roman" w:cs="Times New Roman"/>
          <w:szCs w:val="24"/>
        </w:rPr>
        <w:t>,</w:t>
      </w:r>
      <w:r w:rsidRPr="00A571CA">
        <w:rPr>
          <w:rFonts w:eastAsia="Times New Roman" w:cs="Times New Roman"/>
          <w:szCs w:val="24"/>
        </w:rPr>
        <w:t xml:space="preserve"> Cansler, </w:t>
      </w:r>
      <w:r w:rsidR="008E5B51" w:rsidRPr="00A571CA">
        <w:rPr>
          <w:rFonts w:eastAsia="Times New Roman" w:cs="Times New Roman"/>
          <w:szCs w:val="24"/>
        </w:rPr>
        <w:t>J. R.</w:t>
      </w:r>
      <w:r w:rsidR="008E5B51">
        <w:rPr>
          <w:rFonts w:eastAsia="Times New Roman" w:cs="Times New Roman"/>
          <w:szCs w:val="24"/>
        </w:rPr>
        <w:t xml:space="preserve">, </w:t>
      </w:r>
      <w:r w:rsidRPr="00A571CA">
        <w:rPr>
          <w:rFonts w:eastAsia="Times New Roman" w:cs="Times New Roman"/>
          <w:szCs w:val="24"/>
        </w:rPr>
        <w:t>Steinhauff,</w:t>
      </w:r>
      <w:r w:rsidR="008E5B51">
        <w:rPr>
          <w:rFonts w:eastAsia="Times New Roman" w:cs="Times New Roman"/>
          <w:szCs w:val="24"/>
        </w:rPr>
        <w:t xml:space="preserve"> </w:t>
      </w:r>
      <w:r w:rsidR="008E5B51" w:rsidRPr="00A571CA">
        <w:rPr>
          <w:rFonts w:eastAsia="Times New Roman" w:cs="Times New Roman"/>
          <w:szCs w:val="24"/>
        </w:rPr>
        <w:t>D. M.</w:t>
      </w:r>
      <w:r w:rsidR="008E5B51">
        <w:rPr>
          <w:rFonts w:eastAsia="Times New Roman" w:cs="Times New Roman"/>
          <w:szCs w:val="24"/>
        </w:rPr>
        <w:t>,</w:t>
      </w:r>
      <w:r w:rsidRPr="00A571CA">
        <w:rPr>
          <w:rFonts w:eastAsia="Times New Roman" w:cs="Times New Roman"/>
          <w:szCs w:val="24"/>
        </w:rPr>
        <w:t xml:space="preserve"> and T. R. Carr, 2004, The geology of Kansas – Arbuckle group: Current Research in Earth Sciences, Kansas Geological Survey Bulletin 250, part 2.</w:t>
      </w:r>
    </w:p>
    <w:p w14:paraId="7D8B1E31" w14:textId="0AC7301A" w:rsidR="00861750" w:rsidRDefault="00861750" w:rsidP="004D3C29">
      <w:pPr>
        <w:spacing w:after="240"/>
        <w:ind w:left="720" w:hanging="720"/>
        <w:rPr>
          <w:rFonts w:cs="Times New Roman"/>
          <w:szCs w:val="24"/>
        </w:rPr>
      </w:pPr>
      <w:r>
        <w:rPr>
          <w:rFonts w:cs="Times New Roman"/>
          <w:szCs w:val="24"/>
        </w:rPr>
        <w:t>Goodman A., Hakala</w:t>
      </w:r>
      <w:r w:rsidR="00A07D45">
        <w:rPr>
          <w:rFonts w:cs="Times New Roman"/>
          <w:szCs w:val="24"/>
        </w:rPr>
        <w:t>, A</w:t>
      </w:r>
      <w:r w:rsidR="00500504">
        <w:rPr>
          <w:rFonts w:cs="Times New Roman"/>
          <w:szCs w:val="24"/>
        </w:rPr>
        <w:t xml:space="preserve">., Bromhal, G., Deel, D., Rodosta, T., Frailey, S., Small, M., </w:t>
      </w:r>
      <w:r w:rsidR="00FD5D96">
        <w:rPr>
          <w:rFonts w:cs="Times New Roman"/>
          <w:szCs w:val="24"/>
        </w:rPr>
        <w:t>Allen D., Romanov, V., Fazio</w:t>
      </w:r>
      <w:r w:rsidR="00D160EE">
        <w:rPr>
          <w:rFonts w:cs="Times New Roman"/>
          <w:szCs w:val="24"/>
        </w:rPr>
        <w:t xml:space="preserve">, Huerta, N., </w:t>
      </w:r>
      <w:r w:rsidR="00AF30AA">
        <w:rPr>
          <w:rFonts w:cs="Times New Roman"/>
          <w:szCs w:val="24"/>
        </w:rPr>
        <w:t>McIntyre, D., Kutchko, B., and</w:t>
      </w:r>
      <w:r w:rsidR="004D3C29">
        <w:rPr>
          <w:rFonts w:cs="Times New Roman"/>
          <w:szCs w:val="24"/>
        </w:rPr>
        <w:t xml:space="preserve"> G. Guthrie, 2011, </w:t>
      </w:r>
      <w:r w:rsidR="004D3C29" w:rsidRPr="004D3C29">
        <w:rPr>
          <w:rFonts w:cs="Times New Roman"/>
          <w:szCs w:val="24"/>
        </w:rPr>
        <w:t>U.S. DOE methodology for the development of geologic storage potential for carbon dioxide at the national and regional scale,</w:t>
      </w:r>
      <w:r w:rsidR="004D3C29">
        <w:rPr>
          <w:rFonts w:cs="Times New Roman"/>
          <w:szCs w:val="24"/>
        </w:rPr>
        <w:t xml:space="preserve"> </w:t>
      </w:r>
      <w:r w:rsidR="004D3C29" w:rsidRPr="004D3C29">
        <w:rPr>
          <w:rFonts w:cs="Times New Roman"/>
          <w:szCs w:val="24"/>
        </w:rPr>
        <w:t>International Journal of Greenhouse Gas Control,</w:t>
      </w:r>
      <w:r w:rsidR="007A608E">
        <w:rPr>
          <w:rFonts w:cs="Times New Roman"/>
          <w:szCs w:val="24"/>
        </w:rPr>
        <w:t xml:space="preserve"> </w:t>
      </w:r>
      <w:r w:rsidR="0077621B">
        <w:rPr>
          <w:rFonts w:cs="Times New Roman"/>
          <w:szCs w:val="24"/>
        </w:rPr>
        <w:t xml:space="preserve">vol. 5, 4, 952-965, doi: </w:t>
      </w:r>
      <w:r w:rsidR="004173DC" w:rsidRPr="004173DC">
        <w:t>10.1016/j.ijggc.2011.03.010</w:t>
      </w:r>
      <w:r w:rsidR="004173DC">
        <w:t>.</w:t>
      </w:r>
    </w:p>
    <w:p w14:paraId="5A7B88F6" w14:textId="0924DEFE" w:rsidR="00431BE4" w:rsidRPr="003C16EF" w:rsidRDefault="00431BE4" w:rsidP="00431BE4">
      <w:pPr>
        <w:spacing w:after="240"/>
        <w:ind w:left="720" w:hanging="720"/>
        <w:rPr>
          <w:rFonts w:cs="Times New Roman"/>
          <w:szCs w:val="24"/>
        </w:rPr>
      </w:pPr>
      <w:r w:rsidRPr="003C16EF">
        <w:rPr>
          <w:rFonts w:cs="Times New Roman"/>
          <w:szCs w:val="24"/>
        </w:rPr>
        <w:t>Gupta, M., and B. Hardage, 2017, Improved reservoir delineation by using SV-P seismic data in Wellington field, Kansas, SEG Technical Program Expanded Abstracts</w:t>
      </w:r>
      <w:r w:rsidR="000E795D">
        <w:rPr>
          <w:rFonts w:cs="Times New Roman"/>
          <w:szCs w:val="24"/>
        </w:rPr>
        <w:t>,</w:t>
      </w:r>
      <w:r w:rsidRPr="003C16EF">
        <w:rPr>
          <w:rFonts w:cs="Times New Roman"/>
          <w:szCs w:val="24"/>
        </w:rPr>
        <w:t xml:space="preserve"> 5182-5186, doi: 10.1190/segam2017-17559574.1</w:t>
      </w:r>
    </w:p>
    <w:p w14:paraId="50422CB1" w14:textId="0CD7E2C3" w:rsidR="00431BE4" w:rsidRPr="001D0EE9" w:rsidRDefault="00431BE4" w:rsidP="00431BE4">
      <w:pPr>
        <w:spacing w:after="240"/>
        <w:ind w:left="720" w:hanging="720"/>
        <w:rPr>
          <w:rFonts w:cs="Times New Roman"/>
          <w:szCs w:val="24"/>
          <w:u w:val="single"/>
        </w:rPr>
      </w:pPr>
      <w:r w:rsidRPr="00A571CA">
        <w:rPr>
          <w:rFonts w:cs="Times New Roman"/>
          <w:szCs w:val="24"/>
        </w:rPr>
        <w:lastRenderedPageBreak/>
        <w:t xml:space="preserve">Gupta, M., K. Spikes, and B. Hardage, 2017, Characterization of naturally fractured Arbuckle Group in the Wellington Field, Kansas, using S-wave amplitude variation with offset, Interpretation 5, T49-T63, doi: </w:t>
      </w:r>
      <w:r w:rsidRPr="000E795D">
        <w:rPr>
          <w:rFonts w:cs="Times New Roman"/>
          <w:szCs w:val="24"/>
        </w:rPr>
        <w:t>10.1190/INT-2016-0061.1</w:t>
      </w:r>
      <w:r>
        <w:rPr>
          <w:rStyle w:val="Hyperlink"/>
          <w:rFonts w:cs="Times New Roman"/>
          <w:color w:val="auto"/>
          <w:szCs w:val="24"/>
        </w:rPr>
        <w:t>.</w:t>
      </w:r>
    </w:p>
    <w:p w14:paraId="15B96EA6" w14:textId="77777777" w:rsidR="00431BE4" w:rsidRDefault="00431BE4" w:rsidP="00431BE4">
      <w:pPr>
        <w:ind w:left="720" w:hanging="720"/>
        <w:rPr>
          <w:rStyle w:val="Hyperlink"/>
          <w:color w:val="auto"/>
        </w:rPr>
      </w:pPr>
      <w:r w:rsidRPr="00A571CA">
        <w:rPr>
          <w:rFonts w:cs="Times New Roman"/>
          <w:szCs w:val="24"/>
        </w:rPr>
        <w:t>Holubnyak, Y., E. Williams, L. Watney, T. Bigdoli, J. Rush, M. Fazelalavi, and P. Gerlach, 2017, Calculation of CO2 Storage Capacity for Arbuckle Group in Southern Kansas: Implications for a Seismically Active Region, Energy Procedia, 114, 4679-4689, doi:</w:t>
      </w:r>
      <w:r w:rsidRPr="00A571CA">
        <w:t xml:space="preserve"> </w:t>
      </w:r>
      <w:r w:rsidRPr="003C16EF">
        <w:t>10.1016/j.egypro.2017.03.1599</w:t>
      </w:r>
      <w:r w:rsidRPr="00B32B76">
        <w:rPr>
          <w:rStyle w:val="Hyperlink"/>
          <w:color w:val="auto"/>
        </w:rPr>
        <w:t>.</w:t>
      </w:r>
    </w:p>
    <w:p w14:paraId="05D6A2CF" w14:textId="77777777" w:rsidR="00431BE4" w:rsidRPr="00512DF5" w:rsidRDefault="00431BE4" w:rsidP="00431BE4">
      <w:pPr>
        <w:ind w:left="720" w:hanging="720"/>
        <w:rPr>
          <w:rFonts w:cs="Times New Roman"/>
          <w:szCs w:val="24"/>
        </w:rPr>
      </w:pPr>
      <w:r w:rsidRPr="00A206BC">
        <w:rPr>
          <w:rFonts w:cs="Times New Roman"/>
          <w:szCs w:val="24"/>
        </w:rPr>
        <w:t>Johnson, K. S., and K. V. Luza, 2008, Earth sciences and mineral resources of Oklahoma: Oklahoma Geological Survey, Educational Publication 9, 1–22.</w:t>
      </w:r>
    </w:p>
    <w:p w14:paraId="1630A423" w14:textId="77777777" w:rsidR="00431BE4" w:rsidRDefault="00431BE4" w:rsidP="00431BE4">
      <w:pPr>
        <w:ind w:left="720" w:hanging="720"/>
      </w:pPr>
      <w:r>
        <w:t>Keroher, R. P., and Kirby, J. J., 1948, Upper Cambrian and Lower Ordovician rocks in Kansas: Kansas Geological Survey, Bulletin 72, 140 p.</w:t>
      </w:r>
    </w:p>
    <w:p w14:paraId="63158A62" w14:textId="77777777" w:rsidR="00431BE4" w:rsidRPr="00774E88" w:rsidRDefault="00431BE4" w:rsidP="00431BE4">
      <w:pPr>
        <w:ind w:left="720" w:hanging="720"/>
        <w:rPr>
          <w:rFonts w:cs="Times New Roman"/>
          <w:szCs w:val="24"/>
        </w:rPr>
      </w:pPr>
      <w:r w:rsidRPr="00774E88">
        <w:rPr>
          <w:rFonts w:cs="Times New Roman"/>
          <w:szCs w:val="24"/>
        </w:rPr>
        <w:t>LoCricchio, E., 2012, Wash Play Overview, Anadarko Basin: Stratigraphic framework and controls on Pennsylvanian granite wash production, Anadarko Basin, Texas and Oklahoma: AAPG Search and Discovery Article #110163.</w:t>
      </w:r>
    </w:p>
    <w:p w14:paraId="4C6AD03B" w14:textId="77777777" w:rsidR="00431BE4" w:rsidRDefault="00431BE4" w:rsidP="00431BE4">
      <w:pPr>
        <w:ind w:left="810" w:hanging="810"/>
      </w:pPr>
      <w:r w:rsidRPr="00D41210">
        <w:t>McConnell, D. A., M. J. Goyda, G. N. Smith, and J. P. Chitwood, 1989, Morphology of the frontal fault zone, southwest Oklahoma: Implications for deformation and deposition on the Wichita Uplift and Anadarko Basin: Geology, 18, no. 7, 34–637.</w:t>
      </w:r>
    </w:p>
    <w:p w14:paraId="38C34039" w14:textId="77777777" w:rsidR="00431BE4" w:rsidRDefault="00431BE4" w:rsidP="00431BE4">
      <w:pPr>
        <w:ind w:left="810" w:hanging="810"/>
      </w:pPr>
      <w:r w:rsidRPr="00A571CA">
        <w:t>Merriam, D., F., 1963, The geologic history of Kansas: Kansas Geological Survey Bulletin, v. 162, 317 p.</w:t>
      </w:r>
    </w:p>
    <w:p w14:paraId="3583ADEA" w14:textId="77777777" w:rsidR="00431BE4" w:rsidRDefault="00431BE4" w:rsidP="00431BE4">
      <w:pPr>
        <w:ind w:left="810" w:hanging="810"/>
      </w:pPr>
      <w:r>
        <w:lastRenderedPageBreak/>
        <w:t>Northcutt, R. A., and J. A. Campbell, 1995, Geology provinces of Oklahoma: Oklahoma Geological Survey Open-File Report 5–95.</w:t>
      </w:r>
    </w:p>
    <w:p w14:paraId="17B3B05E" w14:textId="2B7ABCF3" w:rsidR="00431BE4" w:rsidRDefault="00431BE4" w:rsidP="00431BE4">
      <w:pPr>
        <w:ind w:left="720" w:hanging="720"/>
        <w:rPr>
          <w:rFonts w:cs="Times New Roman"/>
          <w:szCs w:val="24"/>
        </w:rPr>
      </w:pPr>
      <w:r w:rsidRPr="00A571CA">
        <w:rPr>
          <w:rFonts w:cs="Times New Roman"/>
          <w:szCs w:val="24"/>
        </w:rPr>
        <w:t>Scheffer, A., 2012, Geochemical and microbiological characterization of the Arbuckle saline aquifer, a potential CO2 storage reservoir; Implications for hydraulic separation and caprock integrity: M.S. thesis, University of Kansas.</w:t>
      </w:r>
    </w:p>
    <w:p w14:paraId="1EAF7E23" w14:textId="71FB5CC2" w:rsidR="00BD475E" w:rsidRDefault="00BD475E" w:rsidP="0060558B">
      <w:pPr>
        <w:ind w:left="720" w:hanging="720"/>
        <w:rPr>
          <w:rFonts w:cs="Times New Roman"/>
          <w:szCs w:val="24"/>
        </w:rPr>
      </w:pPr>
      <w:r w:rsidRPr="0060558B">
        <w:rPr>
          <w:rFonts w:cs="Times New Roman"/>
          <w:szCs w:val="24"/>
        </w:rPr>
        <w:t>Schwab, D. R., Bidgoli, T. S., and Taylor, M. H., 201</w:t>
      </w:r>
      <w:r w:rsidR="0060558B" w:rsidRPr="0060558B">
        <w:rPr>
          <w:rFonts w:cs="Times New Roman"/>
          <w:szCs w:val="24"/>
        </w:rPr>
        <w:t>7</w:t>
      </w:r>
      <w:r w:rsidRPr="0060558B">
        <w:rPr>
          <w:rFonts w:cs="Times New Roman"/>
          <w:szCs w:val="24"/>
        </w:rPr>
        <w:t>, Characterizing the potential for injection-induced fault reactivation through subsurface structural mapping and stress field analysis, Wellington Field, Sumner County, Kansas. Journal of Geophysical Research: Solid Earth, 122, 10,132– 10,154</w:t>
      </w:r>
      <w:r w:rsidR="0060558B" w:rsidRPr="0060558B">
        <w:rPr>
          <w:rFonts w:cs="Times New Roman"/>
          <w:szCs w:val="24"/>
        </w:rPr>
        <w:t>, doi:</w:t>
      </w:r>
      <w:r w:rsidRPr="0060558B">
        <w:rPr>
          <w:rFonts w:cs="Times New Roman"/>
          <w:szCs w:val="24"/>
        </w:rPr>
        <w:t>10.1002/2017JB014071</w:t>
      </w:r>
      <w:r w:rsidR="0060558B" w:rsidRPr="0060558B">
        <w:rPr>
          <w:rFonts w:cs="Times New Roman"/>
          <w:szCs w:val="24"/>
        </w:rPr>
        <w:t>.</w:t>
      </w:r>
      <w:r w:rsidRPr="0060558B">
        <w:rPr>
          <w:rFonts w:cs="Times New Roman"/>
          <w:szCs w:val="24"/>
        </w:rPr>
        <w:t xml:space="preserve"> </w:t>
      </w:r>
    </w:p>
    <w:p w14:paraId="6381CF20" w14:textId="77777777" w:rsidR="00431BE4" w:rsidRPr="001D0EE9" w:rsidRDefault="00431BE4" w:rsidP="00431BE4">
      <w:pPr>
        <w:ind w:left="720" w:hanging="720"/>
        <w:rPr>
          <w:rFonts w:eastAsia="Times New Roman" w:cs="Times New Roman"/>
          <w:szCs w:val="24"/>
        </w:rPr>
      </w:pPr>
      <w:r w:rsidRPr="001D0EE9">
        <w:rPr>
          <w:rFonts w:eastAsia="Times New Roman" w:cs="Times New Roman"/>
          <w:szCs w:val="24"/>
        </w:rPr>
        <w:t>Sloss, L. L., 1988, Tectonic evolution of the craton in Phanerozoic time; in, Sedimentary Cover—North American Craton—U.S., L. L. Sloss, ed.: The Geological Society of America, The Geology of North America Volume D-2, p. 25-51.</w:t>
      </w:r>
    </w:p>
    <w:p w14:paraId="05F3FBAF" w14:textId="77777777" w:rsidR="00431BE4" w:rsidRPr="00EE60AE" w:rsidRDefault="00431BE4" w:rsidP="00431BE4">
      <w:pPr>
        <w:ind w:left="810" w:hanging="810"/>
        <w:rPr>
          <w:rFonts w:cs="Times New Roman"/>
          <w:szCs w:val="24"/>
        </w:rPr>
      </w:pPr>
      <w:r w:rsidRPr="00A571CA">
        <w:rPr>
          <w:rFonts w:cs="Times New Roman"/>
          <w:szCs w:val="24"/>
        </w:rPr>
        <w:t>Watney, W. L., and J. Rush, 2012, Small scale field test demonstrating CO2 sequestration in Arbuckle Saline Aquifer and by CO2-EOR at Wellington Field, Sumner County, Kansas: DOE Project Number DE-FE0006821, 28.</w:t>
      </w:r>
    </w:p>
    <w:p w14:paraId="7C0B221E" w14:textId="77777777" w:rsidR="00431BE4" w:rsidRDefault="00431BE4" w:rsidP="00431BE4">
      <w:r>
        <w:t>Zapata, Y., M.R. Kristensen, N. Huerta, C. Brown, C.S. Kabir, and Z. Reza, 2020, CO2 geological storage: Critical insights on plume dynamics and storage efficiency during long-term injection and post-injection periods, Journal of Natural Gas Science and Engineering, Vol 83, doi: 10.1016/j.jngse.2020.103542</w:t>
      </w:r>
    </w:p>
    <w:p w14:paraId="5228C5EB" w14:textId="77777777" w:rsidR="00431BE4" w:rsidRDefault="00431BE4" w:rsidP="00431BE4">
      <w:pPr>
        <w:spacing w:line="259" w:lineRule="auto"/>
        <w:jc w:val="left"/>
      </w:pPr>
      <w:r>
        <w:br w:type="page"/>
      </w:r>
    </w:p>
    <w:p w14:paraId="013DAD4E" w14:textId="77777777" w:rsidR="00431BE4" w:rsidRPr="00A8491E" w:rsidRDefault="00431BE4" w:rsidP="00DE7461">
      <w:pPr>
        <w:pStyle w:val="Heading2"/>
      </w:pPr>
      <w:bookmarkStart w:id="672" w:name="_Toc121095997"/>
      <w:r>
        <w:lastRenderedPageBreak/>
        <w:t>Appendix A</w:t>
      </w:r>
      <w:bookmarkEnd w:id="672"/>
    </w:p>
    <w:p w14:paraId="6914B666" w14:textId="77777777" w:rsidR="00B34D67" w:rsidRDefault="00C53AA7" w:rsidP="00B34D67">
      <w:pPr>
        <w:keepNext/>
      </w:pPr>
      <w:r>
        <w:rPr>
          <w:noProof/>
        </w:rPr>
        <w:drawing>
          <wp:inline distT="0" distB="0" distL="0" distR="0" wp14:anchorId="1B19ABB4" wp14:editId="2A1153E1">
            <wp:extent cx="5921375" cy="419130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34095" cy="4200312"/>
                    </a:xfrm>
                    <a:prstGeom prst="rect">
                      <a:avLst/>
                    </a:prstGeom>
                    <a:noFill/>
                  </pic:spPr>
                </pic:pic>
              </a:graphicData>
            </a:graphic>
          </wp:inline>
        </w:drawing>
      </w:r>
    </w:p>
    <w:p w14:paraId="24F9FF18" w14:textId="00FF98C0" w:rsidR="00431BE4" w:rsidRPr="00B34D67" w:rsidRDefault="00B34D67" w:rsidP="00B34D67">
      <w:pPr>
        <w:pStyle w:val="Caption"/>
      </w:pPr>
      <w:bookmarkStart w:id="673" w:name="_Toc121095766"/>
      <w:r w:rsidRPr="00B34D67">
        <w:rPr>
          <w:b/>
          <w:bCs/>
        </w:rPr>
        <w:t xml:space="preserve">Figure 3-A. </w:t>
      </w:r>
      <w:r w:rsidRPr="00B34D67">
        <w:rPr>
          <w:b/>
          <w:bCs/>
        </w:rPr>
        <w:fldChar w:fldCharType="begin"/>
      </w:r>
      <w:r w:rsidRPr="00B34D67">
        <w:rPr>
          <w:b/>
          <w:bCs/>
        </w:rPr>
        <w:instrText xml:space="preserve"> SEQ Figure_3-A. \* ARABIC </w:instrText>
      </w:r>
      <w:r w:rsidRPr="00B34D67">
        <w:rPr>
          <w:b/>
          <w:bCs/>
        </w:rPr>
        <w:fldChar w:fldCharType="separate"/>
      </w:r>
      <w:r w:rsidR="00B52D1E">
        <w:rPr>
          <w:b/>
          <w:bCs/>
          <w:noProof/>
        </w:rPr>
        <w:t>1</w:t>
      </w:r>
      <w:r w:rsidRPr="00B34D67">
        <w:rPr>
          <w:b/>
          <w:bCs/>
        </w:rPr>
        <w:fldChar w:fldCharType="end"/>
      </w:r>
      <w:r w:rsidR="00431BE4" w:rsidRPr="00B34D67">
        <w:rPr>
          <w:rFonts w:cs="Times New Roman"/>
          <w:b/>
          <w:bCs/>
          <w:szCs w:val="24"/>
        </w:rPr>
        <w:t>:</w:t>
      </w:r>
      <w:r w:rsidR="00431BE4" w:rsidRPr="006E3A83">
        <w:rPr>
          <w:rFonts w:cs="Times New Roman"/>
          <w:szCs w:val="24"/>
        </w:rPr>
        <w:t xml:space="preserve"> Example variogram maps used to estimate the horizontal ranges and azimuth. </w:t>
      </w:r>
      <w:r w:rsidR="00830AD0">
        <w:rPr>
          <w:rFonts w:cs="Times New Roman"/>
          <w:szCs w:val="24"/>
        </w:rPr>
        <w:t>The v</w:t>
      </w:r>
      <w:r w:rsidR="00431BE4" w:rsidRPr="006E3A83">
        <w:rPr>
          <w:rFonts w:cs="Times New Roman"/>
          <w:szCs w:val="24"/>
        </w:rPr>
        <w:t xml:space="preserve">ariogram map on the left is created from the petrofacies 1 probability volume for the Arbuckle zone C. The map on the </w:t>
      </w:r>
      <w:r w:rsidR="00287F05">
        <w:rPr>
          <w:rFonts w:cs="Times New Roman"/>
          <w:szCs w:val="24"/>
        </w:rPr>
        <w:t>right</w:t>
      </w:r>
      <w:r w:rsidR="00431BE4" w:rsidRPr="006E3A83">
        <w:rPr>
          <w:rFonts w:cs="Times New Roman"/>
          <w:szCs w:val="24"/>
        </w:rPr>
        <w:t xml:space="preserve"> is extracted from the porosity trend volume</w:t>
      </w:r>
      <w:r w:rsidR="00287F05">
        <w:rPr>
          <w:rFonts w:cs="Times New Roman"/>
          <w:szCs w:val="24"/>
        </w:rPr>
        <w:t xml:space="preserve"> and</w:t>
      </w:r>
      <w:r w:rsidR="00431BE4" w:rsidRPr="006E3A83">
        <w:rPr>
          <w:rFonts w:cs="Times New Roman"/>
          <w:szCs w:val="24"/>
        </w:rPr>
        <w:t xml:space="preserve"> is used for estimating the ranges for the porosity modeling for the petrofacies 1. Maps show the greatest lateral continuity (azimuth of the major range) and the direction of the greatest lateral heterogeneity (azimuth of the minor range) for the particular petrofacies or porosity, shown by dashed and dotted lines</w:t>
      </w:r>
      <w:r w:rsidR="00287F05">
        <w:rPr>
          <w:rFonts w:cs="Times New Roman"/>
          <w:szCs w:val="24"/>
        </w:rPr>
        <w:t>,</w:t>
      </w:r>
      <w:r w:rsidR="00431BE4" w:rsidRPr="006E3A83">
        <w:rPr>
          <w:rFonts w:cs="Times New Roman"/>
          <w:szCs w:val="24"/>
        </w:rPr>
        <w:t xml:space="preserve"> respectively.</w:t>
      </w:r>
      <w:bookmarkEnd w:id="673"/>
    </w:p>
    <w:p w14:paraId="25BC0021" w14:textId="0779A712" w:rsidR="00431BE4" w:rsidRDefault="00431BE4" w:rsidP="00431BE4"/>
    <w:p w14:paraId="610B0FBE" w14:textId="0067D152" w:rsidR="00B34D67" w:rsidRDefault="00B34D67" w:rsidP="00431BE4"/>
    <w:p w14:paraId="29D5F129" w14:textId="77777777" w:rsidR="00B34D67" w:rsidRDefault="00B34D67" w:rsidP="00431BE4"/>
    <w:p w14:paraId="385DC59C" w14:textId="77777777" w:rsidR="00431BE4" w:rsidRPr="006E4667" w:rsidRDefault="00431BE4" w:rsidP="00431BE4">
      <w:pPr>
        <w:spacing w:after="0" w:line="240" w:lineRule="auto"/>
        <w:jc w:val="center"/>
        <w:rPr>
          <w:rFonts w:ascii="Arial" w:hAnsi="Arial" w:cs="Arial"/>
          <w:szCs w:val="24"/>
        </w:rPr>
      </w:pPr>
      <w:r w:rsidRPr="006E4667">
        <w:rPr>
          <w:rFonts w:ascii="Arial" w:hAnsi="Arial" w:cs="Arial"/>
          <w:szCs w:val="24"/>
        </w:rPr>
        <w:lastRenderedPageBreak/>
        <w:t>Variogram Parameters for Petrofacies Modeling (Petrofacies 1)</w:t>
      </w:r>
    </w:p>
    <w:tbl>
      <w:tblPr>
        <w:tblW w:w="9345" w:type="dxa"/>
        <w:tblLook w:val="0420" w:firstRow="1" w:lastRow="0" w:firstColumn="0" w:lastColumn="0" w:noHBand="0" w:noVBand="1"/>
      </w:tblPr>
      <w:tblGrid>
        <w:gridCol w:w="1979"/>
        <w:gridCol w:w="1646"/>
        <w:gridCol w:w="1508"/>
        <w:gridCol w:w="1724"/>
        <w:gridCol w:w="2488"/>
      </w:tblGrid>
      <w:tr w:rsidR="00431BE4" w:rsidRPr="006E4667" w14:paraId="38172C67" w14:textId="77777777" w:rsidTr="00BE6D2B">
        <w:trPr>
          <w:trHeight w:val="323"/>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72C06D"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Zone</w:t>
            </w:r>
          </w:p>
        </w:tc>
        <w:tc>
          <w:tcPr>
            <w:tcW w:w="164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4CC567"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 (ft)</w:t>
            </w:r>
          </w:p>
        </w:tc>
        <w:tc>
          <w:tcPr>
            <w:tcW w:w="150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3DD5EA"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Minor (ft)</w:t>
            </w:r>
          </w:p>
        </w:tc>
        <w:tc>
          <w:tcPr>
            <w:tcW w:w="172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443A9E"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Vertical (ft)</w:t>
            </w:r>
          </w:p>
        </w:tc>
        <w:tc>
          <w:tcPr>
            <w:tcW w:w="2488" w:type="dxa"/>
            <w:tcBorders>
              <w:top w:val="single" w:sz="8" w:space="0" w:color="000000"/>
              <w:left w:val="nil"/>
              <w:bottom w:val="nil"/>
              <w:right w:val="single" w:sz="8" w:space="0" w:color="000000"/>
            </w:tcBorders>
            <w:shd w:val="clear" w:color="auto" w:fill="auto"/>
            <w:vAlign w:val="center"/>
            <w:hideMark/>
          </w:tcPr>
          <w:p w14:paraId="5489733F" w14:textId="510DDAB0" w:rsidR="00431BE4" w:rsidRPr="00DC7EDF" w:rsidRDefault="00BE6D2B"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w:t>
            </w:r>
            <w:r w:rsidR="00431BE4" w:rsidRPr="00DC7EDF">
              <w:rPr>
                <w:rFonts w:ascii="Arial" w:eastAsia="Times New Roman" w:hAnsi="Arial" w:cs="Arial"/>
                <w:b/>
                <w:bCs/>
                <w:color w:val="000000"/>
                <w:szCs w:val="24"/>
              </w:rPr>
              <w:t xml:space="preserve"> Azimuth</w:t>
            </w:r>
          </w:p>
        </w:tc>
      </w:tr>
      <w:tr w:rsidR="00431BE4" w:rsidRPr="006E4667" w14:paraId="4AF698A3" w14:textId="77777777" w:rsidTr="00BE6D2B">
        <w:trPr>
          <w:trHeight w:val="339"/>
        </w:trPr>
        <w:tc>
          <w:tcPr>
            <w:tcW w:w="197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0F3E96" w14:textId="77777777" w:rsidR="00431BE4" w:rsidRPr="00EA0B42" w:rsidRDefault="00431BE4" w:rsidP="00620605">
            <w:pPr>
              <w:spacing w:after="0" w:line="240" w:lineRule="auto"/>
              <w:rPr>
                <w:rFonts w:ascii="Arial" w:eastAsia="Times New Roman" w:hAnsi="Arial" w:cs="Arial"/>
                <w:b/>
                <w:bCs/>
                <w:color w:val="000000"/>
                <w:szCs w:val="24"/>
              </w:rPr>
            </w:pPr>
          </w:p>
        </w:tc>
        <w:tc>
          <w:tcPr>
            <w:tcW w:w="1646"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E0F229" w14:textId="77777777" w:rsidR="00431BE4" w:rsidRPr="00EA0B42" w:rsidRDefault="00431BE4" w:rsidP="00620605">
            <w:pPr>
              <w:spacing w:after="0" w:line="240" w:lineRule="auto"/>
              <w:rPr>
                <w:rFonts w:ascii="Arial" w:eastAsia="Times New Roman" w:hAnsi="Arial" w:cs="Arial"/>
                <w:b/>
                <w:bCs/>
                <w:color w:val="000000"/>
                <w:szCs w:val="24"/>
              </w:rPr>
            </w:pPr>
          </w:p>
        </w:tc>
        <w:tc>
          <w:tcPr>
            <w:tcW w:w="150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B6D781" w14:textId="77777777" w:rsidR="00431BE4" w:rsidRPr="00EA0B42" w:rsidRDefault="00431BE4" w:rsidP="00620605">
            <w:pPr>
              <w:spacing w:after="0" w:line="240" w:lineRule="auto"/>
              <w:rPr>
                <w:rFonts w:ascii="Arial" w:eastAsia="Times New Roman" w:hAnsi="Arial" w:cs="Arial"/>
                <w:b/>
                <w:bCs/>
                <w:color w:val="000000"/>
                <w:szCs w:val="24"/>
              </w:rPr>
            </w:pPr>
          </w:p>
        </w:tc>
        <w:tc>
          <w:tcPr>
            <w:tcW w:w="1724"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7623B6" w14:textId="77777777" w:rsidR="00431BE4" w:rsidRPr="00EA0B42" w:rsidRDefault="00431BE4" w:rsidP="00620605">
            <w:pPr>
              <w:spacing w:after="0" w:line="240" w:lineRule="auto"/>
              <w:rPr>
                <w:rFonts w:ascii="Arial" w:eastAsia="Times New Roman" w:hAnsi="Arial" w:cs="Arial"/>
                <w:b/>
                <w:bCs/>
                <w:color w:val="000000"/>
                <w:szCs w:val="24"/>
              </w:rPr>
            </w:pPr>
          </w:p>
        </w:tc>
        <w:tc>
          <w:tcPr>
            <w:tcW w:w="2488" w:type="dxa"/>
            <w:tcBorders>
              <w:top w:val="nil"/>
              <w:left w:val="nil"/>
              <w:bottom w:val="single" w:sz="8" w:space="0" w:color="000000"/>
              <w:right w:val="single" w:sz="8" w:space="0" w:color="000000"/>
            </w:tcBorders>
            <w:shd w:val="clear" w:color="auto" w:fill="auto"/>
            <w:vAlign w:val="center"/>
            <w:hideMark/>
          </w:tcPr>
          <w:p w14:paraId="1744F1A2" w14:textId="77777777" w:rsidR="00431BE4" w:rsidRPr="00EA0B42" w:rsidRDefault="00431BE4" w:rsidP="00620605">
            <w:pPr>
              <w:spacing w:after="0" w:line="240" w:lineRule="auto"/>
              <w:jc w:val="center"/>
              <w:rPr>
                <w:rFonts w:ascii="Arial" w:eastAsia="Times New Roman" w:hAnsi="Arial" w:cs="Arial"/>
                <w:b/>
                <w:bCs/>
                <w:color w:val="000000"/>
                <w:szCs w:val="24"/>
              </w:rPr>
            </w:pPr>
            <w:r w:rsidRPr="00EA0B42">
              <w:rPr>
                <w:rFonts w:ascii="Arial" w:eastAsia="Times New Roman" w:hAnsi="Arial" w:cs="Arial"/>
                <w:b/>
                <w:bCs/>
                <w:color w:val="000000"/>
                <w:szCs w:val="24"/>
              </w:rPr>
              <w:t>(Degrees from N)</w:t>
            </w:r>
          </w:p>
        </w:tc>
      </w:tr>
      <w:tr w:rsidR="00431BE4" w:rsidRPr="006E4667" w14:paraId="1A37E335" w14:textId="77777777" w:rsidTr="00620605">
        <w:trPr>
          <w:trHeight w:val="339"/>
        </w:trPr>
        <w:tc>
          <w:tcPr>
            <w:tcW w:w="1979" w:type="dxa"/>
            <w:tcBorders>
              <w:top w:val="nil"/>
              <w:left w:val="single" w:sz="8" w:space="0" w:color="000000"/>
              <w:bottom w:val="single" w:sz="8" w:space="0" w:color="000000"/>
              <w:right w:val="single" w:sz="8" w:space="0" w:color="000000"/>
            </w:tcBorders>
            <w:shd w:val="clear" w:color="auto" w:fill="auto"/>
            <w:vAlign w:val="center"/>
            <w:hideMark/>
          </w:tcPr>
          <w:p w14:paraId="714A754F"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Arbuckle C</w:t>
            </w:r>
          </w:p>
        </w:tc>
        <w:tc>
          <w:tcPr>
            <w:tcW w:w="1646" w:type="dxa"/>
            <w:tcBorders>
              <w:top w:val="nil"/>
              <w:left w:val="nil"/>
              <w:bottom w:val="single" w:sz="8" w:space="0" w:color="000000"/>
              <w:right w:val="single" w:sz="8" w:space="0" w:color="000000"/>
            </w:tcBorders>
            <w:shd w:val="clear" w:color="auto" w:fill="auto"/>
            <w:vAlign w:val="center"/>
            <w:hideMark/>
          </w:tcPr>
          <w:p w14:paraId="50835E92"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5600</w:t>
            </w:r>
          </w:p>
        </w:tc>
        <w:tc>
          <w:tcPr>
            <w:tcW w:w="1508" w:type="dxa"/>
            <w:tcBorders>
              <w:top w:val="nil"/>
              <w:left w:val="nil"/>
              <w:bottom w:val="single" w:sz="8" w:space="0" w:color="000000"/>
              <w:right w:val="single" w:sz="8" w:space="0" w:color="000000"/>
            </w:tcBorders>
            <w:shd w:val="clear" w:color="auto" w:fill="auto"/>
            <w:vAlign w:val="center"/>
            <w:hideMark/>
          </w:tcPr>
          <w:p w14:paraId="5ACFDF14"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4041</w:t>
            </w:r>
          </w:p>
        </w:tc>
        <w:tc>
          <w:tcPr>
            <w:tcW w:w="1724" w:type="dxa"/>
            <w:tcBorders>
              <w:top w:val="nil"/>
              <w:left w:val="nil"/>
              <w:bottom w:val="single" w:sz="8" w:space="0" w:color="000000"/>
              <w:right w:val="single" w:sz="8" w:space="0" w:color="000000"/>
            </w:tcBorders>
            <w:shd w:val="clear" w:color="auto" w:fill="auto"/>
            <w:vAlign w:val="center"/>
            <w:hideMark/>
          </w:tcPr>
          <w:p w14:paraId="73ADEC83"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8.46</w:t>
            </w:r>
          </w:p>
        </w:tc>
        <w:tc>
          <w:tcPr>
            <w:tcW w:w="2488" w:type="dxa"/>
            <w:tcBorders>
              <w:top w:val="nil"/>
              <w:left w:val="nil"/>
              <w:bottom w:val="single" w:sz="8" w:space="0" w:color="000000"/>
              <w:right w:val="single" w:sz="8" w:space="0" w:color="000000"/>
            </w:tcBorders>
            <w:shd w:val="clear" w:color="auto" w:fill="auto"/>
            <w:vAlign w:val="center"/>
            <w:hideMark/>
          </w:tcPr>
          <w:p w14:paraId="72574D28"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23.7</w:t>
            </w:r>
          </w:p>
        </w:tc>
      </w:tr>
      <w:tr w:rsidR="00431BE4" w:rsidRPr="006E4667" w14:paraId="45755202" w14:textId="77777777" w:rsidTr="00620605">
        <w:trPr>
          <w:trHeight w:val="339"/>
        </w:trPr>
        <w:tc>
          <w:tcPr>
            <w:tcW w:w="1979" w:type="dxa"/>
            <w:tcBorders>
              <w:top w:val="nil"/>
              <w:left w:val="single" w:sz="8" w:space="0" w:color="000000"/>
              <w:bottom w:val="single" w:sz="8" w:space="0" w:color="000000"/>
              <w:right w:val="single" w:sz="8" w:space="0" w:color="000000"/>
            </w:tcBorders>
            <w:shd w:val="clear" w:color="auto" w:fill="auto"/>
            <w:vAlign w:val="center"/>
            <w:hideMark/>
          </w:tcPr>
          <w:p w14:paraId="6D141C7A"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Arbuckle B</w:t>
            </w:r>
          </w:p>
        </w:tc>
        <w:tc>
          <w:tcPr>
            <w:tcW w:w="1646" w:type="dxa"/>
            <w:tcBorders>
              <w:top w:val="nil"/>
              <w:left w:val="nil"/>
              <w:bottom w:val="single" w:sz="8" w:space="0" w:color="000000"/>
              <w:right w:val="single" w:sz="8" w:space="0" w:color="000000"/>
            </w:tcBorders>
            <w:shd w:val="clear" w:color="auto" w:fill="auto"/>
            <w:vAlign w:val="center"/>
            <w:hideMark/>
          </w:tcPr>
          <w:p w14:paraId="37956550"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5400</w:t>
            </w:r>
          </w:p>
        </w:tc>
        <w:tc>
          <w:tcPr>
            <w:tcW w:w="1508" w:type="dxa"/>
            <w:tcBorders>
              <w:top w:val="nil"/>
              <w:left w:val="nil"/>
              <w:bottom w:val="single" w:sz="8" w:space="0" w:color="000000"/>
              <w:right w:val="single" w:sz="8" w:space="0" w:color="000000"/>
            </w:tcBorders>
            <w:shd w:val="clear" w:color="auto" w:fill="auto"/>
            <w:vAlign w:val="center"/>
            <w:hideMark/>
          </w:tcPr>
          <w:p w14:paraId="795C849A"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2260</w:t>
            </w:r>
          </w:p>
        </w:tc>
        <w:tc>
          <w:tcPr>
            <w:tcW w:w="1724" w:type="dxa"/>
            <w:tcBorders>
              <w:top w:val="nil"/>
              <w:left w:val="nil"/>
              <w:bottom w:val="single" w:sz="8" w:space="0" w:color="000000"/>
              <w:right w:val="single" w:sz="8" w:space="0" w:color="000000"/>
            </w:tcBorders>
            <w:shd w:val="clear" w:color="auto" w:fill="auto"/>
            <w:vAlign w:val="center"/>
            <w:hideMark/>
          </w:tcPr>
          <w:p w14:paraId="6D580047"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5.61</w:t>
            </w:r>
          </w:p>
        </w:tc>
        <w:tc>
          <w:tcPr>
            <w:tcW w:w="2488" w:type="dxa"/>
            <w:tcBorders>
              <w:top w:val="nil"/>
              <w:left w:val="nil"/>
              <w:bottom w:val="single" w:sz="8" w:space="0" w:color="000000"/>
              <w:right w:val="single" w:sz="8" w:space="0" w:color="000000"/>
            </w:tcBorders>
            <w:shd w:val="clear" w:color="auto" w:fill="auto"/>
            <w:vAlign w:val="center"/>
            <w:hideMark/>
          </w:tcPr>
          <w:p w14:paraId="640F9934"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13.2</w:t>
            </w:r>
          </w:p>
        </w:tc>
      </w:tr>
      <w:tr w:rsidR="00431BE4" w:rsidRPr="006E4667" w14:paraId="7B97CDB3" w14:textId="77777777" w:rsidTr="00620605">
        <w:trPr>
          <w:trHeight w:val="339"/>
        </w:trPr>
        <w:tc>
          <w:tcPr>
            <w:tcW w:w="1979" w:type="dxa"/>
            <w:tcBorders>
              <w:top w:val="nil"/>
              <w:left w:val="single" w:sz="8" w:space="0" w:color="000000"/>
              <w:bottom w:val="single" w:sz="8" w:space="0" w:color="000000"/>
              <w:right w:val="single" w:sz="8" w:space="0" w:color="000000"/>
            </w:tcBorders>
            <w:shd w:val="clear" w:color="auto" w:fill="auto"/>
            <w:vAlign w:val="center"/>
            <w:hideMark/>
          </w:tcPr>
          <w:p w14:paraId="40D7E2B4"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Arbuckle A</w:t>
            </w:r>
          </w:p>
        </w:tc>
        <w:tc>
          <w:tcPr>
            <w:tcW w:w="1646" w:type="dxa"/>
            <w:tcBorders>
              <w:top w:val="nil"/>
              <w:left w:val="nil"/>
              <w:bottom w:val="single" w:sz="8" w:space="0" w:color="000000"/>
              <w:right w:val="single" w:sz="8" w:space="0" w:color="000000"/>
            </w:tcBorders>
            <w:shd w:val="clear" w:color="auto" w:fill="auto"/>
            <w:vAlign w:val="center"/>
            <w:hideMark/>
          </w:tcPr>
          <w:p w14:paraId="3520F446"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3400</w:t>
            </w:r>
          </w:p>
        </w:tc>
        <w:tc>
          <w:tcPr>
            <w:tcW w:w="1508" w:type="dxa"/>
            <w:tcBorders>
              <w:top w:val="nil"/>
              <w:left w:val="nil"/>
              <w:bottom w:val="single" w:sz="8" w:space="0" w:color="000000"/>
              <w:right w:val="single" w:sz="8" w:space="0" w:color="000000"/>
            </w:tcBorders>
            <w:shd w:val="clear" w:color="auto" w:fill="auto"/>
            <w:vAlign w:val="center"/>
            <w:hideMark/>
          </w:tcPr>
          <w:p w14:paraId="4C47F5F3"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2014</w:t>
            </w:r>
          </w:p>
        </w:tc>
        <w:tc>
          <w:tcPr>
            <w:tcW w:w="1724" w:type="dxa"/>
            <w:tcBorders>
              <w:top w:val="nil"/>
              <w:left w:val="nil"/>
              <w:bottom w:val="single" w:sz="8" w:space="0" w:color="000000"/>
              <w:right w:val="single" w:sz="8" w:space="0" w:color="000000"/>
            </w:tcBorders>
            <w:shd w:val="clear" w:color="auto" w:fill="auto"/>
            <w:vAlign w:val="center"/>
            <w:hideMark/>
          </w:tcPr>
          <w:p w14:paraId="7FB340EB"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6.64</w:t>
            </w:r>
          </w:p>
        </w:tc>
        <w:tc>
          <w:tcPr>
            <w:tcW w:w="2488" w:type="dxa"/>
            <w:tcBorders>
              <w:top w:val="nil"/>
              <w:left w:val="nil"/>
              <w:bottom w:val="single" w:sz="8" w:space="0" w:color="000000"/>
              <w:right w:val="single" w:sz="8" w:space="0" w:color="000000"/>
            </w:tcBorders>
            <w:shd w:val="clear" w:color="auto" w:fill="auto"/>
            <w:vAlign w:val="center"/>
            <w:hideMark/>
          </w:tcPr>
          <w:p w14:paraId="1ACE68D1"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34.3</w:t>
            </w:r>
          </w:p>
        </w:tc>
      </w:tr>
    </w:tbl>
    <w:p w14:paraId="09BB3993" w14:textId="77777777" w:rsidR="00431BE4" w:rsidRPr="006E4667" w:rsidRDefault="00431BE4" w:rsidP="00431BE4">
      <w:pPr>
        <w:spacing w:after="0" w:line="240" w:lineRule="auto"/>
        <w:jc w:val="center"/>
        <w:rPr>
          <w:rFonts w:ascii="Arial" w:hAnsi="Arial" w:cs="Arial"/>
          <w:szCs w:val="24"/>
        </w:rPr>
      </w:pPr>
      <w:r w:rsidRPr="006E4667">
        <w:rPr>
          <w:rFonts w:ascii="Arial" w:hAnsi="Arial" w:cs="Arial"/>
          <w:szCs w:val="24"/>
        </w:rPr>
        <w:t xml:space="preserve">Variogram Parameters for Petrofacies Modeling (Petrofacies </w:t>
      </w:r>
      <w:r>
        <w:rPr>
          <w:rFonts w:ascii="Arial" w:hAnsi="Arial" w:cs="Arial"/>
          <w:szCs w:val="24"/>
        </w:rPr>
        <w:t>2</w:t>
      </w:r>
      <w:r w:rsidRPr="006E4667">
        <w:rPr>
          <w:rFonts w:ascii="Arial" w:hAnsi="Arial" w:cs="Arial"/>
          <w:szCs w:val="24"/>
        </w:rPr>
        <w:t>)</w:t>
      </w:r>
    </w:p>
    <w:tbl>
      <w:tblPr>
        <w:tblW w:w="9356" w:type="dxa"/>
        <w:tblLook w:val="0420" w:firstRow="1" w:lastRow="0" w:firstColumn="0" w:lastColumn="0" w:noHBand="0" w:noVBand="1"/>
      </w:tblPr>
      <w:tblGrid>
        <w:gridCol w:w="1981"/>
        <w:gridCol w:w="1648"/>
        <w:gridCol w:w="1510"/>
        <w:gridCol w:w="1726"/>
        <w:gridCol w:w="2491"/>
      </w:tblGrid>
      <w:tr w:rsidR="00431BE4" w:rsidRPr="000D6BF8" w14:paraId="4BEAA9C4" w14:textId="77777777" w:rsidTr="00EB2AFD">
        <w:trPr>
          <w:trHeight w:val="543"/>
        </w:trPr>
        <w:tc>
          <w:tcPr>
            <w:tcW w:w="198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9C8574"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Zone</w:t>
            </w:r>
          </w:p>
        </w:tc>
        <w:tc>
          <w:tcPr>
            <w:tcW w:w="16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B8B72B"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 (ft)</w:t>
            </w:r>
          </w:p>
        </w:tc>
        <w:tc>
          <w:tcPr>
            <w:tcW w:w="151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57A233"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Minor (ft)</w:t>
            </w:r>
          </w:p>
        </w:tc>
        <w:tc>
          <w:tcPr>
            <w:tcW w:w="172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F62D22"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Vertical (ft)</w:t>
            </w:r>
          </w:p>
        </w:tc>
        <w:tc>
          <w:tcPr>
            <w:tcW w:w="2491" w:type="dxa"/>
            <w:tcBorders>
              <w:top w:val="single" w:sz="8" w:space="0" w:color="000000"/>
              <w:left w:val="nil"/>
              <w:bottom w:val="nil"/>
              <w:right w:val="single" w:sz="8" w:space="0" w:color="000000"/>
            </w:tcBorders>
            <w:shd w:val="clear" w:color="auto" w:fill="auto"/>
            <w:vAlign w:val="center"/>
            <w:hideMark/>
          </w:tcPr>
          <w:p w14:paraId="352E4A71" w14:textId="4A4E2BFE" w:rsidR="00431BE4" w:rsidRPr="00DC7EDF" w:rsidRDefault="00BE6D2B"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w:t>
            </w:r>
            <w:r w:rsidR="00431BE4" w:rsidRPr="00DC7EDF">
              <w:rPr>
                <w:rFonts w:ascii="Arial" w:eastAsia="Times New Roman" w:hAnsi="Arial" w:cs="Arial"/>
                <w:b/>
                <w:bCs/>
                <w:color w:val="000000"/>
                <w:szCs w:val="24"/>
              </w:rPr>
              <w:t xml:space="preserve"> Azimuth</w:t>
            </w:r>
          </w:p>
        </w:tc>
      </w:tr>
      <w:tr w:rsidR="00431BE4" w:rsidRPr="000D6BF8" w14:paraId="02D3B633" w14:textId="77777777" w:rsidTr="00EB2AFD">
        <w:trPr>
          <w:trHeight w:val="367"/>
        </w:trPr>
        <w:tc>
          <w:tcPr>
            <w:tcW w:w="1981"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7FA072"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164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3AD988"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151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B7FF02"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1726"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BEF04E"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2491" w:type="dxa"/>
            <w:tcBorders>
              <w:top w:val="nil"/>
              <w:left w:val="nil"/>
              <w:bottom w:val="single" w:sz="8" w:space="0" w:color="000000"/>
              <w:right w:val="single" w:sz="8" w:space="0" w:color="000000"/>
            </w:tcBorders>
            <w:shd w:val="clear" w:color="auto" w:fill="auto"/>
            <w:vAlign w:val="center"/>
            <w:hideMark/>
          </w:tcPr>
          <w:p w14:paraId="4815AE7C" w14:textId="77777777" w:rsidR="00431BE4" w:rsidRPr="00EA0B42" w:rsidRDefault="00431BE4" w:rsidP="00620605">
            <w:pPr>
              <w:spacing w:after="0" w:line="240" w:lineRule="auto"/>
              <w:jc w:val="center"/>
              <w:rPr>
                <w:rFonts w:ascii="Arial" w:eastAsia="Times New Roman" w:hAnsi="Arial" w:cs="Arial"/>
                <w:b/>
                <w:bCs/>
                <w:color w:val="000000"/>
                <w:szCs w:val="24"/>
              </w:rPr>
            </w:pPr>
            <w:r w:rsidRPr="00EA0B42">
              <w:rPr>
                <w:rFonts w:ascii="Arial" w:eastAsia="Times New Roman" w:hAnsi="Arial" w:cs="Arial"/>
                <w:b/>
                <w:bCs/>
                <w:color w:val="000000"/>
                <w:szCs w:val="24"/>
              </w:rPr>
              <w:t>(Degrees from N)</w:t>
            </w:r>
          </w:p>
        </w:tc>
      </w:tr>
      <w:tr w:rsidR="00431BE4" w:rsidRPr="000D6BF8" w14:paraId="7AA32457" w14:textId="77777777" w:rsidTr="00620605">
        <w:trPr>
          <w:trHeight w:val="367"/>
        </w:trPr>
        <w:tc>
          <w:tcPr>
            <w:tcW w:w="1981" w:type="dxa"/>
            <w:tcBorders>
              <w:top w:val="nil"/>
              <w:left w:val="single" w:sz="8" w:space="0" w:color="000000"/>
              <w:bottom w:val="single" w:sz="8" w:space="0" w:color="000000"/>
              <w:right w:val="single" w:sz="8" w:space="0" w:color="000000"/>
            </w:tcBorders>
            <w:shd w:val="clear" w:color="auto" w:fill="auto"/>
            <w:vAlign w:val="center"/>
            <w:hideMark/>
          </w:tcPr>
          <w:p w14:paraId="0F016C44"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C</w:t>
            </w:r>
          </w:p>
        </w:tc>
        <w:tc>
          <w:tcPr>
            <w:tcW w:w="1648" w:type="dxa"/>
            <w:tcBorders>
              <w:top w:val="nil"/>
              <w:left w:val="nil"/>
              <w:bottom w:val="single" w:sz="8" w:space="0" w:color="000000"/>
              <w:right w:val="single" w:sz="8" w:space="0" w:color="000000"/>
            </w:tcBorders>
            <w:shd w:val="clear" w:color="auto" w:fill="auto"/>
            <w:vAlign w:val="center"/>
            <w:hideMark/>
          </w:tcPr>
          <w:p w14:paraId="44A326DA"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5700</w:t>
            </w:r>
          </w:p>
        </w:tc>
        <w:tc>
          <w:tcPr>
            <w:tcW w:w="1510" w:type="dxa"/>
            <w:tcBorders>
              <w:top w:val="nil"/>
              <w:left w:val="nil"/>
              <w:bottom w:val="single" w:sz="8" w:space="0" w:color="000000"/>
              <w:right w:val="single" w:sz="8" w:space="0" w:color="000000"/>
            </w:tcBorders>
            <w:shd w:val="clear" w:color="auto" w:fill="auto"/>
            <w:vAlign w:val="center"/>
            <w:hideMark/>
          </w:tcPr>
          <w:p w14:paraId="421641E0"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2400</w:t>
            </w:r>
          </w:p>
        </w:tc>
        <w:tc>
          <w:tcPr>
            <w:tcW w:w="1726" w:type="dxa"/>
            <w:tcBorders>
              <w:top w:val="nil"/>
              <w:left w:val="nil"/>
              <w:bottom w:val="single" w:sz="8" w:space="0" w:color="000000"/>
              <w:right w:val="single" w:sz="8" w:space="0" w:color="000000"/>
            </w:tcBorders>
            <w:shd w:val="clear" w:color="auto" w:fill="auto"/>
            <w:vAlign w:val="center"/>
            <w:hideMark/>
          </w:tcPr>
          <w:p w14:paraId="6AEA0F8E"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8.52</w:t>
            </w:r>
          </w:p>
        </w:tc>
        <w:tc>
          <w:tcPr>
            <w:tcW w:w="2491" w:type="dxa"/>
            <w:tcBorders>
              <w:top w:val="nil"/>
              <w:left w:val="nil"/>
              <w:bottom w:val="single" w:sz="8" w:space="0" w:color="000000"/>
              <w:right w:val="single" w:sz="8" w:space="0" w:color="000000"/>
            </w:tcBorders>
            <w:shd w:val="clear" w:color="auto" w:fill="auto"/>
            <w:vAlign w:val="center"/>
            <w:hideMark/>
          </w:tcPr>
          <w:p w14:paraId="3063AAFB"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-11</w:t>
            </w:r>
          </w:p>
        </w:tc>
      </w:tr>
      <w:tr w:rsidR="00431BE4" w:rsidRPr="000D6BF8" w14:paraId="071BDDD0" w14:textId="77777777" w:rsidTr="00620605">
        <w:trPr>
          <w:trHeight w:val="367"/>
        </w:trPr>
        <w:tc>
          <w:tcPr>
            <w:tcW w:w="1981" w:type="dxa"/>
            <w:tcBorders>
              <w:top w:val="nil"/>
              <w:left w:val="single" w:sz="8" w:space="0" w:color="000000"/>
              <w:bottom w:val="single" w:sz="8" w:space="0" w:color="000000"/>
              <w:right w:val="single" w:sz="8" w:space="0" w:color="000000"/>
            </w:tcBorders>
            <w:shd w:val="clear" w:color="auto" w:fill="auto"/>
            <w:vAlign w:val="center"/>
            <w:hideMark/>
          </w:tcPr>
          <w:p w14:paraId="5FB6108B"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B</w:t>
            </w:r>
          </w:p>
        </w:tc>
        <w:tc>
          <w:tcPr>
            <w:tcW w:w="1648" w:type="dxa"/>
            <w:tcBorders>
              <w:top w:val="nil"/>
              <w:left w:val="nil"/>
              <w:bottom w:val="single" w:sz="8" w:space="0" w:color="000000"/>
              <w:right w:val="single" w:sz="8" w:space="0" w:color="000000"/>
            </w:tcBorders>
            <w:shd w:val="clear" w:color="auto" w:fill="auto"/>
            <w:vAlign w:val="center"/>
            <w:hideMark/>
          </w:tcPr>
          <w:p w14:paraId="66A596E9"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5413</w:t>
            </w:r>
          </w:p>
        </w:tc>
        <w:tc>
          <w:tcPr>
            <w:tcW w:w="1510" w:type="dxa"/>
            <w:tcBorders>
              <w:top w:val="nil"/>
              <w:left w:val="nil"/>
              <w:bottom w:val="single" w:sz="8" w:space="0" w:color="000000"/>
              <w:right w:val="single" w:sz="8" w:space="0" w:color="000000"/>
            </w:tcBorders>
            <w:shd w:val="clear" w:color="auto" w:fill="auto"/>
            <w:vAlign w:val="center"/>
            <w:hideMark/>
          </w:tcPr>
          <w:p w14:paraId="799B507E"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2194</w:t>
            </w:r>
          </w:p>
        </w:tc>
        <w:tc>
          <w:tcPr>
            <w:tcW w:w="1726" w:type="dxa"/>
            <w:tcBorders>
              <w:top w:val="nil"/>
              <w:left w:val="nil"/>
              <w:bottom w:val="single" w:sz="8" w:space="0" w:color="000000"/>
              <w:right w:val="single" w:sz="8" w:space="0" w:color="000000"/>
            </w:tcBorders>
            <w:shd w:val="clear" w:color="auto" w:fill="auto"/>
            <w:vAlign w:val="center"/>
            <w:hideMark/>
          </w:tcPr>
          <w:p w14:paraId="566BE889"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11.69</w:t>
            </w:r>
          </w:p>
        </w:tc>
        <w:tc>
          <w:tcPr>
            <w:tcW w:w="2491" w:type="dxa"/>
            <w:tcBorders>
              <w:top w:val="nil"/>
              <w:left w:val="nil"/>
              <w:bottom w:val="single" w:sz="8" w:space="0" w:color="000000"/>
              <w:right w:val="single" w:sz="8" w:space="0" w:color="000000"/>
            </w:tcBorders>
            <w:shd w:val="clear" w:color="auto" w:fill="auto"/>
            <w:vAlign w:val="center"/>
            <w:hideMark/>
          </w:tcPr>
          <w:p w14:paraId="04C4A5DE"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-23</w:t>
            </w:r>
          </w:p>
        </w:tc>
      </w:tr>
      <w:tr w:rsidR="00431BE4" w:rsidRPr="000D6BF8" w14:paraId="0F597520" w14:textId="77777777" w:rsidTr="00620605">
        <w:trPr>
          <w:trHeight w:val="367"/>
        </w:trPr>
        <w:tc>
          <w:tcPr>
            <w:tcW w:w="1981" w:type="dxa"/>
            <w:tcBorders>
              <w:top w:val="nil"/>
              <w:left w:val="single" w:sz="8" w:space="0" w:color="000000"/>
              <w:bottom w:val="single" w:sz="8" w:space="0" w:color="000000"/>
              <w:right w:val="single" w:sz="8" w:space="0" w:color="000000"/>
            </w:tcBorders>
            <w:shd w:val="clear" w:color="auto" w:fill="auto"/>
            <w:vAlign w:val="center"/>
            <w:hideMark/>
          </w:tcPr>
          <w:p w14:paraId="531935D3"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A</w:t>
            </w:r>
          </w:p>
        </w:tc>
        <w:tc>
          <w:tcPr>
            <w:tcW w:w="1648" w:type="dxa"/>
            <w:tcBorders>
              <w:top w:val="nil"/>
              <w:left w:val="nil"/>
              <w:bottom w:val="single" w:sz="8" w:space="0" w:color="000000"/>
              <w:right w:val="single" w:sz="8" w:space="0" w:color="000000"/>
            </w:tcBorders>
            <w:shd w:val="clear" w:color="auto" w:fill="auto"/>
            <w:vAlign w:val="center"/>
            <w:hideMark/>
          </w:tcPr>
          <w:p w14:paraId="0932C183"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5900</w:t>
            </w:r>
          </w:p>
        </w:tc>
        <w:tc>
          <w:tcPr>
            <w:tcW w:w="1510" w:type="dxa"/>
            <w:tcBorders>
              <w:top w:val="nil"/>
              <w:left w:val="nil"/>
              <w:bottom w:val="single" w:sz="8" w:space="0" w:color="000000"/>
              <w:right w:val="single" w:sz="8" w:space="0" w:color="000000"/>
            </w:tcBorders>
            <w:shd w:val="clear" w:color="auto" w:fill="auto"/>
            <w:vAlign w:val="center"/>
            <w:hideMark/>
          </w:tcPr>
          <w:p w14:paraId="7B367A9B"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3100</w:t>
            </w:r>
          </w:p>
        </w:tc>
        <w:tc>
          <w:tcPr>
            <w:tcW w:w="1726" w:type="dxa"/>
            <w:tcBorders>
              <w:top w:val="nil"/>
              <w:left w:val="nil"/>
              <w:bottom w:val="single" w:sz="8" w:space="0" w:color="000000"/>
              <w:right w:val="single" w:sz="8" w:space="0" w:color="000000"/>
            </w:tcBorders>
            <w:shd w:val="clear" w:color="auto" w:fill="auto"/>
            <w:vAlign w:val="center"/>
            <w:hideMark/>
          </w:tcPr>
          <w:p w14:paraId="740A791A"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13.6</w:t>
            </w:r>
          </w:p>
        </w:tc>
        <w:tc>
          <w:tcPr>
            <w:tcW w:w="2491" w:type="dxa"/>
            <w:tcBorders>
              <w:top w:val="nil"/>
              <w:left w:val="nil"/>
              <w:bottom w:val="single" w:sz="8" w:space="0" w:color="000000"/>
              <w:right w:val="single" w:sz="8" w:space="0" w:color="000000"/>
            </w:tcBorders>
            <w:shd w:val="clear" w:color="auto" w:fill="auto"/>
            <w:vAlign w:val="center"/>
            <w:hideMark/>
          </w:tcPr>
          <w:p w14:paraId="50D4D0C2"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-21</w:t>
            </w:r>
          </w:p>
        </w:tc>
      </w:tr>
    </w:tbl>
    <w:p w14:paraId="75EF0D83" w14:textId="77777777" w:rsidR="00431BE4" w:rsidRPr="006E4667" w:rsidRDefault="00431BE4" w:rsidP="00431BE4">
      <w:pPr>
        <w:spacing w:after="0" w:line="240" w:lineRule="auto"/>
        <w:jc w:val="center"/>
        <w:rPr>
          <w:rFonts w:ascii="Arial" w:hAnsi="Arial" w:cs="Arial"/>
          <w:szCs w:val="24"/>
        </w:rPr>
      </w:pPr>
      <w:r w:rsidRPr="006E4667">
        <w:rPr>
          <w:rFonts w:ascii="Arial" w:hAnsi="Arial" w:cs="Arial"/>
          <w:szCs w:val="24"/>
        </w:rPr>
        <w:t xml:space="preserve">Variogram Parameters for Petrofacies Modeling (Petrofacies </w:t>
      </w:r>
      <w:r>
        <w:rPr>
          <w:rFonts w:ascii="Arial" w:hAnsi="Arial" w:cs="Arial"/>
          <w:szCs w:val="24"/>
        </w:rPr>
        <w:t>3</w:t>
      </w:r>
      <w:r w:rsidRPr="006E4667">
        <w:rPr>
          <w:rFonts w:ascii="Arial" w:hAnsi="Arial" w:cs="Arial"/>
          <w:szCs w:val="24"/>
        </w:rPr>
        <w:t>)</w:t>
      </w:r>
    </w:p>
    <w:tbl>
      <w:tblPr>
        <w:tblW w:w="9360" w:type="dxa"/>
        <w:tblLook w:val="0420" w:firstRow="1" w:lastRow="0" w:firstColumn="0" w:lastColumn="0" w:noHBand="0" w:noVBand="1"/>
      </w:tblPr>
      <w:tblGrid>
        <w:gridCol w:w="1982"/>
        <w:gridCol w:w="1648"/>
        <w:gridCol w:w="1511"/>
        <w:gridCol w:w="1727"/>
        <w:gridCol w:w="2492"/>
      </w:tblGrid>
      <w:tr w:rsidR="00431BE4" w:rsidRPr="000D6BF8" w14:paraId="3F30AE01" w14:textId="77777777" w:rsidTr="00B34D67">
        <w:trPr>
          <w:trHeight w:val="502"/>
        </w:trPr>
        <w:tc>
          <w:tcPr>
            <w:tcW w:w="198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E63FF7"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Zone</w:t>
            </w:r>
          </w:p>
        </w:tc>
        <w:tc>
          <w:tcPr>
            <w:tcW w:w="16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30DDCB"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 (ft)</w:t>
            </w:r>
          </w:p>
        </w:tc>
        <w:tc>
          <w:tcPr>
            <w:tcW w:w="151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B98058"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Minor (ft)</w:t>
            </w:r>
          </w:p>
        </w:tc>
        <w:tc>
          <w:tcPr>
            <w:tcW w:w="17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7DBABD"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Vertical (ft)</w:t>
            </w:r>
          </w:p>
        </w:tc>
        <w:tc>
          <w:tcPr>
            <w:tcW w:w="2492" w:type="dxa"/>
            <w:tcBorders>
              <w:top w:val="single" w:sz="8" w:space="0" w:color="000000"/>
              <w:left w:val="nil"/>
              <w:bottom w:val="nil"/>
              <w:right w:val="single" w:sz="8" w:space="0" w:color="000000"/>
            </w:tcBorders>
            <w:shd w:val="clear" w:color="auto" w:fill="auto"/>
            <w:vAlign w:val="center"/>
            <w:hideMark/>
          </w:tcPr>
          <w:p w14:paraId="4C71A76C" w14:textId="12DEF4AB" w:rsidR="00431BE4" w:rsidRPr="00DC7EDF" w:rsidRDefault="00BE6D2B"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w:t>
            </w:r>
            <w:r w:rsidR="00431BE4" w:rsidRPr="00DC7EDF">
              <w:rPr>
                <w:rFonts w:ascii="Arial" w:eastAsia="Times New Roman" w:hAnsi="Arial" w:cs="Arial"/>
                <w:b/>
                <w:bCs/>
                <w:color w:val="000000"/>
                <w:szCs w:val="24"/>
              </w:rPr>
              <w:t xml:space="preserve"> Azimuth</w:t>
            </w:r>
          </w:p>
        </w:tc>
      </w:tr>
      <w:tr w:rsidR="00431BE4" w:rsidRPr="000D6BF8" w14:paraId="2A324197" w14:textId="77777777" w:rsidTr="00B34D67">
        <w:trPr>
          <w:trHeight w:val="340"/>
        </w:trPr>
        <w:tc>
          <w:tcPr>
            <w:tcW w:w="1982"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90390D" w14:textId="77777777" w:rsidR="00431BE4" w:rsidRPr="00EA0B42" w:rsidRDefault="00431BE4" w:rsidP="00620605">
            <w:pPr>
              <w:spacing w:after="0" w:line="240" w:lineRule="auto"/>
              <w:rPr>
                <w:rFonts w:ascii="Arial" w:eastAsia="Times New Roman" w:hAnsi="Arial" w:cs="Arial"/>
                <w:b/>
                <w:bCs/>
                <w:color w:val="000000"/>
                <w:szCs w:val="24"/>
              </w:rPr>
            </w:pPr>
          </w:p>
        </w:tc>
        <w:tc>
          <w:tcPr>
            <w:tcW w:w="164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E975A6" w14:textId="77777777" w:rsidR="00431BE4" w:rsidRPr="00EA0B42" w:rsidRDefault="00431BE4" w:rsidP="00620605">
            <w:pPr>
              <w:spacing w:after="0" w:line="240" w:lineRule="auto"/>
              <w:rPr>
                <w:rFonts w:ascii="Arial" w:eastAsia="Times New Roman" w:hAnsi="Arial" w:cs="Arial"/>
                <w:b/>
                <w:bCs/>
                <w:color w:val="000000"/>
                <w:szCs w:val="24"/>
              </w:rPr>
            </w:pPr>
          </w:p>
        </w:tc>
        <w:tc>
          <w:tcPr>
            <w:tcW w:w="1511"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53378C" w14:textId="77777777" w:rsidR="00431BE4" w:rsidRPr="00EA0B42" w:rsidRDefault="00431BE4" w:rsidP="00620605">
            <w:pPr>
              <w:spacing w:after="0" w:line="240" w:lineRule="auto"/>
              <w:rPr>
                <w:rFonts w:ascii="Arial" w:eastAsia="Times New Roman" w:hAnsi="Arial" w:cs="Arial"/>
                <w:b/>
                <w:bCs/>
                <w:color w:val="000000"/>
                <w:szCs w:val="24"/>
              </w:rPr>
            </w:pPr>
          </w:p>
        </w:tc>
        <w:tc>
          <w:tcPr>
            <w:tcW w:w="1727"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86D253" w14:textId="77777777" w:rsidR="00431BE4" w:rsidRPr="00EA0B42" w:rsidRDefault="00431BE4" w:rsidP="00620605">
            <w:pPr>
              <w:spacing w:after="0" w:line="240" w:lineRule="auto"/>
              <w:rPr>
                <w:rFonts w:ascii="Arial" w:eastAsia="Times New Roman" w:hAnsi="Arial" w:cs="Arial"/>
                <w:b/>
                <w:bCs/>
                <w:color w:val="000000"/>
                <w:szCs w:val="24"/>
              </w:rPr>
            </w:pPr>
          </w:p>
        </w:tc>
        <w:tc>
          <w:tcPr>
            <w:tcW w:w="2492" w:type="dxa"/>
            <w:tcBorders>
              <w:top w:val="nil"/>
              <w:left w:val="nil"/>
              <w:bottom w:val="single" w:sz="8" w:space="0" w:color="000000"/>
              <w:right w:val="single" w:sz="8" w:space="0" w:color="000000"/>
            </w:tcBorders>
            <w:shd w:val="clear" w:color="auto" w:fill="auto"/>
            <w:vAlign w:val="center"/>
            <w:hideMark/>
          </w:tcPr>
          <w:p w14:paraId="713F732C" w14:textId="77777777" w:rsidR="00431BE4" w:rsidRPr="00EA0B42" w:rsidRDefault="00431BE4" w:rsidP="00620605">
            <w:pPr>
              <w:spacing w:after="0" w:line="240" w:lineRule="auto"/>
              <w:jc w:val="center"/>
              <w:rPr>
                <w:rFonts w:ascii="Arial" w:eastAsia="Times New Roman" w:hAnsi="Arial" w:cs="Arial"/>
                <w:b/>
                <w:bCs/>
                <w:color w:val="000000"/>
                <w:szCs w:val="24"/>
              </w:rPr>
            </w:pPr>
            <w:r w:rsidRPr="00EA0B42">
              <w:rPr>
                <w:rFonts w:ascii="Arial" w:eastAsia="Times New Roman" w:hAnsi="Arial" w:cs="Arial"/>
                <w:b/>
                <w:bCs/>
                <w:color w:val="000000"/>
                <w:szCs w:val="24"/>
              </w:rPr>
              <w:t>(Degrees from N)</w:t>
            </w:r>
          </w:p>
        </w:tc>
      </w:tr>
      <w:tr w:rsidR="00431BE4" w:rsidRPr="000D6BF8" w14:paraId="714740CF" w14:textId="77777777" w:rsidTr="00620605">
        <w:trPr>
          <w:trHeight w:val="340"/>
        </w:trPr>
        <w:tc>
          <w:tcPr>
            <w:tcW w:w="1982" w:type="dxa"/>
            <w:tcBorders>
              <w:top w:val="nil"/>
              <w:left w:val="single" w:sz="8" w:space="0" w:color="000000"/>
              <w:bottom w:val="single" w:sz="8" w:space="0" w:color="000000"/>
              <w:right w:val="single" w:sz="8" w:space="0" w:color="000000"/>
            </w:tcBorders>
            <w:shd w:val="clear" w:color="auto" w:fill="auto"/>
            <w:vAlign w:val="center"/>
            <w:hideMark/>
          </w:tcPr>
          <w:p w14:paraId="650B1931"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C</w:t>
            </w:r>
          </w:p>
        </w:tc>
        <w:tc>
          <w:tcPr>
            <w:tcW w:w="1648" w:type="dxa"/>
            <w:tcBorders>
              <w:top w:val="nil"/>
              <w:left w:val="nil"/>
              <w:bottom w:val="single" w:sz="8" w:space="0" w:color="000000"/>
              <w:right w:val="single" w:sz="8" w:space="0" w:color="000000"/>
            </w:tcBorders>
            <w:shd w:val="clear" w:color="auto" w:fill="auto"/>
            <w:vAlign w:val="center"/>
            <w:hideMark/>
          </w:tcPr>
          <w:p w14:paraId="75D256BF"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6700</w:t>
            </w:r>
          </w:p>
        </w:tc>
        <w:tc>
          <w:tcPr>
            <w:tcW w:w="1511" w:type="dxa"/>
            <w:tcBorders>
              <w:top w:val="nil"/>
              <w:left w:val="nil"/>
              <w:bottom w:val="single" w:sz="8" w:space="0" w:color="000000"/>
              <w:right w:val="single" w:sz="8" w:space="0" w:color="000000"/>
            </w:tcBorders>
            <w:shd w:val="clear" w:color="auto" w:fill="auto"/>
            <w:vAlign w:val="center"/>
            <w:hideMark/>
          </w:tcPr>
          <w:p w14:paraId="2156D772"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2950</w:t>
            </w:r>
          </w:p>
        </w:tc>
        <w:tc>
          <w:tcPr>
            <w:tcW w:w="1727" w:type="dxa"/>
            <w:tcBorders>
              <w:top w:val="nil"/>
              <w:left w:val="nil"/>
              <w:bottom w:val="single" w:sz="8" w:space="0" w:color="000000"/>
              <w:right w:val="single" w:sz="8" w:space="0" w:color="000000"/>
            </w:tcBorders>
            <w:shd w:val="clear" w:color="auto" w:fill="auto"/>
            <w:vAlign w:val="center"/>
            <w:hideMark/>
          </w:tcPr>
          <w:p w14:paraId="1B940636"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7.07</w:t>
            </w:r>
          </w:p>
        </w:tc>
        <w:tc>
          <w:tcPr>
            <w:tcW w:w="2492" w:type="dxa"/>
            <w:tcBorders>
              <w:top w:val="nil"/>
              <w:left w:val="nil"/>
              <w:bottom w:val="single" w:sz="8" w:space="0" w:color="000000"/>
              <w:right w:val="single" w:sz="8" w:space="0" w:color="000000"/>
            </w:tcBorders>
            <w:shd w:val="clear" w:color="auto" w:fill="auto"/>
            <w:vAlign w:val="center"/>
            <w:hideMark/>
          </w:tcPr>
          <w:p w14:paraId="18BEF845"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26.7</w:t>
            </w:r>
          </w:p>
        </w:tc>
      </w:tr>
      <w:tr w:rsidR="00431BE4" w:rsidRPr="000D6BF8" w14:paraId="080E44F6" w14:textId="77777777" w:rsidTr="00620605">
        <w:trPr>
          <w:trHeight w:val="340"/>
        </w:trPr>
        <w:tc>
          <w:tcPr>
            <w:tcW w:w="1982" w:type="dxa"/>
            <w:tcBorders>
              <w:top w:val="nil"/>
              <w:left w:val="single" w:sz="8" w:space="0" w:color="000000"/>
              <w:bottom w:val="single" w:sz="8" w:space="0" w:color="000000"/>
              <w:right w:val="single" w:sz="8" w:space="0" w:color="000000"/>
            </w:tcBorders>
            <w:shd w:val="clear" w:color="auto" w:fill="auto"/>
            <w:vAlign w:val="center"/>
            <w:hideMark/>
          </w:tcPr>
          <w:p w14:paraId="558E4BEB"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B</w:t>
            </w:r>
          </w:p>
        </w:tc>
        <w:tc>
          <w:tcPr>
            <w:tcW w:w="1648" w:type="dxa"/>
            <w:tcBorders>
              <w:top w:val="nil"/>
              <w:left w:val="nil"/>
              <w:bottom w:val="single" w:sz="8" w:space="0" w:color="000000"/>
              <w:right w:val="single" w:sz="8" w:space="0" w:color="000000"/>
            </w:tcBorders>
            <w:shd w:val="clear" w:color="auto" w:fill="auto"/>
            <w:vAlign w:val="center"/>
            <w:hideMark/>
          </w:tcPr>
          <w:p w14:paraId="4F0366FD"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7100</w:t>
            </w:r>
          </w:p>
        </w:tc>
        <w:tc>
          <w:tcPr>
            <w:tcW w:w="1511" w:type="dxa"/>
            <w:tcBorders>
              <w:top w:val="nil"/>
              <w:left w:val="nil"/>
              <w:bottom w:val="single" w:sz="8" w:space="0" w:color="000000"/>
              <w:right w:val="single" w:sz="8" w:space="0" w:color="000000"/>
            </w:tcBorders>
            <w:shd w:val="clear" w:color="auto" w:fill="auto"/>
            <w:vAlign w:val="center"/>
            <w:hideMark/>
          </w:tcPr>
          <w:p w14:paraId="5092D1F9"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2980</w:t>
            </w:r>
          </w:p>
        </w:tc>
        <w:tc>
          <w:tcPr>
            <w:tcW w:w="1727" w:type="dxa"/>
            <w:tcBorders>
              <w:top w:val="nil"/>
              <w:left w:val="nil"/>
              <w:bottom w:val="single" w:sz="8" w:space="0" w:color="000000"/>
              <w:right w:val="single" w:sz="8" w:space="0" w:color="000000"/>
            </w:tcBorders>
            <w:shd w:val="clear" w:color="auto" w:fill="auto"/>
            <w:vAlign w:val="center"/>
            <w:hideMark/>
          </w:tcPr>
          <w:p w14:paraId="2B8E2409"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8.8</w:t>
            </w:r>
          </w:p>
        </w:tc>
        <w:tc>
          <w:tcPr>
            <w:tcW w:w="2492" w:type="dxa"/>
            <w:tcBorders>
              <w:top w:val="nil"/>
              <w:left w:val="nil"/>
              <w:bottom w:val="single" w:sz="8" w:space="0" w:color="000000"/>
              <w:right w:val="single" w:sz="8" w:space="0" w:color="000000"/>
            </w:tcBorders>
            <w:shd w:val="clear" w:color="auto" w:fill="auto"/>
            <w:vAlign w:val="center"/>
            <w:hideMark/>
          </w:tcPr>
          <w:p w14:paraId="07093A4D"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17</w:t>
            </w:r>
          </w:p>
        </w:tc>
      </w:tr>
      <w:tr w:rsidR="00431BE4" w:rsidRPr="000D6BF8" w14:paraId="312C24DA" w14:textId="77777777" w:rsidTr="00620605">
        <w:trPr>
          <w:trHeight w:val="340"/>
        </w:trPr>
        <w:tc>
          <w:tcPr>
            <w:tcW w:w="1982" w:type="dxa"/>
            <w:tcBorders>
              <w:top w:val="nil"/>
              <w:left w:val="single" w:sz="8" w:space="0" w:color="000000"/>
              <w:bottom w:val="single" w:sz="8" w:space="0" w:color="000000"/>
              <w:right w:val="single" w:sz="8" w:space="0" w:color="000000"/>
            </w:tcBorders>
            <w:shd w:val="clear" w:color="auto" w:fill="auto"/>
            <w:vAlign w:val="center"/>
            <w:hideMark/>
          </w:tcPr>
          <w:p w14:paraId="2678528F"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A</w:t>
            </w:r>
          </w:p>
        </w:tc>
        <w:tc>
          <w:tcPr>
            <w:tcW w:w="1648" w:type="dxa"/>
            <w:tcBorders>
              <w:top w:val="nil"/>
              <w:left w:val="nil"/>
              <w:bottom w:val="single" w:sz="8" w:space="0" w:color="000000"/>
              <w:right w:val="single" w:sz="8" w:space="0" w:color="000000"/>
            </w:tcBorders>
            <w:shd w:val="clear" w:color="auto" w:fill="auto"/>
            <w:vAlign w:val="center"/>
            <w:hideMark/>
          </w:tcPr>
          <w:p w14:paraId="7103EC79"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5600</w:t>
            </w:r>
          </w:p>
        </w:tc>
        <w:tc>
          <w:tcPr>
            <w:tcW w:w="1511" w:type="dxa"/>
            <w:tcBorders>
              <w:top w:val="nil"/>
              <w:left w:val="nil"/>
              <w:bottom w:val="single" w:sz="8" w:space="0" w:color="000000"/>
              <w:right w:val="single" w:sz="8" w:space="0" w:color="000000"/>
            </w:tcBorders>
            <w:shd w:val="clear" w:color="auto" w:fill="auto"/>
            <w:vAlign w:val="center"/>
            <w:hideMark/>
          </w:tcPr>
          <w:p w14:paraId="3E93C476"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4100</w:t>
            </w:r>
          </w:p>
        </w:tc>
        <w:tc>
          <w:tcPr>
            <w:tcW w:w="1727" w:type="dxa"/>
            <w:tcBorders>
              <w:top w:val="nil"/>
              <w:left w:val="nil"/>
              <w:bottom w:val="single" w:sz="8" w:space="0" w:color="000000"/>
              <w:right w:val="single" w:sz="8" w:space="0" w:color="000000"/>
            </w:tcBorders>
            <w:shd w:val="clear" w:color="auto" w:fill="auto"/>
            <w:vAlign w:val="center"/>
            <w:hideMark/>
          </w:tcPr>
          <w:p w14:paraId="45E4A8ED"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6.51</w:t>
            </w:r>
          </w:p>
        </w:tc>
        <w:tc>
          <w:tcPr>
            <w:tcW w:w="2492" w:type="dxa"/>
            <w:tcBorders>
              <w:top w:val="nil"/>
              <w:left w:val="nil"/>
              <w:bottom w:val="single" w:sz="8" w:space="0" w:color="000000"/>
              <w:right w:val="single" w:sz="8" w:space="0" w:color="000000"/>
            </w:tcBorders>
            <w:shd w:val="clear" w:color="auto" w:fill="auto"/>
            <w:vAlign w:val="center"/>
            <w:hideMark/>
          </w:tcPr>
          <w:p w14:paraId="70315F91"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19.7</w:t>
            </w:r>
          </w:p>
        </w:tc>
      </w:tr>
    </w:tbl>
    <w:p w14:paraId="058E9DAF" w14:textId="4E8ABE82" w:rsidR="008965A5" w:rsidRDefault="00431BE4" w:rsidP="00431BE4">
      <w:pPr>
        <w:rPr>
          <w:rFonts w:cs="Times New Roman"/>
          <w:szCs w:val="24"/>
        </w:rPr>
      </w:pPr>
      <w:r w:rsidRPr="00B45A8A">
        <w:rPr>
          <w:rFonts w:cs="Times New Roman"/>
          <w:szCs w:val="24"/>
        </w:rPr>
        <w:t xml:space="preserve">Appendix </w:t>
      </w:r>
      <w:r>
        <w:rPr>
          <w:rFonts w:cs="Times New Roman"/>
          <w:szCs w:val="24"/>
        </w:rPr>
        <w:t>A</w:t>
      </w:r>
      <w:r w:rsidRPr="00B45A8A">
        <w:rPr>
          <w:rFonts w:cs="Times New Roman"/>
          <w:szCs w:val="24"/>
        </w:rPr>
        <w:t>-</w:t>
      </w:r>
      <w:r>
        <w:rPr>
          <w:rFonts w:cs="Times New Roman"/>
          <w:szCs w:val="24"/>
        </w:rPr>
        <w:t>2</w:t>
      </w:r>
      <w:r w:rsidRPr="00B45A8A">
        <w:rPr>
          <w:rFonts w:cs="Times New Roman"/>
          <w:szCs w:val="24"/>
        </w:rPr>
        <w:t>: Variogram ranges and azimuth for the petrofacies model separated by zone. Horizontal and vertical ranges were defined for each zone and each petrofacies. Vertical ranges were estimated from the petrofacies logs. The horizontal ranges and azimuth were estimated from the variogram maps.</w:t>
      </w:r>
    </w:p>
    <w:p w14:paraId="7F3393F7" w14:textId="77777777" w:rsidR="008965A5" w:rsidRDefault="008965A5">
      <w:pPr>
        <w:spacing w:line="259" w:lineRule="auto"/>
        <w:jc w:val="left"/>
        <w:rPr>
          <w:rFonts w:cs="Times New Roman"/>
          <w:szCs w:val="24"/>
        </w:rPr>
      </w:pPr>
      <w:r>
        <w:rPr>
          <w:rFonts w:cs="Times New Roman"/>
          <w:szCs w:val="24"/>
        </w:rPr>
        <w:br w:type="page"/>
      </w:r>
    </w:p>
    <w:p w14:paraId="098AFF2A" w14:textId="77777777" w:rsidR="00431BE4" w:rsidRPr="006E4667" w:rsidRDefault="00431BE4" w:rsidP="00431BE4">
      <w:pPr>
        <w:spacing w:after="0" w:line="240" w:lineRule="auto"/>
        <w:jc w:val="center"/>
        <w:rPr>
          <w:rFonts w:ascii="Arial" w:hAnsi="Arial" w:cs="Arial"/>
          <w:szCs w:val="24"/>
        </w:rPr>
      </w:pPr>
      <w:r w:rsidRPr="006E4667">
        <w:rPr>
          <w:rFonts w:ascii="Arial" w:hAnsi="Arial" w:cs="Arial"/>
          <w:szCs w:val="24"/>
        </w:rPr>
        <w:lastRenderedPageBreak/>
        <w:t xml:space="preserve">Variogram Parameters for </w:t>
      </w:r>
      <w:r>
        <w:rPr>
          <w:rFonts w:ascii="Arial" w:hAnsi="Arial" w:cs="Arial"/>
          <w:szCs w:val="24"/>
        </w:rPr>
        <w:t>Porosity</w:t>
      </w:r>
      <w:r w:rsidRPr="006E4667">
        <w:rPr>
          <w:rFonts w:ascii="Arial" w:hAnsi="Arial" w:cs="Arial"/>
          <w:szCs w:val="24"/>
        </w:rPr>
        <w:t xml:space="preserve"> Modeling (Petrofacies 1)</w:t>
      </w:r>
    </w:p>
    <w:tbl>
      <w:tblPr>
        <w:tblW w:w="9345" w:type="dxa"/>
        <w:tblLook w:val="0420" w:firstRow="1" w:lastRow="0" w:firstColumn="0" w:lastColumn="0" w:noHBand="0" w:noVBand="1"/>
      </w:tblPr>
      <w:tblGrid>
        <w:gridCol w:w="1979"/>
        <w:gridCol w:w="1646"/>
        <w:gridCol w:w="1508"/>
        <w:gridCol w:w="1724"/>
        <w:gridCol w:w="2488"/>
      </w:tblGrid>
      <w:tr w:rsidR="00431BE4" w:rsidRPr="006E4667" w14:paraId="6F79428C" w14:textId="77777777" w:rsidTr="00DC7EDF">
        <w:trPr>
          <w:trHeight w:val="323"/>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6BAD59"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Zone</w:t>
            </w:r>
          </w:p>
        </w:tc>
        <w:tc>
          <w:tcPr>
            <w:tcW w:w="164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E606ED"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 (ft)</w:t>
            </w:r>
          </w:p>
        </w:tc>
        <w:tc>
          <w:tcPr>
            <w:tcW w:w="150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A4728A"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Minor (ft)</w:t>
            </w:r>
          </w:p>
        </w:tc>
        <w:tc>
          <w:tcPr>
            <w:tcW w:w="172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CAD3B4"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Vertical (ft)</w:t>
            </w:r>
          </w:p>
        </w:tc>
        <w:tc>
          <w:tcPr>
            <w:tcW w:w="2488" w:type="dxa"/>
            <w:tcBorders>
              <w:top w:val="single" w:sz="8" w:space="0" w:color="000000"/>
              <w:left w:val="nil"/>
              <w:bottom w:val="nil"/>
              <w:right w:val="single" w:sz="8" w:space="0" w:color="000000"/>
            </w:tcBorders>
            <w:shd w:val="clear" w:color="auto" w:fill="auto"/>
            <w:vAlign w:val="center"/>
            <w:hideMark/>
          </w:tcPr>
          <w:p w14:paraId="73286360" w14:textId="23AF07A0"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 xml:space="preserve"> </w:t>
            </w:r>
            <w:r w:rsidR="00BE6D2B" w:rsidRPr="00DC7EDF">
              <w:rPr>
                <w:rFonts w:ascii="Arial" w:eastAsia="Times New Roman" w:hAnsi="Arial" w:cs="Arial"/>
                <w:b/>
                <w:bCs/>
                <w:color w:val="000000"/>
                <w:szCs w:val="24"/>
              </w:rPr>
              <w:t xml:space="preserve"> Major </w:t>
            </w:r>
            <w:r w:rsidRPr="00DC7EDF">
              <w:rPr>
                <w:rFonts w:ascii="Arial" w:eastAsia="Times New Roman" w:hAnsi="Arial" w:cs="Arial"/>
                <w:b/>
                <w:bCs/>
                <w:color w:val="000000"/>
                <w:szCs w:val="24"/>
              </w:rPr>
              <w:t>Azimuth</w:t>
            </w:r>
          </w:p>
        </w:tc>
      </w:tr>
      <w:tr w:rsidR="00431BE4" w:rsidRPr="006E4667" w14:paraId="3BD47E20" w14:textId="77777777" w:rsidTr="00DC7EDF">
        <w:trPr>
          <w:trHeight w:val="339"/>
        </w:trPr>
        <w:tc>
          <w:tcPr>
            <w:tcW w:w="197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FAEBA0" w14:textId="77777777" w:rsidR="00431BE4" w:rsidRPr="00EA0B42" w:rsidRDefault="00431BE4" w:rsidP="00620605">
            <w:pPr>
              <w:spacing w:after="0" w:line="240" w:lineRule="auto"/>
              <w:rPr>
                <w:rFonts w:ascii="Arial" w:eastAsia="Times New Roman" w:hAnsi="Arial" w:cs="Arial"/>
                <w:b/>
                <w:bCs/>
                <w:color w:val="000000"/>
                <w:szCs w:val="24"/>
              </w:rPr>
            </w:pPr>
          </w:p>
        </w:tc>
        <w:tc>
          <w:tcPr>
            <w:tcW w:w="1646"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2E08DB" w14:textId="77777777" w:rsidR="00431BE4" w:rsidRPr="00EA0B42" w:rsidRDefault="00431BE4" w:rsidP="00620605">
            <w:pPr>
              <w:spacing w:after="0" w:line="240" w:lineRule="auto"/>
              <w:rPr>
                <w:rFonts w:ascii="Arial" w:eastAsia="Times New Roman" w:hAnsi="Arial" w:cs="Arial"/>
                <w:b/>
                <w:bCs/>
                <w:color w:val="000000"/>
                <w:szCs w:val="24"/>
              </w:rPr>
            </w:pPr>
          </w:p>
        </w:tc>
        <w:tc>
          <w:tcPr>
            <w:tcW w:w="150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168815" w14:textId="77777777" w:rsidR="00431BE4" w:rsidRPr="00EA0B42" w:rsidRDefault="00431BE4" w:rsidP="00620605">
            <w:pPr>
              <w:spacing w:after="0" w:line="240" w:lineRule="auto"/>
              <w:rPr>
                <w:rFonts w:ascii="Arial" w:eastAsia="Times New Roman" w:hAnsi="Arial" w:cs="Arial"/>
                <w:b/>
                <w:bCs/>
                <w:color w:val="000000"/>
                <w:szCs w:val="24"/>
              </w:rPr>
            </w:pPr>
          </w:p>
        </w:tc>
        <w:tc>
          <w:tcPr>
            <w:tcW w:w="1724"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6F7541" w14:textId="77777777" w:rsidR="00431BE4" w:rsidRPr="00EA0B42" w:rsidRDefault="00431BE4" w:rsidP="00620605">
            <w:pPr>
              <w:spacing w:after="0" w:line="240" w:lineRule="auto"/>
              <w:rPr>
                <w:rFonts w:ascii="Arial" w:eastAsia="Times New Roman" w:hAnsi="Arial" w:cs="Arial"/>
                <w:b/>
                <w:bCs/>
                <w:color w:val="000000"/>
                <w:szCs w:val="24"/>
              </w:rPr>
            </w:pPr>
          </w:p>
        </w:tc>
        <w:tc>
          <w:tcPr>
            <w:tcW w:w="2488" w:type="dxa"/>
            <w:tcBorders>
              <w:top w:val="nil"/>
              <w:left w:val="nil"/>
              <w:bottom w:val="single" w:sz="8" w:space="0" w:color="000000"/>
              <w:right w:val="single" w:sz="8" w:space="0" w:color="000000"/>
            </w:tcBorders>
            <w:shd w:val="clear" w:color="auto" w:fill="auto"/>
            <w:vAlign w:val="center"/>
            <w:hideMark/>
          </w:tcPr>
          <w:p w14:paraId="38F22078" w14:textId="77777777" w:rsidR="00431BE4" w:rsidRPr="00EA0B42" w:rsidRDefault="00431BE4" w:rsidP="00620605">
            <w:pPr>
              <w:spacing w:after="0" w:line="240" w:lineRule="auto"/>
              <w:jc w:val="center"/>
              <w:rPr>
                <w:rFonts w:ascii="Arial" w:eastAsia="Times New Roman" w:hAnsi="Arial" w:cs="Arial"/>
                <w:b/>
                <w:bCs/>
                <w:color w:val="000000"/>
                <w:szCs w:val="24"/>
              </w:rPr>
            </w:pPr>
            <w:r w:rsidRPr="00EA0B42">
              <w:rPr>
                <w:rFonts w:ascii="Arial" w:eastAsia="Times New Roman" w:hAnsi="Arial" w:cs="Arial"/>
                <w:b/>
                <w:bCs/>
                <w:color w:val="000000"/>
                <w:szCs w:val="24"/>
              </w:rPr>
              <w:t>(Degrees from N)</w:t>
            </w:r>
          </w:p>
        </w:tc>
      </w:tr>
      <w:tr w:rsidR="00431BE4" w:rsidRPr="006E4667" w14:paraId="5F11A1DF" w14:textId="77777777" w:rsidTr="00620605">
        <w:trPr>
          <w:trHeight w:val="339"/>
        </w:trPr>
        <w:tc>
          <w:tcPr>
            <w:tcW w:w="1979" w:type="dxa"/>
            <w:tcBorders>
              <w:top w:val="nil"/>
              <w:left w:val="single" w:sz="8" w:space="0" w:color="000000"/>
              <w:bottom w:val="single" w:sz="8" w:space="0" w:color="000000"/>
              <w:right w:val="single" w:sz="8" w:space="0" w:color="000000"/>
            </w:tcBorders>
            <w:shd w:val="clear" w:color="auto" w:fill="auto"/>
            <w:vAlign w:val="center"/>
            <w:hideMark/>
          </w:tcPr>
          <w:p w14:paraId="61F765FE"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Arbuckle C</w:t>
            </w:r>
          </w:p>
        </w:tc>
        <w:tc>
          <w:tcPr>
            <w:tcW w:w="1646" w:type="dxa"/>
            <w:tcBorders>
              <w:top w:val="nil"/>
              <w:left w:val="nil"/>
              <w:bottom w:val="single" w:sz="8" w:space="0" w:color="000000"/>
              <w:right w:val="single" w:sz="8" w:space="0" w:color="000000"/>
            </w:tcBorders>
            <w:shd w:val="clear" w:color="auto" w:fill="auto"/>
            <w:vAlign w:val="center"/>
            <w:hideMark/>
          </w:tcPr>
          <w:p w14:paraId="6B10AF57"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5300</w:t>
            </w:r>
          </w:p>
        </w:tc>
        <w:tc>
          <w:tcPr>
            <w:tcW w:w="1508" w:type="dxa"/>
            <w:tcBorders>
              <w:top w:val="nil"/>
              <w:left w:val="nil"/>
              <w:bottom w:val="single" w:sz="8" w:space="0" w:color="000000"/>
              <w:right w:val="single" w:sz="8" w:space="0" w:color="000000"/>
            </w:tcBorders>
            <w:shd w:val="clear" w:color="auto" w:fill="auto"/>
            <w:vAlign w:val="center"/>
            <w:hideMark/>
          </w:tcPr>
          <w:p w14:paraId="7A239649"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2960</w:t>
            </w:r>
          </w:p>
        </w:tc>
        <w:tc>
          <w:tcPr>
            <w:tcW w:w="1724" w:type="dxa"/>
            <w:tcBorders>
              <w:top w:val="nil"/>
              <w:left w:val="nil"/>
              <w:bottom w:val="single" w:sz="8" w:space="0" w:color="000000"/>
              <w:right w:val="single" w:sz="8" w:space="0" w:color="000000"/>
            </w:tcBorders>
            <w:shd w:val="clear" w:color="auto" w:fill="auto"/>
            <w:vAlign w:val="center"/>
            <w:hideMark/>
          </w:tcPr>
          <w:p w14:paraId="42496E1F" w14:textId="77777777" w:rsidR="00431BE4" w:rsidRPr="006E4667" w:rsidRDefault="00431BE4" w:rsidP="00620605">
            <w:pPr>
              <w:spacing w:after="0" w:line="240" w:lineRule="auto"/>
              <w:jc w:val="center"/>
              <w:rPr>
                <w:rFonts w:ascii="Arial" w:eastAsia="Times New Roman" w:hAnsi="Arial" w:cs="Arial"/>
                <w:color w:val="000000"/>
                <w:szCs w:val="24"/>
              </w:rPr>
            </w:pPr>
            <w:r w:rsidRPr="005C239D">
              <w:rPr>
                <w:rFonts w:ascii="Arial" w:eastAsia="Times New Roman" w:hAnsi="Arial" w:cs="Arial"/>
                <w:color w:val="000000"/>
                <w:szCs w:val="24"/>
              </w:rPr>
              <w:t>6.73</w:t>
            </w:r>
          </w:p>
        </w:tc>
        <w:tc>
          <w:tcPr>
            <w:tcW w:w="2488" w:type="dxa"/>
            <w:tcBorders>
              <w:top w:val="nil"/>
              <w:left w:val="nil"/>
              <w:bottom w:val="single" w:sz="8" w:space="0" w:color="000000"/>
              <w:right w:val="single" w:sz="8" w:space="0" w:color="000000"/>
            </w:tcBorders>
            <w:shd w:val="clear" w:color="auto" w:fill="auto"/>
            <w:vAlign w:val="center"/>
          </w:tcPr>
          <w:p w14:paraId="161281FE"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-12</w:t>
            </w:r>
          </w:p>
        </w:tc>
      </w:tr>
      <w:tr w:rsidR="00431BE4" w:rsidRPr="006E4667" w14:paraId="011EFD51" w14:textId="77777777" w:rsidTr="00620605">
        <w:trPr>
          <w:trHeight w:val="339"/>
        </w:trPr>
        <w:tc>
          <w:tcPr>
            <w:tcW w:w="1979" w:type="dxa"/>
            <w:tcBorders>
              <w:top w:val="nil"/>
              <w:left w:val="single" w:sz="8" w:space="0" w:color="000000"/>
              <w:bottom w:val="single" w:sz="8" w:space="0" w:color="000000"/>
              <w:right w:val="single" w:sz="8" w:space="0" w:color="000000"/>
            </w:tcBorders>
            <w:shd w:val="clear" w:color="auto" w:fill="auto"/>
            <w:vAlign w:val="center"/>
            <w:hideMark/>
          </w:tcPr>
          <w:p w14:paraId="427BD57B"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Arbuckle B</w:t>
            </w:r>
          </w:p>
        </w:tc>
        <w:tc>
          <w:tcPr>
            <w:tcW w:w="1646" w:type="dxa"/>
            <w:tcBorders>
              <w:top w:val="nil"/>
              <w:left w:val="nil"/>
              <w:bottom w:val="single" w:sz="8" w:space="0" w:color="000000"/>
              <w:right w:val="single" w:sz="8" w:space="0" w:color="000000"/>
            </w:tcBorders>
            <w:shd w:val="clear" w:color="auto" w:fill="auto"/>
            <w:vAlign w:val="center"/>
            <w:hideMark/>
          </w:tcPr>
          <w:p w14:paraId="23B9B7FC"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4700</w:t>
            </w:r>
          </w:p>
        </w:tc>
        <w:tc>
          <w:tcPr>
            <w:tcW w:w="1508" w:type="dxa"/>
            <w:tcBorders>
              <w:top w:val="nil"/>
              <w:left w:val="nil"/>
              <w:bottom w:val="single" w:sz="8" w:space="0" w:color="000000"/>
              <w:right w:val="single" w:sz="8" w:space="0" w:color="000000"/>
            </w:tcBorders>
            <w:shd w:val="clear" w:color="auto" w:fill="auto"/>
            <w:vAlign w:val="center"/>
            <w:hideMark/>
          </w:tcPr>
          <w:p w14:paraId="26D41265"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4000</w:t>
            </w:r>
          </w:p>
        </w:tc>
        <w:tc>
          <w:tcPr>
            <w:tcW w:w="1724" w:type="dxa"/>
            <w:tcBorders>
              <w:top w:val="nil"/>
              <w:left w:val="nil"/>
              <w:bottom w:val="single" w:sz="8" w:space="0" w:color="000000"/>
              <w:right w:val="single" w:sz="8" w:space="0" w:color="000000"/>
            </w:tcBorders>
            <w:shd w:val="clear" w:color="auto" w:fill="auto"/>
            <w:vAlign w:val="center"/>
            <w:hideMark/>
          </w:tcPr>
          <w:p w14:paraId="30D269FC" w14:textId="77777777" w:rsidR="00431BE4" w:rsidRPr="006E4667" w:rsidRDefault="00431BE4" w:rsidP="00620605">
            <w:pPr>
              <w:spacing w:after="0" w:line="240" w:lineRule="auto"/>
              <w:jc w:val="center"/>
              <w:rPr>
                <w:rFonts w:ascii="Arial" w:eastAsia="Times New Roman" w:hAnsi="Arial" w:cs="Arial"/>
                <w:color w:val="000000"/>
                <w:szCs w:val="24"/>
              </w:rPr>
            </w:pPr>
            <w:r w:rsidRPr="005C239D">
              <w:rPr>
                <w:rFonts w:ascii="Arial" w:eastAsia="Times New Roman" w:hAnsi="Arial" w:cs="Arial"/>
                <w:color w:val="000000"/>
                <w:szCs w:val="24"/>
              </w:rPr>
              <w:t>4.49</w:t>
            </w:r>
          </w:p>
        </w:tc>
        <w:tc>
          <w:tcPr>
            <w:tcW w:w="2488" w:type="dxa"/>
            <w:tcBorders>
              <w:top w:val="nil"/>
              <w:left w:val="nil"/>
              <w:bottom w:val="single" w:sz="8" w:space="0" w:color="000000"/>
              <w:right w:val="single" w:sz="8" w:space="0" w:color="000000"/>
            </w:tcBorders>
            <w:shd w:val="clear" w:color="auto" w:fill="auto"/>
            <w:vAlign w:val="center"/>
          </w:tcPr>
          <w:p w14:paraId="1338B25B"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4.8</w:t>
            </w:r>
          </w:p>
        </w:tc>
      </w:tr>
      <w:tr w:rsidR="00431BE4" w:rsidRPr="006E4667" w14:paraId="793AC62B" w14:textId="77777777" w:rsidTr="00620605">
        <w:trPr>
          <w:trHeight w:val="339"/>
        </w:trPr>
        <w:tc>
          <w:tcPr>
            <w:tcW w:w="1979" w:type="dxa"/>
            <w:tcBorders>
              <w:top w:val="nil"/>
              <w:left w:val="single" w:sz="8" w:space="0" w:color="000000"/>
              <w:bottom w:val="single" w:sz="8" w:space="0" w:color="000000"/>
              <w:right w:val="single" w:sz="8" w:space="0" w:color="000000"/>
            </w:tcBorders>
            <w:shd w:val="clear" w:color="auto" w:fill="auto"/>
            <w:vAlign w:val="center"/>
            <w:hideMark/>
          </w:tcPr>
          <w:p w14:paraId="1CE8BF01"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Arbuckle A</w:t>
            </w:r>
          </w:p>
        </w:tc>
        <w:tc>
          <w:tcPr>
            <w:tcW w:w="1646" w:type="dxa"/>
            <w:tcBorders>
              <w:top w:val="nil"/>
              <w:left w:val="nil"/>
              <w:bottom w:val="single" w:sz="8" w:space="0" w:color="000000"/>
              <w:right w:val="single" w:sz="8" w:space="0" w:color="000000"/>
            </w:tcBorders>
            <w:shd w:val="clear" w:color="auto" w:fill="auto"/>
            <w:vAlign w:val="center"/>
            <w:hideMark/>
          </w:tcPr>
          <w:p w14:paraId="27F45425"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6900</w:t>
            </w:r>
          </w:p>
        </w:tc>
        <w:tc>
          <w:tcPr>
            <w:tcW w:w="1508" w:type="dxa"/>
            <w:tcBorders>
              <w:top w:val="nil"/>
              <w:left w:val="nil"/>
              <w:bottom w:val="single" w:sz="8" w:space="0" w:color="000000"/>
              <w:right w:val="single" w:sz="8" w:space="0" w:color="000000"/>
            </w:tcBorders>
            <w:shd w:val="clear" w:color="auto" w:fill="auto"/>
            <w:vAlign w:val="center"/>
            <w:hideMark/>
          </w:tcPr>
          <w:p w14:paraId="634CD90E"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4500</w:t>
            </w:r>
          </w:p>
        </w:tc>
        <w:tc>
          <w:tcPr>
            <w:tcW w:w="1724" w:type="dxa"/>
            <w:tcBorders>
              <w:top w:val="nil"/>
              <w:left w:val="nil"/>
              <w:bottom w:val="single" w:sz="8" w:space="0" w:color="000000"/>
              <w:right w:val="single" w:sz="8" w:space="0" w:color="000000"/>
            </w:tcBorders>
            <w:shd w:val="clear" w:color="auto" w:fill="auto"/>
            <w:vAlign w:val="center"/>
            <w:hideMark/>
          </w:tcPr>
          <w:p w14:paraId="162FECD4" w14:textId="77777777" w:rsidR="00431BE4" w:rsidRPr="006E4667" w:rsidRDefault="00431BE4" w:rsidP="00620605">
            <w:pPr>
              <w:spacing w:after="0" w:line="240" w:lineRule="auto"/>
              <w:jc w:val="center"/>
              <w:rPr>
                <w:rFonts w:ascii="Arial" w:eastAsia="Times New Roman" w:hAnsi="Arial" w:cs="Arial"/>
                <w:color w:val="000000"/>
                <w:szCs w:val="24"/>
              </w:rPr>
            </w:pPr>
            <w:r w:rsidRPr="005C239D">
              <w:rPr>
                <w:rFonts w:ascii="Arial" w:eastAsia="Times New Roman" w:hAnsi="Arial" w:cs="Arial"/>
                <w:color w:val="000000"/>
                <w:szCs w:val="24"/>
              </w:rPr>
              <w:t>6.13</w:t>
            </w:r>
          </w:p>
        </w:tc>
        <w:tc>
          <w:tcPr>
            <w:tcW w:w="2488" w:type="dxa"/>
            <w:tcBorders>
              <w:top w:val="nil"/>
              <w:left w:val="nil"/>
              <w:bottom w:val="single" w:sz="8" w:space="0" w:color="000000"/>
              <w:right w:val="single" w:sz="8" w:space="0" w:color="000000"/>
            </w:tcBorders>
            <w:shd w:val="clear" w:color="auto" w:fill="auto"/>
            <w:vAlign w:val="center"/>
          </w:tcPr>
          <w:p w14:paraId="479D510A"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w:t>
            </w:r>
          </w:p>
        </w:tc>
      </w:tr>
    </w:tbl>
    <w:p w14:paraId="5ED16225" w14:textId="77777777" w:rsidR="00431BE4" w:rsidRPr="006E4667" w:rsidRDefault="00431BE4" w:rsidP="00431BE4">
      <w:pPr>
        <w:spacing w:after="0" w:line="240" w:lineRule="auto"/>
        <w:jc w:val="center"/>
        <w:rPr>
          <w:rFonts w:ascii="Arial" w:hAnsi="Arial" w:cs="Arial"/>
          <w:szCs w:val="24"/>
        </w:rPr>
      </w:pPr>
      <w:r w:rsidRPr="006E4667">
        <w:rPr>
          <w:rFonts w:ascii="Arial" w:hAnsi="Arial" w:cs="Arial"/>
          <w:szCs w:val="24"/>
        </w:rPr>
        <w:t xml:space="preserve">Variogram Parameters for </w:t>
      </w:r>
      <w:r>
        <w:rPr>
          <w:rFonts w:ascii="Arial" w:hAnsi="Arial" w:cs="Arial"/>
          <w:szCs w:val="24"/>
        </w:rPr>
        <w:t>Porosity</w:t>
      </w:r>
      <w:r w:rsidRPr="006E4667">
        <w:rPr>
          <w:rFonts w:ascii="Arial" w:hAnsi="Arial" w:cs="Arial"/>
          <w:szCs w:val="24"/>
        </w:rPr>
        <w:t xml:space="preserve"> Modeling (Petrofacies </w:t>
      </w:r>
      <w:r>
        <w:rPr>
          <w:rFonts w:ascii="Arial" w:hAnsi="Arial" w:cs="Arial"/>
          <w:szCs w:val="24"/>
        </w:rPr>
        <w:t>2</w:t>
      </w:r>
      <w:r w:rsidRPr="006E4667">
        <w:rPr>
          <w:rFonts w:ascii="Arial" w:hAnsi="Arial" w:cs="Arial"/>
          <w:szCs w:val="24"/>
        </w:rPr>
        <w:t>)</w:t>
      </w:r>
    </w:p>
    <w:tbl>
      <w:tblPr>
        <w:tblW w:w="9356" w:type="dxa"/>
        <w:tblLook w:val="0420" w:firstRow="1" w:lastRow="0" w:firstColumn="0" w:lastColumn="0" w:noHBand="0" w:noVBand="1"/>
      </w:tblPr>
      <w:tblGrid>
        <w:gridCol w:w="1981"/>
        <w:gridCol w:w="1648"/>
        <w:gridCol w:w="1510"/>
        <w:gridCol w:w="1726"/>
        <w:gridCol w:w="2491"/>
      </w:tblGrid>
      <w:tr w:rsidR="00431BE4" w:rsidRPr="000D6BF8" w14:paraId="710F9E73" w14:textId="77777777" w:rsidTr="00DC7EDF">
        <w:trPr>
          <w:trHeight w:val="543"/>
        </w:trPr>
        <w:tc>
          <w:tcPr>
            <w:tcW w:w="198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AF0F78"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Zone</w:t>
            </w:r>
          </w:p>
        </w:tc>
        <w:tc>
          <w:tcPr>
            <w:tcW w:w="16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F122E5"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 (ft)</w:t>
            </w:r>
          </w:p>
        </w:tc>
        <w:tc>
          <w:tcPr>
            <w:tcW w:w="151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D47CC9"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Minor (ft)</w:t>
            </w:r>
          </w:p>
        </w:tc>
        <w:tc>
          <w:tcPr>
            <w:tcW w:w="172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C423CE"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Vertical (ft)</w:t>
            </w:r>
          </w:p>
        </w:tc>
        <w:tc>
          <w:tcPr>
            <w:tcW w:w="2491" w:type="dxa"/>
            <w:tcBorders>
              <w:top w:val="single" w:sz="8" w:space="0" w:color="000000"/>
              <w:left w:val="nil"/>
              <w:bottom w:val="nil"/>
              <w:right w:val="single" w:sz="8" w:space="0" w:color="000000"/>
            </w:tcBorders>
            <w:shd w:val="clear" w:color="auto" w:fill="auto"/>
            <w:vAlign w:val="center"/>
            <w:hideMark/>
          </w:tcPr>
          <w:p w14:paraId="6D9E682E" w14:textId="67B6D2D4" w:rsidR="00431BE4" w:rsidRPr="00DC7EDF" w:rsidRDefault="00BE6D2B"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w:t>
            </w:r>
            <w:r w:rsidR="00431BE4" w:rsidRPr="00DC7EDF">
              <w:rPr>
                <w:rFonts w:ascii="Arial" w:eastAsia="Times New Roman" w:hAnsi="Arial" w:cs="Arial"/>
                <w:b/>
                <w:bCs/>
                <w:color w:val="000000"/>
                <w:szCs w:val="24"/>
              </w:rPr>
              <w:t xml:space="preserve"> Azimuth</w:t>
            </w:r>
          </w:p>
        </w:tc>
      </w:tr>
      <w:tr w:rsidR="00431BE4" w:rsidRPr="000D6BF8" w14:paraId="107FDAAD" w14:textId="77777777" w:rsidTr="00DC7EDF">
        <w:trPr>
          <w:trHeight w:val="367"/>
        </w:trPr>
        <w:tc>
          <w:tcPr>
            <w:tcW w:w="1981"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3E97C9"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164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51FD85"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151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77A8C4"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1726"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922BB0"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2491" w:type="dxa"/>
            <w:tcBorders>
              <w:top w:val="nil"/>
              <w:left w:val="nil"/>
              <w:bottom w:val="single" w:sz="8" w:space="0" w:color="000000"/>
              <w:right w:val="single" w:sz="8" w:space="0" w:color="000000"/>
            </w:tcBorders>
            <w:shd w:val="clear" w:color="auto" w:fill="auto"/>
            <w:vAlign w:val="center"/>
            <w:hideMark/>
          </w:tcPr>
          <w:p w14:paraId="66A2D986" w14:textId="77777777" w:rsidR="00431BE4" w:rsidRPr="00EA0B42" w:rsidRDefault="00431BE4" w:rsidP="00620605">
            <w:pPr>
              <w:spacing w:after="0" w:line="240" w:lineRule="auto"/>
              <w:jc w:val="center"/>
              <w:rPr>
                <w:rFonts w:ascii="Arial" w:eastAsia="Times New Roman" w:hAnsi="Arial" w:cs="Arial"/>
                <w:b/>
                <w:bCs/>
                <w:color w:val="000000"/>
                <w:szCs w:val="24"/>
              </w:rPr>
            </w:pPr>
            <w:r w:rsidRPr="00EA0B42">
              <w:rPr>
                <w:rFonts w:ascii="Arial" w:eastAsia="Times New Roman" w:hAnsi="Arial" w:cs="Arial"/>
                <w:b/>
                <w:bCs/>
                <w:color w:val="000000"/>
                <w:szCs w:val="24"/>
              </w:rPr>
              <w:t>(Degrees from N)</w:t>
            </w:r>
          </w:p>
        </w:tc>
      </w:tr>
      <w:tr w:rsidR="00431BE4" w:rsidRPr="000D6BF8" w14:paraId="374E1FF6" w14:textId="77777777" w:rsidTr="00620605">
        <w:trPr>
          <w:trHeight w:val="367"/>
        </w:trPr>
        <w:tc>
          <w:tcPr>
            <w:tcW w:w="1981" w:type="dxa"/>
            <w:tcBorders>
              <w:top w:val="nil"/>
              <w:left w:val="single" w:sz="8" w:space="0" w:color="000000"/>
              <w:bottom w:val="single" w:sz="8" w:space="0" w:color="000000"/>
              <w:right w:val="single" w:sz="8" w:space="0" w:color="000000"/>
            </w:tcBorders>
            <w:shd w:val="clear" w:color="auto" w:fill="auto"/>
            <w:vAlign w:val="center"/>
            <w:hideMark/>
          </w:tcPr>
          <w:p w14:paraId="13F4CF08"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C</w:t>
            </w:r>
          </w:p>
        </w:tc>
        <w:tc>
          <w:tcPr>
            <w:tcW w:w="1648" w:type="dxa"/>
            <w:tcBorders>
              <w:top w:val="nil"/>
              <w:left w:val="nil"/>
              <w:bottom w:val="single" w:sz="8" w:space="0" w:color="000000"/>
              <w:right w:val="single" w:sz="8" w:space="0" w:color="000000"/>
            </w:tcBorders>
            <w:shd w:val="clear" w:color="auto" w:fill="auto"/>
            <w:vAlign w:val="center"/>
            <w:hideMark/>
          </w:tcPr>
          <w:p w14:paraId="31B71184"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5300</w:t>
            </w:r>
          </w:p>
        </w:tc>
        <w:tc>
          <w:tcPr>
            <w:tcW w:w="1510" w:type="dxa"/>
            <w:tcBorders>
              <w:top w:val="nil"/>
              <w:left w:val="nil"/>
              <w:bottom w:val="single" w:sz="8" w:space="0" w:color="000000"/>
              <w:right w:val="single" w:sz="8" w:space="0" w:color="000000"/>
            </w:tcBorders>
            <w:shd w:val="clear" w:color="auto" w:fill="auto"/>
            <w:vAlign w:val="center"/>
            <w:hideMark/>
          </w:tcPr>
          <w:p w14:paraId="5727C3DA"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2960</w:t>
            </w:r>
          </w:p>
        </w:tc>
        <w:tc>
          <w:tcPr>
            <w:tcW w:w="1726" w:type="dxa"/>
            <w:tcBorders>
              <w:top w:val="nil"/>
              <w:left w:val="nil"/>
              <w:bottom w:val="single" w:sz="8" w:space="0" w:color="000000"/>
              <w:right w:val="single" w:sz="8" w:space="0" w:color="000000"/>
            </w:tcBorders>
            <w:shd w:val="clear" w:color="auto" w:fill="auto"/>
            <w:vAlign w:val="center"/>
            <w:hideMark/>
          </w:tcPr>
          <w:p w14:paraId="2B91664D" w14:textId="77777777" w:rsidR="00431BE4" w:rsidRPr="000D6BF8" w:rsidRDefault="00431BE4" w:rsidP="00620605">
            <w:pPr>
              <w:spacing w:after="0" w:line="240" w:lineRule="auto"/>
              <w:jc w:val="center"/>
              <w:rPr>
                <w:rFonts w:ascii="Arial" w:eastAsia="Times New Roman" w:hAnsi="Arial" w:cs="Arial"/>
                <w:color w:val="000000"/>
                <w:szCs w:val="24"/>
              </w:rPr>
            </w:pPr>
            <w:r w:rsidRPr="005C239D">
              <w:rPr>
                <w:rFonts w:ascii="Arial" w:eastAsia="Times New Roman" w:hAnsi="Arial" w:cs="Arial"/>
                <w:color w:val="000000"/>
                <w:szCs w:val="24"/>
              </w:rPr>
              <w:t>5.64</w:t>
            </w:r>
          </w:p>
        </w:tc>
        <w:tc>
          <w:tcPr>
            <w:tcW w:w="2491" w:type="dxa"/>
            <w:tcBorders>
              <w:top w:val="nil"/>
              <w:left w:val="nil"/>
              <w:bottom w:val="single" w:sz="8" w:space="0" w:color="000000"/>
              <w:right w:val="single" w:sz="8" w:space="0" w:color="000000"/>
            </w:tcBorders>
            <w:shd w:val="clear" w:color="auto" w:fill="auto"/>
            <w:vAlign w:val="center"/>
          </w:tcPr>
          <w:p w14:paraId="040E653A"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-12</w:t>
            </w:r>
          </w:p>
        </w:tc>
      </w:tr>
      <w:tr w:rsidR="00431BE4" w:rsidRPr="000D6BF8" w14:paraId="19F53864" w14:textId="77777777" w:rsidTr="00620605">
        <w:trPr>
          <w:trHeight w:val="367"/>
        </w:trPr>
        <w:tc>
          <w:tcPr>
            <w:tcW w:w="1981" w:type="dxa"/>
            <w:tcBorders>
              <w:top w:val="nil"/>
              <w:left w:val="single" w:sz="8" w:space="0" w:color="000000"/>
              <w:bottom w:val="single" w:sz="8" w:space="0" w:color="000000"/>
              <w:right w:val="single" w:sz="8" w:space="0" w:color="000000"/>
            </w:tcBorders>
            <w:shd w:val="clear" w:color="auto" w:fill="auto"/>
            <w:vAlign w:val="center"/>
            <w:hideMark/>
          </w:tcPr>
          <w:p w14:paraId="4B2CFB8E"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B</w:t>
            </w:r>
          </w:p>
        </w:tc>
        <w:tc>
          <w:tcPr>
            <w:tcW w:w="1648" w:type="dxa"/>
            <w:tcBorders>
              <w:top w:val="nil"/>
              <w:left w:val="nil"/>
              <w:bottom w:val="single" w:sz="8" w:space="0" w:color="000000"/>
              <w:right w:val="single" w:sz="8" w:space="0" w:color="000000"/>
            </w:tcBorders>
            <w:shd w:val="clear" w:color="auto" w:fill="auto"/>
            <w:vAlign w:val="center"/>
            <w:hideMark/>
          </w:tcPr>
          <w:p w14:paraId="17BB529A"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4700</w:t>
            </w:r>
          </w:p>
        </w:tc>
        <w:tc>
          <w:tcPr>
            <w:tcW w:w="1510" w:type="dxa"/>
            <w:tcBorders>
              <w:top w:val="nil"/>
              <w:left w:val="nil"/>
              <w:bottom w:val="single" w:sz="8" w:space="0" w:color="000000"/>
              <w:right w:val="single" w:sz="8" w:space="0" w:color="000000"/>
            </w:tcBorders>
            <w:shd w:val="clear" w:color="auto" w:fill="auto"/>
            <w:vAlign w:val="center"/>
            <w:hideMark/>
          </w:tcPr>
          <w:p w14:paraId="085C9386"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4000</w:t>
            </w:r>
          </w:p>
        </w:tc>
        <w:tc>
          <w:tcPr>
            <w:tcW w:w="1726" w:type="dxa"/>
            <w:tcBorders>
              <w:top w:val="nil"/>
              <w:left w:val="nil"/>
              <w:bottom w:val="single" w:sz="8" w:space="0" w:color="000000"/>
              <w:right w:val="single" w:sz="8" w:space="0" w:color="000000"/>
            </w:tcBorders>
            <w:shd w:val="clear" w:color="auto" w:fill="auto"/>
            <w:vAlign w:val="center"/>
            <w:hideMark/>
          </w:tcPr>
          <w:p w14:paraId="62942A49" w14:textId="77777777" w:rsidR="00431BE4" w:rsidRPr="000D6BF8" w:rsidRDefault="00431BE4" w:rsidP="00620605">
            <w:pPr>
              <w:spacing w:after="0" w:line="240" w:lineRule="auto"/>
              <w:jc w:val="center"/>
              <w:rPr>
                <w:rFonts w:ascii="Arial" w:eastAsia="Times New Roman" w:hAnsi="Arial" w:cs="Arial"/>
                <w:color w:val="000000"/>
                <w:szCs w:val="24"/>
              </w:rPr>
            </w:pPr>
            <w:r w:rsidRPr="005C239D">
              <w:rPr>
                <w:rFonts w:ascii="Arial" w:eastAsia="Times New Roman" w:hAnsi="Arial" w:cs="Arial"/>
                <w:color w:val="000000"/>
                <w:szCs w:val="24"/>
              </w:rPr>
              <w:t>6.12</w:t>
            </w:r>
          </w:p>
        </w:tc>
        <w:tc>
          <w:tcPr>
            <w:tcW w:w="2491" w:type="dxa"/>
            <w:tcBorders>
              <w:top w:val="nil"/>
              <w:left w:val="nil"/>
              <w:bottom w:val="single" w:sz="8" w:space="0" w:color="000000"/>
              <w:right w:val="single" w:sz="8" w:space="0" w:color="000000"/>
            </w:tcBorders>
            <w:shd w:val="clear" w:color="auto" w:fill="auto"/>
            <w:vAlign w:val="center"/>
          </w:tcPr>
          <w:p w14:paraId="69270B9B"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4.8</w:t>
            </w:r>
          </w:p>
        </w:tc>
      </w:tr>
      <w:tr w:rsidR="00431BE4" w:rsidRPr="000D6BF8" w14:paraId="08F07422" w14:textId="77777777" w:rsidTr="00620605">
        <w:trPr>
          <w:trHeight w:val="367"/>
        </w:trPr>
        <w:tc>
          <w:tcPr>
            <w:tcW w:w="1981" w:type="dxa"/>
            <w:tcBorders>
              <w:top w:val="nil"/>
              <w:left w:val="single" w:sz="8" w:space="0" w:color="000000"/>
              <w:bottom w:val="single" w:sz="8" w:space="0" w:color="000000"/>
              <w:right w:val="single" w:sz="8" w:space="0" w:color="000000"/>
            </w:tcBorders>
            <w:shd w:val="clear" w:color="auto" w:fill="auto"/>
            <w:vAlign w:val="center"/>
            <w:hideMark/>
          </w:tcPr>
          <w:p w14:paraId="6F810A33"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A</w:t>
            </w:r>
          </w:p>
        </w:tc>
        <w:tc>
          <w:tcPr>
            <w:tcW w:w="1648" w:type="dxa"/>
            <w:tcBorders>
              <w:top w:val="nil"/>
              <w:left w:val="nil"/>
              <w:bottom w:val="single" w:sz="8" w:space="0" w:color="000000"/>
              <w:right w:val="single" w:sz="8" w:space="0" w:color="000000"/>
            </w:tcBorders>
            <w:shd w:val="clear" w:color="auto" w:fill="auto"/>
            <w:vAlign w:val="center"/>
            <w:hideMark/>
          </w:tcPr>
          <w:p w14:paraId="4471375F"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6900</w:t>
            </w:r>
          </w:p>
        </w:tc>
        <w:tc>
          <w:tcPr>
            <w:tcW w:w="1510" w:type="dxa"/>
            <w:tcBorders>
              <w:top w:val="nil"/>
              <w:left w:val="nil"/>
              <w:bottom w:val="single" w:sz="8" w:space="0" w:color="000000"/>
              <w:right w:val="single" w:sz="8" w:space="0" w:color="000000"/>
            </w:tcBorders>
            <w:shd w:val="clear" w:color="auto" w:fill="auto"/>
            <w:vAlign w:val="center"/>
            <w:hideMark/>
          </w:tcPr>
          <w:p w14:paraId="46660044"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4500</w:t>
            </w:r>
          </w:p>
        </w:tc>
        <w:tc>
          <w:tcPr>
            <w:tcW w:w="1726" w:type="dxa"/>
            <w:tcBorders>
              <w:top w:val="nil"/>
              <w:left w:val="nil"/>
              <w:bottom w:val="single" w:sz="8" w:space="0" w:color="000000"/>
              <w:right w:val="single" w:sz="8" w:space="0" w:color="000000"/>
            </w:tcBorders>
            <w:shd w:val="clear" w:color="auto" w:fill="auto"/>
            <w:vAlign w:val="center"/>
            <w:hideMark/>
          </w:tcPr>
          <w:p w14:paraId="522518DA" w14:textId="77777777" w:rsidR="00431BE4" w:rsidRPr="000D6BF8" w:rsidRDefault="00431BE4" w:rsidP="00620605">
            <w:pPr>
              <w:spacing w:after="0" w:line="240" w:lineRule="auto"/>
              <w:jc w:val="center"/>
              <w:rPr>
                <w:rFonts w:ascii="Arial" w:eastAsia="Times New Roman" w:hAnsi="Arial" w:cs="Arial"/>
                <w:color w:val="000000"/>
                <w:szCs w:val="24"/>
              </w:rPr>
            </w:pPr>
            <w:r w:rsidRPr="005C239D">
              <w:rPr>
                <w:rFonts w:ascii="Arial" w:eastAsia="Times New Roman" w:hAnsi="Arial" w:cs="Arial"/>
                <w:color w:val="000000"/>
                <w:szCs w:val="24"/>
              </w:rPr>
              <w:t>11.17</w:t>
            </w:r>
          </w:p>
        </w:tc>
        <w:tc>
          <w:tcPr>
            <w:tcW w:w="2491" w:type="dxa"/>
            <w:tcBorders>
              <w:top w:val="nil"/>
              <w:left w:val="nil"/>
              <w:bottom w:val="single" w:sz="8" w:space="0" w:color="000000"/>
              <w:right w:val="single" w:sz="8" w:space="0" w:color="000000"/>
            </w:tcBorders>
            <w:shd w:val="clear" w:color="auto" w:fill="auto"/>
            <w:vAlign w:val="center"/>
          </w:tcPr>
          <w:p w14:paraId="74374F77"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w:t>
            </w:r>
          </w:p>
        </w:tc>
      </w:tr>
    </w:tbl>
    <w:p w14:paraId="0BA3DF0C" w14:textId="77777777" w:rsidR="00431BE4" w:rsidRPr="006E4667" w:rsidRDefault="00431BE4" w:rsidP="00431BE4">
      <w:pPr>
        <w:spacing w:after="0" w:line="240" w:lineRule="auto"/>
        <w:jc w:val="center"/>
        <w:rPr>
          <w:rFonts w:ascii="Arial" w:hAnsi="Arial" w:cs="Arial"/>
          <w:szCs w:val="24"/>
        </w:rPr>
      </w:pPr>
      <w:r w:rsidRPr="006E4667">
        <w:rPr>
          <w:rFonts w:ascii="Arial" w:hAnsi="Arial" w:cs="Arial"/>
          <w:szCs w:val="24"/>
        </w:rPr>
        <w:t xml:space="preserve">Variogram Parameters for </w:t>
      </w:r>
      <w:r>
        <w:rPr>
          <w:rFonts w:ascii="Arial" w:hAnsi="Arial" w:cs="Arial"/>
          <w:szCs w:val="24"/>
        </w:rPr>
        <w:t>Porosity</w:t>
      </w:r>
      <w:r w:rsidRPr="006E4667">
        <w:rPr>
          <w:rFonts w:ascii="Arial" w:hAnsi="Arial" w:cs="Arial"/>
          <w:szCs w:val="24"/>
        </w:rPr>
        <w:t xml:space="preserve"> Modeling (Petrofacies </w:t>
      </w:r>
      <w:r>
        <w:rPr>
          <w:rFonts w:ascii="Arial" w:hAnsi="Arial" w:cs="Arial"/>
          <w:szCs w:val="24"/>
        </w:rPr>
        <w:t>3</w:t>
      </w:r>
      <w:r w:rsidRPr="006E4667">
        <w:rPr>
          <w:rFonts w:ascii="Arial" w:hAnsi="Arial" w:cs="Arial"/>
          <w:szCs w:val="24"/>
        </w:rPr>
        <w:t>)</w:t>
      </w:r>
    </w:p>
    <w:tbl>
      <w:tblPr>
        <w:tblW w:w="9360" w:type="dxa"/>
        <w:tblLook w:val="0420" w:firstRow="1" w:lastRow="0" w:firstColumn="0" w:lastColumn="0" w:noHBand="0" w:noVBand="1"/>
      </w:tblPr>
      <w:tblGrid>
        <w:gridCol w:w="1982"/>
        <w:gridCol w:w="1648"/>
        <w:gridCol w:w="1511"/>
        <w:gridCol w:w="1727"/>
        <w:gridCol w:w="2492"/>
      </w:tblGrid>
      <w:tr w:rsidR="00431BE4" w:rsidRPr="000D6BF8" w14:paraId="58AD9159" w14:textId="77777777" w:rsidTr="00DC7EDF">
        <w:trPr>
          <w:trHeight w:val="502"/>
        </w:trPr>
        <w:tc>
          <w:tcPr>
            <w:tcW w:w="198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B086A9"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Zone</w:t>
            </w:r>
          </w:p>
        </w:tc>
        <w:tc>
          <w:tcPr>
            <w:tcW w:w="16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2AB6D2"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 (ft)</w:t>
            </w:r>
          </w:p>
        </w:tc>
        <w:tc>
          <w:tcPr>
            <w:tcW w:w="151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B45D52"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Minor (ft)</w:t>
            </w:r>
          </w:p>
        </w:tc>
        <w:tc>
          <w:tcPr>
            <w:tcW w:w="17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6CF420"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Vertical (ft)</w:t>
            </w:r>
          </w:p>
        </w:tc>
        <w:tc>
          <w:tcPr>
            <w:tcW w:w="2492" w:type="dxa"/>
            <w:tcBorders>
              <w:top w:val="single" w:sz="8" w:space="0" w:color="000000"/>
              <w:left w:val="nil"/>
              <w:bottom w:val="nil"/>
              <w:right w:val="single" w:sz="8" w:space="0" w:color="000000"/>
            </w:tcBorders>
            <w:shd w:val="clear" w:color="auto" w:fill="auto"/>
            <w:vAlign w:val="center"/>
            <w:hideMark/>
          </w:tcPr>
          <w:p w14:paraId="04DE213B" w14:textId="1CD41358" w:rsidR="00431BE4" w:rsidRPr="00DC7EDF" w:rsidRDefault="00BE6D2B"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w:t>
            </w:r>
            <w:r w:rsidR="00431BE4" w:rsidRPr="00DC7EDF">
              <w:rPr>
                <w:rFonts w:ascii="Arial" w:eastAsia="Times New Roman" w:hAnsi="Arial" w:cs="Arial"/>
                <w:b/>
                <w:bCs/>
                <w:color w:val="000000"/>
                <w:szCs w:val="24"/>
              </w:rPr>
              <w:t xml:space="preserve"> Azimuth</w:t>
            </w:r>
          </w:p>
        </w:tc>
      </w:tr>
      <w:tr w:rsidR="00431BE4" w:rsidRPr="000D6BF8" w14:paraId="2F763176" w14:textId="77777777" w:rsidTr="00DC7EDF">
        <w:trPr>
          <w:trHeight w:val="340"/>
        </w:trPr>
        <w:tc>
          <w:tcPr>
            <w:tcW w:w="1982"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ADF706" w14:textId="77777777" w:rsidR="00431BE4" w:rsidRPr="00EA0B42" w:rsidRDefault="00431BE4" w:rsidP="00620605">
            <w:pPr>
              <w:spacing w:after="0" w:line="240" w:lineRule="auto"/>
              <w:rPr>
                <w:rFonts w:ascii="Arial" w:eastAsia="Times New Roman" w:hAnsi="Arial" w:cs="Arial"/>
                <w:b/>
                <w:bCs/>
                <w:color w:val="000000"/>
                <w:szCs w:val="24"/>
              </w:rPr>
            </w:pPr>
          </w:p>
        </w:tc>
        <w:tc>
          <w:tcPr>
            <w:tcW w:w="164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EA660A" w14:textId="77777777" w:rsidR="00431BE4" w:rsidRPr="00EA0B42" w:rsidRDefault="00431BE4" w:rsidP="00620605">
            <w:pPr>
              <w:spacing w:after="0" w:line="240" w:lineRule="auto"/>
              <w:rPr>
                <w:rFonts w:ascii="Arial" w:eastAsia="Times New Roman" w:hAnsi="Arial" w:cs="Arial"/>
                <w:b/>
                <w:bCs/>
                <w:color w:val="000000"/>
                <w:szCs w:val="24"/>
              </w:rPr>
            </w:pPr>
          </w:p>
        </w:tc>
        <w:tc>
          <w:tcPr>
            <w:tcW w:w="1511"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5964B3" w14:textId="77777777" w:rsidR="00431BE4" w:rsidRPr="00EA0B42" w:rsidRDefault="00431BE4" w:rsidP="00620605">
            <w:pPr>
              <w:spacing w:after="0" w:line="240" w:lineRule="auto"/>
              <w:rPr>
                <w:rFonts w:ascii="Arial" w:eastAsia="Times New Roman" w:hAnsi="Arial" w:cs="Arial"/>
                <w:b/>
                <w:bCs/>
                <w:color w:val="000000"/>
                <w:szCs w:val="24"/>
              </w:rPr>
            </w:pPr>
          </w:p>
        </w:tc>
        <w:tc>
          <w:tcPr>
            <w:tcW w:w="1727"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790369" w14:textId="77777777" w:rsidR="00431BE4" w:rsidRPr="00EA0B42" w:rsidRDefault="00431BE4" w:rsidP="00620605">
            <w:pPr>
              <w:spacing w:after="0" w:line="240" w:lineRule="auto"/>
              <w:rPr>
                <w:rFonts w:ascii="Arial" w:eastAsia="Times New Roman" w:hAnsi="Arial" w:cs="Arial"/>
                <w:b/>
                <w:bCs/>
                <w:color w:val="000000"/>
                <w:szCs w:val="24"/>
              </w:rPr>
            </w:pPr>
          </w:p>
        </w:tc>
        <w:tc>
          <w:tcPr>
            <w:tcW w:w="2492" w:type="dxa"/>
            <w:tcBorders>
              <w:top w:val="nil"/>
              <w:left w:val="nil"/>
              <w:bottom w:val="single" w:sz="8" w:space="0" w:color="000000"/>
              <w:right w:val="single" w:sz="8" w:space="0" w:color="000000"/>
            </w:tcBorders>
            <w:shd w:val="clear" w:color="auto" w:fill="auto"/>
            <w:vAlign w:val="center"/>
            <w:hideMark/>
          </w:tcPr>
          <w:p w14:paraId="1184D1ED" w14:textId="77777777" w:rsidR="00431BE4" w:rsidRPr="00EA0B42" w:rsidRDefault="00431BE4" w:rsidP="00620605">
            <w:pPr>
              <w:spacing w:after="0" w:line="240" w:lineRule="auto"/>
              <w:jc w:val="center"/>
              <w:rPr>
                <w:rFonts w:ascii="Arial" w:eastAsia="Times New Roman" w:hAnsi="Arial" w:cs="Arial"/>
                <w:b/>
                <w:bCs/>
                <w:color w:val="000000"/>
                <w:szCs w:val="24"/>
              </w:rPr>
            </w:pPr>
            <w:r w:rsidRPr="00EA0B42">
              <w:rPr>
                <w:rFonts w:ascii="Arial" w:eastAsia="Times New Roman" w:hAnsi="Arial" w:cs="Arial"/>
                <w:b/>
                <w:bCs/>
                <w:color w:val="000000"/>
                <w:szCs w:val="24"/>
              </w:rPr>
              <w:t>(Degrees from N)</w:t>
            </w:r>
          </w:p>
        </w:tc>
      </w:tr>
      <w:tr w:rsidR="00431BE4" w:rsidRPr="000D6BF8" w14:paraId="2264252C" w14:textId="77777777" w:rsidTr="00620605">
        <w:trPr>
          <w:trHeight w:val="340"/>
        </w:trPr>
        <w:tc>
          <w:tcPr>
            <w:tcW w:w="1982" w:type="dxa"/>
            <w:tcBorders>
              <w:top w:val="nil"/>
              <w:left w:val="single" w:sz="8" w:space="0" w:color="000000"/>
              <w:bottom w:val="single" w:sz="8" w:space="0" w:color="000000"/>
              <w:right w:val="single" w:sz="8" w:space="0" w:color="000000"/>
            </w:tcBorders>
            <w:shd w:val="clear" w:color="auto" w:fill="auto"/>
            <w:vAlign w:val="center"/>
            <w:hideMark/>
          </w:tcPr>
          <w:p w14:paraId="645456D4"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C</w:t>
            </w:r>
          </w:p>
        </w:tc>
        <w:tc>
          <w:tcPr>
            <w:tcW w:w="1648" w:type="dxa"/>
            <w:tcBorders>
              <w:top w:val="nil"/>
              <w:left w:val="nil"/>
              <w:bottom w:val="single" w:sz="8" w:space="0" w:color="000000"/>
              <w:right w:val="single" w:sz="8" w:space="0" w:color="000000"/>
            </w:tcBorders>
            <w:shd w:val="clear" w:color="auto" w:fill="auto"/>
            <w:vAlign w:val="center"/>
            <w:hideMark/>
          </w:tcPr>
          <w:p w14:paraId="1293F07D"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5300</w:t>
            </w:r>
          </w:p>
        </w:tc>
        <w:tc>
          <w:tcPr>
            <w:tcW w:w="1511" w:type="dxa"/>
            <w:tcBorders>
              <w:top w:val="nil"/>
              <w:left w:val="nil"/>
              <w:bottom w:val="single" w:sz="8" w:space="0" w:color="000000"/>
              <w:right w:val="single" w:sz="8" w:space="0" w:color="000000"/>
            </w:tcBorders>
            <w:shd w:val="clear" w:color="auto" w:fill="auto"/>
            <w:vAlign w:val="center"/>
            <w:hideMark/>
          </w:tcPr>
          <w:p w14:paraId="507DAD59"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2960</w:t>
            </w:r>
          </w:p>
        </w:tc>
        <w:tc>
          <w:tcPr>
            <w:tcW w:w="1727" w:type="dxa"/>
            <w:tcBorders>
              <w:top w:val="nil"/>
              <w:left w:val="nil"/>
              <w:bottom w:val="single" w:sz="8" w:space="0" w:color="000000"/>
              <w:right w:val="single" w:sz="8" w:space="0" w:color="000000"/>
            </w:tcBorders>
            <w:shd w:val="clear" w:color="auto" w:fill="auto"/>
            <w:vAlign w:val="center"/>
            <w:hideMark/>
          </w:tcPr>
          <w:p w14:paraId="0070032E" w14:textId="77777777" w:rsidR="00431BE4" w:rsidRPr="000D6BF8" w:rsidRDefault="00431BE4" w:rsidP="00620605">
            <w:pPr>
              <w:spacing w:after="0" w:line="240" w:lineRule="auto"/>
              <w:jc w:val="center"/>
              <w:rPr>
                <w:rFonts w:ascii="Arial" w:eastAsia="Times New Roman" w:hAnsi="Arial" w:cs="Arial"/>
                <w:color w:val="000000"/>
                <w:szCs w:val="24"/>
              </w:rPr>
            </w:pPr>
            <w:r w:rsidRPr="005C239D">
              <w:rPr>
                <w:rFonts w:ascii="Arial" w:eastAsia="Times New Roman" w:hAnsi="Arial" w:cs="Arial"/>
                <w:color w:val="000000"/>
                <w:szCs w:val="24"/>
              </w:rPr>
              <w:t>5.35</w:t>
            </w:r>
          </w:p>
        </w:tc>
        <w:tc>
          <w:tcPr>
            <w:tcW w:w="2492" w:type="dxa"/>
            <w:tcBorders>
              <w:top w:val="nil"/>
              <w:left w:val="nil"/>
              <w:bottom w:val="single" w:sz="8" w:space="0" w:color="000000"/>
              <w:right w:val="single" w:sz="8" w:space="0" w:color="000000"/>
            </w:tcBorders>
            <w:shd w:val="clear" w:color="auto" w:fill="auto"/>
            <w:vAlign w:val="center"/>
          </w:tcPr>
          <w:p w14:paraId="6436B900"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-12</w:t>
            </w:r>
          </w:p>
        </w:tc>
      </w:tr>
      <w:tr w:rsidR="00431BE4" w:rsidRPr="000D6BF8" w14:paraId="689FD5F4" w14:textId="77777777" w:rsidTr="00620605">
        <w:trPr>
          <w:trHeight w:val="340"/>
        </w:trPr>
        <w:tc>
          <w:tcPr>
            <w:tcW w:w="1982" w:type="dxa"/>
            <w:tcBorders>
              <w:top w:val="nil"/>
              <w:left w:val="single" w:sz="8" w:space="0" w:color="000000"/>
              <w:bottom w:val="single" w:sz="8" w:space="0" w:color="000000"/>
              <w:right w:val="single" w:sz="8" w:space="0" w:color="000000"/>
            </w:tcBorders>
            <w:shd w:val="clear" w:color="auto" w:fill="auto"/>
            <w:vAlign w:val="center"/>
            <w:hideMark/>
          </w:tcPr>
          <w:p w14:paraId="76F2C4B3"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B</w:t>
            </w:r>
          </w:p>
        </w:tc>
        <w:tc>
          <w:tcPr>
            <w:tcW w:w="1648" w:type="dxa"/>
            <w:tcBorders>
              <w:top w:val="nil"/>
              <w:left w:val="nil"/>
              <w:bottom w:val="single" w:sz="8" w:space="0" w:color="000000"/>
              <w:right w:val="single" w:sz="8" w:space="0" w:color="000000"/>
            </w:tcBorders>
            <w:shd w:val="clear" w:color="auto" w:fill="auto"/>
            <w:vAlign w:val="center"/>
            <w:hideMark/>
          </w:tcPr>
          <w:p w14:paraId="5A70FE50"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4700</w:t>
            </w:r>
          </w:p>
        </w:tc>
        <w:tc>
          <w:tcPr>
            <w:tcW w:w="1511" w:type="dxa"/>
            <w:tcBorders>
              <w:top w:val="nil"/>
              <w:left w:val="nil"/>
              <w:bottom w:val="single" w:sz="8" w:space="0" w:color="000000"/>
              <w:right w:val="single" w:sz="8" w:space="0" w:color="000000"/>
            </w:tcBorders>
            <w:shd w:val="clear" w:color="auto" w:fill="auto"/>
            <w:vAlign w:val="center"/>
            <w:hideMark/>
          </w:tcPr>
          <w:p w14:paraId="3BD9237F"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4000</w:t>
            </w:r>
          </w:p>
        </w:tc>
        <w:tc>
          <w:tcPr>
            <w:tcW w:w="1727" w:type="dxa"/>
            <w:tcBorders>
              <w:top w:val="nil"/>
              <w:left w:val="nil"/>
              <w:bottom w:val="single" w:sz="8" w:space="0" w:color="000000"/>
              <w:right w:val="single" w:sz="8" w:space="0" w:color="000000"/>
            </w:tcBorders>
            <w:shd w:val="clear" w:color="auto" w:fill="auto"/>
            <w:vAlign w:val="center"/>
            <w:hideMark/>
          </w:tcPr>
          <w:p w14:paraId="14339036" w14:textId="77777777" w:rsidR="00431BE4" w:rsidRPr="000D6BF8" w:rsidRDefault="00431BE4" w:rsidP="00620605">
            <w:pPr>
              <w:spacing w:after="0" w:line="240" w:lineRule="auto"/>
              <w:jc w:val="center"/>
              <w:rPr>
                <w:rFonts w:ascii="Arial" w:eastAsia="Times New Roman" w:hAnsi="Arial" w:cs="Arial"/>
                <w:color w:val="000000"/>
                <w:szCs w:val="24"/>
              </w:rPr>
            </w:pPr>
            <w:r w:rsidRPr="005C239D">
              <w:rPr>
                <w:rFonts w:ascii="Arial" w:eastAsia="Times New Roman" w:hAnsi="Arial" w:cs="Arial"/>
                <w:color w:val="000000"/>
                <w:szCs w:val="24"/>
              </w:rPr>
              <w:t>7.75</w:t>
            </w:r>
          </w:p>
        </w:tc>
        <w:tc>
          <w:tcPr>
            <w:tcW w:w="2492" w:type="dxa"/>
            <w:tcBorders>
              <w:top w:val="nil"/>
              <w:left w:val="nil"/>
              <w:bottom w:val="single" w:sz="8" w:space="0" w:color="000000"/>
              <w:right w:val="single" w:sz="8" w:space="0" w:color="000000"/>
            </w:tcBorders>
            <w:shd w:val="clear" w:color="auto" w:fill="auto"/>
            <w:vAlign w:val="center"/>
          </w:tcPr>
          <w:p w14:paraId="19302FA0"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4.8</w:t>
            </w:r>
          </w:p>
        </w:tc>
      </w:tr>
      <w:tr w:rsidR="00431BE4" w:rsidRPr="000D6BF8" w14:paraId="7E05E34E" w14:textId="77777777" w:rsidTr="00620605">
        <w:trPr>
          <w:trHeight w:val="340"/>
        </w:trPr>
        <w:tc>
          <w:tcPr>
            <w:tcW w:w="1982" w:type="dxa"/>
            <w:tcBorders>
              <w:top w:val="nil"/>
              <w:left w:val="single" w:sz="8" w:space="0" w:color="000000"/>
              <w:bottom w:val="single" w:sz="8" w:space="0" w:color="000000"/>
              <w:right w:val="single" w:sz="8" w:space="0" w:color="000000"/>
            </w:tcBorders>
            <w:shd w:val="clear" w:color="auto" w:fill="auto"/>
            <w:vAlign w:val="center"/>
            <w:hideMark/>
          </w:tcPr>
          <w:p w14:paraId="56DFE0C2"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A</w:t>
            </w:r>
          </w:p>
        </w:tc>
        <w:tc>
          <w:tcPr>
            <w:tcW w:w="1648" w:type="dxa"/>
            <w:tcBorders>
              <w:top w:val="nil"/>
              <w:left w:val="nil"/>
              <w:bottom w:val="single" w:sz="8" w:space="0" w:color="000000"/>
              <w:right w:val="single" w:sz="8" w:space="0" w:color="000000"/>
            </w:tcBorders>
            <w:shd w:val="clear" w:color="auto" w:fill="auto"/>
            <w:vAlign w:val="center"/>
            <w:hideMark/>
          </w:tcPr>
          <w:p w14:paraId="65BE5AA0"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6900</w:t>
            </w:r>
          </w:p>
        </w:tc>
        <w:tc>
          <w:tcPr>
            <w:tcW w:w="1511" w:type="dxa"/>
            <w:tcBorders>
              <w:top w:val="nil"/>
              <w:left w:val="nil"/>
              <w:bottom w:val="single" w:sz="8" w:space="0" w:color="000000"/>
              <w:right w:val="single" w:sz="8" w:space="0" w:color="000000"/>
            </w:tcBorders>
            <w:shd w:val="clear" w:color="auto" w:fill="auto"/>
            <w:vAlign w:val="center"/>
            <w:hideMark/>
          </w:tcPr>
          <w:p w14:paraId="52A79865"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4500</w:t>
            </w:r>
          </w:p>
        </w:tc>
        <w:tc>
          <w:tcPr>
            <w:tcW w:w="1727" w:type="dxa"/>
            <w:tcBorders>
              <w:top w:val="nil"/>
              <w:left w:val="nil"/>
              <w:bottom w:val="single" w:sz="8" w:space="0" w:color="000000"/>
              <w:right w:val="single" w:sz="8" w:space="0" w:color="000000"/>
            </w:tcBorders>
            <w:shd w:val="clear" w:color="auto" w:fill="auto"/>
            <w:vAlign w:val="center"/>
            <w:hideMark/>
          </w:tcPr>
          <w:p w14:paraId="028E4698" w14:textId="77777777" w:rsidR="00431BE4" w:rsidRPr="000D6BF8" w:rsidRDefault="00431BE4" w:rsidP="00620605">
            <w:pPr>
              <w:spacing w:after="0" w:line="240" w:lineRule="auto"/>
              <w:jc w:val="center"/>
              <w:rPr>
                <w:rFonts w:ascii="Arial" w:eastAsia="Times New Roman" w:hAnsi="Arial" w:cs="Arial"/>
                <w:color w:val="000000"/>
                <w:szCs w:val="24"/>
              </w:rPr>
            </w:pPr>
            <w:r w:rsidRPr="005C239D">
              <w:rPr>
                <w:rFonts w:ascii="Arial" w:eastAsia="Times New Roman" w:hAnsi="Arial" w:cs="Arial"/>
                <w:color w:val="000000"/>
                <w:szCs w:val="24"/>
              </w:rPr>
              <w:t>8.1</w:t>
            </w:r>
          </w:p>
        </w:tc>
        <w:tc>
          <w:tcPr>
            <w:tcW w:w="2492" w:type="dxa"/>
            <w:tcBorders>
              <w:top w:val="nil"/>
              <w:left w:val="nil"/>
              <w:bottom w:val="single" w:sz="8" w:space="0" w:color="000000"/>
              <w:right w:val="single" w:sz="8" w:space="0" w:color="000000"/>
            </w:tcBorders>
            <w:shd w:val="clear" w:color="auto" w:fill="auto"/>
            <w:vAlign w:val="center"/>
          </w:tcPr>
          <w:p w14:paraId="2736D7EA"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w:t>
            </w:r>
          </w:p>
        </w:tc>
      </w:tr>
    </w:tbl>
    <w:p w14:paraId="7027A87F" w14:textId="44F3CEDA" w:rsidR="008965A5" w:rsidRDefault="00431BE4" w:rsidP="004D3379">
      <w:pPr>
        <w:rPr>
          <w:rFonts w:cs="Times New Roman"/>
          <w:szCs w:val="24"/>
        </w:rPr>
      </w:pPr>
      <w:r w:rsidRPr="00B45A8A">
        <w:rPr>
          <w:rFonts w:cs="Times New Roman"/>
          <w:szCs w:val="24"/>
        </w:rPr>
        <w:t xml:space="preserve">Appendix </w:t>
      </w:r>
      <w:r>
        <w:rPr>
          <w:rFonts w:cs="Times New Roman"/>
          <w:szCs w:val="24"/>
        </w:rPr>
        <w:t>A</w:t>
      </w:r>
      <w:r w:rsidRPr="00B45A8A">
        <w:rPr>
          <w:rFonts w:cs="Times New Roman"/>
          <w:szCs w:val="24"/>
        </w:rPr>
        <w:t>-</w:t>
      </w:r>
      <w:r>
        <w:rPr>
          <w:rFonts w:cs="Times New Roman"/>
          <w:szCs w:val="24"/>
        </w:rPr>
        <w:t>3</w:t>
      </w:r>
      <w:r w:rsidRPr="00B45A8A">
        <w:rPr>
          <w:rFonts w:cs="Times New Roman"/>
          <w:szCs w:val="24"/>
        </w:rPr>
        <w:t xml:space="preserve">: Variogram ranges and azimuth for the total porosity model separated by zone. Horizontal range and azimuths were extracted from the variogram maps created from the porosity trend volume. The vertical ranges were estimated through variography for each zone by petrofacies. </w:t>
      </w:r>
      <w:r w:rsidR="008965A5">
        <w:rPr>
          <w:rFonts w:cs="Times New Roman"/>
          <w:szCs w:val="24"/>
        </w:rPr>
        <w:br w:type="page"/>
      </w:r>
    </w:p>
    <w:p w14:paraId="4CBC6FCC" w14:textId="77777777" w:rsidR="00431BE4" w:rsidRPr="006E4667" w:rsidRDefault="00431BE4" w:rsidP="00431BE4">
      <w:pPr>
        <w:spacing w:after="0" w:line="240" w:lineRule="auto"/>
        <w:jc w:val="center"/>
        <w:rPr>
          <w:rFonts w:ascii="Arial" w:hAnsi="Arial" w:cs="Arial"/>
          <w:szCs w:val="24"/>
        </w:rPr>
      </w:pPr>
      <w:r w:rsidRPr="006E4667">
        <w:rPr>
          <w:rFonts w:ascii="Arial" w:hAnsi="Arial" w:cs="Arial"/>
          <w:szCs w:val="24"/>
        </w:rPr>
        <w:lastRenderedPageBreak/>
        <w:t xml:space="preserve">Variogram Parameters for </w:t>
      </w:r>
      <w:r>
        <w:rPr>
          <w:rFonts w:ascii="Arial" w:hAnsi="Arial" w:cs="Arial"/>
          <w:szCs w:val="24"/>
        </w:rPr>
        <w:t>Permeability</w:t>
      </w:r>
      <w:r w:rsidRPr="006E4667">
        <w:rPr>
          <w:rFonts w:ascii="Arial" w:hAnsi="Arial" w:cs="Arial"/>
          <w:szCs w:val="24"/>
        </w:rPr>
        <w:t xml:space="preserve"> Modeling (Petrofacies 1)</w:t>
      </w:r>
    </w:p>
    <w:tbl>
      <w:tblPr>
        <w:tblW w:w="9345" w:type="dxa"/>
        <w:tblLook w:val="0420" w:firstRow="1" w:lastRow="0" w:firstColumn="0" w:lastColumn="0" w:noHBand="0" w:noVBand="1"/>
      </w:tblPr>
      <w:tblGrid>
        <w:gridCol w:w="1979"/>
        <w:gridCol w:w="1646"/>
        <w:gridCol w:w="1508"/>
        <w:gridCol w:w="1724"/>
        <w:gridCol w:w="2488"/>
      </w:tblGrid>
      <w:tr w:rsidR="00431BE4" w:rsidRPr="006E4667" w14:paraId="63337B67" w14:textId="77777777" w:rsidTr="00DC7EDF">
        <w:trPr>
          <w:trHeight w:val="323"/>
        </w:trPr>
        <w:tc>
          <w:tcPr>
            <w:tcW w:w="197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19BCFF"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Zone</w:t>
            </w:r>
          </w:p>
        </w:tc>
        <w:tc>
          <w:tcPr>
            <w:tcW w:w="164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748550"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 (ft)</w:t>
            </w:r>
          </w:p>
        </w:tc>
        <w:tc>
          <w:tcPr>
            <w:tcW w:w="150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2B1F83"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Minor (ft)</w:t>
            </w:r>
          </w:p>
        </w:tc>
        <w:tc>
          <w:tcPr>
            <w:tcW w:w="172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64A913"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Vertical (ft)</w:t>
            </w:r>
          </w:p>
        </w:tc>
        <w:tc>
          <w:tcPr>
            <w:tcW w:w="2488" w:type="dxa"/>
            <w:tcBorders>
              <w:top w:val="single" w:sz="8" w:space="0" w:color="000000"/>
              <w:left w:val="nil"/>
              <w:bottom w:val="nil"/>
              <w:right w:val="single" w:sz="8" w:space="0" w:color="000000"/>
            </w:tcBorders>
            <w:shd w:val="clear" w:color="auto" w:fill="auto"/>
            <w:vAlign w:val="center"/>
            <w:hideMark/>
          </w:tcPr>
          <w:p w14:paraId="38B7187E" w14:textId="24C14A52" w:rsidR="00431BE4" w:rsidRPr="00DC7EDF" w:rsidRDefault="00BE6D2B"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w:t>
            </w:r>
            <w:r w:rsidR="00431BE4" w:rsidRPr="00DC7EDF">
              <w:rPr>
                <w:rFonts w:ascii="Arial" w:eastAsia="Times New Roman" w:hAnsi="Arial" w:cs="Arial"/>
                <w:b/>
                <w:bCs/>
                <w:color w:val="000000"/>
                <w:szCs w:val="24"/>
              </w:rPr>
              <w:t xml:space="preserve"> Azimuth</w:t>
            </w:r>
          </w:p>
        </w:tc>
      </w:tr>
      <w:tr w:rsidR="00431BE4" w:rsidRPr="006E4667" w14:paraId="56CAD296" w14:textId="77777777" w:rsidTr="00DC7EDF">
        <w:trPr>
          <w:trHeight w:val="339"/>
        </w:trPr>
        <w:tc>
          <w:tcPr>
            <w:tcW w:w="197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121242" w14:textId="77777777" w:rsidR="00431BE4" w:rsidRPr="00EA0B42" w:rsidRDefault="00431BE4" w:rsidP="00620605">
            <w:pPr>
              <w:spacing w:after="0" w:line="240" w:lineRule="auto"/>
              <w:rPr>
                <w:rFonts w:ascii="Arial" w:eastAsia="Times New Roman" w:hAnsi="Arial" w:cs="Arial"/>
                <w:b/>
                <w:bCs/>
                <w:color w:val="000000"/>
                <w:szCs w:val="24"/>
              </w:rPr>
            </w:pPr>
          </w:p>
        </w:tc>
        <w:tc>
          <w:tcPr>
            <w:tcW w:w="1646"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5340C5" w14:textId="77777777" w:rsidR="00431BE4" w:rsidRPr="00EA0B42" w:rsidRDefault="00431BE4" w:rsidP="00620605">
            <w:pPr>
              <w:spacing w:after="0" w:line="240" w:lineRule="auto"/>
              <w:rPr>
                <w:rFonts w:ascii="Arial" w:eastAsia="Times New Roman" w:hAnsi="Arial" w:cs="Arial"/>
                <w:b/>
                <w:bCs/>
                <w:color w:val="000000"/>
                <w:szCs w:val="24"/>
              </w:rPr>
            </w:pPr>
          </w:p>
        </w:tc>
        <w:tc>
          <w:tcPr>
            <w:tcW w:w="150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E8BAC0" w14:textId="77777777" w:rsidR="00431BE4" w:rsidRPr="00EA0B42" w:rsidRDefault="00431BE4" w:rsidP="00620605">
            <w:pPr>
              <w:spacing w:after="0" w:line="240" w:lineRule="auto"/>
              <w:rPr>
                <w:rFonts w:ascii="Arial" w:eastAsia="Times New Roman" w:hAnsi="Arial" w:cs="Arial"/>
                <w:b/>
                <w:bCs/>
                <w:color w:val="000000"/>
                <w:szCs w:val="24"/>
              </w:rPr>
            </w:pPr>
          </w:p>
        </w:tc>
        <w:tc>
          <w:tcPr>
            <w:tcW w:w="1724"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515B3F" w14:textId="77777777" w:rsidR="00431BE4" w:rsidRPr="00EA0B42" w:rsidRDefault="00431BE4" w:rsidP="00620605">
            <w:pPr>
              <w:spacing w:after="0" w:line="240" w:lineRule="auto"/>
              <w:rPr>
                <w:rFonts w:ascii="Arial" w:eastAsia="Times New Roman" w:hAnsi="Arial" w:cs="Arial"/>
                <w:b/>
                <w:bCs/>
                <w:color w:val="000000"/>
                <w:szCs w:val="24"/>
              </w:rPr>
            </w:pPr>
          </w:p>
        </w:tc>
        <w:tc>
          <w:tcPr>
            <w:tcW w:w="2488" w:type="dxa"/>
            <w:tcBorders>
              <w:top w:val="nil"/>
              <w:left w:val="nil"/>
              <w:bottom w:val="single" w:sz="8" w:space="0" w:color="000000"/>
              <w:right w:val="single" w:sz="8" w:space="0" w:color="000000"/>
            </w:tcBorders>
            <w:shd w:val="clear" w:color="auto" w:fill="auto"/>
            <w:vAlign w:val="center"/>
            <w:hideMark/>
          </w:tcPr>
          <w:p w14:paraId="582677B2" w14:textId="77777777" w:rsidR="00431BE4" w:rsidRPr="00EA0B42" w:rsidRDefault="00431BE4" w:rsidP="00620605">
            <w:pPr>
              <w:spacing w:after="0" w:line="240" w:lineRule="auto"/>
              <w:jc w:val="center"/>
              <w:rPr>
                <w:rFonts w:ascii="Arial" w:eastAsia="Times New Roman" w:hAnsi="Arial" w:cs="Arial"/>
                <w:b/>
                <w:bCs/>
                <w:color w:val="000000"/>
                <w:szCs w:val="24"/>
              </w:rPr>
            </w:pPr>
            <w:r w:rsidRPr="00EA0B42">
              <w:rPr>
                <w:rFonts w:ascii="Arial" w:eastAsia="Times New Roman" w:hAnsi="Arial" w:cs="Arial"/>
                <w:b/>
                <w:bCs/>
                <w:color w:val="000000"/>
                <w:szCs w:val="24"/>
              </w:rPr>
              <w:t>(Degrees from N)</w:t>
            </w:r>
          </w:p>
        </w:tc>
      </w:tr>
      <w:tr w:rsidR="00431BE4" w:rsidRPr="006E4667" w14:paraId="5558E135" w14:textId="77777777" w:rsidTr="00620605">
        <w:trPr>
          <w:trHeight w:val="339"/>
        </w:trPr>
        <w:tc>
          <w:tcPr>
            <w:tcW w:w="1979" w:type="dxa"/>
            <w:tcBorders>
              <w:top w:val="nil"/>
              <w:left w:val="single" w:sz="8" w:space="0" w:color="000000"/>
              <w:bottom w:val="single" w:sz="8" w:space="0" w:color="000000"/>
              <w:right w:val="single" w:sz="8" w:space="0" w:color="000000"/>
            </w:tcBorders>
            <w:shd w:val="clear" w:color="auto" w:fill="auto"/>
            <w:vAlign w:val="center"/>
            <w:hideMark/>
          </w:tcPr>
          <w:p w14:paraId="3DFDA60D"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Arbuckle C</w:t>
            </w:r>
          </w:p>
        </w:tc>
        <w:tc>
          <w:tcPr>
            <w:tcW w:w="1646" w:type="dxa"/>
            <w:tcBorders>
              <w:top w:val="nil"/>
              <w:left w:val="nil"/>
              <w:bottom w:val="single" w:sz="8" w:space="0" w:color="000000"/>
              <w:right w:val="single" w:sz="8" w:space="0" w:color="000000"/>
            </w:tcBorders>
            <w:shd w:val="clear" w:color="auto" w:fill="auto"/>
            <w:vAlign w:val="center"/>
            <w:hideMark/>
          </w:tcPr>
          <w:p w14:paraId="46D8073B"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5300</w:t>
            </w:r>
          </w:p>
        </w:tc>
        <w:tc>
          <w:tcPr>
            <w:tcW w:w="1508" w:type="dxa"/>
            <w:tcBorders>
              <w:top w:val="nil"/>
              <w:left w:val="nil"/>
              <w:bottom w:val="single" w:sz="8" w:space="0" w:color="000000"/>
              <w:right w:val="single" w:sz="8" w:space="0" w:color="000000"/>
            </w:tcBorders>
            <w:shd w:val="clear" w:color="auto" w:fill="auto"/>
            <w:vAlign w:val="center"/>
            <w:hideMark/>
          </w:tcPr>
          <w:p w14:paraId="689A3959"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2960</w:t>
            </w:r>
          </w:p>
        </w:tc>
        <w:tc>
          <w:tcPr>
            <w:tcW w:w="1724" w:type="dxa"/>
            <w:tcBorders>
              <w:top w:val="nil"/>
              <w:left w:val="nil"/>
              <w:bottom w:val="single" w:sz="8" w:space="0" w:color="000000"/>
              <w:right w:val="single" w:sz="8" w:space="0" w:color="000000"/>
            </w:tcBorders>
            <w:shd w:val="clear" w:color="auto" w:fill="auto"/>
            <w:vAlign w:val="center"/>
            <w:hideMark/>
          </w:tcPr>
          <w:p w14:paraId="7F970024" w14:textId="77777777" w:rsidR="00431BE4" w:rsidRPr="006E4667" w:rsidRDefault="00431BE4" w:rsidP="00620605">
            <w:pPr>
              <w:spacing w:after="0" w:line="240" w:lineRule="auto"/>
              <w:jc w:val="center"/>
              <w:rPr>
                <w:rFonts w:ascii="Arial" w:eastAsia="Times New Roman" w:hAnsi="Arial" w:cs="Arial"/>
                <w:color w:val="000000"/>
                <w:szCs w:val="24"/>
              </w:rPr>
            </w:pPr>
            <w:r w:rsidRPr="00642583">
              <w:rPr>
                <w:rFonts w:ascii="Arial" w:eastAsia="Times New Roman" w:hAnsi="Arial" w:cs="Arial"/>
                <w:color w:val="000000"/>
                <w:szCs w:val="24"/>
              </w:rPr>
              <w:t>5.79</w:t>
            </w:r>
          </w:p>
        </w:tc>
        <w:tc>
          <w:tcPr>
            <w:tcW w:w="2488" w:type="dxa"/>
            <w:tcBorders>
              <w:top w:val="nil"/>
              <w:left w:val="nil"/>
              <w:bottom w:val="single" w:sz="8" w:space="0" w:color="000000"/>
              <w:right w:val="single" w:sz="8" w:space="0" w:color="000000"/>
            </w:tcBorders>
            <w:shd w:val="clear" w:color="auto" w:fill="auto"/>
            <w:vAlign w:val="center"/>
          </w:tcPr>
          <w:p w14:paraId="5EED6C19"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-12</w:t>
            </w:r>
          </w:p>
        </w:tc>
      </w:tr>
      <w:tr w:rsidR="00431BE4" w:rsidRPr="006E4667" w14:paraId="3666ACC6" w14:textId="77777777" w:rsidTr="00620605">
        <w:trPr>
          <w:trHeight w:val="339"/>
        </w:trPr>
        <w:tc>
          <w:tcPr>
            <w:tcW w:w="1979" w:type="dxa"/>
            <w:tcBorders>
              <w:top w:val="nil"/>
              <w:left w:val="single" w:sz="8" w:space="0" w:color="000000"/>
              <w:bottom w:val="single" w:sz="8" w:space="0" w:color="000000"/>
              <w:right w:val="single" w:sz="8" w:space="0" w:color="000000"/>
            </w:tcBorders>
            <w:shd w:val="clear" w:color="auto" w:fill="auto"/>
            <w:vAlign w:val="center"/>
            <w:hideMark/>
          </w:tcPr>
          <w:p w14:paraId="4DC49E32"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Arbuckle B</w:t>
            </w:r>
          </w:p>
        </w:tc>
        <w:tc>
          <w:tcPr>
            <w:tcW w:w="1646" w:type="dxa"/>
            <w:tcBorders>
              <w:top w:val="nil"/>
              <w:left w:val="nil"/>
              <w:bottom w:val="single" w:sz="8" w:space="0" w:color="000000"/>
              <w:right w:val="single" w:sz="8" w:space="0" w:color="000000"/>
            </w:tcBorders>
            <w:shd w:val="clear" w:color="auto" w:fill="auto"/>
            <w:vAlign w:val="center"/>
            <w:hideMark/>
          </w:tcPr>
          <w:p w14:paraId="0AF5CC3E"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4700</w:t>
            </w:r>
          </w:p>
        </w:tc>
        <w:tc>
          <w:tcPr>
            <w:tcW w:w="1508" w:type="dxa"/>
            <w:tcBorders>
              <w:top w:val="nil"/>
              <w:left w:val="nil"/>
              <w:bottom w:val="single" w:sz="8" w:space="0" w:color="000000"/>
              <w:right w:val="single" w:sz="8" w:space="0" w:color="000000"/>
            </w:tcBorders>
            <w:shd w:val="clear" w:color="auto" w:fill="auto"/>
            <w:vAlign w:val="center"/>
            <w:hideMark/>
          </w:tcPr>
          <w:p w14:paraId="12A92577"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4000</w:t>
            </w:r>
          </w:p>
        </w:tc>
        <w:tc>
          <w:tcPr>
            <w:tcW w:w="1724" w:type="dxa"/>
            <w:tcBorders>
              <w:top w:val="nil"/>
              <w:left w:val="nil"/>
              <w:bottom w:val="single" w:sz="8" w:space="0" w:color="000000"/>
              <w:right w:val="single" w:sz="8" w:space="0" w:color="000000"/>
            </w:tcBorders>
            <w:shd w:val="clear" w:color="auto" w:fill="auto"/>
            <w:vAlign w:val="center"/>
            <w:hideMark/>
          </w:tcPr>
          <w:p w14:paraId="7E0F0FE2" w14:textId="77777777" w:rsidR="00431BE4" w:rsidRPr="006E4667" w:rsidRDefault="00431BE4" w:rsidP="00620605">
            <w:pPr>
              <w:spacing w:after="0" w:line="240" w:lineRule="auto"/>
              <w:jc w:val="center"/>
              <w:rPr>
                <w:rFonts w:ascii="Arial" w:eastAsia="Times New Roman" w:hAnsi="Arial" w:cs="Arial"/>
                <w:color w:val="000000"/>
                <w:szCs w:val="24"/>
              </w:rPr>
            </w:pPr>
            <w:r w:rsidRPr="00642583">
              <w:rPr>
                <w:rFonts w:ascii="Arial" w:eastAsia="Times New Roman" w:hAnsi="Arial" w:cs="Arial"/>
                <w:color w:val="000000"/>
                <w:szCs w:val="24"/>
              </w:rPr>
              <w:t>6.06</w:t>
            </w:r>
          </w:p>
        </w:tc>
        <w:tc>
          <w:tcPr>
            <w:tcW w:w="2488" w:type="dxa"/>
            <w:tcBorders>
              <w:top w:val="nil"/>
              <w:left w:val="nil"/>
              <w:bottom w:val="single" w:sz="8" w:space="0" w:color="000000"/>
              <w:right w:val="single" w:sz="8" w:space="0" w:color="000000"/>
            </w:tcBorders>
            <w:shd w:val="clear" w:color="auto" w:fill="auto"/>
            <w:vAlign w:val="center"/>
          </w:tcPr>
          <w:p w14:paraId="22E14026"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4.8</w:t>
            </w:r>
          </w:p>
        </w:tc>
      </w:tr>
      <w:tr w:rsidR="00431BE4" w:rsidRPr="006E4667" w14:paraId="34A99BAB" w14:textId="77777777" w:rsidTr="00620605">
        <w:trPr>
          <w:trHeight w:val="339"/>
        </w:trPr>
        <w:tc>
          <w:tcPr>
            <w:tcW w:w="1979" w:type="dxa"/>
            <w:tcBorders>
              <w:top w:val="nil"/>
              <w:left w:val="single" w:sz="8" w:space="0" w:color="000000"/>
              <w:bottom w:val="single" w:sz="8" w:space="0" w:color="000000"/>
              <w:right w:val="single" w:sz="8" w:space="0" w:color="000000"/>
            </w:tcBorders>
            <w:shd w:val="clear" w:color="auto" w:fill="auto"/>
            <w:vAlign w:val="center"/>
            <w:hideMark/>
          </w:tcPr>
          <w:p w14:paraId="1BFEFFE6" w14:textId="77777777" w:rsidR="00431BE4" w:rsidRPr="006E4667" w:rsidRDefault="00431BE4" w:rsidP="00620605">
            <w:pPr>
              <w:spacing w:after="0" w:line="240" w:lineRule="auto"/>
              <w:jc w:val="center"/>
              <w:rPr>
                <w:rFonts w:ascii="Arial" w:eastAsia="Times New Roman" w:hAnsi="Arial" w:cs="Arial"/>
                <w:color w:val="000000"/>
                <w:szCs w:val="24"/>
              </w:rPr>
            </w:pPr>
            <w:r w:rsidRPr="006E4667">
              <w:rPr>
                <w:rFonts w:ascii="Arial" w:eastAsia="Times New Roman" w:hAnsi="Arial" w:cs="Arial"/>
                <w:color w:val="000000"/>
                <w:szCs w:val="24"/>
              </w:rPr>
              <w:t>Arbuckle A</w:t>
            </w:r>
          </w:p>
        </w:tc>
        <w:tc>
          <w:tcPr>
            <w:tcW w:w="1646" w:type="dxa"/>
            <w:tcBorders>
              <w:top w:val="nil"/>
              <w:left w:val="nil"/>
              <w:bottom w:val="single" w:sz="8" w:space="0" w:color="000000"/>
              <w:right w:val="single" w:sz="8" w:space="0" w:color="000000"/>
            </w:tcBorders>
            <w:shd w:val="clear" w:color="auto" w:fill="auto"/>
            <w:vAlign w:val="center"/>
            <w:hideMark/>
          </w:tcPr>
          <w:p w14:paraId="20ABD779"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6900</w:t>
            </w:r>
          </w:p>
        </w:tc>
        <w:tc>
          <w:tcPr>
            <w:tcW w:w="1508" w:type="dxa"/>
            <w:tcBorders>
              <w:top w:val="nil"/>
              <w:left w:val="nil"/>
              <w:bottom w:val="single" w:sz="8" w:space="0" w:color="000000"/>
              <w:right w:val="single" w:sz="8" w:space="0" w:color="000000"/>
            </w:tcBorders>
            <w:shd w:val="clear" w:color="auto" w:fill="auto"/>
            <w:vAlign w:val="center"/>
            <w:hideMark/>
          </w:tcPr>
          <w:p w14:paraId="7B760A48"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4500</w:t>
            </w:r>
          </w:p>
        </w:tc>
        <w:tc>
          <w:tcPr>
            <w:tcW w:w="1724" w:type="dxa"/>
            <w:tcBorders>
              <w:top w:val="nil"/>
              <w:left w:val="nil"/>
              <w:bottom w:val="single" w:sz="8" w:space="0" w:color="000000"/>
              <w:right w:val="single" w:sz="8" w:space="0" w:color="000000"/>
            </w:tcBorders>
            <w:shd w:val="clear" w:color="auto" w:fill="auto"/>
            <w:vAlign w:val="center"/>
            <w:hideMark/>
          </w:tcPr>
          <w:p w14:paraId="7A755760" w14:textId="77777777" w:rsidR="00431BE4" w:rsidRPr="006E4667" w:rsidRDefault="00431BE4" w:rsidP="00620605">
            <w:pPr>
              <w:spacing w:after="0" w:line="240" w:lineRule="auto"/>
              <w:jc w:val="center"/>
              <w:rPr>
                <w:rFonts w:ascii="Arial" w:eastAsia="Times New Roman" w:hAnsi="Arial" w:cs="Arial"/>
                <w:color w:val="000000"/>
                <w:szCs w:val="24"/>
              </w:rPr>
            </w:pPr>
            <w:r w:rsidRPr="00642583">
              <w:rPr>
                <w:rFonts w:ascii="Arial" w:eastAsia="Times New Roman" w:hAnsi="Arial" w:cs="Arial"/>
                <w:color w:val="000000"/>
                <w:szCs w:val="24"/>
              </w:rPr>
              <w:t>5.03</w:t>
            </w:r>
          </w:p>
        </w:tc>
        <w:tc>
          <w:tcPr>
            <w:tcW w:w="2488" w:type="dxa"/>
            <w:tcBorders>
              <w:top w:val="nil"/>
              <w:left w:val="nil"/>
              <w:bottom w:val="single" w:sz="8" w:space="0" w:color="000000"/>
              <w:right w:val="single" w:sz="8" w:space="0" w:color="000000"/>
            </w:tcBorders>
            <w:shd w:val="clear" w:color="auto" w:fill="auto"/>
            <w:vAlign w:val="center"/>
          </w:tcPr>
          <w:p w14:paraId="02A5FB62" w14:textId="77777777" w:rsidR="00431BE4" w:rsidRPr="006E4667"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w:t>
            </w:r>
          </w:p>
        </w:tc>
      </w:tr>
    </w:tbl>
    <w:p w14:paraId="69C5CA62" w14:textId="77777777" w:rsidR="00431BE4" w:rsidRPr="006E4667" w:rsidRDefault="00431BE4" w:rsidP="00431BE4">
      <w:pPr>
        <w:spacing w:after="0" w:line="240" w:lineRule="auto"/>
        <w:jc w:val="center"/>
        <w:rPr>
          <w:rFonts w:ascii="Arial" w:hAnsi="Arial" w:cs="Arial"/>
          <w:szCs w:val="24"/>
        </w:rPr>
      </w:pPr>
      <w:r w:rsidRPr="006E4667">
        <w:rPr>
          <w:rFonts w:ascii="Arial" w:hAnsi="Arial" w:cs="Arial"/>
          <w:szCs w:val="24"/>
        </w:rPr>
        <w:t xml:space="preserve">Variogram Parameters for </w:t>
      </w:r>
      <w:r>
        <w:rPr>
          <w:rFonts w:ascii="Arial" w:hAnsi="Arial" w:cs="Arial"/>
          <w:szCs w:val="24"/>
        </w:rPr>
        <w:t>Permeability</w:t>
      </w:r>
      <w:r w:rsidRPr="006E4667">
        <w:rPr>
          <w:rFonts w:ascii="Arial" w:hAnsi="Arial" w:cs="Arial"/>
          <w:szCs w:val="24"/>
        </w:rPr>
        <w:t xml:space="preserve"> Modeling (Petrofacies </w:t>
      </w:r>
      <w:r>
        <w:rPr>
          <w:rFonts w:ascii="Arial" w:hAnsi="Arial" w:cs="Arial"/>
          <w:szCs w:val="24"/>
        </w:rPr>
        <w:t>2</w:t>
      </w:r>
      <w:r w:rsidRPr="006E4667">
        <w:rPr>
          <w:rFonts w:ascii="Arial" w:hAnsi="Arial" w:cs="Arial"/>
          <w:szCs w:val="24"/>
        </w:rPr>
        <w:t>)</w:t>
      </w:r>
    </w:p>
    <w:tbl>
      <w:tblPr>
        <w:tblW w:w="9356" w:type="dxa"/>
        <w:tblLook w:val="0420" w:firstRow="1" w:lastRow="0" w:firstColumn="0" w:lastColumn="0" w:noHBand="0" w:noVBand="1"/>
      </w:tblPr>
      <w:tblGrid>
        <w:gridCol w:w="1981"/>
        <w:gridCol w:w="1648"/>
        <w:gridCol w:w="1510"/>
        <w:gridCol w:w="1726"/>
        <w:gridCol w:w="2491"/>
      </w:tblGrid>
      <w:tr w:rsidR="00431BE4" w:rsidRPr="000D6BF8" w14:paraId="1866077C" w14:textId="77777777" w:rsidTr="00DC7EDF">
        <w:trPr>
          <w:trHeight w:val="543"/>
        </w:trPr>
        <w:tc>
          <w:tcPr>
            <w:tcW w:w="198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F20B95"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Zone</w:t>
            </w:r>
          </w:p>
        </w:tc>
        <w:tc>
          <w:tcPr>
            <w:tcW w:w="16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B3483E"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 (ft)</w:t>
            </w:r>
          </w:p>
        </w:tc>
        <w:tc>
          <w:tcPr>
            <w:tcW w:w="151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E748B2"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Minor (ft)</w:t>
            </w:r>
          </w:p>
        </w:tc>
        <w:tc>
          <w:tcPr>
            <w:tcW w:w="172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DC83CC"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Vertical (ft)</w:t>
            </w:r>
          </w:p>
        </w:tc>
        <w:tc>
          <w:tcPr>
            <w:tcW w:w="2491" w:type="dxa"/>
            <w:tcBorders>
              <w:top w:val="single" w:sz="8" w:space="0" w:color="000000"/>
              <w:left w:val="nil"/>
              <w:bottom w:val="nil"/>
              <w:right w:val="single" w:sz="8" w:space="0" w:color="000000"/>
            </w:tcBorders>
            <w:shd w:val="clear" w:color="auto" w:fill="auto"/>
            <w:vAlign w:val="center"/>
            <w:hideMark/>
          </w:tcPr>
          <w:p w14:paraId="68B8E640" w14:textId="340E3F47" w:rsidR="00431BE4" w:rsidRPr="00DC7EDF" w:rsidRDefault="00BE6D2B"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w:t>
            </w:r>
            <w:r w:rsidR="00431BE4" w:rsidRPr="00DC7EDF">
              <w:rPr>
                <w:rFonts w:ascii="Arial" w:eastAsia="Times New Roman" w:hAnsi="Arial" w:cs="Arial"/>
                <w:b/>
                <w:bCs/>
                <w:color w:val="000000"/>
                <w:szCs w:val="24"/>
              </w:rPr>
              <w:t xml:space="preserve"> Azimuth</w:t>
            </w:r>
          </w:p>
        </w:tc>
      </w:tr>
      <w:tr w:rsidR="00431BE4" w:rsidRPr="000D6BF8" w14:paraId="2112B2CB" w14:textId="77777777" w:rsidTr="00DC7EDF">
        <w:trPr>
          <w:trHeight w:val="367"/>
        </w:trPr>
        <w:tc>
          <w:tcPr>
            <w:tcW w:w="1981"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39D88C"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164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3524B0"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151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CD45C2"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1726"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FA0ACE" w14:textId="77777777" w:rsidR="00431BE4" w:rsidRPr="00EA0B42" w:rsidRDefault="00431BE4" w:rsidP="00620605">
            <w:pPr>
              <w:spacing w:after="0" w:line="240" w:lineRule="auto"/>
              <w:jc w:val="center"/>
              <w:rPr>
                <w:rFonts w:ascii="Arial" w:eastAsia="Times New Roman" w:hAnsi="Arial" w:cs="Arial"/>
                <w:b/>
                <w:bCs/>
                <w:color w:val="000000"/>
                <w:szCs w:val="24"/>
              </w:rPr>
            </w:pPr>
          </w:p>
        </w:tc>
        <w:tc>
          <w:tcPr>
            <w:tcW w:w="2491" w:type="dxa"/>
            <w:tcBorders>
              <w:top w:val="nil"/>
              <w:left w:val="nil"/>
              <w:bottom w:val="single" w:sz="8" w:space="0" w:color="000000"/>
              <w:right w:val="single" w:sz="8" w:space="0" w:color="000000"/>
            </w:tcBorders>
            <w:shd w:val="clear" w:color="auto" w:fill="auto"/>
            <w:vAlign w:val="center"/>
            <w:hideMark/>
          </w:tcPr>
          <w:p w14:paraId="407D46D2" w14:textId="77777777" w:rsidR="00431BE4" w:rsidRPr="00EA0B42" w:rsidRDefault="00431BE4" w:rsidP="00620605">
            <w:pPr>
              <w:spacing w:after="0" w:line="240" w:lineRule="auto"/>
              <w:jc w:val="center"/>
              <w:rPr>
                <w:rFonts w:ascii="Arial" w:eastAsia="Times New Roman" w:hAnsi="Arial" w:cs="Arial"/>
                <w:b/>
                <w:bCs/>
                <w:color w:val="000000"/>
                <w:szCs w:val="24"/>
              </w:rPr>
            </w:pPr>
            <w:r w:rsidRPr="00EA0B42">
              <w:rPr>
                <w:rFonts w:ascii="Arial" w:eastAsia="Times New Roman" w:hAnsi="Arial" w:cs="Arial"/>
                <w:b/>
                <w:bCs/>
                <w:color w:val="000000"/>
                <w:szCs w:val="24"/>
              </w:rPr>
              <w:t>(Degrees from N)</w:t>
            </w:r>
          </w:p>
        </w:tc>
      </w:tr>
      <w:tr w:rsidR="00431BE4" w:rsidRPr="000D6BF8" w14:paraId="0806D3C3" w14:textId="77777777" w:rsidTr="00620605">
        <w:trPr>
          <w:trHeight w:val="367"/>
        </w:trPr>
        <w:tc>
          <w:tcPr>
            <w:tcW w:w="1981" w:type="dxa"/>
            <w:tcBorders>
              <w:top w:val="nil"/>
              <w:left w:val="single" w:sz="8" w:space="0" w:color="000000"/>
              <w:bottom w:val="single" w:sz="8" w:space="0" w:color="000000"/>
              <w:right w:val="single" w:sz="8" w:space="0" w:color="000000"/>
            </w:tcBorders>
            <w:shd w:val="clear" w:color="auto" w:fill="auto"/>
            <w:vAlign w:val="center"/>
            <w:hideMark/>
          </w:tcPr>
          <w:p w14:paraId="6561DAAE"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C</w:t>
            </w:r>
          </w:p>
        </w:tc>
        <w:tc>
          <w:tcPr>
            <w:tcW w:w="1648" w:type="dxa"/>
            <w:tcBorders>
              <w:top w:val="nil"/>
              <w:left w:val="nil"/>
              <w:bottom w:val="single" w:sz="8" w:space="0" w:color="000000"/>
              <w:right w:val="single" w:sz="8" w:space="0" w:color="000000"/>
            </w:tcBorders>
            <w:shd w:val="clear" w:color="auto" w:fill="auto"/>
            <w:vAlign w:val="center"/>
            <w:hideMark/>
          </w:tcPr>
          <w:p w14:paraId="760F233E"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5300</w:t>
            </w:r>
          </w:p>
        </w:tc>
        <w:tc>
          <w:tcPr>
            <w:tcW w:w="1510" w:type="dxa"/>
            <w:tcBorders>
              <w:top w:val="nil"/>
              <w:left w:val="nil"/>
              <w:bottom w:val="single" w:sz="8" w:space="0" w:color="000000"/>
              <w:right w:val="single" w:sz="8" w:space="0" w:color="000000"/>
            </w:tcBorders>
            <w:shd w:val="clear" w:color="auto" w:fill="auto"/>
            <w:vAlign w:val="center"/>
            <w:hideMark/>
          </w:tcPr>
          <w:p w14:paraId="3DC80027"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2960</w:t>
            </w:r>
          </w:p>
        </w:tc>
        <w:tc>
          <w:tcPr>
            <w:tcW w:w="1726" w:type="dxa"/>
            <w:tcBorders>
              <w:top w:val="nil"/>
              <w:left w:val="nil"/>
              <w:bottom w:val="single" w:sz="8" w:space="0" w:color="000000"/>
              <w:right w:val="single" w:sz="8" w:space="0" w:color="000000"/>
            </w:tcBorders>
            <w:shd w:val="clear" w:color="auto" w:fill="auto"/>
            <w:vAlign w:val="center"/>
            <w:hideMark/>
          </w:tcPr>
          <w:p w14:paraId="3CBAB11C" w14:textId="77777777" w:rsidR="00431BE4" w:rsidRPr="000D6BF8" w:rsidRDefault="00431BE4" w:rsidP="00620605">
            <w:pPr>
              <w:spacing w:after="0" w:line="240" w:lineRule="auto"/>
              <w:jc w:val="center"/>
              <w:rPr>
                <w:rFonts w:ascii="Arial" w:eastAsia="Times New Roman" w:hAnsi="Arial" w:cs="Arial"/>
                <w:color w:val="000000"/>
                <w:szCs w:val="24"/>
              </w:rPr>
            </w:pPr>
            <w:r w:rsidRPr="00642583">
              <w:rPr>
                <w:rFonts w:ascii="Arial" w:eastAsia="Times New Roman" w:hAnsi="Arial" w:cs="Arial"/>
                <w:color w:val="000000"/>
                <w:szCs w:val="24"/>
              </w:rPr>
              <w:t>6.03</w:t>
            </w:r>
          </w:p>
        </w:tc>
        <w:tc>
          <w:tcPr>
            <w:tcW w:w="2491" w:type="dxa"/>
            <w:tcBorders>
              <w:top w:val="nil"/>
              <w:left w:val="nil"/>
              <w:bottom w:val="single" w:sz="8" w:space="0" w:color="000000"/>
              <w:right w:val="single" w:sz="8" w:space="0" w:color="000000"/>
            </w:tcBorders>
            <w:shd w:val="clear" w:color="auto" w:fill="auto"/>
            <w:vAlign w:val="center"/>
          </w:tcPr>
          <w:p w14:paraId="612949F3"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-12</w:t>
            </w:r>
          </w:p>
        </w:tc>
      </w:tr>
      <w:tr w:rsidR="00431BE4" w:rsidRPr="000D6BF8" w14:paraId="7E8A75E3" w14:textId="77777777" w:rsidTr="00620605">
        <w:trPr>
          <w:trHeight w:val="367"/>
        </w:trPr>
        <w:tc>
          <w:tcPr>
            <w:tcW w:w="1981" w:type="dxa"/>
            <w:tcBorders>
              <w:top w:val="nil"/>
              <w:left w:val="single" w:sz="8" w:space="0" w:color="000000"/>
              <w:bottom w:val="single" w:sz="8" w:space="0" w:color="000000"/>
              <w:right w:val="single" w:sz="8" w:space="0" w:color="000000"/>
            </w:tcBorders>
            <w:shd w:val="clear" w:color="auto" w:fill="auto"/>
            <w:vAlign w:val="center"/>
            <w:hideMark/>
          </w:tcPr>
          <w:p w14:paraId="08F68336"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B</w:t>
            </w:r>
          </w:p>
        </w:tc>
        <w:tc>
          <w:tcPr>
            <w:tcW w:w="1648" w:type="dxa"/>
            <w:tcBorders>
              <w:top w:val="nil"/>
              <w:left w:val="nil"/>
              <w:bottom w:val="single" w:sz="8" w:space="0" w:color="000000"/>
              <w:right w:val="single" w:sz="8" w:space="0" w:color="000000"/>
            </w:tcBorders>
            <w:shd w:val="clear" w:color="auto" w:fill="auto"/>
            <w:vAlign w:val="center"/>
            <w:hideMark/>
          </w:tcPr>
          <w:p w14:paraId="741457E6"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4700</w:t>
            </w:r>
          </w:p>
        </w:tc>
        <w:tc>
          <w:tcPr>
            <w:tcW w:w="1510" w:type="dxa"/>
            <w:tcBorders>
              <w:top w:val="nil"/>
              <w:left w:val="nil"/>
              <w:bottom w:val="single" w:sz="8" w:space="0" w:color="000000"/>
              <w:right w:val="single" w:sz="8" w:space="0" w:color="000000"/>
            </w:tcBorders>
            <w:shd w:val="clear" w:color="auto" w:fill="auto"/>
            <w:vAlign w:val="center"/>
            <w:hideMark/>
          </w:tcPr>
          <w:p w14:paraId="4B7D15FB"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4000</w:t>
            </w:r>
          </w:p>
        </w:tc>
        <w:tc>
          <w:tcPr>
            <w:tcW w:w="1726" w:type="dxa"/>
            <w:tcBorders>
              <w:top w:val="nil"/>
              <w:left w:val="nil"/>
              <w:bottom w:val="single" w:sz="8" w:space="0" w:color="000000"/>
              <w:right w:val="single" w:sz="8" w:space="0" w:color="000000"/>
            </w:tcBorders>
            <w:shd w:val="clear" w:color="auto" w:fill="auto"/>
            <w:vAlign w:val="center"/>
            <w:hideMark/>
          </w:tcPr>
          <w:p w14:paraId="18C108BD" w14:textId="77777777" w:rsidR="00431BE4" w:rsidRPr="000D6BF8" w:rsidRDefault="00431BE4" w:rsidP="00620605">
            <w:pPr>
              <w:spacing w:after="0" w:line="240" w:lineRule="auto"/>
              <w:jc w:val="center"/>
              <w:rPr>
                <w:rFonts w:ascii="Arial" w:eastAsia="Times New Roman" w:hAnsi="Arial" w:cs="Arial"/>
                <w:color w:val="000000"/>
                <w:szCs w:val="24"/>
              </w:rPr>
            </w:pPr>
            <w:r w:rsidRPr="00642583">
              <w:rPr>
                <w:rFonts w:ascii="Arial" w:eastAsia="Times New Roman" w:hAnsi="Arial" w:cs="Arial"/>
                <w:color w:val="000000"/>
                <w:szCs w:val="24"/>
              </w:rPr>
              <w:t>6.06</w:t>
            </w:r>
          </w:p>
        </w:tc>
        <w:tc>
          <w:tcPr>
            <w:tcW w:w="2491" w:type="dxa"/>
            <w:tcBorders>
              <w:top w:val="nil"/>
              <w:left w:val="nil"/>
              <w:bottom w:val="single" w:sz="8" w:space="0" w:color="000000"/>
              <w:right w:val="single" w:sz="8" w:space="0" w:color="000000"/>
            </w:tcBorders>
            <w:shd w:val="clear" w:color="auto" w:fill="auto"/>
            <w:vAlign w:val="center"/>
          </w:tcPr>
          <w:p w14:paraId="40790A3C"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4.8</w:t>
            </w:r>
          </w:p>
        </w:tc>
      </w:tr>
      <w:tr w:rsidR="00431BE4" w:rsidRPr="000D6BF8" w14:paraId="15CED172" w14:textId="77777777" w:rsidTr="00620605">
        <w:trPr>
          <w:trHeight w:val="367"/>
        </w:trPr>
        <w:tc>
          <w:tcPr>
            <w:tcW w:w="1981" w:type="dxa"/>
            <w:tcBorders>
              <w:top w:val="nil"/>
              <w:left w:val="single" w:sz="8" w:space="0" w:color="000000"/>
              <w:bottom w:val="single" w:sz="8" w:space="0" w:color="000000"/>
              <w:right w:val="single" w:sz="8" w:space="0" w:color="000000"/>
            </w:tcBorders>
            <w:shd w:val="clear" w:color="auto" w:fill="auto"/>
            <w:vAlign w:val="center"/>
            <w:hideMark/>
          </w:tcPr>
          <w:p w14:paraId="20D97A5B"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A</w:t>
            </w:r>
          </w:p>
        </w:tc>
        <w:tc>
          <w:tcPr>
            <w:tcW w:w="1648" w:type="dxa"/>
            <w:tcBorders>
              <w:top w:val="nil"/>
              <w:left w:val="nil"/>
              <w:bottom w:val="single" w:sz="8" w:space="0" w:color="000000"/>
              <w:right w:val="single" w:sz="8" w:space="0" w:color="000000"/>
            </w:tcBorders>
            <w:shd w:val="clear" w:color="auto" w:fill="auto"/>
            <w:vAlign w:val="center"/>
            <w:hideMark/>
          </w:tcPr>
          <w:p w14:paraId="5237B652"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6900</w:t>
            </w:r>
          </w:p>
        </w:tc>
        <w:tc>
          <w:tcPr>
            <w:tcW w:w="1510" w:type="dxa"/>
            <w:tcBorders>
              <w:top w:val="nil"/>
              <w:left w:val="nil"/>
              <w:bottom w:val="single" w:sz="8" w:space="0" w:color="000000"/>
              <w:right w:val="single" w:sz="8" w:space="0" w:color="000000"/>
            </w:tcBorders>
            <w:shd w:val="clear" w:color="auto" w:fill="auto"/>
            <w:vAlign w:val="center"/>
            <w:hideMark/>
          </w:tcPr>
          <w:p w14:paraId="3E5A49A5"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4500</w:t>
            </w:r>
          </w:p>
        </w:tc>
        <w:tc>
          <w:tcPr>
            <w:tcW w:w="1726" w:type="dxa"/>
            <w:tcBorders>
              <w:top w:val="nil"/>
              <w:left w:val="nil"/>
              <w:bottom w:val="single" w:sz="8" w:space="0" w:color="000000"/>
              <w:right w:val="single" w:sz="8" w:space="0" w:color="000000"/>
            </w:tcBorders>
            <w:shd w:val="clear" w:color="auto" w:fill="auto"/>
            <w:vAlign w:val="center"/>
            <w:hideMark/>
          </w:tcPr>
          <w:p w14:paraId="28C82153" w14:textId="77777777" w:rsidR="00431BE4" w:rsidRPr="000D6BF8" w:rsidRDefault="00431BE4" w:rsidP="00620605">
            <w:pPr>
              <w:spacing w:after="0" w:line="240" w:lineRule="auto"/>
              <w:jc w:val="center"/>
              <w:rPr>
                <w:rFonts w:ascii="Arial" w:eastAsia="Times New Roman" w:hAnsi="Arial" w:cs="Arial"/>
                <w:color w:val="000000"/>
                <w:szCs w:val="24"/>
              </w:rPr>
            </w:pPr>
            <w:r w:rsidRPr="00642583">
              <w:rPr>
                <w:rFonts w:ascii="Arial" w:eastAsia="Times New Roman" w:hAnsi="Arial" w:cs="Arial"/>
                <w:color w:val="000000"/>
                <w:szCs w:val="24"/>
              </w:rPr>
              <w:t>5.73</w:t>
            </w:r>
          </w:p>
        </w:tc>
        <w:tc>
          <w:tcPr>
            <w:tcW w:w="2491" w:type="dxa"/>
            <w:tcBorders>
              <w:top w:val="nil"/>
              <w:left w:val="nil"/>
              <w:bottom w:val="single" w:sz="8" w:space="0" w:color="000000"/>
              <w:right w:val="single" w:sz="8" w:space="0" w:color="000000"/>
            </w:tcBorders>
            <w:shd w:val="clear" w:color="auto" w:fill="auto"/>
            <w:vAlign w:val="center"/>
          </w:tcPr>
          <w:p w14:paraId="20B33396"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w:t>
            </w:r>
          </w:p>
        </w:tc>
      </w:tr>
    </w:tbl>
    <w:p w14:paraId="3A45AE9F" w14:textId="77777777" w:rsidR="00431BE4" w:rsidRPr="006E4667" w:rsidRDefault="00431BE4" w:rsidP="00431BE4">
      <w:pPr>
        <w:spacing w:after="0" w:line="240" w:lineRule="auto"/>
        <w:jc w:val="center"/>
        <w:rPr>
          <w:rFonts w:ascii="Arial" w:hAnsi="Arial" w:cs="Arial"/>
          <w:szCs w:val="24"/>
        </w:rPr>
      </w:pPr>
      <w:r w:rsidRPr="006E4667">
        <w:rPr>
          <w:rFonts w:ascii="Arial" w:hAnsi="Arial" w:cs="Arial"/>
          <w:szCs w:val="24"/>
        </w:rPr>
        <w:t xml:space="preserve">Variogram Parameters for </w:t>
      </w:r>
      <w:r>
        <w:rPr>
          <w:rFonts w:ascii="Arial" w:hAnsi="Arial" w:cs="Arial"/>
          <w:szCs w:val="24"/>
        </w:rPr>
        <w:t>Permeability</w:t>
      </w:r>
      <w:r w:rsidRPr="006E4667">
        <w:rPr>
          <w:rFonts w:ascii="Arial" w:hAnsi="Arial" w:cs="Arial"/>
          <w:szCs w:val="24"/>
        </w:rPr>
        <w:t xml:space="preserve"> Modeling (Petrofacies </w:t>
      </w:r>
      <w:r>
        <w:rPr>
          <w:rFonts w:ascii="Arial" w:hAnsi="Arial" w:cs="Arial"/>
          <w:szCs w:val="24"/>
        </w:rPr>
        <w:t>3</w:t>
      </w:r>
      <w:r w:rsidRPr="006E4667">
        <w:rPr>
          <w:rFonts w:ascii="Arial" w:hAnsi="Arial" w:cs="Arial"/>
          <w:szCs w:val="24"/>
        </w:rPr>
        <w:t>)</w:t>
      </w:r>
    </w:p>
    <w:tbl>
      <w:tblPr>
        <w:tblW w:w="9360" w:type="dxa"/>
        <w:tblLook w:val="0420" w:firstRow="1" w:lastRow="0" w:firstColumn="0" w:lastColumn="0" w:noHBand="0" w:noVBand="1"/>
      </w:tblPr>
      <w:tblGrid>
        <w:gridCol w:w="1982"/>
        <w:gridCol w:w="1648"/>
        <w:gridCol w:w="1511"/>
        <w:gridCol w:w="1727"/>
        <w:gridCol w:w="2492"/>
      </w:tblGrid>
      <w:tr w:rsidR="00431BE4" w:rsidRPr="000D6BF8" w14:paraId="7B48A66B" w14:textId="77777777" w:rsidTr="00DC7EDF">
        <w:trPr>
          <w:trHeight w:val="502"/>
        </w:trPr>
        <w:tc>
          <w:tcPr>
            <w:tcW w:w="198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48EA0C"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Zone</w:t>
            </w:r>
          </w:p>
        </w:tc>
        <w:tc>
          <w:tcPr>
            <w:tcW w:w="16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47917E"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 (ft)</w:t>
            </w:r>
          </w:p>
        </w:tc>
        <w:tc>
          <w:tcPr>
            <w:tcW w:w="151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A58562"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Minor (ft)</w:t>
            </w:r>
          </w:p>
        </w:tc>
        <w:tc>
          <w:tcPr>
            <w:tcW w:w="17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FAEF1F" w14:textId="77777777" w:rsidR="00431BE4" w:rsidRPr="00DC7EDF" w:rsidRDefault="00431BE4"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Vertical (ft)</w:t>
            </w:r>
          </w:p>
        </w:tc>
        <w:tc>
          <w:tcPr>
            <w:tcW w:w="2492" w:type="dxa"/>
            <w:tcBorders>
              <w:top w:val="single" w:sz="8" w:space="0" w:color="000000"/>
              <w:left w:val="nil"/>
              <w:bottom w:val="nil"/>
              <w:right w:val="single" w:sz="8" w:space="0" w:color="000000"/>
            </w:tcBorders>
            <w:shd w:val="clear" w:color="auto" w:fill="auto"/>
            <w:vAlign w:val="center"/>
            <w:hideMark/>
          </w:tcPr>
          <w:p w14:paraId="17B44F08" w14:textId="11DD9E51" w:rsidR="00431BE4" w:rsidRPr="00DC7EDF" w:rsidRDefault="00BE6D2B" w:rsidP="00620605">
            <w:pPr>
              <w:spacing w:after="0" w:line="240" w:lineRule="auto"/>
              <w:jc w:val="center"/>
              <w:rPr>
                <w:rFonts w:ascii="Arial" w:eastAsia="Times New Roman" w:hAnsi="Arial" w:cs="Arial"/>
                <w:b/>
                <w:bCs/>
                <w:color w:val="000000"/>
                <w:szCs w:val="24"/>
              </w:rPr>
            </w:pPr>
            <w:r w:rsidRPr="00DC7EDF">
              <w:rPr>
                <w:rFonts w:ascii="Arial" w:eastAsia="Times New Roman" w:hAnsi="Arial" w:cs="Arial"/>
                <w:b/>
                <w:bCs/>
                <w:color w:val="000000"/>
                <w:szCs w:val="24"/>
              </w:rPr>
              <w:t>Major</w:t>
            </w:r>
            <w:r w:rsidR="00431BE4" w:rsidRPr="00DC7EDF">
              <w:rPr>
                <w:rFonts w:ascii="Arial" w:eastAsia="Times New Roman" w:hAnsi="Arial" w:cs="Arial"/>
                <w:b/>
                <w:bCs/>
                <w:color w:val="000000"/>
                <w:szCs w:val="24"/>
              </w:rPr>
              <w:t xml:space="preserve"> Azimuth</w:t>
            </w:r>
          </w:p>
        </w:tc>
      </w:tr>
      <w:tr w:rsidR="00431BE4" w:rsidRPr="000D6BF8" w14:paraId="228E3DB2" w14:textId="77777777" w:rsidTr="00DC7EDF">
        <w:trPr>
          <w:trHeight w:val="340"/>
        </w:trPr>
        <w:tc>
          <w:tcPr>
            <w:tcW w:w="1982"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253FC6" w14:textId="77777777" w:rsidR="00431BE4" w:rsidRPr="00EA0B42" w:rsidRDefault="00431BE4" w:rsidP="00620605">
            <w:pPr>
              <w:spacing w:after="0" w:line="240" w:lineRule="auto"/>
              <w:rPr>
                <w:rFonts w:ascii="Arial" w:eastAsia="Times New Roman" w:hAnsi="Arial" w:cs="Arial"/>
                <w:b/>
                <w:bCs/>
                <w:color w:val="000000"/>
                <w:szCs w:val="24"/>
              </w:rPr>
            </w:pPr>
          </w:p>
        </w:tc>
        <w:tc>
          <w:tcPr>
            <w:tcW w:w="164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0C4DCC" w14:textId="77777777" w:rsidR="00431BE4" w:rsidRPr="00EA0B42" w:rsidRDefault="00431BE4" w:rsidP="00620605">
            <w:pPr>
              <w:spacing w:after="0" w:line="240" w:lineRule="auto"/>
              <w:rPr>
                <w:rFonts w:ascii="Arial" w:eastAsia="Times New Roman" w:hAnsi="Arial" w:cs="Arial"/>
                <w:b/>
                <w:bCs/>
                <w:color w:val="000000"/>
                <w:szCs w:val="24"/>
              </w:rPr>
            </w:pPr>
          </w:p>
        </w:tc>
        <w:tc>
          <w:tcPr>
            <w:tcW w:w="1511"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114DCC" w14:textId="77777777" w:rsidR="00431BE4" w:rsidRPr="00EA0B42" w:rsidRDefault="00431BE4" w:rsidP="00620605">
            <w:pPr>
              <w:spacing w:after="0" w:line="240" w:lineRule="auto"/>
              <w:rPr>
                <w:rFonts w:ascii="Arial" w:eastAsia="Times New Roman" w:hAnsi="Arial" w:cs="Arial"/>
                <w:b/>
                <w:bCs/>
                <w:color w:val="000000"/>
                <w:szCs w:val="24"/>
              </w:rPr>
            </w:pPr>
          </w:p>
        </w:tc>
        <w:tc>
          <w:tcPr>
            <w:tcW w:w="1727"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E257EA" w14:textId="77777777" w:rsidR="00431BE4" w:rsidRPr="00EA0B42" w:rsidRDefault="00431BE4" w:rsidP="00620605">
            <w:pPr>
              <w:spacing w:after="0" w:line="240" w:lineRule="auto"/>
              <w:rPr>
                <w:rFonts w:ascii="Arial" w:eastAsia="Times New Roman" w:hAnsi="Arial" w:cs="Arial"/>
                <w:b/>
                <w:bCs/>
                <w:color w:val="000000"/>
                <w:szCs w:val="24"/>
              </w:rPr>
            </w:pPr>
          </w:p>
        </w:tc>
        <w:tc>
          <w:tcPr>
            <w:tcW w:w="2492" w:type="dxa"/>
            <w:tcBorders>
              <w:top w:val="nil"/>
              <w:left w:val="nil"/>
              <w:bottom w:val="single" w:sz="8" w:space="0" w:color="000000"/>
              <w:right w:val="single" w:sz="8" w:space="0" w:color="000000"/>
            </w:tcBorders>
            <w:shd w:val="clear" w:color="auto" w:fill="auto"/>
            <w:vAlign w:val="center"/>
            <w:hideMark/>
          </w:tcPr>
          <w:p w14:paraId="28536674" w14:textId="77777777" w:rsidR="00431BE4" w:rsidRPr="00EA0B42" w:rsidRDefault="00431BE4" w:rsidP="00620605">
            <w:pPr>
              <w:spacing w:after="0" w:line="240" w:lineRule="auto"/>
              <w:jc w:val="center"/>
              <w:rPr>
                <w:rFonts w:ascii="Arial" w:eastAsia="Times New Roman" w:hAnsi="Arial" w:cs="Arial"/>
                <w:b/>
                <w:bCs/>
                <w:color w:val="000000"/>
                <w:szCs w:val="24"/>
              </w:rPr>
            </w:pPr>
            <w:r w:rsidRPr="00EA0B42">
              <w:rPr>
                <w:rFonts w:ascii="Arial" w:eastAsia="Times New Roman" w:hAnsi="Arial" w:cs="Arial"/>
                <w:b/>
                <w:bCs/>
                <w:color w:val="000000"/>
                <w:szCs w:val="24"/>
              </w:rPr>
              <w:t>(Degrees from N)</w:t>
            </w:r>
          </w:p>
        </w:tc>
      </w:tr>
      <w:tr w:rsidR="00431BE4" w:rsidRPr="000D6BF8" w14:paraId="41F0186D" w14:textId="77777777" w:rsidTr="00620605">
        <w:trPr>
          <w:trHeight w:val="340"/>
        </w:trPr>
        <w:tc>
          <w:tcPr>
            <w:tcW w:w="1982" w:type="dxa"/>
            <w:tcBorders>
              <w:top w:val="nil"/>
              <w:left w:val="single" w:sz="8" w:space="0" w:color="000000"/>
              <w:bottom w:val="single" w:sz="8" w:space="0" w:color="000000"/>
              <w:right w:val="single" w:sz="8" w:space="0" w:color="000000"/>
            </w:tcBorders>
            <w:shd w:val="clear" w:color="auto" w:fill="auto"/>
            <w:vAlign w:val="center"/>
            <w:hideMark/>
          </w:tcPr>
          <w:p w14:paraId="45E18911"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C</w:t>
            </w:r>
          </w:p>
        </w:tc>
        <w:tc>
          <w:tcPr>
            <w:tcW w:w="1648" w:type="dxa"/>
            <w:tcBorders>
              <w:top w:val="nil"/>
              <w:left w:val="nil"/>
              <w:bottom w:val="single" w:sz="8" w:space="0" w:color="000000"/>
              <w:right w:val="single" w:sz="8" w:space="0" w:color="000000"/>
            </w:tcBorders>
            <w:shd w:val="clear" w:color="auto" w:fill="auto"/>
            <w:vAlign w:val="center"/>
            <w:hideMark/>
          </w:tcPr>
          <w:p w14:paraId="78541BE0"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5300</w:t>
            </w:r>
          </w:p>
        </w:tc>
        <w:tc>
          <w:tcPr>
            <w:tcW w:w="1511" w:type="dxa"/>
            <w:tcBorders>
              <w:top w:val="nil"/>
              <w:left w:val="nil"/>
              <w:bottom w:val="single" w:sz="8" w:space="0" w:color="000000"/>
              <w:right w:val="single" w:sz="8" w:space="0" w:color="000000"/>
            </w:tcBorders>
            <w:shd w:val="clear" w:color="auto" w:fill="auto"/>
            <w:vAlign w:val="center"/>
            <w:hideMark/>
          </w:tcPr>
          <w:p w14:paraId="4DBE6440"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2960</w:t>
            </w:r>
          </w:p>
        </w:tc>
        <w:tc>
          <w:tcPr>
            <w:tcW w:w="1727" w:type="dxa"/>
            <w:tcBorders>
              <w:top w:val="nil"/>
              <w:left w:val="nil"/>
              <w:bottom w:val="single" w:sz="8" w:space="0" w:color="000000"/>
              <w:right w:val="single" w:sz="8" w:space="0" w:color="000000"/>
            </w:tcBorders>
            <w:shd w:val="clear" w:color="auto" w:fill="auto"/>
            <w:vAlign w:val="center"/>
            <w:hideMark/>
          </w:tcPr>
          <w:p w14:paraId="1C18B91A" w14:textId="77777777" w:rsidR="00431BE4" w:rsidRPr="000D6BF8" w:rsidRDefault="00431BE4" w:rsidP="00620605">
            <w:pPr>
              <w:spacing w:after="0" w:line="240" w:lineRule="auto"/>
              <w:jc w:val="center"/>
              <w:rPr>
                <w:rFonts w:ascii="Arial" w:eastAsia="Times New Roman" w:hAnsi="Arial" w:cs="Arial"/>
                <w:color w:val="000000"/>
                <w:szCs w:val="24"/>
              </w:rPr>
            </w:pPr>
            <w:r w:rsidRPr="00642583">
              <w:rPr>
                <w:rFonts w:ascii="Arial" w:eastAsia="Times New Roman" w:hAnsi="Arial" w:cs="Arial"/>
                <w:color w:val="000000"/>
                <w:szCs w:val="24"/>
              </w:rPr>
              <w:t>4.85</w:t>
            </w:r>
          </w:p>
        </w:tc>
        <w:tc>
          <w:tcPr>
            <w:tcW w:w="2492" w:type="dxa"/>
            <w:tcBorders>
              <w:top w:val="nil"/>
              <w:left w:val="nil"/>
              <w:bottom w:val="single" w:sz="8" w:space="0" w:color="000000"/>
              <w:right w:val="single" w:sz="8" w:space="0" w:color="000000"/>
            </w:tcBorders>
            <w:shd w:val="clear" w:color="auto" w:fill="auto"/>
            <w:vAlign w:val="center"/>
          </w:tcPr>
          <w:p w14:paraId="7B81E9B7"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-12</w:t>
            </w:r>
          </w:p>
        </w:tc>
      </w:tr>
      <w:tr w:rsidR="00431BE4" w:rsidRPr="000D6BF8" w14:paraId="5C3FC324" w14:textId="77777777" w:rsidTr="00620605">
        <w:trPr>
          <w:trHeight w:val="340"/>
        </w:trPr>
        <w:tc>
          <w:tcPr>
            <w:tcW w:w="1982" w:type="dxa"/>
            <w:tcBorders>
              <w:top w:val="nil"/>
              <w:left w:val="single" w:sz="8" w:space="0" w:color="000000"/>
              <w:bottom w:val="single" w:sz="8" w:space="0" w:color="000000"/>
              <w:right w:val="single" w:sz="8" w:space="0" w:color="000000"/>
            </w:tcBorders>
            <w:shd w:val="clear" w:color="auto" w:fill="auto"/>
            <w:vAlign w:val="center"/>
            <w:hideMark/>
          </w:tcPr>
          <w:p w14:paraId="32E5ECAF"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B</w:t>
            </w:r>
          </w:p>
        </w:tc>
        <w:tc>
          <w:tcPr>
            <w:tcW w:w="1648" w:type="dxa"/>
            <w:tcBorders>
              <w:top w:val="nil"/>
              <w:left w:val="nil"/>
              <w:bottom w:val="single" w:sz="8" w:space="0" w:color="000000"/>
              <w:right w:val="single" w:sz="8" w:space="0" w:color="000000"/>
            </w:tcBorders>
            <w:shd w:val="clear" w:color="auto" w:fill="auto"/>
            <w:vAlign w:val="center"/>
            <w:hideMark/>
          </w:tcPr>
          <w:p w14:paraId="39B5BC4F"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4700</w:t>
            </w:r>
          </w:p>
        </w:tc>
        <w:tc>
          <w:tcPr>
            <w:tcW w:w="1511" w:type="dxa"/>
            <w:tcBorders>
              <w:top w:val="nil"/>
              <w:left w:val="nil"/>
              <w:bottom w:val="single" w:sz="8" w:space="0" w:color="000000"/>
              <w:right w:val="single" w:sz="8" w:space="0" w:color="000000"/>
            </w:tcBorders>
            <w:shd w:val="clear" w:color="auto" w:fill="auto"/>
            <w:vAlign w:val="center"/>
            <w:hideMark/>
          </w:tcPr>
          <w:p w14:paraId="0C05E829"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4000</w:t>
            </w:r>
          </w:p>
        </w:tc>
        <w:tc>
          <w:tcPr>
            <w:tcW w:w="1727" w:type="dxa"/>
            <w:tcBorders>
              <w:top w:val="nil"/>
              <w:left w:val="nil"/>
              <w:bottom w:val="single" w:sz="8" w:space="0" w:color="000000"/>
              <w:right w:val="single" w:sz="8" w:space="0" w:color="000000"/>
            </w:tcBorders>
            <w:shd w:val="clear" w:color="auto" w:fill="auto"/>
            <w:vAlign w:val="center"/>
            <w:hideMark/>
          </w:tcPr>
          <w:p w14:paraId="59A82EFB" w14:textId="77777777" w:rsidR="00431BE4" w:rsidRPr="000D6BF8" w:rsidRDefault="00431BE4" w:rsidP="00620605">
            <w:pPr>
              <w:spacing w:after="0" w:line="240" w:lineRule="auto"/>
              <w:jc w:val="center"/>
              <w:rPr>
                <w:rFonts w:ascii="Arial" w:eastAsia="Times New Roman" w:hAnsi="Arial" w:cs="Arial"/>
                <w:color w:val="000000"/>
                <w:szCs w:val="24"/>
              </w:rPr>
            </w:pPr>
            <w:r w:rsidRPr="00642583">
              <w:rPr>
                <w:rFonts w:ascii="Arial" w:eastAsia="Times New Roman" w:hAnsi="Arial" w:cs="Arial"/>
                <w:color w:val="000000"/>
                <w:szCs w:val="24"/>
              </w:rPr>
              <w:t>5.73</w:t>
            </w:r>
          </w:p>
        </w:tc>
        <w:tc>
          <w:tcPr>
            <w:tcW w:w="2492" w:type="dxa"/>
            <w:tcBorders>
              <w:top w:val="nil"/>
              <w:left w:val="nil"/>
              <w:bottom w:val="single" w:sz="8" w:space="0" w:color="000000"/>
              <w:right w:val="single" w:sz="8" w:space="0" w:color="000000"/>
            </w:tcBorders>
            <w:shd w:val="clear" w:color="auto" w:fill="auto"/>
            <w:vAlign w:val="center"/>
          </w:tcPr>
          <w:p w14:paraId="241F34F8"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4.8</w:t>
            </w:r>
          </w:p>
        </w:tc>
      </w:tr>
      <w:tr w:rsidR="00431BE4" w:rsidRPr="000D6BF8" w14:paraId="7CE152BE" w14:textId="77777777" w:rsidTr="00620605">
        <w:trPr>
          <w:trHeight w:val="340"/>
        </w:trPr>
        <w:tc>
          <w:tcPr>
            <w:tcW w:w="1982" w:type="dxa"/>
            <w:tcBorders>
              <w:top w:val="nil"/>
              <w:left w:val="single" w:sz="8" w:space="0" w:color="000000"/>
              <w:bottom w:val="single" w:sz="8" w:space="0" w:color="000000"/>
              <w:right w:val="single" w:sz="8" w:space="0" w:color="000000"/>
            </w:tcBorders>
            <w:shd w:val="clear" w:color="auto" w:fill="auto"/>
            <w:vAlign w:val="center"/>
            <w:hideMark/>
          </w:tcPr>
          <w:p w14:paraId="152E2CFF" w14:textId="77777777" w:rsidR="00431BE4" w:rsidRPr="000D6BF8" w:rsidRDefault="00431BE4" w:rsidP="00620605">
            <w:pPr>
              <w:spacing w:after="0" w:line="240" w:lineRule="auto"/>
              <w:jc w:val="center"/>
              <w:rPr>
                <w:rFonts w:ascii="Arial" w:eastAsia="Times New Roman" w:hAnsi="Arial" w:cs="Arial"/>
                <w:color w:val="000000"/>
                <w:szCs w:val="24"/>
              </w:rPr>
            </w:pPr>
            <w:r w:rsidRPr="000D6BF8">
              <w:rPr>
                <w:rFonts w:ascii="Arial" w:eastAsia="Times New Roman" w:hAnsi="Arial" w:cs="Arial"/>
                <w:color w:val="000000"/>
                <w:szCs w:val="24"/>
              </w:rPr>
              <w:t>Arbuckle A</w:t>
            </w:r>
          </w:p>
        </w:tc>
        <w:tc>
          <w:tcPr>
            <w:tcW w:w="1648" w:type="dxa"/>
            <w:tcBorders>
              <w:top w:val="nil"/>
              <w:left w:val="nil"/>
              <w:bottom w:val="single" w:sz="8" w:space="0" w:color="000000"/>
              <w:right w:val="single" w:sz="8" w:space="0" w:color="000000"/>
            </w:tcBorders>
            <w:shd w:val="clear" w:color="auto" w:fill="auto"/>
            <w:vAlign w:val="center"/>
            <w:hideMark/>
          </w:tcPr>
          <w:p w14:paraId="27810236"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6900</w:t>
            </w:r>
          </w:p>
        </w:tc>
        <w:tc>
          <w:tcPr>
            <w:tcW w:w="1511" w:type="dxa"/>
            <w:tcBorders>
              <w:top w:val="nil"/>
              <w:left w:val="nil"/>
              <w:bottom w:val="single" w:sz="8" w:space="0" w:color="000000"/>
              <w:right w:val="single" w:sz="8" w:space="0" w:color="000000"/>
            </w:tcBorders>
            <w:shd w:val="clear" w:color="auto" w:fill="auto"/>
            <w:vAlign w:val="center"/>
            <w:hideMark/>
          </w:tcPr>
          <w:p w14:paraId="1B3EA7B6"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4500</w:t>
            </w:r>
          </w:p>
        </w:tc>
        <w:tc>
          <w:tcPr>
            <w:tcW w:w="1727" w:type="dxa"/>
            <w:tcBorders>
              <w:top w:val="nil"/>
              <w:left w:val="nil"/>
              <w:bottom w:val="single" w:sz="8" w:space="0" w:color="000000"/>
              <w:right w:val="single" w:sz="8" w:space="0" w:color="000000"/>
            </w:tcBorders>
            <w:shd w:val="clear" w:color="auto" w:fill="auto"/>
            <w:vAlign w:val="center"/>
            <w:hideMark/>
          </w:tcPr>
          <w:p w14:paraId="4DB4BFA4" w14:textId="77777777" w:rsidR="00431BE4" w:rsidRPr="000D6BF8" w:rsidRDefault="00431BE4" w:rsidP="00620605">
            <w:pPr>
              <w:spacing w:after="0" w:line="240" w:lineRule="auto"/>
              <w:jc w:val="center"/>
              <w:rPr>
                <w:rFonts w:ascii="Arial" w:eastAsia="Times New Roman" w:hAnsi="Arial" w:cs="Arial"/>
                <w:color w:val="000000"/>
                <w:szCs w:val="24"/>
              </w:rPr>
            </w:pPr>
            <w:r w:rsidRPr="00642583">
              <w:rPr>
                <w:rFonts w:ascii="Arial" w:eastAsia="Times New Roman" w:hAnsi="Arial" w:cs="Arial"/>
                <w:color w:val="000000"/>
                <w:szCs w:val="24"/>
              </w:rPr>
              <w:t>5.98</w:t>
            </w:r>
          </w:p>
        </w:tc>
        <w:tc>
          <w:tcPr>
            <w:tcW w:w="2492" w:type="dxa"/>
            <w:tcBorders>
              <w:top w:val="nil"/>
              <w:left w:val="nil"/>
              <w:bottom w:val="single" w:sz="8" w:space="0" w:color="000000"/>
              <w:right w:val="single" w:sz="8" w:space="0" w:color="000000"/>
            </w:tcBorders>
            <w:shd w:val="clear" w:color="auto" w:fill="auto"/>
            <w:vAlign w:val="center"/>
          </w:tcPr>
          <w:p w14:paraId="2A28DE35" w14:textId="77777777" w:rsidR="00431BE4" w:rsidRPr="000D6BF8" w:rsidRDefault="00431BE4" w:rsidP="00620605">
            <w:pPr>
              <w:spacing w:after="0" w:line="240" w:lineRule="auto"/>
              <w:jc w:val="center"/>
              <w:rPr>
                <w:rFonts w:ascii="Arial" w:eastAsia="Times New Roman" w:hAnsi="Arial" w:cs="Arial"/>
                <w:color w:val="000000"/>
                <w:szCs w:val="24"/>
              </w:rPr>
            </w:pPr>
            <w:r>
              <w:rPr>
                <w:rFonts w:ascii="Arial" w:eastAsia="Times New Roman" w:hAnsi="Arial" w:cs="Arial"/>
                <w:color w:val="000000"/>
                <w:szCs w:val="24"/>
              </w:rPr>
              <w:t>-4</w:t>
            </w:r>
          </w:p>
        </w:tc>
      </w:tr>
    </w:tbl>
    <w:p w14:paraId="6B304BC4" w14:textId="77777777" w:rsidR="00431BE4" w:rsidRDefault="00431BE4" w:rsidP="00431BE4">
      <w:pPr>
        <w:rPr>
          <w:rFonts w:cs="Times New Roman"/>
          <w:szCs w:val="24"/>
        </w:rPr>
      </w:pPr>
      <w:r w:rsidRPr="00B45A8A">
        <w:rPr>
          <w:rFonts w:cs="Times New Roman"/>
          <w:szCs w:val="24"/>
        </w:rPr>
        <w:t xml:space="preserve">Appendix </w:t>
      </w:r>
      <w:r>
        <w:rPr>
          <w:rFonts w:cs="Times New Roman"/>
          <w:szCs w:val="24"/>
        </w:rPr>
        <w:t>A</w:t>
      </w:r>
      <w:r w:rsidRPr="00B45A8A">
        <w:rPr>
          <w:rFonts w:cs="Times New Roman"/>
          <w:szCs w:val="24"/>
        </w:rPr>
        <w:t>-</w:t>
      </w:r>
      <w:r>
        <w:rPr>
          <w:rFonts w:cs="Times New Roman"/>
          <w:szCs w:val="24"/>
        </w:rPr>
        <w:t>4</w:t>
      </w:r>
      <w:r w:rsidRPr="00B45A8A">
        <w:rPr>
          <w:rFonts w:cs="Times New Roman"/>
          <w:szCs w:val="24"/>
        </w:rPr>
        <w:t xml:space="preserve">: Variogram ranges and azimuth for the </w:t>
      </w:r>
      <w:r>
        <w:rPr>
          <w:rFonts w:cs="Times New Roman"/>
          <w:szCs w:val="24"/>
        </w:rPr>
        <w:t>permeability</w:t>
      </w:r>
      <w:r w:rsidRPr="00B45A8A">
        <w:rPr>
          <w:rFonts w:cs="Times New Roman"/>
          <w:szCs w:val="24"/>
        </w:rPr>
        <w:t xml:space="preserve"> model separated by zone. Horizontal range and azimuths were extracted from the variogram maps created from the porosity trend volume. The vertical ranges were estimated through variography for each zone by petrofacies. </w:t>
      </w:r>
    </w:p>
    <w:p w14:paraId="05FF2EE6" w14:textId="77777777" w:rsidR="00431BE4" w:rsidRDefault="00431BE4" w:rsidP="00DE7461">
      <w:pPr>
        <w:pStyle w:val="Heading2"/>
      </w:pPr>
      <w:bookmarkStart w:id="674" w:name="_Toc121095998"/>
      <w:r>
        <w:lastRenderedPageBreak/>
        <w:t>Appendix B</w:t>
      </w:r>
      <w:bookmarkEnd w:id="674"/>
    </w:p>
    <w:p w14:paraId="1625397F" w14:textId="77777777" w:rsidR="00B34D67" w:rsidRDefault="00431BE4" w:rsidP="00B34D67">
      <w:pPr>
        <w:keepNext/>
        <w:tabs>
          <w:tab w:val="left" w:pos="9270"/>
        </w:tabs>
        <w:jc w:val="center"/>
      </w:pPr>
      <w:r>
        <w:rPr>
          <w:rFonts w:ascii="Arial" w:hAnsi="Arial" w:cs="Arial"/>
          <w:noProof/>
          <w:szCs w:val="24"/>
        </w:rPr>
        <w:drawing>
          <wp:inline distT="0" distB="0" distL="0" distR="0" wp14:anchorId="383FE8C2" wp14:editId="06D12256">
            <wp:extent cx="5943600" cy="3507158"/>
            <wp:effectExtent l="0" t="0" r="0" b="0"/>
            <wp:docPr id="30"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57463" cy="3515338"/>
                    </a:xfrm>
                    <a:prstGeom prst="rect">
                      <a:avLst/>
                    </a:prstGeom>
                    <a:noFill/>
                  </pic:spPr>
                </pic:pic>
              </a:graphicData>
            </a:graphic>
          </wp:inline>
        </w:drawing>
      </w:r>
    </w:p>
    <w:p w14:paraId="2C0F8C00" w14:textId="39F33003" w:rsidR="008965A5" w:rsidRPr="00B34D67" w:rsidRDefault="00B34D67" w:rsidP="00B34D67">
      <w:pPr>
        <w:pStyle w:val="Caption"/>
        <w:jc w:val="left"/>
        <w:rPr>
          <w:b/>
          <w:bCs/>
        </w:rPr>
      </w:pPr>
      <w:bookmarkStart w:id="675" w:name="_Toc121095799"/>
      <w:r w:rsidRPr="00B34D67">
        <w:rPr>
          <w:b/>
          <w:bCs/>
        </w:rPr>
        <w:t xml:space="preserve">Figure 3-B. </w:t>
      </w:r>
      <w:r w:rsidRPr="00B34D67">
        <w:rPr>
          <w:b/>
          <w:bCs/>
        </w:rPr>
        <w:fldChar w:fldCharType="begin"/>
      </w:r>
      <w:r w:rsidRPr="00B34D67">
        <w:rPr>
          <w:b/>
          <w:bCs/>
        </w:rPr>
        <w:instrText xml:space="preserve"> SEQ Figure_3-B. \* ARABIC </w:instrText>
      </w:r>
      <w:r w:rsidRPr="00B34D67">
        <w:rPr>
          <w:b/>
          <w:bCs/>
        </w:rPr>
        <w:fldChar w:fldCharType="separate"/>
      </w:r>
      <w:r w:rsidR="00B52D1E">
        <w:rPr>
          <w:b/>
          <w:bCs/>
          <w:noProof/>
        </w:rPr>
        <w:t>1</w:t>
      </w:r>
      <w:r w:rsidRPr="00B34D67">
        <w:rPr>
          <w:b/>
          <w:bCs/>
        </w:rPr>
        <w:fldChar w:fldCharType="end"/>
      </w:r>
      <w:r w:rsidRPr="00B34D67">
        <w:rPr>
          <w:b/>
          <w:bCs/>
        </w:rPr>
        <w:t xml:space="preserve">: </w:t>
      </w:r>
      <w:r w:rsidR="00431BE4" w:rsidRPr="006E3A83">
        <w:t>Linear relationship used to generate porosity trend volume for porosity modeling</w:t>
      </w:r>
      <w:r w:rsidR="00431BE4">
        <w:t>.</w:t>
      </w:r>
      <w:bookmarkEnd w:id="675"/>
      <w:r w:rsidR="008965A5">
        <w:br w:type="page"/>
      </w:r>
    </w:p>
    <w:p w14:paraId="40E538EA" w14:textId="77777777" w:rsidR="00431BE4" w:rsidRDefault="00431BE4" w:rsidP="00DE7461">
      <w:pPr>
        <w:pStyle w:val="Heading2"/>
      </w:pPr>
      <w:bookmarkStart w:id="676" w:name="_Toc121095999"/>
      <w:r>
        <w:lastRenderedPageBreak/>
        <w:t>Appendix C</w:t>
      </w:r>
      <w:bookmarkEnd w:id="676"/>
    </w:p>
    <w:tbl>
      <w:tblPr>
        <w:tblW w:w="9164" w:type="dxa"/>
        <w:tblLayout w:type="fixed"/>
        <w:tblLook w:val="04A0" w:firstRow="1" w:lastRow="0" w:firstColumn="1" w:lastColumn="0" w:noHBand="0" w:noVBand="1"/>
      </w:tblPr>
      <w:tblGrid>
        <w:gridCol w:w="1461"/>
        <w:gridCol w:w="1255"/>
        <w:gridCol w:w="1178"/>
        <w:gridCol w:w="1178"/>
        <w:gridCol w:w="963"/>
        <w:gridCol w:w="1255"/>
        <w:gridCol w:w="1874"/>
      </w:tblGrid>
      <w:tr w:rsidR="002A3325" w:rsidRPr="002A3325" w14:paraId="2BE56699" w14:textId="77777777" w:rsidTr="00B34D67">
        <w:trPr>
          <w:trHeight w:val="443"/>
        </w:trPr>
        <w:tc>
          <w:tcPr>
            <w:tcW w:w="1461" w:type="dxa"/>
            <w:tcBorders>
              <w:top w:val="single" w:sz="8" w:space="0" w:color="auto"/>
              <w:left w:val="single" w:sz="8" w:space="0" w:color="auto"/>
              <w:bottom w:val="nil"/>
              <w:right w:val="single" w:sz="8" w:space="0" w:color="auto"/>
            </w:tcBorders>
            <w:shd w:val="clear" w:color="auto" w:fill="auto"/>
            <w:noWrap/>
            <w:vAlign w:val="center"/>
            <w:hideMark/>
          </w:tcPr>
          <w:p w14:paraId="373BB09F"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DEPTH</w:t>
            </w:r>
          </w:p>
        </w:tc>
        <w:tc>
          <w:tcPr>
            <w:tcW w:w="1255" w:type="dxa"/>
            <w:tcBorders>
              <w:top w:val="single" w:sz="8" w:space="0" w:color="auto"/>
              <w:left w:val="nil"/>
              <w:bottom w:val="nil"/>
              <w:right w:val="single" w:sz="8" w:space="0" w:color="auto"/>
            </w:tcBorders>
            <w:shd w:val="clear" w:color="auto" w:fill="auto"/>
            <w:noWrap/>
            <w:vAlign w:val="center"/>
            <w:hideMark/>
          </w:tcPr>
          <w:p w14:paraId="07F38B52"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Na</w:t>
            </w:r>
          </w:p>
        </w:tc>
        <w:tc>
          <w:tcPr>
            <w:tcW w:w="1178" w:type="dxa"/>
            <w:tcBorders>
              <w:top w:val="single" w:sz="8" w:space="0" w:color="auto"/>
              <w:left w:val="nil"/>
              <w:bottom w:val="nil"/>
              <w:right w:val="single" w:sz="8" w:space="0" w:color="auto"/>
            </w:tcBorders>
            <w:shd w:val="clear" w:color="auto" w:fill="auto"/>
            <w:noWrap/>
            <w:vAlign w:val="center"/>
            <w:hideMark/>
          </w:tcPr>
          <w:p w14:paraId="25348E2D"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Ca</w:t>
            </w:r>
          </w:p>
        </w:tc>
        <w:tc>
          <w:tcPr>
            <w:tcW w:w="1178" w:type="dxa"/>
            <w:tcBorders>
              <w:top w:val="single" w:sz="8" w:space="0" w:color="auto"/>
              <w:left w:val="nil"/>
              <w:bottom w:val="nil"/>
              <w:right w:val="single" w:sz="8" w:space="0" w:color="auto"/>
            </w:tcBorders>
            <w:shd w:val="clear" w:color="auto" w:fill="auto"/>
            <w:noWrap/>
            <w:vAlign w:val="center"/>
            <w:hideMark/>
          </w:tcPr>
          <w:p w14:paraId="6C3F0F77"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Mg</w:t>
            </w:r>
          </w:p>
        </w:tc>
        <w:tc>
          <w:tcPr>
            <w:tcW w:w="963" w:type="dxa"/>
            <w:tcBorders>
              <w:top w:val="single" w:sz="8" w:space="0" w:color="auto"/>
              <w:left w:val="nil"/>
              <w:bottom w:val="nil"/>
              <w:right w:val="single" w:sz="8" w:space="0" w:color="auto"/>
            </w:tcBorders>
            <w:shd w:val="clear" w:color="auto" w:fill="auto"/>
            <w:noWrap/>
            <w:vAlign w:val="center"/>
            <w:hideMark/>
          </w:tcPr>
          <w:p w14:paraId="4A412E22"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Br</w:t>
            </w:r>
          </w:p>
        </w:tc>
        <w:tc>
          <w:tcPr>
            <w:tcW w:w="1255" w:type="dxa"/>
            <w:tcBorders>
              <w:top w:val="single" w:sz="8" w:space="0" w:color="auto"/>
              <w:left w:val="nil"/>
              <w:bottom w:val="nil"/>
              <w:right w:val="single" w:sz="8" w:space="0" w:color="auto"/>
            </w:tcBorders>
            <w:shd w:val="clear" w:color="auto" w:fill="auto"/>
            <w:noWrap/>
            <w:vAlign w:val="center"/>
            <w:hideMark/>
          </w:tcPr>
          <w:p w14:paraId="4193A964"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Cl</w:t>
            </w:r>
          </w:p>
        </w:tc>
        <w:tc>
          <w:tcPr>
            <w:tcW w:w="187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EBCA3C2" w14:textId="1BE9E862" w:rsidR="00B34D67"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S04</w:t>
            </w:r>
          </w:p>
          <w:p w14:paraId="7784B27E" w14:textId="77777777" w:rsidR="00B34D67" w:rsidRDefault="00B34D67" w:rsidP="002A3325">
            <w:pPr>
              <w:spacing w:before="0" w:after="0" w:line="240" w:lineRule="auto"/>
              <w:jc w:val="center"/>
              <w:rPr>
                <w:rFonts w:ascii="Arial" w:eastAsia="Times New Roman" w:hAnsi="Arial" w:cs="Arial"/>
                <w:color w:val="000000"/>
                <w:szCs w:val="24"/>
              </w:rPr>
            </w:pPr>
          </w:p>
          <w:p w14:paraId="58D62F67" w14:textId="669A0B9E"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 xml:space="preserve"> (mg/l)</w:t>
            </w:r>
          </w:p>
        </w:tc>
      </w:tr>
      <w:tr w:rsidR="002A3325" w:rsidRPr="002A3325" w14:paraId="422A39E7" w14:textId="77777777" w:rsidTr="00B34D67">
        <w:trPr>
          <w:trHeight w:val="461"/>
        </w:trPr>
        <w:tc>
          <w:tcPr>
            <w:tcW w:w="1461" w:type="dxa"/>
            <w:tcBorders>
              <w:top w:val="nil"/>
              <w:left w:val="single" w:sz="8" w:space="0" w:color="auto"/>
              <w:bottom w:val="single" w:sz="8" w:space="0" w:color="auto"/>
              <w:right w:val="single" w:sz="8" w:space="0" w:color="auto"/>
            </w:tcBorders>
            <w:shd w:val="clear" w:color="auto" w:fill="auto"/>
            <w:noWrap/>
            <w:vAlign w:val="center"/>
            <w:hideMark/>
          </w:tcPr>
          <w:p w14:paraId="1A9DCFCE"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 xml:space="preserve"> (ft)</w:t>
            </w:r>
          </w:p>
        </w:tc>
        <w:tc>
          <w:tcPr>
            <w:tcW w:w="1255" w:type="dxa"/>
            <w:tcBorders>
              <w:top w:val="nil"/>
              <w:left w:val="nil"/>
              <w:bottom w:val="single" w:sz="8" w:space="0" w:color="auto"/>
              <w:right w:val="single" w:sz="8" w:space="0" w:color="auto"/>
            </w:tcBorders>
            <w:shd w:val="clear" w:color="auto" w:fill="auto"/>
            <w:noWrap/>
            <w:vAlign w:val="center"/>
            <w:hideMark/>
          </w:tcPr>
          <w:p w14:paraId="3339CB9B"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(mg/l)</w:t>
            </w:r>
          </w:p>
        </w:tc>
        <w:tc>
          <w:tcPr>
            <w:tcW w:w="1178" w:type="dxa"/>
            <w:tcBorders>
              <w:top w:val="nil"/>
              <w:left w:val="nil"/>
              <w:bottom w:val="single" w:sz="8" w:space="0" w:color="auto"/>
              <w:right w:val="single" w:sz="8" w:space="0" w:color="auto"/>
            </w:tcBorders>
            <w:shd w:val="clear" w:color="auto" w:fill="auto"/>
            <w:noWrap/>
            <w:vAlign w:val="center"/>
            <w:hideMark/>
          </w:tcPr>
          <w:p w14:paraId="4B44D4DF"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(mg/l)</w:t>
            </w:r>
          </w:p>
        </w:tc>
        <w:tc>
          <w:tcPr>
            <w:tcW w:w="1178" w:type="dxa"/>
            <w:tcBorders>
              <w:top w:val="nil"/>
              <w:left w:val="nil"/>
              <w:bottom w:val="single" w:sz="8" w:space="0" w:color="auto"/>
              <w:right w:val="single" w:sz="8" w:space="0" w:color="auto"/>
            </w:tcBorders>
            <w:shd w:val="clear" w:color="auto" w:fill="auto"/>
            <w:noWrap/>
            <w:vAlign w:val="center"/>
            <w:hideMark/>
          </w:tcPr>
          <w:p w14:paraId="2AA74781"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(mg/l)</w:t>
            </w:r>
          </w:p>
        </w:tc>
        <w:tc>
          <w:tcPr>
            <w:tcW w:w="963" w:type="dxa"/>
            <w:tcBorders>
              <w:top w:val="nil"/>
              <w:left w:val="nil"/>
              <w:bottom w:val="single" w:sz="8" w:space="0" w:color="auto"/>
              <w:right w:val="single" w:sz="8" w:space="0" w:color="auto"/>
            </w:tcBorders>
            <w:shd w:val="clear" w:color="auto" w:fill="auto"/>
            <w:noWrap/>
            <w:vAlign w:val="center"/>
            <w:hideMark/>
          </w:tcPr>
          <w:p w14:paraId="6E6EE731"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(mg/l)</w:t>
            </w:r>
          </w:p>
        </w:tc>
        <w:tc>
          <w:tcPr>
            <w:tcW w:w="1255" w:type="dxa"/>
            <w:tcBorders>
              <w:top w:val="nil"/>
              <w:left w:val="nil"/>
              <w:bottom w:val="single" w:sz="8" w:space="0" w:color="auto"/>
              <w:right w:val="single" w:sz="8" w:space="0" w:color="auto"/>
            </w:tcBorders>
            <w:shd w:val="clear" w:color="auto" w:fill="auto"/>
            <w:noWrap/>
            <w:vAlign w:val="center"/>
            <w:hideMark/>
          </w:tcPr>
          <w:p w14:paraId="2FA84002"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(mg/l)</w:t>
            </w:r>
          </w:p>
        </w:tc>
        <w:tc>
          <w:tcPr>
            <w:tcW w:w="1874" w:type="dxa"/>
            <w:vMerge/>
            <w:tcBorders>
              <w:top w:val="single" w:sz="8" w:space="0" w:color="auto"/>
              <w:left w:val="single" w:sz="8" w:space="0" w:color="auto"/>
              <w:bottom w:val="single" w:sz="8" w:space="0" w:color="000000"/>
              <w:right w:val="single" w:sz="8" w:space="0" w:color="auto"/>
            </w:tcBorders>
            <w:vAlign w:val="center"/>
            <w:hideMark/>
          </w:tcPr>
          <w:p w14:paraId="64AC5448" w14:textId="77777777" w:rsidR="002A3325" w:rsidRPr="002A3325" w:rsidRDefault="002A3325" w:rsidP="002A3325">
            <w:pPr>
              <w:spacing w:before="0" w:after="0" w:line="240" w:lineRule="auto"/>
              <w:jc w:val="left"/>
              <w:rPr>
                <w:rFonts w:ascii="Arial" w:eastAsia="Times New Roman" w:hAnsi="Arial" w:cs="Arial"/>
                <w:color w:val="000000"/>
                <w:szCs w:val="24"/>
              </w:rPr>
            </w:pPr>
          </w:p>
        </w:tc>
      </w:tr>
      <w:tr w:rsidR="002A3325" w:rsidRPr="002A3325" w14:paraId="23AE9D7A" w14:textId="77777777" w:rsidTr="00B34D67">
        <w:trPr>
          <w:trHeight w:val="461"/>
        </w:trPr>
        <w:tc>
          <w:tcPr>
            <w:tcW w:w="1461" w:type="dxa"/>
            <w:tcBorders>
              <w:top w:val="nil"/>
              <w:left w:val="single" w:sz="8" w:space="0" w:color="auto"/>
              <w:bottom w:val="single" w:sz="8" w:space="0" w:color="auto"/>
              <w:right w:val="single" w:sz="8" w:space="0" w:color="auto"/>
            </w:tcBorders>
            <w:shd w:val="clear" w:color="auto" w:fill="auto"/>
            <w:noWrap/>
            <w:vAlign w:val="center"/>
            <w:hideMark/>
          </w:tcPr>
          <w:p w14:paraId="68FC3466"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4147</w:t>
            </w:r>
          </w:p>
        </w:tc>
        <w:tc>
          <w:tcPr>
            <w:tcW w:w="1255" w:type="dxa"/>
            <w:tcBorders>
              <w:top w:val="nil"/>
              <w:left w:val="nil"/>
              <w:bottom w:val="single" w:sz="8" w:space="0" w:color="auto"/>
              <w:right w:val="single" w:sz="8" w:space="0" w:color="auto"/>
            </w:tcBorders>
            <w:shd w:val="clear" w:color="auto" w:fill="auto"/>
            <w:noWrap/>
            <w:vAlign w:val="center"/>
            <w:hideMark/>
          </w:tcPr>
          <w:p w14:paraId="2E7312F5"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31500</w:t>
            </w:r>
          </w:p>
        </w:tc>
        <w:tc>
          <w:tcPr>
            <w:tcW w:w="1178" w:type="dxa"/>
            <w:tcBorders>
              <w:top w:val="nil"/>
              <w:left w:val="nil"/>
              <w:bottom w:val="single" w:sz="8" w:space="0" w:color="auto"/>
              <w:right w:val="single" w:sz="8" w:space="0" w:color="auto"/>
            </w:tcBorders>
            <w:shd w:val="clear" w:color="auto" w:fill="auto"/>
            <w:noWrap/>
            <w:vAlign w:val="center"/>
            <w:hideMark/>
          </w:tcPr>
          <w:p w14:paraId="0FAB1C0C"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5030</w:t>
            </w:r>
          </w:p>
        </w:tc>
        <w:tc>
          <w:tcPr>
            <w:tcW w:w="1178" w:type="dxa"/>
            <w:tcBorders>
              <w:top w:val="nil"/>
              <w:left w:val="nil"/>
              <w:bottom w:val="single" w:sz="8" w:space="0" w:color="auto"/>
              <w:right w:val="single" w:sz="8" w:space="0" w:color="auto"/>
            </w:tcBorders>
            <w:shd w:val="clear" w:color="auto" w:fill="auto"/>
            <w:noWrap/>
            <w:vAlign w:val="center"/>
            <w:hideMark/>
          </w:tcPr>
          <w:p w14:paraId="325FA013"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880</w:t>
            </w:r>
          </w:p>
        </w:tc>
        <w:tc>
          <w:tcPr>
            <w:tcW w:w="963" w:type="dxa"/>
            <w:tcBorders>
              <w:top w:val="nil"/>
              <w:left w:val="nil"/>
              <w:bottom w:val="single" w:sz="8" w:space="0" w:color="auto"/>
              <w:right w:val="single" w:sz="8" w:space="0" w:color="auto"/>
            </w:tcBorders>
            <w:shd w:val="clear" w:color="auto" w:fill="auto"/>
            <w:noWrap/>
            <w:vAlign w:val="center"/>
            <w:hideMark/>
          </w:tcPr>
          <w:p w14:paraId="198CB6B9"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120</w:t>
            </w:r>
          </w:p>
        </w:tc>
        <w:tc>
          <w:tcPr>
            <w:tcW w:w="1255" w:type="dxa"/>
            <w:tcBorders>
              <w:top w:val="nil"/>
              <w:left w:val="nil"/>
              <w:bottom w:val="single" w:sz="8" w:space="0" w:color="auto"/>
              <w:right w:val="single" w:sz="8" w:space="0" w:color="auto"/>
            </w:tcBorders>
            <w:shd w:val="clear" w:color="auto" w:fill="auto"/>
            <w:noWrap/>
            <w:vAlign w:val="center"/>
            <w:hideMark/>
          </w:tcPr>
          <w:p w14:paraId="464A8510"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65800</w:t>
            </w:r>
          </w:p>
        </w:tc>
        <w:tc>
          <w:tcPr>
            <w:tcW w:w="1874" w:type="dxa"/>
            <w:tcBorders>
              <w:top w:val="nil"/>
              <w:left w:val="nil"/>
              <w:bottom w:val="single" w:sz="8" w:space="0" w:color="auto"/>
              <w:right w:val="single" w:sz="8" w:space="0" w:color="auto"/>
            </w:tcBorders>
            <w:shd w:val="clear" w:color="auto" w:fill="auto"/>
            <w:noWrap/>
            <w:vAlign w:val="center"/>
            <w:hideMark/>
          </w:tcPr>
          <w:p w14:paraId="33DF96F2"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99</w:t>
            </w:r>
          </w:p>
        </w:tc>
      </w:tr>
      <w:tr w:rsidR="002A3325" w:rsidRPr="002A3325" w14:paraId="67B73627" w14:textId="77777777" w:rsidTr="00B34D67">
        <w:trPr>
          <w:trHeight w:val="461"/>
        </w:trPr>
        <w:tc>
          <w:tcPr>
            <w:tcW w:w="1461" w:type="dxa"/>
            <w:tcBorders>
              <w:top w:val="nil"/>
              <w:left w:val="single" w:sz="8" w:space="0" w:color="auto"/>
              <w:bottom w:val="single" w:sz="8" w:space="0" w:color="auto"/>
              <w:right w:val="single" w:sz="8" w:space="0" w:color="auto"/>
            </w:tcBorders>
            <w:shd w:val="clear" w:color="auto" w:fill="auto"/>
            <w:noWrap/>
            <w:vAlign w:val="center"/>
            <w:hideMark/>
          </w:tcPr>
          <w:p w14:paraId="7CDC29CF"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4390</w:t>
            </w:r>
          </w:p>
        </w:tc>
        <w:tc>
          <w:tcPr>
            <w:tcW w:w="1255" w:type="dxa"/>
            <w:tcBorders>
              <w:top w:val="nil"/>
              <w:left w:val="nil"/>
              <w:bottom w:val="single" w:sz="8" w:space="0" w:color="auto"/>
              <w:right w:val="single" w:sz="8" w:space="0" w:color="auto"/>
            </w:tcBorders>
            <w:shd w:val="clear" w:color="auto" w:fill="auto"/>
            <w:noWrap/>
            <w:vAlign w:val="center"/>
            <w:hideMark/>
          </w:tcPr>
          <w:p w14:paraId="253CD7E5"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17400</w:t>
            </w:r>
          </w:p>
        </w:tc>
        <w:tc>
          <w:tcPr>
            <w:tcW w:w="1178" w:type="dxa"/>
            <w:tcBorders>
              <w:top w:val="nil"/>
              <w:left w:val="nil"/>
              <w:bottom w:val="single" w:sz="8" w:space="0" w:color="auto"/>
              <w:right w:val="single" w:sz="8" w:space="0" w:color="auto"/>
            </w:tcBorders>
            <w:shd w:val="clear" w:color="auto" w:fill="auto"/>
            <w:noWrap/>
            <w:vAlign w:val="center"/>
            <w:hideMark/>
          </w:tcPr>
          <w:p w14:paraId="2A334309"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2150</w:t>
            </w:r>
          </w:p>
        </w:tc>
        <w:tc>
          <w:tcPr>
            <w:tcW w:w="1178" w:type="dxa"/>
            <w:tcBorders>
              <w:top w:val="nil"/>
              <w:left w:val="nil"/>
              <w:bottom w:val="single" w:sz="8" w:space="0" w:color="auto"/>
              <w:right w:val="single" w:sz="8" w:space="0" w:color="auto"/>
            </w:tcBorders>
            <w:shd w:val="clear" w:color="auto" w:fill="auto"/>
            <w:noWrap/>
            <w:vAlign w:val="center"/>
            <w:hideMark/>
          </w:tcPr>
          <w:p w14:paraId="0B9F77C1"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460</w:t>
            </w:r>
          </w:p>
        </w:tc>
        <w:tc>
          <w:tcPr>
            <w:tcW w:w="963" w:type="dxa"/>
            <w:tcBorders>
              <w:top w:val="nil"/>
              <w:left w:val="nil"/>
              <w:bottom w:val="single" w:sz="8" w:space="0" w:color="auto"/>
              <w:right w:val="single" w:sz="8" w:space="0" w:color="auto"/>
            </w:tcBorders>
            <w:shd w:val="clear" w:color="auto" w:fill="auto"/>
            <w:noWrap/>
            <w:vAlign w:val="center"/>
            <w:hideMark/>
          </w:tcPr>
          <w:p w14:paraId="7FC1E586"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75.9</w:t>
            </w:r>
          </w:p>
        </w:tc>
        <w:tc>
          <w:tcPr>
            <w:tcW w:w="1255" w:type="dxa"/>
            <w:tcBorders>
              <w:top w:val="nil"/>
              <w:left w:val="nil"/>
              <w:bottom w:val="single" w:sz="8" w:space="0" w:color="auto"/>
              <w:right w:val="single" w:sz="8" w:space="0" w:color="auto"/>
            </w:tcBorders>
            <w:shd w:val="clear" w:color="auto" w:fill="auto"/>
            <w:noWrap/>
            <w:vAlign w:val="center"/>
            <w:hideMark/>
          </w:tcPr>
          <w:p w14:paraId="4C8F51A5"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32000</w:t>
            </w:r>
          </w:p>
        </w:tc>
        <w:tc>
          <w:tcPr>
            <w:tcW w:w="1874" w:type="dxa"/>
            <w:tcBorders>
              <w:top w:val="nil"/>
              <w:left w:val="nil"/>
              <w:bottom w:val="single" w:sz="8" w:space="0" w:color="auto"/>
              <w:right w:val="single" w:sz="8" w:space="0" w:color="auto"/>
            </w:tcBorders>
            <w:shd w:val="clear" w:color="auto" w:fill="auto"/>
            <w:noWrap/>
            <w:vAlign w:val="center"/>
            <w:hideMark/>
          </w:tcPr>
          <w:p w14:paraId="313C0C78"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2524</w:t>
            </w:r>
          </w:p>
        </w:tc>
      </w:tr>
      <w:tr w:rsidR="002A3325" w:rsidRPr="002A3325" w14:paraId="47B07A63" w14:textId="77777777" w:rsidTr="00B34D67">
        <w:trPr>
          <w:trHeight w:val="461"/>
        </w:trPr>
        <w:tc>
          <w:tcPr>
            <w:tcW w:w="1461" w:type="dxa"/>
            <w:tcBorders>
              <w:top w:val="nil"/>
              <w:left w:val="single" w:sz="8" w:space="0" w:color="auto"/>
              <w:bottom w:val="single" w:sz="8" w:space="0" w:color="auto"/>
              <w:right w:val="single" w:sz="8" w:space="0" w:color="auto"/>
            </w:tcBorders>
            <w:shd w:val="clear" w:color="auto" w:fill="auto"/>
            <w:noWrap/>
            <w:vAlign w:val="center"/>
            <w:hideMark/>
          </w:tcPr>
          <w:p w14:paraId="7AA558D8"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4512</w:t>
            </w:r>
          </w:p>
        </w:tc>
        <w:tc>
          <w:tcPr>
            <w:tcW w:w="1255" w:type="dxa"/>
            <w:tcBorders>
              <w:top w:val="nil"/>
              <w:left w:val="nil"/>
              <w:bottom w:val="single" w:sz="8" w:space="0" w:color="auto"/>
              <w:right w:val="single" w:sz="8" w:space="0" w:color="auto"/>
            </w:tcBorders>
            <w:shd w:val="clear" w:color="auto" w:fill="auto"/>
            <w:noWrap/>
            <w:vAlign w:val="center"/>
            <w:hideMark/>
          </w:tcPr>
          <w:p w14:paraId="344E5F24"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15900</w:t>
            </w:r>
          </w:p>
        </w:tc>
        <w:tc>
          <w:tcPr>
            <w:tcW w:w="1178" w:type="dxa"/>
            <w:tcBorders>
              <w:top w:val="nil"/>
              <w:left w:val="nil"/>
              <w:bottom w:val="single" w:sz="8" w:space="0" w:color="auto"/>
              <w:right w:val="single" w:sz="8" w:space="0" w:color="auto"/>
            </w:tcBorders>
            <w:shd w:val="clear" w:color="auto" w:fill="auto"/>
            <w:noWrap/>
            <w:vAlign w:val="center"/>
            <w:hideMark/>
          </w:tcPr>
          <w:p w14:paraId="3DA4A78B"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1500</w:t>
            </w:r>
          </w:p>
        </w:tc>
        <w:tc>
          <w:tcPr>
            <w:tcW w:w="1178" w:type="dxa"/>
            <w:tcBorders>
              <w:top w:val="nil"/>
              <w:left w:val="nil"/>
              <w:bottom w:val="single" w:sz="8" w:space="0" w:color="auto"/>
              <w:right w:val="single" w:sz="8" w:space="0" w:color="auto"/>
            </w:tcBorders>
            <w:shd w:val="clear" w:color="auto" w:fill="auto"/>
            <w:noWrap/>
            <w:vAlign w:val="center"/>
            <w:hideMark/>
          </w:tcPr>
          <w:p w14:paraId="70BC5390"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347</w:t>
            </w:r>
          </w:p>
        </w:tc>
        <w:tc>
          <w:tcPr>
            <w:tcW w:w="963" w:type="dxa"/>
            <w:tcBorders>
              <w:top w:val="nil"/>
              <w:left w:val="nil"/>
              <w:bottom w:val="single" w:sz="8" w:space="0" w:color="auto"/>
              <w:right w:val="single" w:sz="8" w:space="0" w:color="auto"/>
            </w:tcBorders>
            <w:shd w:val="clear" w:color="auto" w:fill="auto"/>
            <w:noWrap/>
            <w:vAlign w:val="center"/>
            <w:hideMark/>
          </w:tcPr>
          <w:p w14:paraId="03DEB3E0"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79.7</w:t>
            </w:r>
          </w:p>
        </w:tc>
        <w:tc>
          <w:tcPr>
            <w:tcW w:w="1255" w:type="dxa"/>
            <w:tcBorders>
              <w:top w:val="nil"/>
              <w:left w:val="nil"/>
              <w:bottom w:val="single" w:sz="8" w:space="0" w:color="auto"/>
              <w:right w:val="single" w:sz="8" w:space="0" w:color="auto"/>
            </w:tcBorders>
            <w:shd w:val="clear" w:color="auto" w:fill="auto"/>
            <w:noWrap/>
            <w:vAlign w:val="center"/>
            <w:hideMark/>
          </w:tcPr>
          <w:p w14:paraId="11A755E5"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30500</w:t>
            </w:r>
          </w:p>
        </w:tc>
        <w:tc>
          <w:tcPr>
            <w:tcW w:w="1874" w:type="dxa"/>
            <w:tcBorders>
              <w:top w:val="nil"/>
              <w:left w:val="nil"/>
              <w:bottom w:val="single" w:sz="8" w:space="0" w:color="auto"/>
              <w:right w:val="single" w:sz="8" w:space="0" w:color="auto"/>
            </w:tcBorders>
            <w:shd w:val="clear" w:color="auto" w:fill="auto"/>
            <w:noWrap/>
            <w:vAlign w:val="center"/>
            <w:hideMark/>
          </w:tcPr>
          <w:p w14:paraId="5B96EA89" w14:textId="77777777" w:rsidR="002A3325" w:rsidRPr="002A3325" w:rsidRDefault="002A3325" w:rsidP="002A3325">
            <w:pPr>
              <w:spacing w:before="0" w:after="0" w:line="240" w:lineRule="auto"/>
              <w:jc w:val="center"/>
              <w:rPr>
                <w:rFonts w:ascii="Arial" w:eastAsia="Times New Roman" w:hAnsi="Arial" w:cs="Arial"/>
                <w:color w:val="000000"/>
                <w:szCs w:val="24"/>
              </w:rPr>
            </w:pPr>
            <w:r w:rsidRPr="002A3325">
              <w:rPr>
                <w:rFonts w:ascii="Arial" w:eastAsia="Times New Roman" w:hAnsi="Arial" w:cs="Arial"/>
                <w:color w:val="000000"/>
                <w:szCs w:val="24"/>
              </w:rPr>
              <w:t>590</w:t>
            </w:r>
          </w:p>
        </w:tc>
      </w:tr>
    </w:tbl>
    <w:p w14:paraId="61A377CC" w14:textId="4E7EE4D8" w:rsidR="00431BE4" w:rsidRDefault="00B34D67" w:rsidP="00431BE4">
      <w:pPr>
        <w:rPr>
          <w:rFonts w:cs="Times New Roman"/>
          <w:szCs w:val="24"/>
        </w:rPr>
      </w:pPr>
      <w:r>
        <w:rPr>
          <w:rFonts w:cs="Times New Roman"/>
          <w:szCs w:val="24"/>
        </w:rPr>
        <w:t xml:space="preserve">Appendix C-1: </w:t>
      </w:r>
      <w:r w:rsidR="00431BE4" w:rsidRPr="0079130E">
        <w:rPr>
          <w:rFonts w:cs="Times New Roman"/>
          <w:szCs w:val="24"/>
        </w:rPr>
        <w:t xml:space="preserve">Table showing the ion concentrations used for brine speciation of Arbuckle aquifer. Brine samples </w:t>
      </w:r>
      <w:r w:rsidR="00287F05">
        <w:rPr>
          <w:rFonts w:cs="Times New Roman"/>
          <w:szCs w:val="24"/>
        </w:rPr>
        <w:t xml:space="preserve">were </w:t>
      </w:r>
      <w:r w:rsidR="00431BE4" w:rsidRPr="0079130E">
        <w:rPr>
          <w:rFonts w:cs="Times New Roman"/>
          <w:szCs w:val="24"/>
        </w:rPr>
        <w:t>collected from Berexco Wellington KGS #1-32 well at</w:t>
      </w:r>
      <w:r w:rsidR="00431BE4">
        <w:rPr>
          <w:rFonts w:cs="Times New Roman"/>
          <w:szCs w:val="24"/>
        </w:rPr>
        <w:t xml:space="preserve"> various</w:t>
      </w:r>
      <w:r w:rsidR="00431BE4" w:rsidRPr="0079130E">
        <w:rPr>
          <w:rFonts w:cs="Times New Roman"/>
          <w:szCs w:val="24"/>
        </w:rPr>
        <w:t xml:space="preserve"> depths within the Arbuckle group. (Taken from Kansas Geological Survey KGS brine database, URL=http://www.kgs.ku.edu/Magellan/Brine/index.html, Accessed: March 2022). </w:t>
      </w:r>
    </w:p>
    <w:p w14:paraId="799124BA" w14:textId="25C3BFFC" w:rsidR="008C5575" w:rsidRDefault="008C5575" w:rsidP="004D3379"/>
    <w:p w14:paraId="61A8E15D" w14:textId="7B8E6FEA" w:rsidR="005C4306" w:rsidRDefault="005C4306" w:rsidP="004D3379"/>
    <w:p w14:paraId="22685C1F" w14:textId="2C7EA729" w:rsidR="005C4306" w:rsidRDefault="005C4306" w:rsidP="004D3379"/>
    <w:p w14:paraId="11DFA7A4" w14:textId="0DCC2227" w:rsidR="005C4306" w:rsidRDefault="005C4306" w:rsidP="004D3379"/>
    <w:p w14:paraId="6B46EC9C" w14:textId="46AA58F5" w:rsidR="005C4306" w:rsidRDefault="005C4306" w:rsidP="004D3379"/>
    <w:p w14:paraId="10238074" w14:textId="28001F0C" w:rsidR="005C4306" w:rsidRDefault="005C4306" w:rsidP="004D3379"/>
    <w:p w14:paraId="27B3E514" w14:textId="1FB4D6B1" w:rsidR="005C4306" w:rsidRDefault="005C4306" w:rsidP="004D3379"/>
    <w:p w14:paraId="07F53214" w14:textId="77777777" w:rsidR="00B34D67" w:rsidRDefault="00A4401A" w:rsidP="00B34D67">
      <w:pPr>
        <w:keepNext/>
      </w:pPr>
      <w:r>
        <w:rPr>
          <w:noProof/>
        </w:rPr>
        <w:lastRenderedPageBreak/>
        <w:drawing>
          <wp:inline distT="0" distB="0" distL="0" distR="0" wp14:anchorId="0EA53CC0" wp14:editId="4CC78791">
            <wp:extent cx="5924940" cy="383770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51558" cy="3854950"/>
                    </a:xfrm>
                    <a:prstGeom prst="rect">
                      <a:avLst/>
                    </a:prstGeom>
                    <a:noFill/>
                  </pic:spPr>
                </pic:pic>
              </a:graphicData>
            </a:graphic>
          </wp:inline>
        </w:drawing>
      </w:r>
    </w:p>
    <w:p w14:paraId="6D63DDE4" w14:textId="5647ED1C" w:rsidR="00A4401A" w:rsidRPr="00B34D67" w:rsidRDefault="00B34D67" w:rsidP="00B34D67">
      <w:pPr>
        <w:pStyle w:val="Caption"/>
      </w:pPr>
      <w:bookmarkStart w:id="677" w:name="_Toc121095834"/>
      <w:r w:rsidRPr="00B34D67">
        <w:rPr>
          <w:b/>
          <w:bCs/>
        </w:rPr>
        <w:t xml:space="preserve">Figure 3-C. </w:t>
      </w:r>
      <w:r w:rsidRPr="00B34D67">
        <w:rPr>
          <w:b/>
          <w:bCs/>
        </w:rPr>
        <w:fldChar w:fldCharType="begin"/>
      </w:r>
      <w:r w:rsidRPr="00B34D67">
        <w:rPr>
          <w:b/>
          <w:bCs/>
        </w:rPr>
        <w:instrText xml:space="preserve"> SEQ Figure_3-C. \* ARABIC </w:instrText>
      </w:r>
      <w:r w:rsidRPr="00B34D67">
        <w:rPr>
          <w:b/>
          <w:bCs/>
        </w:rPr>
        <w:fldChar w:fldCharType="separate"/>
      </w:r>
      <w:r w:rsidR="00B52D1E">
        <w:rPr>
          <w:b/>
          <w:bCs/>
          <w:noProof/>
        </w:rPr>
        <w:t>1</w:t>
      </w:r>
      <w:r w:rsidRPr="00B34D67">
        <w:rPr>
          <w:b/>
          <w:bCs/>
        </w:rPr>
        <w:fldChar w:fldCharType="end"/>
      </w:r>
      <w:r w:rsidR="00A4401A">
        <w:rPr>
          <w:rFonts w:cs="Times New Roman"/>
          <w:szCs w:val="24"/>
        </w:rPr>
        <w:t xml:space="preserve">: 3D models of </w:t>
      </w:r>
      <w:r w:rsidR="00501E9A">
        <w:rPr>
          <w:rFonts w:cs="Times New Roman"/>
          <w:szCs w:val="24"/>
        </w:rPr>
        <w:t>dissolved ion concentrations created by using the values shown in Appendix C-1.</w:t>
      </w:r>
      <w:bookmarkEnd w:id="677"/>
    </w:p>
    <w:p w14:paraId="337B623C" w14:textId="27583B61" w:rsidR="00156438" w:rsidRDefault="00156438" w:rsidP="004D3379">
      <w:pPr>
        <w:rPr>
          <w:rFonts w:cs="Times New Roman"/>
          <w:szCs w:val="24"/>
        </w:rPr>
      </w:pPr>
    </w:p>
    <w:p w14:paraId="7EEABD3E" w14:textId="011C1D33" w:rsidR="00156438" w:rsidRDefault="00156438" w:rsidP="004D3379">
      <w:pPr>
        <w:rPr>
          <w:rFonts w:cs="Times New Roman"/>
          <w:szCs w:val="24"/>
        </w:rPr>
      </w:pPr>
    </w:p>
    <w:p w14:paraId="2E98EF04" w14:textId="3A862F8B" w:rsidR="00156438" w:rsidRDefault="00156438" w:rsidP="004D3379">
      <w:pPr>
        <w:rPr>
          <w:rFonts w:cs="Times New Roman"/>
          <w:szCs w:val="24"/>
        </w:rPr>
      </w:pPr>
    </w:p>
    <w:p w14:paraId="48DABBF1" w14:textId="59349E86" w:rsidR="00156438" w:rsidRDefault="00156438" w:rsidP="004D3379">
      <w:pPr>
        <w:rPr>
          <w:rFonts w:cs="Times New Roman"/>
          <w:szCs w:val="24"/>
        </w:rPr>
      </w:pPr>
    </w:p>
    <w:p w14:paraId="52B26228" w14:textId="54393813" w:rsidR="00156438" w:rsidRDefault="00156438" w:rsidP="004D3379">
      <w:pPr>
        <w:rPr>
          <w:rFonts w:cs="Times New Roman"/>
          <w:szCs w:val="24"/>
        </w:rPr>
      </w:pPr>
    </w:p>
    <w:p w14:paraId="32292604" w14:textId="3A47158E" w:rsidR="00156438" w:rsidRDefault="00156438" w:rsidP="004D3379">
      <w:pPr>
        <w:rPr>
          <w:rFonts w:cs="Times New Roman"/>
          <w:szCs w:val="24"/>
        </w:rPr>
      </w:pPr>
    </w:p>
    <w:p w14:paraId="5412C8F1" w14:textId="77777777" w:rsidR="00B34D67" w:rsidRDefault="00B34D67" w:rsidP="004D3379">
      <w:pPr>
        <w:rPr>
          <w:rFonts w:cs="Times New Roman"/>
          <w:szCs w:val="24"/>
        </w:rPr>
      </w:pPr>
    </w:p>
    <w:tbl>
      <w:tblPr>
        <w:tblW w:w="0" w:type="auto"/>
        <w:tblLook w:val="04A0" w:firstRow="1" w:lastRow="0" w:firstColumn="1" w:lastColumn="0" w:noHBand="0" w:noVBand="1"/>
      </w:tblPr>
      <w:tblGrid>
        <w:gridCol w:w="1913"/>
        <w:gridCol w:w="3302"/>
        <w:gridCol w:w="4135"/>
      </w:tblGrid>
      <w:tr w:rsidR="00AF03EF" w:rsidRPr="00AF03EF" w14:paraId="1B137381" w14:textId="77777777" w:rsidTr="00E47224">
        <w:trPr>
          <w:trHeight w:val="312"/>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C16D5" w14:textId="77777777" w:rsidR="00AF03EF" w:rsidRPr="00806E5F" w:rsidRDefault="00AF03EF" w:rsidP="00AF03EF">
            <w:pPr>
              <w:spacing w:before="0" w:after="0" w:line="240" w:lineRule="auto"/>
              <w:jc w:val="center"/>
              <w:rPr>
                <w:rFonts w:ascii="Arial" w:eastAsia="Times New Roman" w:hAnsi="Arial" w:cs="Arial"/>
                <w:color w:val="000000"/>
                <w:szCs w:val="24"/>
              </w:rPr>
            </w:pPr>
            <w:r w:rsidRPr="00806E5F">
              <w:rPr>
                <w:rFonts w:ascii="Arial" w:eastAsia="Times New Roman" w:hAnsi="Arial" w:cs="Arial"/>
                <w:color w:val="000000"/>
                <w:szCs w:val="24"/>
              </w:rPr>
              <w:lastRenderedPageBreak/>
              <w:t>Parameters</w:t>
            </w:r>
          </w:p>
        </w:tc>
        <w:tc>
          <w:tcPr>
            <w:tcW w:w="743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349A62" w14:textId="77777777" w:rsidR="00AF03EF" w:rsidRPr="00806E5F" w:rsidRDefault="00AF03EF" w:rsidP="00AF03EF">
            <w:pPr>
              <w:spacing w:before="0" w:after="0" w:line="240" w:lineRule="auto"/>
              <w:jc w:val="center"/>
              <w:rPr>
                <w:rFonts w:ascii="Arial" w:eastAsia="Times New Roman" w:hAnsi="Arial" w:cs="Arial"/>
                <w:color w:val="000000"/>
                <w:szCs w:val="24"/>
              </w:rPr>
            </w:pPr>
            <w:r w:rsidRPr="00806E5F">
              <w:rPr>
                <w:rFonts w:ascii="Arial" w:eastAsia="Times New Roman" w:hAnsi="Arial" w:cs="Arial"/>
                <w:color w:val="000000"/>
                <w:szCs w:val="24"/>
              </w:rPr>
              <w:t>Value</w:t>
            </w:r>
          </w:p>
        </w:tc>
      </w:tr>
      <w:tr w:rsidR="00806E5F" w:rsidRPr="00AF03EF" w14:paraId="06718E17" w14:textId="77777777" w:rsidTr="00E47224">
        <w:trPr>
          <w:trHeight w:val="804"/>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14:paraId="5442D46F" w14:textId="77777777" w:rsidR="00AF03EF" w:rsidRPr="00806E5F" w:rsidRDefault="00AF03EF" w:rsidP="00AF03EF">
            <w:pPr>
              <w:spacing w:before="0" w:after="0" w:line="240" w:lineRule="auto"/>
              <w:jc w:val="center"/>
              <w:rPr>
                <w:rFonts w:ascii="Arial" w:eastAsia="Times New Roman" w:hAnsi="Arial" w:cs="Arial"/>
                <w:color w:val="000000"/>
                <w:szCs w:val="24"/>
              </w:rPr>
            </w:pPr>
            <w:r w:rsidRPr="00806E5F">
              <w:rPr>
                <w:rFonts w:ascii="Arial" w:eastAsia="Times New Roman" w:hAnsi="Arial" w:cs="Arial"/>
                <w:color w:val="000000"/>
                <w:szCs w:val="24"/>
              </w:rPr>
              <w:t>Pressure</w:t>
            </w:r>
          </w:p>
        </w:tc>
        <w:tc>
          <w:tcPr>
            <w:tcW w:w="3302" w:type="dxa"/>
            <w:tcBorders>
              <w:top w:val="nil"/>
              <w:left w:val="nil"/>
              <w:bottom w:val="single" w:sz="4" w:space="0" w:color="auto"/>
              <w:right w:val="single" w:sz="4" w:space="0" w:color="auto"/>
            </w:tcBorders>
            <w:shd w:val="clear" w:color="auto" w:fill="auto"/>
            <w:noWrap/>
            <w:vAlign w:val="center"/>
            <w:hideMark/>
          </w:tcPr>
          <w:p w14:paraId="22DC857C" w14:textId="77777777" w:rsidR="00AF03EF" w:rsidRPr="00AF03EF" w:rsidRDefault="00AF03EF" w:rsidP="00AF03E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At the datum depth of 4169 ft (1270m)</w:t>
            </w:r>
          </w:p>
        </w:tc>
        <w:tc>
          <w:tcPr>
            <w:tcW w:w="4135" w:type="dxa"/>
            <w:tcBorders>
              <w:top w:val="nil"/>
              <w:left w:val="nil"/>
              <w:bottom w:val="single" w:sz="4" w:space="0" w:color="auto"/>
              <w:right w:val="single" w:sz="4" w:space="0" w:color="auto"/>
            </w:tcBorders>
            <w:shd w:val="clear" w:color="auto" w:fill="auto"/>
            <w:noWrap/>
            <w:vAlign w:val="center"/>
            <w:hideMark/>
          </w:tcPr>
          <w:p w14:paraId="00F9B3C0" w14:textId="494534AE" w:rsidR="00AF03EF" w:rsidRPr="00AF03EF" w:rsidRDefault="00AF03EF" w:rsidP="00AF03E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144 bar (2093 psi)</w:t>
            </w:r>
          </w:p>
        </w:tc>
      </w:tr>
      <w:tr w:rsidR="00806E5F" w:rsidRPr="00AF03EF" w14:paraId="0465F4E0" w14:textId="77777777" w:rsidTr="00E47224">
        <w:trPr>
          <w:trHeight w:val="696"/>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14:paraId="4D64CAD1" w14:textId="77777777" w:rsidR="00AF03EF" w:rsidRPr="00806E5F" w:rsidRDefault="00AF03EF" w:rsidP="00AF03EF">
            <w:pPr>
              <w:spacing w:before="0" w:after="0" w:line="240" w:lineRule="auto"/>
              <w:jc w:val="center"/>
              <w:rPr>
                <w:rFonts w:ascii="Arial" w:eastAsia="Times New Roman" w:hAnsi="Arial" w:cs="Arial"/>
                <w:color w:val="000000"/>
                <w:szCs w:val="24"/>
              </w:rPr>
            </w:pPr>
            <w:r w:rsidRPr="00806E5F">
              <w:rPr>
                <w:rFonts w:ascii="Arial" w:eastAsia="Times New Roman" w:hAnsi="Arial" w:cs="Arial"/>
                <w:color w:val="000000"/>
                <w:szCs w:val="24"/>
              </w:rPr>
              <w:t>Temperature</w:t>
            </w:r>
          </w:p>
        </w:tc>
        <w:tc>
          <w:tcPr>
            <w:tcW w:w="3302" w:type="dxa"/>
            <w:tcBorders>
              <w:top w:val="nil"/>
              <w:left w:val="nil"/>
              <w:bottom w:val="single" w:sz="4" w:space="0" w:color="auto"/>
              <w:right w:val="single" w:sz="4" w:space="0" w:color="auto"/>
            </w:tcBorders>
            <w:shd w:val="clear" w:color="auto" w:fill="auto"/>
            <w:noWrap/>
            <w:vAlign w:val="center"/>
            <w:hideMark/>
          </w:tcPr>
          <w:p w14:paraId="2EC59DAF" w14:textId="77777777" w:rsidR="00AF03EF" w:rsidRPr="00AF03EF" w:rsidRDefault="00AF03EF" w:rsidP="00AF03E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 </w:t>
            </w:r>
          </w:p>
        </w:tc>
        <w:tc>
          <w:tcPr>
            <w:tcW w:w="4135" w:type="dxa"/>
            <w:tcBorders>
              <w:top w:val="nil"/>
              <w:left w:val="nil"/>
              <w:bottom w:val="single" w:sz="4" w:space="0" w:color="auto"/>
              <w:right w:val="single" w:sz="4" w:space="0" w:color="auto"/>
            </w:tcBorders>
            <w:shd w:val="clear" w:color="auto" w:fill="auto"/>
            <w:noWrap/>
            <w:vAlign w:val="center"/>
            <w:hideMark/>
          </w:tcPr>
          <w:p w14:paraId="6E3F106C" w14:textId="77777777" w:rsidR="00AF03EF" w:rsidRPr="00AF03EF" w:rsidRDefault="00AF03EF" w:rsidP="00AF03E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60 deg C (140 degF)</w:t>
            </w:r>
          </w:p>
        </w:tc>
      </w:tr>
      <w:tr w:rsidR="00806E5F" w:rsidRPr="00AF03EF" w14:paraId="4761EA83" w14:textId="77777777" w:rsidTr="00E47224">
        <w:trPr>
          <w:trHeight w:val="504"/>
        </w:trPr>
        <w:tc>
          <w:tcPr>
            <w:tcW w:w="191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6FEFBE" w14:textId="77777777" w:rsidR="00AF03EF" w:rsidRPr="00806E5F" w:rsidRDefault="00AF03EF" w:rsidP="00D92009">
            <w:pPr>
              <w:spacing w:before="0" w:after="0" w:line="240" w:lineRule="auto"/>
              <w:jc w:val="center"/>
              <w:rPr>
                <w:rFonts w:ascii="Arial" w:eastAsia="Times New Roman" w:hAnsi="Arial" w:cs="Arial"/>
                <w:color w:val="000000"/>
                <w:szCs w:val="24"/>
              </w:rPr>
            </w:pPr>
            <w:r w:rsidRPr="00806E5F">
              <w:rPr>
                <w:rFonts w:ascii="Arial" w:eastAsia="Times New Roman" w:hAnsi="Arial" w:cs="Arial"/>
                <w:color w:val="000000"/>
                <w:szCs w:val="24"/>
              </w:rPr>
              <w:t>Compaction</w:t>
            </w:r>
          </w:p>
        </w:tc>
        <w:tc>
          <w:tcPr>
            <w:tcW w:w="3302" w:type="dxa"/>
            <w:tcBorders>
              <w:top w:val="nil"/>
              <w:left w:val="nil"/>
              <w:bottom w:val="single" w:sz="4" w:space="0" w:color="auto"/>
              <w:right w:val="single" w:sz="4" w:space="0" w:color="auto"/>
            </w:tcBorders>
            <w:shd w:val="clear" w:color="auto" w:fill="auto"/>
            <w:noWrap/>
            <w:vAlign w:val="center"/>
            <w:hideMark/>
          </w:tcPr>
          <w:p w14:paraId="1F4D38F9" w14:textId="77777777" w:rsidR="00AF03EF" w:rsidRPr="00AF03EF" w:rsidRDefault="00AF03EF" w:rsidP="00AF03E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 xml:space="preserve">Reference Pressure </w:t>
            </w:r>
          </w:p>
        </w:tc>
        <w:tc>
          <w:tcPr>
            <w:tcW w:w="4135" w:type="dxa"/>
            <w:tcBorders>
              <w:top w:val="nil"/>
              <w:left w:val="nil"/>
              <w:bottom w:val="single" w:sz="4" w:space="0" w:color="auto"/>
              <w:right w:val="single" w:sz="4" w:space="0" w:color="auto"/>
            </w:tcBorders>
            <w:shd w:val="clear" w:color="auto" w:fill="auto"/>
            <w:noWrap/>
            <w:vAlign w:val="center"/>
            <w:hideMark/>
          </w:tcPr>
          <w:p w14:paraId="708F5FFA" w14:textId="77777777" w:rsidR="00AF03EF" w:rsidRPr="00AF03EF" w:rsidRDefault="00AF03EF" w:rsidP="00AF03E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230 bar (3335.8 psi)</w:t>
            </w:r>
          </w:p>
        </w:tc>
      </w:tr>
      <w:tr w:rsidR="00806E5F" w:rsidRPr="00AF03EF" w14:paraId="4A9BB237" w14:textId="77777777" w:rsidTr="00E47224">
        <w:trPr>
          <w:trHeight w:val="468"/>
        </w:trPr>
        <w:tc>
          <w:tcPr>
            <w:tcW w:w="1913" w:type="dxa"/>
            <w:vMerge/>
            <w:tcBorders>
              <w:top w:val="nil"/>
              <w:left w:val="single" w:sz="4" w:space="0" w:color="auto"/>
              <w:bottom w:val="single" w:sz="4" w:space="0" w:color="000000"/>
              <w:right w:val="single" w:sz="4" w:space="0" w:color="auto"/>
            </w:tcBorders>
            <w:shd w:val="clear" w:color="auto" w:fill="auto"/>
            <w:vAlign w:val="center"/>
            <w:hideMark/>
          </w:tcPr>
          <w:p w14:paraId="126E84A0" w14:textId="77777777" w:rsidR="00AF03EF" w:rsidRPr="004D247B" w:rsidRDefault="00AF03EF" w:rsidP="004D247B">
            <w:pPr>
              <w:spacing w:before="0" w:after="0" w:line="240" w:lineRule="auto"/>
              <w:jc w:val="center"/>
              <w:rPr>
                <w:rFonts w:ascii="Arial" w:eastAsia="Times New Roman" w:hAnsi="Arial" w:cs="Arial"/>
                <w:color w:val="000000"/>
                <w:szCs w:val="24"/>
              </w:rPr>
            </w:pPr>
          </w:p>
        </w:tc>
        <w:tc>
          <w:tcPr>
            <w:tcW w:w="3302" w:type="dxa"/>
            <w:tcBorders>
              <w:top w:val="nil"/>
              <w:left w:val="nil"/>
              <w:bottom w:val="single" w:sz="4" w:space="0" w:color="auto"/>
              <w:right w:val="single" w:sz="4" w:space="0" w:color="auto"/>
            </w:tcBorders>
            <w:shd w:val="clear" w:color="auto" w:fill="auto"/>
            <w:noWrap/>
            <w:vAlign w:val="center"/>
            <w:hideMark/>
          </w:tcPr>
          <w:p w14:paraId="34E2AA38" w14:textId="77777777" w:rsidR="00AF03EF" w:rsidRPr="00AF03EF" w:rsidRDefault="00AF03EF" w:rsidP="00806E5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 xml:space="preserve">Rock Compressibility </w:t>
            </w:r>
          </w:p>
        </w:tc>
        <w:tc>
          <w:tcPr>
            <w:tcW w:w="4135" w:type="dxa"/>
            <w:tcBorders>
              <w:top w:val="nil"/>
              <w:left w:val="nil"/>
              <w:bottom w:val="single" w:sz="4" w:space="0" w:color="auto"/>
              <w:right w:val="single" w:sz="4" w:space="0" w:color="auto"/>
            </w:tcBorders>
            <w:shd w:val="clear" w:color="auto" w:fill="auto"/>
            <w:noWrap/>
            <w:vAlign w:val="center"/>
            <w:hideMark/>
          </w:tcPr>
          <w:p w14:paraId="76A8F3BE" w14:textId="77777777" w:rsidR="00AF03EF" w:rsidRPr="00AF03EF" w:rsidRDefault="00AF03EF" w:rsidP="00806E5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6e-5 1/bar (4.1e-6 1/psi)</w:t>
            </w:r>
          </w:p>
        </w:tc>
      </w:tr>
      <w:tr w:rsidR="00806E5F" w:rsidRPr="00AF03EF" w14:paraId="7096420B" w14:textId="77777777" w:rsidTr="00E47224">
        <w:trPr>
          <w:trHeight w:val="1488"/>
        </w:trPr>
        <w:tc>
          <w:tcPr>
            <w:tcW w:w="1913" w:type="dxa"/>
            <w:vMerge w:val="restart"/>
            <w:tcBorders>
              <w:top w:val="nil"/>
              <w:left w:val="single" w:sz="4" w:space="0" w:color="auto"/>
              <w:bottom w:val="single" w:sz="4" w:space="0" w:color="000000"/>
              <w:right w:val="single" w:sz="4" w:space="0" w:color="auto"/>
            </w:tcBorders>
            <w:shd w:val="clear" w:color="auto" w:fill="auto"/>
            <w:vAlign w:val="center"/>
            <w:hideMark/>
          </w:tcPr>
          <w:p w14:paraId="5210BAED" w14:textId="72334C40" w:rsidR="00AF03EF" w:rsidRPr="00806E5F" w:rsidRDefault="00AF03EF" w:rsidP="00806E5F">
            <w:pPr>
              <w:spacing w:before="0" w:after="0" w:line="240" w:lineRule="auto"/>
              <w:jc w:val="center"/>
              <w:rPr>
                <w:rFonts w:ascii="Arial" w:eastAsia="Times New Roman" w:hAnsi="Arial" w:cs="Arial"/>
                <w:color w:val="000000"/>
                <w:szCs w:val="24"/>
              </w:rPr>
            </w:pPr>
            <w:r w:rsidRPr="00806E5F">
              <w:rPr>
                <w:rFonts w:ascii="Arial" w:eastAsia="Times New Roman" w:hAnsi="Arial" w:cs="Arial"/>
                <w:color w:val="000000"/>
                <w:szCs w:val="24"/>
              </w:rPr>
              <w:t>Relative Permeability Parameters</w:t>
            </w:r>
          </w:p>
        </w:tc>
        <w:tc>
          <w:tcPr>
            <w:tcW w:w="3302" w:type="dxa"/>
            <w:tcBorders>
              <w:top w:val="nil"/>
              <w:left w:val="nil"/>
              <w:bottom w:val="single" w:sz="4" w:space="0" w:color="auto"/>
              <w:right w:val="single" w:sz="4" w:space="0" w:color="auto"/>
            </w:tcBorders>
            <w:shd w:val="clear" w:color="auto" w:fill="auto"/>
            <w:noWrap/>
            <w:vAlign w:val="center"/>
            <w:hideMark/>
          </w:tcPr>
          <w:p w14:paraId="66DFF2DB" w14:textId="4E6DF449" w:rsidR="00AF03EF" w:rsidRPr="00AF03EF" w:rsidRDefault="00AF03EF" w:rsidP="00AF03E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Irreducible water saturation</w:t>
            </w:r>
          </w:p>
        </w:tc>
        <w:tc>
          <w:tcPr>
            <w:tcW w:w="4135" w:type="dxa"/>
            <w:tcBorders>
              <w:top w:val="nil"/>
              <w:left w:val="nil"/>
              <w:bottom w:val="single" w:sz="4" w:space="0" w:color="auto"/>
              <w:right w:val="single" w:sz="4" w:space="0" w:color="auto"/>
            </w:tcBorders>
            <w:shd w:val="clear" w:color="auto" w:fill="auto"/>
            <w:noWrap/>
            <w:vAlign w:val="center"/>
            <w:hideMark/>
          </w:tcPr>
          <w:p w14:paraId="3874B6D1" w14:textId="77777777" w:rsidR="00AF03EF" w:rsidRPr="00AF03EF" w:rsidRDefault="00AF03EF" w:rsidP="00AF03E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0.017, 0.095, and 0.19 for each petrofacies 1,2 and 3</w:t>
            </w:r>
          </w:p>
        </w:tc>
      </w:tr>
      <w:tr w:rsidR="00806E5F" w:rsidRPr="00AF03EF" w14:paraId="40C42699" w14:textId="77777777" w:rsidTr="00E47224">
        <w:trPr>
          <w:trHeight w:val="300"/>
        </w:trPr>
        <w:tc>
          <w:tcPr>
            <w:tcW w:w="1913" w:type="dxa"/>
            <w:vMerge/>
            <w:tcBorders>
              <w:top w:val="nil"/>
              <w:left w:val="single" w:sz="4" w:space="0" w:color="auto"/>
              <w:bottom w:val="single" w:sz="4" w:space="0" w:color="000000"/>
              <w:right w:val="single" w:sz="4" w:space="0" w:color="auto"/>
            </w:tcBorders>
            <w:shd w:val="clear" w:color="auto" w:fill="auto"/>
            <w:vAlign w:val="center"/>
            <w:hideMark/>
          </w:tcPr>
          <w:p w14:paraId="4F70A332" w14:textId="77777777" w:rsidR="00AF03EF" w:rsidRPr="004D247B" w:rsidRDefault="00AF03EF" w:rsidP="004D247B">
            <w:pPr>
              <w:spacing w:before="0" w:after="0" w:line="240" w:lineRule="auto"/>
              <w:jc w:val="center"/>
              <w:rPr>
                <w:rFonts w:ascii="Arial" w:eastAsia="Times New Roman" w:hAnsi="Arial" w:cs="Arial"/>
                <w:color w:val="000000"/>
                <w:szCs w:val="24"/>
              </w:rPr>
            </w:pPr>
          </w:p>
        </w:tc>
        <w:tc>
          <w:tcPr>
            <w:tcW w:w="3302" w:type="dxa"/>
            <w:tcBorders>
              <w:top w:val="nil"/>
              <w:left w:val="nil"/>
              <w:bottom w:val="single" w:sz="4" w:space="0" w:color="auto"/>
              <w:right w:val="single" w:sz="4" w:space="0" w:color="auto"/>
            </w:tcBorders>
            <w:shd w:val="clear" w:color="auto" w:fill="auto"/>
            <w:noWrap/>
            <w:vAlign w:val="center"/>
            <w:hideMark/>
          </w:tcPr>
          <w:p w14:paraId="2F31911A" w14:textId="5393C639" w:rsidR="00AF03EF" w:rsidRPr="00AF03EF" w:rsidRDefault="00AF03EF" w:rsidP="00806E5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CO2 Corey exponent</w:t>
            </w:r>
          </w:p>
        </w:tc>
        <w:tc>
          <w:tcPr>
            <w:tcW w:w="4135" w:type="dxa"/>
            <w:tcBorders>
              <w:top w:val="nil"/>
              <w:left w:val="nil"/>
              <w:bottom w:val="single" w:sz="4" w:space="0" w:color="auto"/>
              <w:right w:val="single" w:sz="4" w:space="0" w:color="auto"/>
            </w:tcBorders>
            <w:shd w:val="clear" w:color="auto" w:fill="auto"/>
            <w:noWrap/>
            <w:vAlign w:val="center"/>
            <w:hideMark/>
          </w:tcPr>
          <w:p w14:paraId="1B98676B" w14:textId="77777777" w:rsidR="00AF03EF" w:rsidRPr="00AF03EF" w:rsidRDefault="00AF03EF" w:rsidP="00806E5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4.5, 3.9, and 3.45 for each petrofacies 1,2 and 3</w:t>
            </w:r>
          </w:p>
        </w:tc>
      </w:tr>
      <w:tr w:rsidR="00806E5F" w:rsidRPr="00AF03EF" w14:paraId="19A4D3AC" w14:textId="77777777" w:rsidTr="00E47224">
        <w:trPr>
          <w:trHeight w:val="300"/>
        </w:trPr>
        <w:tc>
          <w:tcPr>
            <w:tcW w:w="1913" w:type="dxa"/>
            <w:vMerge/>
            <w:tcBorders>
              <w:top w:val="nil"/>
              <w:left w:val="single" w:sz="4" w:space="0" w:color="auto"/>
              <w:bottom w:val="single" w:sz="4" w:space="0" w:color="000000"/>
              <w:right w:val="single" w:sz="4" w:space="0" w:color="auto"/>
            </w:tcBorders>
            <w:shd w:val="clear" w:color="auto" w:fill="auto"/>
            <w:vAlign w:val="center"/>
            <w:hideMark/>
          </w:tcPr>
          <w:p w14:paraId="4009944C" w14:textId="77777777" w:rsidR="00AF03EF" w:rsidRPr="004D247B" w:rsidRDefault="00AF03EF" w:rsidP="004D247B">
            <w:pPr>
              <w:spacing w:before="0" w:after="0" w:line="240" w:lineRule="auto"/>
              <w:jc w:val="center"/>
              <w:rPr>
                <w:rFonts w:ascii="Arial" w:eastAsia="Times New Roman" w:hAnsi="Arial" w:cs="Arial"/>
                <w:color w:val="000000"/>
                <w:szCs w:val="24"/>
              </w:rPr>
            </w:pPr>
          </w:p>
        </w:tc>
        <w:tc>
          <w:tcPr>
            <w:tcW w:w="3302" w:type="dxa"/>
            <w:tcBorders>
              <w:top w:val="nil"/>
              <w:left w:val="nil"/>
              <w:bottom w:val="single" w:sz="4" w:space="0" w:color="auto"/>
              <w:right w:val="single" w:sz="4" w:space="0" w:color="auto"/>
            </w:tcBorders>
            <w:shd w:val="clear" w:color="auto" w:fill="auto"/>
            <w:noWrap/>
            <w:vAlign w:val="center"/>
            <w:hideMark/>
          </w:tcPr>
          <w:p w14:paraId="4A8B03D9" w14:textId="233B7275" w:rsidR="00AF03EF" w:rsidRPr="00AF03EF" w:rsidRDefault="00AF03EF" w:rsidP="00806E5F">
            <w:pPr>
              <w:spacing w:before="0" w:after="0" w:line="240" w:lineRule="auto"/>
              <w:jc w:val="center"/>
              <w:rPr>
                <w:rFonts w:ascii="Arial" w:eastAsia="Times New Roman" w:hAnsi="Arial" w:cs="Arial"/>
                <w:color w:val="000000"/>
                <w:szCs w:val="24"/>
              </w:rPr>
            </w:pPr>
            <w:r>
              <w:rPr>
                <w:rFonts w:ascii="Arial" w:eastAsia="Times New Roman" w:hAnsi="Arial" w:cs="Arial"/>
                <w:color w:val="000000"/>
                <w:szCs w:val="24"/>
              </w:rPr>
              <w:t>W</w:t>
            </w:r>
            <w:r w:rsidRPr="00AF03EF">
              <w:rPr>
                <w:rFonts w:ascii="Arial" w:eastAsia="Times New Roman" w:hAnsi="Arial" w:cs="Arial"/>
                <w:color w:val="000000"/>
                <w:szCs w:val="24"/>
              </w:rPr>
              <w:t>ater Corey exponent</w:t>
            </w:r>
          </w:p>
        </w:tc>
        <w:tc>
          <w:tcPr>
            <w:tcW w:w="4135" w:type="dxa"/>
            <w:tcBorders>
              <w:top w:val="nil"/>
              <w:left w:val="nil"/>
              <w:bottom w:val="single" w:sz="4" w:space="0" w:color="auto"/>
              <w:right w:val="single" w:sz="4" w:space="0" w:color="auto"/>
            </w:tcBorders>
            <w:shd w:val="clear" w:color="auto" w:fill="auto"/>
            <w:noWrap/>
            <w:vAlign w:val="center"/>
            <w:hideMark/>
          </w:tcPr>
          <w:p w14:paraId="521F664F" w14:textId="77777777" w:rsidR="00AF03EF" w:rsidRPr="00AF03EF" w:rsidRDefault="00AF03EF" w:rsidP="00806E5F">
            <w:pPr>
              <w:spacing w:before="0" w:after="0" w:line="240" w:lineRule="auto"/>
              <w:jc w:val="center"/>
              <w:rPr>
                <w:rFonts w:ascii="Arial" w:eastAsia="Times New Roman" w:hAnsi="Arial" w:cs="Arial"/>
                <w:color w:val="000000"/>
                <w:szCs w:val="24"/>
              </w:rPr>
            </w:pPr>
            <w:r w:rsidRPr="00AF03EF">
              <w:rPr>
                <w:rFonts w:ascii="Arial" w:eastAsia="Times New Roman" w:hAnsi="Arial" w:cs="Arial"/>
                <w:color w:val="000000"/>
                <w:szCs w:val="24"/>
              </w:rPr>
              <w:t>1.91 for all petrofacies</w:t>
            </w:r>
          </w:p>
        </w:tc>
      </w:tr>
    </w:tbl>
    <w:p w14:paraId="18601622" w14:textId="1F578704" w:rsidR="00AF2662" w:rsidRDefault="00806E5F" w:rsidP="008A345F">
      <w:r>
        <w:t>Appendix C-</w:t>
      </w:r>
      <w:r w:rsidR="00B34D67">
        <w:t>2</w:t>
      </w:r>
      <w:r>
        <w:t xml:space="preserve">: </w:t>
      </w:r>
      <w:r w:rsidR="009853E9">
        <w:t xml:space="preserve">Summary of parameters used in dynamic simulation. </w:t>
      </w:r>
      <w:r w:rsidR="00171F21">
        <w:t xml:space="preserve">Relative permeability </w:t>
      </w:r>
      <w:r w:rsidR="006A4719">
        <w:t>values</w:t>
      </w:r>
      <w:r w:rsidR="00171F21">
        <w:t xml:space="preserve"> for CO</w:t>
      </w:r>
      <w:r w:rsidR="00171F21" w:rsidRPr="008A345F">
        <w:rPr>
          <w:vertAlign w:val="subscript"/>
        </w:rPr>
        <w:t>2</w:t>
      </w:r>
      <w:r w:rsidR="00171F21" w:rsidRPr="008A345F">
        <w:t>-</w:t>
      </w:r>
      <w:r w:rsidR="00D62C71">
        <w:t xml:space="preserve">brine system </w:t>
      </w:r>
      <w:r w:rsidR="0010323F">
        <w:t>were</w:t>
      </w:r>
      <w:r w:rsidR="00D62C71">
        <w:t xml:space="preserve"> </w:t>
      </w:r>
      <w:r w:rsidR="008A345F">
        <w:t xml:space="preserve">taken and modified from </w:t>
      </w:r>
      <w:r w:rsidR="00D62C71">
        <w:t>Watney and Rush (2012)</w:t>
      </w:r>
      <w:r w:rsidR="006A4719">
        <w:t xml:space="preserve">. </w:t>
      </w:r>
    </w:p>
    <w:p w14:paraId="5CFA0EB3" w14:textId="77777777" w:rsidR="008C5575" w:rsidRDefault="008C5575" w:rsidP="004D3379"/>
    <w:p w14:paraId="5AEF327F" w14:textId="77777777" w:rsidR="008C5575" w:rsidRDefault="008C5575" w:rsidP="004D3379"/>
    <w:p w14:paraId="3536E76D" w14:textId="77777777" w:rsidR="008A345F" w:rsidRDefault="008A345F" w:rsidP="004D3379"/>
    <w:p w14:paraId="5A24D407" w14:textId="77777777" w:rsidR="008A345F" w:rsidRDefault="008A345F" w:rsidP="004D3379"/>
    <w:p w14:paraId="051E229B" w14:textId="77777777" w:rsidR="008A345F" w:rsidRDefault="008A345F" w:rsidP="004D3379"/>
    <w:p w14:paraId="041AA80C" w14:textId="77777777" w:rsidR="008A345F" w:rsidRDefault="008A345F" w:rsidP="004D3379"/>
    <w:p w14:paraId="232B376F" w14:textId="77777777" w:rsidR="008A345F" w:rsidRDefault="008A345F" w:rsidP="004D3379"/>
    <w:p w14:paraId="6011F80F" w14:textId="77777777" w:rsidR="008A345F" w:rsidRDefault="008A345F" w:rsidP="004D3379"/>
    <w:p w14:paraId="68B3270F" w14:textId="141F9ACF" w:rsidR="008A345F" w:rsidRDefault="008A345F" w:rsidP="008A345F">
      <w:pPr>
        <w:pStyle w:val="Heading2"/>
      </w:pPr>
      <w:bookmarkStart w:id="678" w:name="_Toc121096000"/>
      <w:r>
        <w:lastRenderedPageBreak/>
        <w:t>Appendix D</w:t>
      </w:r>
      <w:bookmarkEnd w:id="678"/>
    </w:p>
    <w:p w14:paraId="0CEFE034" w14:textId="77777777" w:rsidR="00B34D67" w:rsidRDefault="00CB2533" w:rsidP="00B34D67">
      <w:pPr>
        <w:keepNext/>
        <w:jc w:val="center"/>
      </w:pPr>
      <w:r>
        <w:rPr>
          <w:noProof/>
        </w:rPr>
        <w:drawing>
          <wp:inline distT="0" distB="0" distL="0" distR="0" wp14:anchorId="28AE6042" wp14:editId="57635F77">
            <wp:extent cx="3719946" cy="611519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733851" cy="6138058"/>
                    </a:xfrm>
                    <a:prstGeom prst="rect">
                      <a:avLst/>
                    </a:prstGeom>
                    <a:noFill/>
                  </pic:spPr>
                </pic:pic>
              </a:graphicData>
            </a:graphic>
          </wp:inline>
        </w:drawing>
      </w:r>
    </w:p>
    <w:p w14:paraId="0D453517" w14:textId="742AE6CB" w:rsidR="00832A10" w:rsidRPr="00B34D67" w:rsidRDefault="00B34D67" w:rsidP="00B34D67">
      <w:pPr>
        <w:pStyle w:val="Caption"/>
        <w:jc w:val="left"/>
        <w:rPr>
          <w:b/>
          <w:bCs/>
        </w:rPr>
      </w:pPr>
      <w:bookmarkStart w:id="679" w:name="_Toc121095864"/>
      <w:r w:rsidRPr="00B34D67">
        <w:rPr>
          <w:b/>
          <w:bCs/>
        </w:rPr>
        <w:t xml:space="preserve">Figure 3-D. </w:t>
      </w:r>
      <w:r w:rsidRPr="00B34D67">
        <w:rPr>
          <w:b/>
          <w:bCs/>
        </w:rPr>
        <w:fldChar w:fldCharType="begin"/>
      </w:r>
      <w:r w:rsidRPr="00B34D67">
        <w:rPr>
          <w:b/>
          <w:bCs/>
        </w:rPr>
        <w:instrText xml:space="preserve"> SEQ Figure_3-D. \* ARABIC </w:instrText>
      </w:r>
      <w:r w:rsidRPr="00B34D67">
        <w:rPr>
          <w:b/>
          <w:bCs/>
        </w:rPr>
        <w:fldChar w:fldCharType="separate"/>
      </w:r>
      <w:r w:rsidR="00B52D1E">
        <w:rPr>
          <w:b/>
          <w:bCs/>
          <w:noProof/>
        </w:rPr>
        <w:t>1</w:t>
      </w:r>
      <w:r w:rsidRPr="00B34D67">
        <w:rPr>
          <w:b/>
          <w:bCs/>
        </w:rPr>
        <w:fldChar w:fldCharType="end"/>
      </w:r>
      <w:r w:rsidRPr="00B34D67">
        <w:rPr>
          <w:b/>
          <w:bCs/>
        </w:rPr>
        <w:t>:</w:t>
      </w:r>
      <w:r>
        <w:rPr>
          <w:b/>
          <w:bCs/>
        </w:rPr>
        <w:t xml:space="preserve"> </w:t>
      </w:r>
      <w:r w:rsidR="006426B9">
        <w:t xml:space="preserve">Original </w:t>
      </w:r>
      <w:r w:rsidR="00DE4596">
        <w:t>petrofacies</w:t>
      </w:r>
      <w:r w:rsidR="006426B9">
        <w:t>, porosity and permeability models with side-by-side comparison with the upsca</w:t>
      </w:r>
      <w:r w:rsidR="00EC4972">
        <w:t>led version used for the dynamic simulation.</w:t>
      </w:r>
      <w:bookmarkEnd w:id="679"/>
      <w:r w:rsidR="00F63D15">
        <w:t xml:space="preserve"> </w:t>
      </w:r>
    </w:p>
    <w:p w14:paraId="486D9668" w14:textId="77777777" w:rsidR="00832A10" w:rsidRDefault="00832A10">
      <w:pPr>
        <w:spacing w:line="240" w:lineRule="auto"/>
      </w:pPr>
      <w:r>
        <w:br w:type="page"/>
      </w:r>
    </w:p>
    <w:p w14:paraId="56E1796D" w14:textId="77777777" w:rsidR="00B34D67" w:rsidRDefault="003C5928" w:rsidP="00B34D67">
      <w:pPr>
        <w:keepNext/>
        <w:jc w:val="center"/>
      </w:pPr>
      <w:r>
        <w:rPr>
          <w:noProof/>
        </w:rPr>
        <w:lastRenderedPageBreak/>
        <w:drawing>
          <wp:inline distT="0" distB="0" distL="0" distR="0" wp14:anchorId="4C61FD40" wp14:editId="31C0F91C">
            <wp:extent cx="4752109" cy="6780702"/>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83474" cy="6825456"/>
                    </a:xfrm>
                    <a:prstGeom prst="rect">
                      <a:avLst/>
                    </a:prstGeom>
                    <a:noFill/>
                  </pic:spPr>
                </pic:pic>
              </a:graphicData>
            </a:graphic>
          </wp:inline>
        </w:drawing>
      </w:r>
    </w:p>
    <w:p w14:paraId="0D03EA57" w14:textId="6EDEF1B7" w:rsidR="003C5928" w:rsidRPr="00B34D67" w:rsidRDefault="00B34D67" w:rsidP="00B34D67">
      <w:pPr>
        <w:pStyle w:val="Caption"/>
        <w:jc w:val="left"/>
        <w:rPr>
          <w:b/>
          <w:bCs/>
        </w:rPr>
        <w:sectPr w:rsidR="003C5928" w:rsidRPr="00B34D67" w:rsidSect="00086BA9">
          <w:type w:val="continuous"/>
          <w:pgSz w:w="12240" w:h="15840"/>
          <w:pgMar w:top="1440" w:right="1440" w:bottom="1440" w:left="1440" w:header="720" w:footer="720" w:gutter="0"/>
          <w:cols w:space="720"/>
          <w:docGrid w:linePitch="360"/>
        </w:sectPr>
      </w:pPr>
      <w:bookmarkStart w:id="680" w:name="_Toc121095865"/>
      <w:r w:rsidRPr="00B34D67">
        <w:rPr>
          <w:b/>
          <w:bCs/>
        </w:rPr>
        <w:t xml:space="preserve">Figure 3-D. </w:t>
      </w:r>
      <w:r w:rsidRPr="00B34D67">
        <w:rPr>
          <w:b/>
          <w:bCs/>
        </w:rPr>
        <w:fldChar w:fldCharType="begin"/>
      </w:r>
      <w:r w:rsidRPr="00B34D67">
        <w:rPr>
          <w:b/>
          <w:bCs/>
        </w:rPr>
        <w:instrText xml:space="preserve"> SEQ Figure_3-D. \* ARABIC </w:instrText>
      </w:r>
      <w:r w:rsidRPr="00B34D67">
        <w:rPr>
          <w:b/>
          <w:bCs/>
        </w:rPr>
        <w:fldChar w:fldCharType="separate"/>
      </w:r>
      <w:r w:rsidR="00B52D1E">
        <w:rPr>
          <w:b/>
          <w:bCs/>
          <w:noProof/>
        </w:rPr>
        <w:t>2</w:t>
      </w:r>
      <w:r w:rsidRPr="00B34D67">
        <w:rPr>
          <w:b/>
          <w:bCs/>
        </w:rPr>
        <w:fldChar w:fldCharType="end"/>
      </w:r>
      <w:r w:rsidRPr="00B34D67">
        <w:rPr>
          <w:b/>
          <w:bCs/>
        </w:rPr>
        <w:t xml:space="preserve">: </w:t>
      </w:r>
      <w:r w:rsidR="00816578">
        <w:t>Petrofacies, porosity and permeability model histograms for the original and upscaled models.</w:t>
      </w:r>
      <w:bookmarkEnd w:id="680"/>
    </w:p>
    <w:p w14:paraId="6A41CAFE" w14:textId="77777777" w:rsidR="00431BE4" w:rsidRDefault="00431BE4" w:rsidP="00DE7461">
      <w:pPr>
        <w:pStyle w:val="Heading2"/>
      </w:pPr>
      <w:bookmarkStart w:id="681" w:name="_Toc121096001"/>
      <w:r>
        <w:lastRenderedPageBreak/>
        <w:t>Chapter 3 Figures</w:t>
      </w:r>
      <w:bookmarkEnd w:id="681"/>
    </w:p>
    <w:p w14:paraId="51475E76" w14:textId="77777777" w:rsidR="009B15FC" w:rsidRDefault="00934EE6" w:rsidP="009B15FC">
      <w:pPr>
        <w:keepNext/>
        <w:jc w:val="center"/>
      </w:pPr>
      <w:r>
        <w:rPr>
          <w:noProof/>
        </w:rPr>
        <w:drawing>
          <wp:inline distT="0" distB="0" distL="0" distR="0" wp14:anchorId="125BF153" wp14:editId="4418D4A1">
            <wp:extent cx="8787265" cy="350212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2">
                      <a:extLst>
                        <a:ext uri="{28A0092B-C50C-407E-A947-70E740481C1C}">
                          <a14:useLocalDpi xmlns:a14="http://schemas.microsoft.com/office/drawing/2010/main" val="0"/>
                        </a:ext>
                      </a:extLst>
                    </a:blip>
                    <a:srcRect/>
                    <a:stretch/>
                  </pic:blipFill>
                  <pic:spPr bwMode="auto">
                    <a:xfrm>
                      <a:off x="0" y="0"/>
                      <a:ext cx="8787265" cy="3502121"/>
                    </a:xfrm>
                    <a:prstGeom prst="rect">
                      <a:avLst/>
                    </a:prstGeom>
                    <a:noFill/>
                    <a:ln>
                      <a:noFill/>
                    </a:ln>
                    <a:extLst>
                      <a:ext uri="{53640926-AAD7-44D8-BBD7-CCE9431645EC}">
                        <a14:shadowObscured xmlns:a14="http://schemas.microsoft.com/office/drawing/2010/main"/>
                      </a:ext>
                    </a:extLst>
                  </pic:spPr>
                </pic:pic>
              </a:graphicData>
            </a:graphic>
          </wp:inline>
        </w:drawing>
      </w:r>
    </w:p>
    <w:p w14:paraId="44ECD9FA" w14:textId="1D1CE7DB" w:rsidR="00431BE4" w:rsidRDefault="009B15FC" w:rsidP="009B15FC">
      <w:pPr>
        <w:pStyle w:val="Caption"/>
        <w:sectPr w:rsidR="00431BE4" w:rsidSect="00086BA9">
          <w:type w:val="continuous"/>
          <w:pgSz w:w="15840" w:h="12240" w:orient="landscape"/>
          <w:pgMar w:top="1440" w:right="1440" w:bottom="1440" w:left="1440" w:header="720" w:footer="720" w:gutter="0"/>
          <w:cols w:space="720"/>
          <w:docGrid w:linePitch="360"/>
        </w:sectPr>
      </w:pPr>
      <w:bookmarkStart w:id="682" w:name="_Toc121095128"/>
      <w:r w:rsidRPr="009B15FC">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w:t>
      </w:r>
      <w:r w:rsidR="00D532BC">
        <w:rPr>
          <w:b/>
          <w:bCs/>
        </w:rPr>
        <w:fldChar w:fldCharType="end"/>
      </w:r>
      <w:bookmarkStart w:id="683" w:name="_Toc117345136"/>
      <w:bookmarkStart w:id="684" w:name="_Toc117376746"/>
      <w:r w:rsidRPr="009B15FC">
        <w:rPr>
          <w:b/>
          <w:bCs/>
        </w:rPr>
        <w:t>:</w:t>
      </w:r>
      <w:r>
        <w:t xml:space="preserve"> </w:t>
      </w:r>
      <w:r w:rsidR="00431BE4" w:rsidRPr="00F909A0">
        <w:t xml:space="preserve">Regional map showing the subsurface </w:t>
      </w:r>
      <w:r w:rsidR="004670A8">
        <w:t>structural</w:t>
      </w:r>
      <w:r w:rsidR="00431BE4" w:rsidRPr="00F909A0">
        <w:t xml:space="preserve"> features of Kansas. </w:t>
      </w:r>
      <w:r w:rsidR="003478B6">
        <w:t>The study area</w:t>
      </w:r>
      <w:r w:rsidR="00431BE4" w:rsidRPr="00F909A0">
        <w:t xml:space="preserve"> is located </w:t>
      </w:r>
      <w:r w:rsidR="006A0F1E">
        <w:t>in</w:t>
      </w:r>
      <w:r w:rsidR="00431BE4" w:rsidRPr="00F909A0">
        <w:t xml:space="preserve"> Sumner County, Kansas (Red square). The approximate location of the study area is denoted by the red star (Modified after Dutton, 1984; Campbell et al., 1988; McConnell, 1989; Northcutt and Campbell, 1995; Johnson and Luza, 2008; LoCriccho, 2012).</w:t>
      </w:r>
      <w:bookmarkEnd w:id="682"/>
      <w:bookmarkEnd w:id="683"/>
      <w:bookmarkEnd w:id="684"/>
    </w:p>
    <w:p w14:paraId="7714D113" w14:textId="211FAA1F" w:rsidR="009B15FC" w:rsidRDefault="00431BE4" w:rsidP="009B15FC">
      <w:pPr>
        <w:pStyle w:val="Caption"/>
        <w:keepNext/>
        <w:jc w:val="center"/>
      </w:pPr>
      <w:r>
        <w:rPr>
          <w:noProof/>
        </w:rPr>
        <w:lastRenderedPageBreak/>
        <w:drawing>
          <wp:inline distT="0" distB="0" distL="0" distR="0" wp14:anchorId="3C5A5885" wp14:editId="76A24FE2">
            <wp:extent cx="5665957" cy="6293651"/>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696588" cy="6327675"/>
                    </a:xfrm>
                    <a:prstGeom prst="rect">
                      <a:avLst/>
                    </a:prstGeom>
                    <a:noFill/>
                    <a:ln>
                      <a:noFill/>
                    </a:ln>
                  </pic:spPr>
                </pic:pic>
              </a:graphicData>
            </a:graphic>
          </wp:inline>
        </w:drawing>
      </w:r>
    </w:p>
    <w:p w14:paraId="3156D592" w14:textId="1B025137" w:rsidR="006E5E3C" w:rsidRDefault="009B15FC" w:rsidP="008C1C13">
      <w:pPr>
        <w:pStyle w:val="Caption"/>
        <w:spacing w:before="240"/>
      </w:pPr>
      <w:bookmarkStart w:id="685" w:name="_Toc121095129"/>
      <w:r w:rsidRPr="004D3379">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2</w:t>
      </w:r>
      <w:r w:rsidR="00D532BC">
        <w:rPr>
          <w:b/>
          <w:bCs/>
        </w:rPr>
        <w:fldChar w:fldCharType="end"/>
      </w:r>
      <w:r w:rsidRPr="004D3379">
        <w:rPr>
          <w:b/>
          <w:bCs/>
        </w:rPr>
        <w:t>:</w:t>
      </w:r>
      <w:r>
        <w:t xml:space="preserve"> </w:t>
      </w:r>
      <w:bookmarkStart w:id="686" w:name="_Toc117345137"/>
      <w:bookmarkStart w:id="687" w:name="_Toc117376747"/>
      <w:r w:rsidR="006A0F1E">
        <w:t>Study area base map</w:t>
      </w:r>
      <w:r w:rsidR="00482DD8">
        <w:t xml:space="preserve"> showing well locations</w:t>
      </w:r>
      <w:r w:rsidR="00324E35">
        <w:t xml:space="preserve">, seismic </w:t>
      </w:r>
      <w:r w:rsidR="009D6561">
        <w:t>survey</w:t>
      </w:r>
      <w:r w:rsidR="00324E35">
        <w:t>, modeling and simulation boundaries</w:t>
      </w:r>
      <w:r w:rsidR="006A0F1E">
        <w:t>,</w:t>
      </w:r>
      <w:r w:rsidR="00482DD8">
        <w:t xml:space="preserve"> and cross sections of interest. Seismic section A-A’ is shown </w:t>
      </w:r>
      <w:r w:rsidR="006A0F1E">
        <w:t>in</w:t>
      </w:r>
      <w:r w:rsidR="00482DD8">
        <w:t xml:space="preserve"> Figure </w:t>
      </w:r>
      <w:r w:rsidR="00E5679C">
        <w:t>3</w:t>
      </w:r>
      <w:r w:rsidR="00482DD8">
        <w:t xml:space="preserve">. </w:t>
      </w:r>
      <w:r w:rsidR="00E5679C">
        <w:t>Impedance</w:t>
      </w:r>
      <w:r w:rsidR="00482DD8">
        <w:t xml:space="preserve"> and </w:t>
      </w:r>
      <w:r w:rsidR="007B2E57">
        <w:t xml:space="preserve">3D </w:t>
      </w:r>
      <w:r w:rsidR="00482DD8">
        <w:t>model</w:t>
      </w:r>
      <w:r w:rsidR="007B2E57">
        <w:t xml:space="preserve"> grid</w:t>
      </w:r>
      <w:r w:rsidR="00482DD8">
        <w:t xml:space="preserve"> cross section</w:t>
      </w:r>
      <w:r w:rsidR="007B2E57">
        <w:t>s</w:t>
      </w:r>
      <w:r w:rsidR="00482DD8">
        <w:t xml:space="preserve"> B-B’ is shown </w:t>
      </w:r>
      <w:r w:rsidR="006A0F1E">
        <w:t>in</w:t>
      </w:r>
      <w:r w:rsidR="00482DD8">
        <w:t xml:space="preserve"> Figure</w:t>
      </w:r>
      <w:r w:rsidR="007B2E57">
        <w:t>s</w:t>
      </w:r>
      <w:r w:rsidR="00482DD8">
        <w:t xml:space="preserve"> </w:t>
      </w:r>
      <w:r w:rsidR="00D344A2">
        <w:t>5</w:t>
      </w:r>
      <w:r w:rsidR="004E6FAB">
        <w:t xml:space="preserve"> and 11</w:t>
      </w:r>
      <w:r w:rsidR="00482DD8">
        <w:t xml:space="preserve">. </w:t>
      </w:r>
      <w:r w:rsidR="00D344A2">
        <w:t>Petrofacies prediction volume</w:t>
      </w:r>
      <w:r w:rsidR="00482DD8">
        <w:t xml:space="preserve"> cross sections for C-C’ are shown </w:t>
      </w:r>
      <w:r w:rsidR="006A0F1E">
        <w:t>in</w:t>
      </w:r>
      <w:r w:rsidR="00482DD8">
        <w:t xml:space="preserve"> Figure</w:t>
      </w:r>
      <w:r w:rsidR="00D344A2">
        <w:t>7</w:t>
      </w:r>
      <w:r w:rsidR="00482DD8">
        <w:t>.</w:t>
      </w:r>
      <w:r w:rsidR="00D344A2">
        <w:t xml:space="preserve"> Reservoir model cross sections D-D’ are shown </w:t>
      </w:r>
      <w:r w:rsidR="006A0F1E">
        <w:t>in</w:t>
      </w:r>
      <w:r w:rsidR="00D344A2">
        <w:t xml:space="preserve"> Figure13.</w:t>
      </w:r>
      <w:r w:rsidR="00482DD8">
        <w:t xml:space="preserve"> </w:t>
      </w:r>
      <w:r w:rsidR="006A0F1E">
        <w:t>The m</w:t>
      </w:r>
      <w:r w:rsidR="00482DD8">
        <w:t xml:space="preserve">ap location is shown </w:t>
      </w:r>
      <w:r w:rsidR="006A0F1E">
        <w:t>i</w:t>
      </w:r>
      <w:r w:rsidR="00482DD8">
        <w:t>n Figure 1.</w:t>
      </w:r>
      <w:bookmarkEnd w:id="685"/>
      <w:bookmarkEnd w:id="686"/>
      <w:bookmarkEnd w:id="687"/>
    </w:p>
    <w:p w14:paraId="28656627" w14:textId="77777777" w:rsidR="006E5E3C" w:rsidRDefault="006E5E3C">
      <w:pPr>
        <w:spacing w:line="240" w:lineRule="auto"/>
        <w:rPr>
          <w:iCs/>
          <w:szCs w:val="18"/>
        </w:rPr>
      </w:pPr>
      <w:r>
        <w:br w:type="page"/>
      </w:r>
    </w:p>
    <w:p w14:paraId="6B5933A6" w14:textId="079D1696" w:rsidR="006807CB" w:rsidRDefault="00EC73F3" w:rsidP="006807CB">
      <w:pPr>
        <w:pStyle w:val="Caption"/>
        <w:keepNext/>
        <w:spacing w:before="240"/>
      </w:pPr>
      <w:r>
        <w:rPr>
          <w:noProof/>
        </w:rPr>
        <w:lastRenderedPageBreak/>
        <w:drawing>
          <wp:inline distT="0" distB="0" distL="0" distR="0" wp14:anchorId="21C1F963" wp14:editId="57FF564B">
            <wp:extent cx="5926376" cy="583461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943482" cy="5851452"/>
                    </a:xfrm>
                    <a:prstGeom prst="rect">
                      <a:avLst/>
                    </a:prstGeom>
                    <a:noFill/>
                  </pic:spPr>
                </pic:pic>
              </a:graphicData>
            </a:graphic>
          </wp:inline>
        </w:drawing>
      </w:r>
    </w:p>
    <w:p w14:paraId="7850F3EB" w14:textId="224912BE" w:rsidR="00431BE4" w:rsidRPr="006807CB" w:rsidRDefault="006807CB" w:rsidP="006807CB">
      <w:pPr>
        <w:pStyle w:val="Caption"/>
        <w:rPr>
          <w:b/>
          <w:bCs/>
        </w:rPr>
      </w:pPr>
      <w:bookmarkStart w:id="688" w:name="_Toc121095130"/>
      <w:r w:rsidRPr="006807CB">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3</w:t>
      </w:r>
      <w:r w:rsidR="00D532BC">
        <w:rPr>
          <w:b/>
          <w:bCs/>
        </w:rPr>
        <w:fldChar w:fldCharType="end"/>
      </w:r>
      <w:r>
        <w:rPr>
          <w:b/>
          <w:bCs/>
        </w:rPr>
        <w:t xml:space="preserve">: </w:t>
      </w:r>
      <w:r>
        <w:rPr>
          <w:noProof/>
        </w:rPr>
        <w:t xml:space="preserve">Generalized Workflow showing the main steps followed in this study. A) Structural and stratigraphic </w:t>
      </w:r>
      <w:r w:rsidR="00A13462">
        <w:rPr>
          <w:noProof/>
        </w:rPr>
        <w:t>framework (3D Grid) generation, B)</w:t>
      </w:r>
      <w:r>
        <w:rPr>
          <w:noProof/>
        </w:rPr>
        <w:t xml:space="preserve"> </w:t>
      </w:r>
      <w:r w:rsidR="00A13462">
        <w:rPr>
          <w:noProof/>
        </w:rPr>
        <w:t xml:space="preserve">Petrofacies modeling, C) </w:t>
      </w:r>
      <w:r w:rsidR="00BB1F93">
        <w:rPr>
          <w:noProof/>
        </w:rPr>
        <w:t>Porosity and permeability modeling, D)</w:t>
      </w:r>
      <w:r w:rsidR="0052084F">
        <w:rPr>
          <w:noProof/>
        </w:rPr>
        <w:t xml:space="preserve"> </w:t>
      </w:r>
      <w:r w:rsidR="002F61D8">
        <w:rPr>
          <w:noProof/>
        </w:rPr>
        <w:t>CO</w:t>
      </w:r>
      <w:r w:rsidR="00EC73F3">
        <w:rPr>
          <w:noProof/>
        </w:rPr>
        <w:t>2 storage capacity estimation, and E)</w:t>
      </w:r>
      <w:r w:rsidR="0052084F">
        <w:rPr>
          <w:noProof/>
        </w:rPr>
        <w:t xml:space="preserve"> </w:t>
      </w:r>
      <w:r w:rsidR="00EC73F3">
        <w:rPr>
          <w:noProof/>
        </w:rPr>
        <w:t>Dynamic simulations for plume mapping.</w:t>
      </w:r>
      <w:bookmarkEnd w:id="688"/>
    </w:p>
    <w:p w14:paraId="63601338" w14:textId="77CE300B" w:rsidR="006E5E3C" w:rsidRDefault="006E5E3C" w:rsidP="006E5E3C"/>
    <w:p w14:paraId="3C161AFF" w14:textId="37166C00" w:rsidR="006E5E3C" w:rsidRDefault="006E5E3C" w:rsidP="006E5E3C"/>
    <w:p w14:paraId="69EB0B98" w14:textId="77777777" w:rsidR="003420B7" w:rsidRDefault="00431BE4" w:rsidP="004D3379">
      <w:pPr>
        <w:keepNext/>
        <w:jc w:val="center"/>
      </w:pPr>
      <w:r>
        <w:rPr>
          <w:noProof/>
        </w:rPr>
        <w:lastRenderedPageBreak/>
        <w:drawing>
          <wp:inline distT="0" distB="0" distL="0" distR="0" wp14:anchorId="0FA42673" wp14:editId="25956F62">
            <wp:extent cx="5685287" cy="6211614"/>
            <wp:effectExtent l="0" t="0" r="0" b="0"/>
            <wp:docPr id="32" name="Picture 32" descr="Diagram, schematic,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schematic, bar chart&#10;&#10;Description automatically generated"/>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04379" cy="6232474"/>
                    </a:xfrm>
                    <a:prstGeom prst="rect">
                      <a:avLst/>
                    </a:prstGeom>
                    <a:noFill/>
                  </pic:spPr>
                </pic:pic>
              </a:graphicData>
            </a:graphic>
          </wp:inline>
        </w:drawing>
      </w:r>
    </w:p>
    <w:p w14:paraId="05402075" w14:textId="0F3C0E5F" w:rsidR="004D3379" w:rsidRPr="004D3379" w:rsidRDefault="003420B7" w:rsidP="004D3379">
      <w:pPr>
        <w:pStyle w:val="Caption"/>
      </w:pPr>
      <w:bookmarkStart w:id="689" w:name="_Toc121095131"/>
      <w:r w:rsidRPr="003420B7">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4</w:t>
      </w:r>
      <w:r w:rsidR="00D532BC">
        <w:rPr>
          <w:b/>
          <w:bCs/>
        </w:rPr>
        <w:fldChar w:fldCharType="end"/>
      </w:r>
      <w:bookmarkStart w:id="690" w:name="_Toc117345138"/>
      <w:bookmarkStart w:id="691" w:name="_Toc117376748"/>
      <w:r w:rsidRPr="003420B7">
        <w:rPr>
          <w:b/>
          <w:bCs/>
        </w:rPr>
        <w:t>:</w:t>
      </w:r>
      <w:r>
        <w:t xml:space="preserve"> </w:t>
      </w:r>
      <w:r w:rsidR="0081482D">
        <w:t xml:space="preserve">Generalized stratigraphic column tied to </w:t>
      </w:r>
      <w:r w:rsidR="00F64304">
        <w:t>Berexco Wellington KGS #1-32</w:t>
      </w:r>
      <w:r w:rsidR="0081482D">
        <w:t xml:space="preserve"> </w:t>
      </w:r>
      <w:r w:rsidR="00F70343">
        <w:t>type</w:t>
      </w:r>
      <w:r w:rsidR="00FA28BD">
        <w:t xml:space="preserve"> </w:t>
      </w:r>
      <w:r w:rsidR="0081482D">
        <w:t>log</w:t>
      </w:r>
      <w:r w:rsidR="00F64304">
        <w:t>.</w:t>
      </w:r>
      <w:r w:rsidR="0081482D">
        <w:t xml:space="preserve"> </w:t>
      </w:r>
      <w:r w:rsidR="00F70343">
        <w:t>(</w:t>
      </w:r>
      <w:r w:rsidR="007C72B3">
        <w:t>Stratigraphic column is mo</w:t>
      </w:r>
      <w:r w:rsidR="00F70343">
        <w:t>dified After Baars et al., 2001 and Schwab et al.,2017</w:t>
      </w:r>
      <w:r w:rsidR="00F64304">
        <w:t xml:space="preserve">). Three </w:t>
      </w:r>
      <w:r w:rsidR="00617988">
        <w:t>Arbuckle intervals (A, B</w:t>
      </w:r>
      <w:r w:rsidR="006A0F1E">
        <w:t>,</w:t>
      </w:r>
      <w:r w:rsidR="00617988">
        <w:t xml:space="preserve"> and C) are present. </w:t>
      </w:r>
      <w:r w:rsidR="009B77FD">
        <w:t>Gamma Ray (GR), Deep Resistivity (RESD), Neutron Porosity (NPHI), and Density Porosity (DPHI) are shown.</w:t>
      </w:r>
      <w:r w:rsidR="003120C0">
        <w:t xml:space="preserve"> The right-most track </w:t>
      </w:r>
      <w:r w:rsidR="0058103B">
        <w:t>shows</w:t>
      </w:r>
      <w:r w:rsidR="003120C0">
        <w:t xml:space="preserve"> the petrofacies </w:t>
      </w:r>
      <w:r w:rsidR="007E7797">
        <w:t>log used in the seismic-constrained modeling.</w:t>
      </w:r>
      <w:bookmarkEnd w:id="689"/>
      <w:bookmarkEnd w:id="690"/>
      <w:bookmarkEnd w:id="691"/>
      <w:r w:rsidR="004D3379">
        <w:br w:type="page"/>
      </w:r>
    </w:p>
    <w:p w14:paraId="402C7C40" w14:textId="6088D1A8" w:rsidR="003420B7" w:rsidRDefault="0050069B" w:rsidP="003420B7">
      <w:pPr>
        <w:keepNext/>
      </w:pPr>
      <w:r>
        <w:rPr>
          <w:noProof/>
        </w:rPr>
        <w:lastRenderedPageBreak/>
        <w:drawing>
          <wp:inline distT="0" distB="0" distL="0" distR="0" wp14:anchorId="49E9AA42" wp14:editId="4BC458B9">
            <wp:extent cx="5902036" cy="5190072"/>
            <wp:effectExtent l="0" t="0" r="381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925705" cy="5210886"/>
                    </a:xfrm>
                    <a:prstGeom prst="rect">
                      <a:avLst/>
                    </a:prstGeom>
                    <a:noFill/>
                  </pic:spPr>
                </pic:pic>
              </a:graphicData>
            </a:graphic>
          </wp:inline>
        </w:drawing>
      </w:r>
    </w:p>
    <w:p w14:paraId="7B07EBD8" w14:textId="558474AD" w:rsidR="00431BE4" w:rsidRDefault="003420B7" w:rsidP="004D3379">
      <w:pPr>
        <w:pStyle w:val="Caption"/>
      </w:pPr>
      <w:bookmarkStart w:id="692" w:name="_Toc121095132"/>
      <w:r w:rsidRPr="003420B7">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5</w:t>
      </w:r>
      <w:r w:rsidR="00D532BC">
        <w:rPr>
          <w:b/>
          <w:bCs/>
        </w:rPr>
        <w:fldChar w:fldCharType="end"/>
      </w:r>
      <w:r w:rsidRPr="003420B7">
        <w:rPr>
          <w:b/>
          <w:bCs/>
        </w:rPr>
        <w:t>:</w:t>
      </w:r>
      <w:bookmarkStart w:id="693" w:name="_Toc117345139"/>
      <w:bookmarkStart w:id="694" w:name="_Toc117376749"/>
      <w:r w:rsidR="00075539">
        <w:t xml:space="preserve"> (A)</w:t>
      </w:r>
      <w:r w:rsidR="00800542">
        <w:t xml:space="preserve"> </w:t>
      </w:r>
      <w:r w:rsidR="00075539">
        <w:t xml:space="preserve">Southwest-Northeast </w:t>
      </w:r>
      <w:r w:rsidR="00FD05B3">
        <w:t xml:space="preserve">arbitrary </w:t>
      </w:r>
      <w:r w:rsidR="007B51D3">
        <w:t>line (</w:t>
      </w:r>
      <w:r w:rsidR="00075539">
        <w:t xml:space="preserve">A-A’) </w:t>
      </w:r>
      <w:r w:rsidR="000E6291">
        <w:t>showing the seismic amplitude volume</w:t>
      </w:r>
      <w:r w:rsidR="00FD05B3">
        <w:t xml:space="preserve"> </w:t>
      </w:r>
      <w:r w:rsidR="00696982">
        <w:t xml:space="preserve">and </w:t>
      </w:r>
      <w:r w:rsidR="003A6C1C">
        <w:t xml:space="preserve">wells with gamma-ray logs </w:t>
      </w:r>
      <w:r w:rsidR="00D03BE9">
        <w:t>used in the horizon interpretation of the Arbuckle interval.</w:t>
      </w:r>
      <w:r w:rsidR="007B51D3">
        <w:t xml:space="preserve"> (B</w:t>
      </w:r>
      <w:r w:rsidR="0050069B">
        <w:t xml:space="preserve"> and C</w:t>
      </w:r>
      <w:r w:rsidR="007B51D3">
        <w:t xml:space="preserve">) </w:t>
      </w:r>
      <w:r w:rsidR="00C13F7E">
        <w:t xml:space="preserve">type logs showing the well log and synthetic seismogram responses of the study interval, where the top of the Arbuckle </w:t>
      </w:r>
      <w:r w:rsidR="008F742B">
        <w:t>shows</w:t>
      </w:r>
      <w:r w:rsidR="00364852">
        <w:t xml:space="preserve"> </w:t>
      </w:r>
      <w:r w:rsidR="0058103B">
        <w:t xml:space="preserve">a </w:t>
      </w:r>
      <w:r w:rsidR="00364852">
        <w:t xml:space="preserve">strong positive (peak) and the </w:t>
      </w:r>
      <w:r w:rsidR="00A336E8">
        <w:t>base of the Arbuckle</w:t>
      </w:r>
      <w:r w:rsidR="00B87EA3">
        <w:t xml:space="preserve"> </w:t>
      </w:r>
      <w:r w:rsidR="00841F85">
        <w:t>show</w:t>
      </w:r>
      <w:r w:rsidR="0058103B">
        <w:t>s</w:t>
      </w:r>
      <w:r w:rsidR="00841F85">
        <w:t xml:space="preserve"> </w:t>
      </w:r>
      <w:r w:rsidR="0058103B">
        <w:t xml:space="preserve">a </w:t>
      </w:r>
      <w:r w:rsidR="00841F85">
        <w:t>strong</w:t>
      </w:r>
      <w:r w:rsidR="00B87EA3">
        <w:t xml:space="preserve"> negative (trough) </w:t>
      </w:r>
      <w:r w:rsidR="003E4CAF">
        <w:t>seismic response.</w:t>
      </w:r>
      <w:r w:rsidR="00C13F7E">
        <w:t xml:space="preserve"> </w:t>
      </w:r>
      <w:r w:rsidR="0058103B">
        <w:t>The l</w:t>
      </w:r>
      <w:r w:rsidR="007B51D3">
        <w:t xml:space="preserve">ocation of </w:t>
      </w:r>
      <w:r w:rsidR="0058103B">
        <w:t xml:space="preserve">the </w:t>
      </w:r>
      <w:r w:rsidR="007B51D3">
        <w:t>cross</w:t>
      </w:r>
      <w:r w:rsidR="0058103B">
        <w:t>-</w:t>
      </w:r>
      <w:r w:rsidR="007B51D3">
        <w:t xml:space="preserve">section is shown </w:t>
      </w:r>
      <w:r w:rsidR="0058103B">
        <w:t>i</w:t>
      </w:r>
      <w:r w:rsidR="007B51D3">
        <w:t>n Figure 2.</w:t>
      </w:r>
      <w:bookmarkEnd w:id="692"/>
      <w:bookmarkEnd w:id="693"/>
      <w:bookmarkEnd w:id="694"/>
      <w:r w:rsidR="000E6291">
        <w:t xml:space="preserve"> </w:t>
      </w:r>
    </w:p>
    <w:p w14:paraId="77DEAFB2" w14:textId="77777777" w:rsidR="00431BE4" w:rsidRDefault="00431BE4" w:rsidP="00431BE4">
      <w:pPr>
        <w:sectPr w:rsidR="00431BE4" w:rsidSect="00086BA9">
          <w:type w:val="continuous"/>
          <w:pgSz w:w="12240" w:h="15840"/>
          <w:pgMar w:top="1440" w:right="1440" w:bottom="1440" w:left="1440" w:header="720" w:footer="720" w:gutter="0"/>
          <w:cols w:space="720"/>
          <w:docGrid w:linePitch="360"/>
        </w:sectPr>
      </w:pPr>
    </w:p>
    <w:p w14:paraId="6EC3AAAF" w14:textId="41F4452F" w:rsidR="000E07D1" w:rsidRDefault="00E45BBE" w:rsidP="000E07D1">
      <w:pPr>
        <w:keepNext/>
      </w:pPr>
      <w:r>
        <w:rPr>
          <w:noProof/>
        </w:rPr>
        <w:lastRenderedPageBreak/>
        <w:drawing>
          <wp:inline distT="0" distB="0" distL="0" distR="0" wp14:anchorId="2E30F265" wp14:editId="73582DE3">
            <wp:extent cx="8232775" cy="33193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8256403" cy="3328858"/>
                    </a:xfrm>
                    <a:prstGeom prst="rect">
                      <a:avLst/>
                    </a:prstGeom>
                    <a:noFill/>
                  </pic:spPr>
                </pic:pic>
              </a:graphicData>
            </a:graphic>
          </wp:inline>
        </w:drawing>
      </w:r>
    </w:p>
    <w:p w14:paraId="7246B819" w14:textId="030A8455" w:rsidR="00431BE4" w:rsidRDefault="000E07D1" w:rsidP="000E07D1">
      <w:pPr>
        <w:pStyle w:val="Caption"/>
        <w:sectPr w:rsidR="00431BE4" w:rsidSect="00086BA9">
          <w:type w:val="continuous"/>
          <w:pgSz w:w="15840" w:h="12240" w:orient="landscape"/>
          <w:pgMar w:top="1440" w:right="1440" w:bottom="1440" w:left="1440" w:header="720" w:footer="720" w:gutter="0"/>
          <w:cols w:space="720"/>
          <w:docGrid w:linePitch="360"/>
        </w:sectPr>
      </w:pPr>
      <w:bookmarkStart w:id="695" w:name="_Toc121095133"/>
      <w:r w:rsidRPr="000E07D1">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6</w:t>
      </w:r>
      <w:r w:rsidR="00D532BC">
        <w:rPr>
          <w:b/>
          <w:bCs/>
        </w:rPr>
        <w:fldChar w:fldCharType="end"/>
      </w:r>
      <w:bookmarkStart w:id="696" w:name="_Toc117345140"/>
      <w:bookmarkStart w:id="697" w:name="_Toc117376750"/>
      <w:r w:rsidRPr="000E07D1">
        <w:rPr>
          <w:b/>
          <w:bCs/>
        </w:rPr>
        <w:t>:</w:t>
      </w:r>
      <w:r>
        <w:t xml:space="preserve"> </w:t>
      </w:r>
      <w:r w:rsidR="007B5619">
        <w:t>South-North oriented cross-section (B-B’)</w:t>
      </w:r>
      <w:r w:rsidR="0014715F">
        <w:t xml:space="preserve"> from the acoustic impedance volume. Impedance volume was used </w:t>
      </w:r>
      <w:r w:rsidR="00CC0DF2">
        <w:t xml:space="preserve">to help the interpretation of </w:t>
      </w:r>
      <w:r w:rsidR="00800542">
        <w:t>surfaces that</w:t>
      </w:r>
      <w:r w:rsidR="00CC0DF2">
        <w:t xml:space="preserve"> subdivide the Arbuckle group</w:t>
      </w:r>
      <w:r w:rsidR="0071296C">
        <w:t xml:space="preserve"> (zones </w:t>
      </w:r>
      <w:r w:rsidR="00E45BBE">
        <w:t>A, B</w:t>
      </w:r>
      <w:r w:rsidR="0071296C">
        <w:t xml:space="preserve"> and C)</w:t>
      </w:r>
      <w:r w:rsidR="00CC0DF2">
        <w:t xml:space="preserve"> for the</w:t>
      </w:r>
      <w:r w:rsidR="00C91722">
        <w:t xml:space="preserve"> structural and stratigraphic framework.</w:t>
      </w:r>
      <w:r w:rsidR="003570EB">
        <w:t xml:space="preserve"> </w:t>
      </w:r>
      <w:r w:rsidR="0058103B">
        <w:t>The l</w:t>
      </w:r>
      <w:r w:rsidR="003570EB">
        <w:t xml:space="preserve">ocation of cross section is shown </w:t>
      </w:r>
      <w:r w:rsidR="0058103B">
        <w:t>i</w:t>
      </w:r>
      <w:r w:rsidR="003570EB">
        <w:t>n Figure 2.</w:t>
      </w:r>
      <w:bookmarkEnd w:id="695"/>
      <w:bookmarkEnd w:id="696"/>
      <w:bookmarkEnd w:id="697"/>
    </w:p>
    <w:p w14:paraId="6B76A8F3" w14:textId="77777777" w:rsidR="000E07D1" w:rsidRDefault="00431BE4" w:rsidP="00EF440C">
      <w:pPr>
        <w:keepNext/>
        <w:jc w:val="center"/>
        <w:rPr>
          <w:noProof/>
        </w:rPr>
      </w:pPr>
      <w:r>
        <w:rPr>
          <w:noProof/>
        </w:rPr>
        <w:lastRenderedPageBreak/>
        <w:drawing>
          <wp:inline distT="0" distB="0" distL="0" distR="0" wp14:anchorId="16BA9FBB" wp14:editId="108E78AB">
            <wp:extent cx="5942837" cy="3834765"/>
            <wp:effectExtent l="0" t="0" r="1270" b="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962982" cy="3847764"/>
                    </a:xfrm>
                    <a:prstGeom prst="rect">
                      <a:avLst/>
                    </a:prstGeom>
                    <a:noFill/>
                  </pic:spPr>
                </pic:pic>
              </a:graphicData>
            </a:graphic>
          </wp:inline>
        </w:drawing>
      </w:r>
    </w:p>
    <w:p w14:paraId="31C43995" w14:textId="7470F0FC" w:rsidR="00EF440C" w:rsidRDefault="000E07D1" w:rsidP="004D3379">
      <w:pPr>
        <w:pStyle w:val="NoSpacing"/>
        <w:rPr>
          <w:noProof/>
        </w:rPr>
      </w:pPr>
      <w:bookmarkStart w:id="698" w:name="_Toc121095134"/>
      <w:r w:rsidRPr="00EF440C">
        <w:rPr>
          <w:b/>
          <w:bCs/>
          <w:noProof/>
        </w:rPr>
        <w:t xml:space="preserve">Figure </w:t>
      </w:r>
      <w:r w:rsidR="00D532BC">
        <w:rPr>
          <w:b/>
          <w:bCs/>
          <w:noProof/>
        </w:rPr>
        <w:fldChar w:fldCharType="begin"/>
      </w:r>
      <w:r w:rsidR="00D532BC">
        <w:rPr>
          <w:b/>
          <w:bCs/>
          <w:noProof/>
        </w:rPr>
        <w:instrText xml:space="preserve"> STYLEREF 1 \s </w:instrText>
      </w:r>
      <w:r w:rsidR="00D532BC">
        <w:rPr>
          <w:b/>
          <w:bCs/>
          <w:noProof/>
        </w:rPr>
        <w:fldChar w:fldCharType="separate"/>
      </w:r>
      <w:r w:rsidR="00B52D1E">
        <w:rPr>
          <w:b/>
          <w:bCs/>
          <w:noProof/>
        </w:rPr>
        <w:t>3</w:t>
      </w:r>
      <w:r w:rsidR="00D532BC">
        <w:rPr>
          <w:b/>
          <w:bCs/>
          <w:noProof/>
        </w:rPr>
        <w:fldChar w:fldCharType="end"/>
      </w:r>
      <w:r w:rsidR="00D532BC">
        <w:rPr>
          <w:b/>
          <w:bCs/>
          <w:noProof/>
        </w:rPr>
        <w:t>.</w:t>
      </w:r>
      <w:r w:rsidR="00D532BC">
        <w:rPr>
          <w:b/>
          <w:bCs/>
          <w:noProof/>
        </w:rPr>
        <w:fldChar w:fldCharType="begin"/>
      </w:r>
      <w:r w:rsidR="00D532BC">
        <w:rPr>
          <w:b/>
          <w:bCs/>
          <w:noProof/>
        </w:rPr>
        <w:instrText xml:space="preserve"> SEQ Figure \* ARABIC \s 1 </w:instrText>
      </w:r>
      <w:r w:rsidR="00D532BC">
        <w:rPr>
          <w:b/>
          <w:bCs/>
          <w:noProof/>
        </w:rPr>
        <w:fldChar w:fldCharType="separate"/>
      </w:r>
      <w:r w:rsidR="00B52D1E">
        <w:rPr>
          <w:b/>
          <w:bCs/>
          <w:noProof/>
        </w:rPr>
        <w:t>7</w:t>
      </w:r>
      <w:r w:rsidR="00D532BC">
        <w:rPr>
          <w:b/>
          <w:bCs/>
          <w:noProof/>
        </w:rPr>
        <w:fldChar w:fldCharType="end"/>
      </w:r>
      <w:bookmarkStart w:id="699" w:name="_Toc117345141"/>
      <w:bookmarkStart w:id="700" w:name="_Toc117376751"/>
      <w:r w:rsidRPr="00EF440C">
        <w:rPr>
          <w:noProof/>
        </w:rPr>
        <w:t>:</w:t>
      </w:r>
      <w:r>
        <w:rPr>
          <w:noProof/>
        </w:rPr>
        <w:t xml:space="preserve"> </w:t>
      </w:r>
      <w:r w:rsidR="00DF6A7A">
        <w:rPr>
          <w:noProof/>
        </w:rPr>
        <w:t xml:space="preserve">Schematic diagram </w:t>
      </w:r>
      <w:r w:rsidR="005A230D">
        <w:rPr>
          <w:noProof/>
        </w:rPr>
        <w:t>showing elements</w:t>
      </w:r>
      <w:r w:rsidR="00DF6A7A">
        <w:rPr>
          <w:noProof/>
        </w:rPr>
        <w:t xml:space="preserve"> used to constrain the construction of the three-dimensional grid</w:t>
      </w:r>
      <w:r w:rsidR="005F21A1">
        <w:rPr>
          <w:noProof/>
        </w:rPr>
        <w:t>.</w:t>
      </w:r>
      <w:bookmarkEnd w:id="698"/>
      <w:bookmarkEnd w:id="699"/>
      <w:bookmarkEnd w:id="700"/>
      <w:r w:rsidR="00EF440C">
        <w:rPr>
          <w:noProof/>
        </w:rPr>
        <w:br w:type="page"/>
      </w:r>
    </w:p>
    <w:p w14:paraId="6525CEF6" w14:textId="77777777" w:rsidR="000E07D1" w:rsidRDefault="00431BE4" w:rsidP="000E07D1">
      <w:pPr>
        <w:keepNext/>
        <w:jc w:val="center"/>
      </w:pPr>
      <w:r>
        <w:rPr>
          <w:noProof/>
        </w:rPr>
        <w:lastRenderedPageBreak/>
        <w:drawing>
          <wp:inline distT="0" distB="0" distL="0" distR="0" wp14:anchorId="44B7EBC9" wp14:editId="6B05B2C8">
            <wp:extent cx="4500776" cy="663728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548096" cy="6707065"/>
                    </a:xfrm>
                    <a:prstGeom prst="rect">
                      <a:avLst/>
                    </a:prstGeom>
                    <a:noFill/>
                  </pic:spPr>
                </pic:pic>
              </a:graphicData>
            </a:graphic>
          </wp:inline>
        </w:drawing>
      </w:r>
    </w:p>
    <w:p w14:paraId="27022E56" w14:textId="5CB30B89" w:rsidR="00EF440C" w:rsidRPr="00EF440C" w:rsidRDefault="000E07D1" w:rsidP="00EF440C">
      <w:pPr>
        <w:pStyle w:val="Caption"/>
      </w:pPr>
      <w:bookmarkStart w:id="701" w:name="_Toc121095135"/>
      <w:r w:rsidRPr="000E07D1">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8</w:t>
      </w:r>
      <w:r w:rsidR="00D532BC">
        <w:rPr>
          <w:b/>
          <w:bCs/>
        </w:rPr>
        <w:fldChar w:fldCharType="end"/>
      </w:r>
      <w:bookmarkStart w:id="702" w:name="_Toc117345142"/>
      <w:bookmarkStart w:id="703" w:name="_Toc117376752"/>
      <w:r w:rsidR="00431BE4" w:rsidRPr="000E07D1">
        <w:rPr>
          <w:b/>
          <w:bCs/>
        </w:rPr>
        <w:t>:</w:t>
      </w:r>
      <w:r w:rsidR="00431BE4">
        <w:t xml:space="preserve"> </w:t>
      </w:r>
      <w:r w:rsidR="003A59F6">
        <w:t xml:space="preserve">East-West oriented cross-sections (C – C’) from the </w:t>
      </w:r>
      <w:r w:rsidR="00AD24F9">
        <w:t>random forest</w:t>
      </w:r>
      <w:r w:rsidR="00DB3D08">
        <w:t xml:space="preserve"> petrofacies</w:t>
      </w:r>
      <w:r w:rsidR="008934A7">
        <w:t xml:space="preserve"> prediction</w:t>
      </w:r>
      <w:r w:rsidR="00AD24F9">
        <w:t xml:space="preserve"> </w:t>
      </w:r>
      <w:r w:rsidR="00DB3D08">
        <w:t>volumes</w:t>
      </w:r>
      <w:r w:rsidR="003A59F6">
        <w:t xml:space="preserve"> </w:t>
      </w:r>
      <w:r w:rsidR="00DB3D08">
        <w:t xml:space="preserve">re-sampled on the 3D grid. </w:t>
      </w:r>
      <w:r w:rsidR="003A59F6">
        <w:t>A)</w:t>
      </w:r>
      <w:r w:rsidR="009C1D29">
        <w:t xml:space="preserve"> M</w:t>
      </w:r>
      <w:r w:rsidR="003A59F6">
        <w:t xml:space="preserve">ost likely </w:t>
      </w:r>
      <w:r w:rsidR="00DB3D08">
        <w:t>petrofacies</w:t>
      </w:r>
      <w:r w:rsidR="009C1D29">
        <w:t xml:space="preserve"> prediction</w:t>
      </w:r>
      <w:r w:rsidR="003A59F6">
        <w:t xml:space="preserve">, B) </w:t>
      </w:r>
      <w:r w:rsidR="00CA2618">
        <w:t>Probability of petrofacies 1</w:t>
      </w:r>
      <w:r w:rsidR="003A59F6">
        <w:t xml:space="preserve">, C) </w:t>
      </w:r>
      <w:r w:rsidR="00CA2618">
        <w:t>Probability of petrofacies 2</w:t>
      </w:r>
      <w:r w:rsidR="003A59F6">
        <w:t xml:space="preserve">, and D) </w:t>
      </w:r>
      <w:r w:rsidR="00CA2618">
        <w:t>Probability of petrofacies 3</w:t>
      </w:r>
      <w:r w:rsidR="003A59F6">
        <w:t xml:space="preserve">. </w:t>
      </w:r>
      <w:r w:rsidR="005A230D">
        <w:t>The l</w:t>
      </w:r>
      <w:r w:rsidR="003A59F6">
        <w:t xml:space="preserve">ocation of cross section is shown </w:t>
      </w:r>
      <w:r w:rsidR="005A230D">
        <w:t>i</w:t>
      </w:r>
      <w:r w:rsidR="003A59F6">
        <w:t>n Figure 2</w:t>
      </w:r>
      <w:bookmarkEnd w:id="701"/>
      <w:r w:rsidR="00EF440C">
        <w:br w:type="page"/>
      </w:r>
    </w:p>
    <w:p w14:paraId="36FCDE78" w14:textId="008682D2" w:rsidR="00E00206" w:rsidRDefault="003A59F6" w:rsidP="00EF440C">
      <w:pPr>
        <w:pStyle w:val="Caption"/>
      </w:pPr>
      <w:r>
        <w:lastRenderedPageBreak/>
        <w:t>.</w:t>
      </w:r>
      <w:bookmarkEnd w:id="702"/>
      <w:bookmarkEnd w:id="703"/>
      <w:r w:rsidR="00431BE4">
        <w:rPr>
          <w:noProof/>
        </w:rPr>
        <w:drawing>
          <wp:inline distT="0" distB="0" distL="0" distR="0" wp14:anchorId="6B0385C4" wp14:editId="012F9609">
            <wp:extent cx="5904865" cy="3460833"/>
            <wp:effectExtent l="0" t="0" r="635" b="6350"/>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918486" cy="3468816"/>
                    </a:xfrm>
                    <a:prstGeom prst="rect">
                      <a:avLst/>
                    </a:prstGeom>
                    <a:noFill/>
                  </pic:spPr>
                </pic:pic>
              </a:graphicData>
            </a:graphic>
          </wp:inline>
        </w:drawing>
      </w:r>
    </w:p>
    <w:p w14:paraId="5763056D" w14:textId="36BCBF24" w:rsidR="00EF440C" w:rsidRDefault="00E00206" w:rsidP="00431BE4">
      <w:pPr>
        <w:pStyle w:val="Caption"/>
      </w:pPr>
      <w:bookmarkStart w:id="704" w:name="_Toc121095136"/>
      <w:r w:rsidRPr="00E00206">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9</w:t>
      </w:r>
      <w:r w:rsidR="00D532BC">
        <w:rPr>
          <w:b/>
          <w:bCs/>
        </w:rPr>
        <w:fldChar w:fldCharType="end"/>
      </w:r>
      <w:r w:rsidRPr="00E00206">
        <w:rPr>
          <w:b/>
          <w:bCs/>
        </w:rPr>
        <w:t>:</w:t>
      </w:r>
      <w:bookmarkStart w:id="705" w:name="_Toc117345143"/>
      <w:bookmarkStart w:id="706" w:name="_Toc117376753"/>
      <w:r>
        <w:t xml:space="preserve"> </w:t>
      </w:r>
      <w:r w:rsidR="005F21A1">
        <w:t>Schematic diagram showing th</w:t>
      </w:r>
      <w:r w:rsidR="00161C07">
        <w:t>e various</w:t>
      </w:r>
      <w:r w:rsidR="005F21A1">
        <w:t xml:space="preserve"> data </w:t>
      </w:r>
      <w:r w:rsidR="00161C07">
        <w:t>used to</w:t>
      </w:r>
      <w:r w:rsidR="005F21A1">
        <w:t xml:space="preserve"> constrain the generation of the </w:t>
      </w:r>
      <w:r w:rsidR="001146F5">
        <w:t>three-dimensional</w:t>
      </w:r>
      <w:r w:rsidR="00161C07">
        <w:t xml:space="preserve"> petrofacies model.</w:t>
      </w:r>
      <w:bookmarkEnd w:id="704"/>
      <w:bookmarkEnd w:id="705"/>
      <w:bookmarkEnd w:id="706"/>
    </w:p>
    <w:p w14:paraId="40D0DEE2" w14:textId="77777777" w:rsidR="00EF440C" w:rsidRDefault="00EF440C">
      <w:pPr>
        <w:spacing w:line="240" w:lineRule="auto"/>
        <w:rPr>
          <w:iCs/>
          <w:szCs w:val="18"/>
        </w:rPr>
      </w:pPr>
      <w:r>
        <w:br w:type="page"/>
      </w:r>
    </w:p>
    <w:p w14:paraId="1A365636" w14:textId="77777777" w:rsidR="00E00206" w:rsidRDefault="00431BE4" w:rsidP="00F035FA">
      <w:pPr>
        <w:pStyle w:val="Caption"/>
        <w:keepNext/>
        <w:rPr>
          <w:noProof/>
        </w:rPr>
      </w:pPr>
      <w:r>
        <w:rPr>
          <w:noProof/>
        </w:rPr>
        <w:lastRenderedPageBreak/>
        <w:drawing>
          <wp:inline distT="0" distB="0" distL="0" distR="0" wp14:anchorId="199B850E" wp14:editId="7E4C1CE3">
            <wp:extent cx="5932967" cy="3339822"/>
            <wp:effectExtent l="0" t="0" r="0" b="0"/>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10;&#10;Description automatically generated"/>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61874" cy="3356095"/>
                    </a:xfrm>
                    <a:prstGeom prst="rect">
                      <a:avLst/>
                    </a:prstGeom>
                    <a:noFill/>
                  </pic:spPr>
                </pic:pic>
              </a:graphicData>
            </a:graphic>
          </wp:inline>
        </w:drawing>
      </w:r>
    </w:p>
    <w:p w14:paraId="04944289" w14:textId="094C8E84" w:rsidR="00431BE4" w:rsidRDefault="00E00206" w:rsidP="00F035FA">
      <w:pPr>
        <w:pStyle w:val="Caption"/>
        <w:keepNext/>
        <w:sectPr w:rsidR="00431BE4" w:rsidSect="00086BA9">
          <w:type w:val="continuous"/>
          <w:pgSz w:w="12240" w:h="15840"/>
          <w:pgMar w:top="1440" w:right="1440" w:bottom="1440" w:left="1440" w:header="720" w:footer="720" w:gutter="0"/>
          <w:cols w:space="720"/>
          <w:docGrid w:linePitch="360"/>
        </w:sectPr>
      </w:pPr>
      <w:bookmarkStart w:id="707" w:name="_Toc121095137"/>
      <w:r w:rsidRPr="00EF440C">
        <w:rPr>
          <w:b/>
          <w:bCs/>
          <w:noProof/>
        </w:rPr>
        <w:t xml:space="preserve">Figure </w:t>
      </w:r>
      <w:r w:rsidR="00D532BC">
        <w:rPr>
          <w:b/>
          <w:bCs/>
          <w:noProof/>
        </w:rPr>
        <w:fldChar w:fldCharType="begin"/>
      </w:r>
      <w:r w:rsidR="00D532BC">
        <w:rPr>
          <w:b/>
          <w:bCs/>
          <w:noProof/>
        </w:rPr>
        <w:instrText xml:space="preserve"> STYLEREF 1 \s </w:instrText>
      </w:r>
      <w:r w:rsidR="00D532BC">
        <w:rPr>
          <w:b/>
          <w:bCs/>
          <w:noProof/>
        </w:rPr>
        <w:fldChar w:fldCharType="separate"/>
      </w:r>
      <w:r w:rsidR="00B52D1E">
        <w:rPr>
          <w:b/>
          <w:bCs/>
          <w:noProof/>
        </w:rPr>
        <w:t>3</w:t>
      </w:r>
      <w:r w:rsidR="00D532BC">
        <w:rPr>
          <w:b/>
          <w:bCs/>
          <w:noProof/>
        </w:rPr>
        <w:fldChar w:fldCharType="end"/>
      </w:r>
      <w:r w:rsidR="00D532BC">
        <w:rPr>
          <w:b/>
          <w:bCs/>
          <w:noProof/>
        </w:rPr>
        <w:t>.</w:t>
      </w:r>
      <w:r w:rsidR="00D532BC">
        <w:rPr>
          <w:b/>
          <w:bCs/>
          <w:noProof/>
        </w:rPr>
        <w:fldChar w:fldCharType="begin"/>
      </w:r>
      <w:r w:rsidR="00D532BC">
        <w:rPr>
          <w:b/>
          <w:bCs/>
          <w:noProof/>
        </w:rPr>
        <w:instrText xml:space="preserve"> SEQ Figure \* ARABIC \s 1 </w:instrText>
      </w:r>
      <w:r w:rsidR="00D532BC">
        <w:rPr>
          <w:b/>
          <w:bCs/>
          <w:noProof/>
        </w:rPr>
        <w:fldChar w:fldCharType="separate"/>
      </w:r>
      <w:r w:rsidR="00B52D1E">
        <w:rPr>
          <w:b/>
          <w:bCs/>
          <w:noProof/>
        </w:rPr>
        <w:t>10</w:t>
      </w:r>
      <w:r w:rsidR="00D532BC">
        <w:rPr>
          <w:b/>
          <w:bCs/>
          <w:noProof/>
        </w:rPr>
        <w:fldChar w:fldCharType="end"/>
      </w:r>
      <w:r w:rsidRPr="00EF440C">
        <w:rPr>
          <w:b/>
          <w:bCs/>
          <w:noProof/>
        </w:rPr>
        <w:t>:</w:t>
      </w:r>
      <w:bookmarkStart w:id="708" w:name="_Toc117345144"/>
      <w:bookmarkStart w:id="709" w:name="_Toc117376754"/>
      <w:r>
        <w:rPr>
          <w:noProof/>
        </w:rPr>
        <w:t xml:space="preserve"> </w:t>
      </w:r>
      <w:r w:rsidR="00201B80">
        <w:rPr>
          <w:noProof/>
        </w:rPr>
        <w:t xml:space="preserve">Schematic diagram </w:t>
      </w:r>
      <w:r w:rsidR="00DA4D7C">
        <w:rPr>
          <w:noProof/>
        </w:rPr>
        <w:t>showing the data</w:t>
      </w:r>
      <w:r w:rsidR="00201B80">
        <w:rPr>
          <w:noProof/>
        </w:rPr>
        <w:t xml:space="preserve"> </w:t>
      </w:r>
      <w:r w:rsidR="00DA4D7C">
        <w:rPr>
          <w:noProof/>
        </w:rPr>
        <w:t>for</w:t>
      </w:r>
      <w:r w:rsidR="00201B80">
        <w:rPr>
          <w:noProof/>
        </w:rPr>
        <w:t xml:space="preserve"> </w:t>
      </w:r>
      <w:r w:rsidR="00DA4D7C">
        <w:rPr>
          <w:noProof/>
        </w:rPr>
        <w:t>constraining</w:t>
      </w:r>
      <w:r w:rsidR="00201B80">
        <w:rPr>
          <w:noProof/>
        </w:rPr>
        <w:t xml:space="preserve"> the </w:t>
      </w:r>
      <w:r w:rsidR="001146F5">
        <w:rPr>
          <w:noProof/>
        </w:rPr>
        <w:t>three-dimensional</w:t>
      </w:r>
      <w:r w:rsidR="00201B80">
        <w:rPr>
          <w:noProof/>
        </w:rPr>
        <w:t xml:space="preserve"> </w:t>
      </w:r>
      <w:r w:rsidR="00DA4D7C">
        <w:rPr>
          <w:noProof/>
        </w:rPr>
        <w:t>porosity and permeability models</w:t>
      </w:r>
      <w:r w:rsidR="00DA4D7C">
        <w:t>.</w:t>
      </w:r>
      <w:bookmarkEnd w:id="707"/>
      <w:bookmarkEnd w:id="708"/>
      <w:bookmarkEnd w:id="709"/>
    </w:p>
    <w:p w14:paraId="0FCE1FA7" w14:textId="77777777" w:rsidR="00E00206" w:rsidRDefault="00431BE4" w:rsidP="00E00206">
      <w:pPr>
        <w:pStyle w:val="Caption"/>
        <w:keepNext/>
        <w:jc w:val="center"/>
        <w:rPr>
          <w:noProof/>
        </w:rPr>
      </w:pPr>
      <w:r>
        <w:rPr>
          <w:noProof/>
        </w:rPr>
        <w:lastRenderedPageBreak/>
        <w:drawing>
          <wp:inline distT="0" distB="0" distL="0" distR="0" wp14:anchorId="48FD1BA6" wp14:editId="06A710C2">
            <wp:extent cx="7573777" cy="4367284"/>
            <wp:effectExtent l="0" t="0" r="8255" b="0"/>
            <wp:docPr id="51" name="Picture 51"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Map&#10;&#10;Description automatically generated with medium confidence"/>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7676992" cy="4426801"/>
                    </a:xfrm>
                    <a:prstGeom prst="rect">
                      <a:avLst/>
                    </a:prstGeom>
                    <a:noFill/>
                  </pic:spPr>
                </pic:pic>
              </a:graphicData>
            </a:graphic>
          </wp:inline>
        </w:drawing>
      </w:r>
    </w:p>
    <w:p w14:paraId="32682867" w14:textId="4F48C9FE" w:rsidR="00431BE4" w:rsidRDefault="00E00206" w:rsidP="00DF545F">
      <w:pPr>
        <w:pStyle w:val="Caption"/>
        <w:keepNext/>
        <w:rPr>
          <w:noProof/>
        </w:rPr>
        <w:sectPr w:rsidR="00431BE4" w:rsidSect="00086BA9">
          <w:type w:val="continuous"/>
          <w:pgSz w:w="15840" w:h="12240" w:orient="landscape"/>
          <w:pgMar w:top="1440" w:right="1440" w:bottom="1440" w:left="1440" w:header="720" w:footer="720" w:gutter="0"/>
          <w:cols w:space="720"/>
          <w:docGrid w:linePitch="360"/>
        </w:sectPr>
      </w:pPr>
      <w:bookmarkStart w:id="710" w:name="_Toc121095138"/>
      <w:r w:rsidRPr="00EF440C">
        <w:rPr>
          <w:b/>
          <w:bCs/>
          <w:noProof/>
        </w:rPr>
        <w:t xml:space="preserve">Figure </w:t>
      </w:r>
      <w:r w:rsidR="00D532BC">
        <w:rPr>
          <w:b/>
          <w:bCs/>
          <w:noProof/>
        </w:rPr>
        <w:fldChar w:fldCharType="begin"/>
      </w:r>
      <w:r w:rsidR="00D532BC">
        <w:rPr>
          <w:b/>
          <w:bCs/>
          <w:noProof/>
        </w:rPr>
        <w:instrText xml:space="preserve"> STYLEREF 1 \s </w:instrText>
      </w:r>
      <w:r w:rsidR="00D532BC">
        <w:rPr>
          <w:b/>
          <w:bCs/>
          <w:noProof/>
        </w:rPr>
        <w:fldChar w:fldCharType="separate"/>
      </w:r>
      <w:r w:rsidR="00B52D1E">
        <w:rPr>
          <w:b/>
          <w:bCs/>
          <w:noProof/>
        </w:rPr>
        <w:t>3</w:t>
      </w:r>
      <w:r w:rsidR="00D532BC">
        <w:rPr>
          <w:b/>
          <w:bCs/>
          <w:noProof/>
        </w:rPr>
        <w:fldChar w:fldCharType="end"/>
      </w:r>
      <w:r w:rsidR="00D532BC">
        <w:rPr>
          <w:b/>
          <w:bCs/>
          <w:noProof/>
        </w:rPr>
        <w:t>.</w:t>
      </w:r>
      <w:r w:rsidR="00D532BC">
        <w:rPr>
          <w:b/>
          <w:bCs/>
          <w:noProof/>
        </w:rPr>
        <w:fldChar w:fldCharType="begin"/>
      </w:r>
      <w:r w:rsidR="00D532BC">
        <w:rPr>
          <w:b/>
          <w:bCs/>
          <w:noProof/>
        </w:rPr>
        <w:instrText xml:space="preserve"> SEQ Figure \* ARABIC \s 1 </w:instrText>
      </w:r>
      <w:r w:rsidR="00D532BC">
        <w:rPr>
          <w:b/>
          <w:bCs/>
          <w:noProof/>
        </w:rPr>
        <w:fldChar w:fldCharType="separate"/>
      </w:r>
      <w:r w:rsidR="00B52D1E">
        <w:rPr>
          <w:b/>
          <w:bCs/>
          <w:noProof/>
        </w:rPr>
        <w:t>11</w:t>
      </w:r>
      <w:r w:rsidR="00D532BC">
        <w:rPr>
          <w:b/>
          <w:bCs/>
          <w:noProof/>
        </w:rPr>
        <w:fldChar w:fldCharType="end"/>
      </w:r>
      <w:bookmarkStart w:id="711" w:name="_Toc117345145"/>
      <w:bookmarkStart w:id="712" w:name="_Toc117376755"/>
      <w:r w:rsidRPr="00EF440C">
        <w:rPr>
          <w:b/>
          <w:bCs/>
          <w:noProof/>
        </w:rPr>
        <w:t>:</w:t>
      </w:r>
      <w:r>
        <w:rPr>
          <w:noProof/>
        </w:rPr>
        <w:t xml:space="preserve"> </w:t>
      </w:r>
      <w:r w:rsidR="00DE518F" w:rsidRPr="00DE518F">
        <w:rPr>
          <w:noProof/>
        </w:rPr>
        <w:t xml:space="preserve">Structure maps for (A) </w:t>
      </w:r>
      <w:r w:rsidR="00A24DBE">
        <w:rPr>
          <w:noProof/>
        </w:rPr>
        <w:t xml:space="preserve">the </w:t>
      </w:r>
      <w:r w:rsidR="0052084F">
        <w:rPr>
          <w:noProof/>
        </w:rPr>
        <w:t>T</w:t>
      </w:r>
      <w:r w:rsidR="0052084F" w:rsidRPr="00DE518F">
        <w:rPr>
          <w:noProof/>
        </w:rPr>
        <w:t xml:space="preserve">op </w:t>
      </w:r>
      <w:r w:rsidR="00DE518F" w:rsidRPr="00DE518F">
        <w:rPr>
          <w:noProof/>
        </w:rPr>
        <w:t>of the A</w:t>
      </w:r>
      <w:r w:rsidR="00DE518F">
        <w:rPr>
          <w:noProof/>
        </w:rPr>
        <w:t>r</w:t>
      </w:r>
      <w:r w:rsidR="00DE518F" w:rsidRPr="00DE518F">
        <w:rPr>
          <w:noProof/>
        </w:rPr>
        <w:t>buckle and (B</w:t>
      </w:r>
      <w:r w:rsidR="00EF440C">
        <w:rPr>
          <w:noProof/>
        </w:rPr>
        <w:t>)</w:t>
      </w:r>
      <w:r w:rsidR="00A24DBE">
        <w:rPr>
          <w:noProof/>
        </w:rPr>
        <w:t xml:space="preserve"> the </w:t>
      </w:r>
      <w:r w:rsidR="00EF440C">
        <w:rPr>
          <w:noProof/>
        </w:rPr>
        <w:t>Base of the Arbuckle</w:t>
      </w:r>
      <w:r w:rsidR="00DE518F" w:rsidRPr="00DE518F">
        <w:rPr>
          <w:noProof/>
        </w:rPr>
        <w:t xml:space="preserve"> as picked from the seismic volume and depth converted from tops picked in wells. (C) Arbuckle Isopach Map</w:t>
      </w:r>
      <w:r w:rsidR="00CC71B6">
        <w:rPr>
          <w:noProof/>
        </w:rPr>
        <w:t>.</w:t>
      </w:r>
      <w:bookmarkEnd w:id="711"/>
      <w:bookmarkEnd w:id="712"/>
      <w:r w:rsidR="00A24DBE">
        <w:rPr>
          <w:noProof/>
        </w:rPr>
        <w:t xml:space="preserve"> </w:t>
      </w:r>
      <w:r w:rsidR="00DE518F" w:rsidRPr="00DE518F">
        <w:rPr>
          <w:noProof/>
        </w:rPr>
        <w:t xml:space="preserve">Arbuckle interval can be seen structurally shallowing towards </w:t>
      </w:r>
      <w:r w:rsidR="00A24DBE">
        <w:rPr>
          <w:noProof/>
        </w:rPr>
        <w:t xml:space="preserve">the </w:t>
      </w:r>
      <w:r w:rsidR="00DE518F" w:rsidRPr="00DE518F">
        <w:rPr>
          <w:noProof/>
        </w:rPr>
        <w:t>north and north</w:t>
      </w:r>
      <w:r w:rsidR="00DE518F">
        <w:rPr>
          <w:noProof/>
        </w:rPr>
        <w:t>west</w:t>
      </w:r>
      <w:r w:rsidR="00822F77">
        <w:rPr>
          <w:noProof/>
        </w:rPr>
        <w:t xml:space="preserve">. </w:t>
      </w:r>
      <w:r w:rsidR="00DE518F" w:rsidRPr="00DE518F">
        <w:rPr>
          <w:noProof/>
        </w:rPr>
        <w:t xml:space="preserve">In the study area, </w:t>
      </w:r>
      <w:r w:rsidR="0052084F">
        <w:rPr>
          <w:noProof/>
        </w:rPr>
        <w:t>t</w:t>
      </w:r>
      <w:r w:rsidR="0052084F" w:rsidRPr="00DE518F">
        <w:rPr>
          <w:noProof/>
        </w:rPr>
        <w:t xml:space="preserve">he </w:t>
      </w:r>
      <w:r w:rsidR="00DE518F">
        <w:rPr>
          <w:noProof/>
        </w:rPr>
        <w:t>A</w:t>
      </w:r>
      <w:r w:rsidR="00DE518F" w:rsidRPr="00DE518F">
        <w:rPr>
          <w:noProof/>
        </w:rPr>
        <w:t>rbuckle thickness varies between 880-1020 ft (</w:t>
      </w:r>
      <w:r w:rsidR="00822F77" w:rsidRPr="00822F77">
        <w:rPr>
          <w:noProof/>
        </w:rPr>
        <w:t>268</w:t>
      </w:r>
      <w:r w:rsidR="00DE518F" w:rsidRPr="00DE518F">
        <w:rPr>
          <w:noProof/>
        </w:rPr>
        <w:t xml:space="preserve"> to </w:t>
      </w:r>
      <w:r w:rsidR="00464BD1" w:rsidRPr="00464BD1">
        <w:rPr>
          <w:noProof/>
        </w:rPr>
        <w:t>310</w:t>
      </w:r>
      <w:r w:rsidR="00DE518F" w:rsidRPr="00DE518F">
        <w:rPr>
          <w:noProof/>
        </w:rPr>
        <w:t xml:space="preserve"> m) and thickens towards the center and the southern edge</w:t>
      </w:r>
      <w:r w:rsidR="00822F77">
        <w:rPr>
          <w:noProof/>
        </w:rPr>
        <w:t>.</w:t>
      </w:r>
      <w:r w:rsidR="00B068B7">
        <w:rPr>
          <w:noProof/>
        </w:rPr>
        <w:t xml:space="preserve"> </w:t>
      </w:r>
      <w:r w:rsidR="00A24DBE">
        <w:rPr>
          <w:noProof/>
        </w:rPr>
        <w:t xml:space="preserve">The </w:t>
      </w:r>
      <w:r w:rsidR="0052084F">
        <w:rPr>
          <w:noProof/>
        </w:rPr>
        <w:t xml:space="preserve">contour </w:t>
      </w:r>
      <w:r w:rsidR="00DF545F">
        <w:rPr>
          <w:noProof/>
        </w:rPr>
        <w:t>interval is 10 ft (3</w:t>
      </w:r>
      <w:r w:rsidR="00B068B7">
        <w:rPr>
          <w:noProof/>
        </w:rPr>
        <w:t>.04</w:t>
      </w:r>
      <w:r w:rsidR="00DF545F">
        <w:rPr>
          <w:noProof/>
        </w:rPr>
        <w:t xml:space="preserve"> m).</w:t>
      </w:r>
      <w:bookmarkEnd w:id="710"/>
    </w:p>
    <w:p w14:paraId="3937206B" w14:textId="77777777" w:rsidR="00B068B7" w:rsidRDefault="00431BE4" w:rsidP="00B068B7">
      <w:pPr>
        <w:pStyle w:val="Caption"/>
        <w:keepNext/>
      </w:pPr>
      <w:r>
        <w:rPr>
          <w:noProof/>
        </w:rPr>
        <w:lastRenderedPageBreak/>
        <w:drawing>
          <wp:inline distT="0" distB="0" distL="0" distR="0" wp14:anchorId="64004B9C" wp14:editId="7A6184E6">
            <wp:extent cx="5961629" cy="4444365"/>
            <wp:effectExtent l="0" t="0" r="1270" b="0"/>
            <wp:docPr id="52" name="Picture 52"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surface chart&#10;&#10;Description automatically generated"/>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970806" cy="4451207"/>
                    </a:xfrm>
                    <a:prstGeom prst="rect">
                      <a:avLst/>
                    </a:prstGeom>
                    <a:noFill/>
                  </pic:spPr>
                </pic:pic>
              </a:graphicData>
            </a:graphic>
          </wp:inline>
        </w:drawing>
      </w:r>
    </w:p>
    <w:p w14:paraId="7E55CB9E" w14:textId="2EA23D05" w:rsidR="00C96026" w:rsidRDefault="00B068B7" w:rsidP="006A4451">
      <w:pPr>
        <w:pStyle w:val="Caption"/>
      </w:pPr>
      <w:bookmarkStart w:id="713" w:name="_Toc121095139"/>
      <w:r w:rsidRPr="00B068B7">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12</w:t>
      </w:r>
      <w:r w:rsidR="00D532BC">
        <w:rPr>
          <w:b/>
          <w:bCs/>
        </w:rPr>
        <w:fldChar w:fldCharType="end"/>
      </w:r>
      <w:bookmarkStart w:id="714" w:name="_Toc117345146"/>
      <w:bookmarkStart w:id="715" w:name="_Toc117376756"/>
      <w:r w:rsidR="00431BE4" w:rsidRPr="00B068B7">
        <w:rPr>
          <w:b/>
          <w:bCs/>
        </w:rPr>
        <w:t>:</w:t>
      </w:r>
      <w:r w:rsidR="00431BE4">
        <w:t xml:space="preserve"> </w:t>
      </w:r>
      <w:r w:rsidR="00FE50FB">
        <w:t>(A)</w:t>
      </w:r>
      <w:r w:rsidR="00431BE4">
        <w:t xml:space="preserve"> </w:t>
      </w:r>
      <w:r w:rsidR="0000702E">
        <w:t>Three-dimensional model</w:t>
      </w:r>
      <w:r w:rsidR="003C6DD9">
        <w:t xml:space="preserve"> representing the structural and stratigraphic</w:t>
      </w:r>
      <w:r w:rsidR="0000702E">
        <w:t xml:space="preserve"> framework of the Arbuckle group. </w:t>
      </w:r>
      <w:r w:rsidR="00FE50FB">
        <w:t xml:space="preserve">The 3D grid covers an area of </w:t>
      </w:r>
      <w:r w:rsidR="00AF4333" w:rsidRPr="00794D6D">
        <w:rPr>
          <w:rFonts w:cs="Times New Roman"/>
          <w:szCs w:val="24"/>
        </w:rPr>
        <w:t>10.4 mi2 (26.9 km2)</w:t>
      </w:r>
      <w:r w:rsidR="00AF4333">
        <w:rPr>
          <w:rFonts w:cs="Times New Roman"/>
          <w:szCs w:val="24"/>
        </w:rPr>
        <w:t>. (B)</w:t>
      </w:r>
      <w:r w:rsidR="00AF4333" w:rsidRPr="00794D6D">
        <w:rPr>
          <w:rFonts w:cs="Times New Roman"/>
          <w:szCs w:val="24"/>
        </w:rPr>
        <w:t xml:space="preserve"> The aerial cell dimensions correspond to the seismic bin size of 82.5 × 82.5ft (25 × 25 m) with an approximate cell/layer thickness of 2 ft (0.6 m). The grid is comprised of </w:t>
      </w:r>
      <w:r w:rsidR="00AF4333">
        <w:rPr>
          <w:rFonts w:cs="Times New Roman"/>
          <w:szCs w:val="24"/>
        </w:rPr>
        <w:t>179</w:t>
      </w:r>
      <w:r w:rsidR="00AF4333" w:rsidRPr="00794D6D">
        <w:rPr>
          <w:rFonts w:cs="Times New Roman"/>
          <w:szCs w:val="24"/>
        </w:rPr>
        <w:t xml:space="preserve"> x </w:t>
      </w:r>
      <w:r w:rsidR="00AF4333">
        <w:rPr>
          <w:rFonts w:cs="Times New Roman"/>
          <w:szCs w:val="24"/>
        </w:rPr>
        <w:t>289</w:t>
      </w:r>
      <w:r w:rsidR="00AF4333" w:rsidRPr="00794D6D">
        <w:rPr>
          <w:rFonts w:cs="Times New Roman"/>
          <w:szCs w:val="24"/>
        </w:rPr>
        <w:t xml:space="preserve"> x </w:t>
      </w:r>
      <w:r w:rsidR="00AF4333">
        <w:rPr>
          <w:rFonts w:cs="Times New Roman"/>
          <w:szCs w:val="24"/>
        </w:rPr>
        <w:t>450</w:t>
      </w:r>
      <w:r w:rsidR="00AF4333" w:rsidRPr="00794D6D">
        <w:rPr>
          <w:rFonts w:cs="Times New Roman"/>
          <w:szCs w:val="24"/>
        </w:rPr>
        <w:t xml:space="preserve"> cells in the I, J, and K directions</w:t>
      </w:r>
      <w:r w:rsidR="00A24DBE">
        <w:rPr>
          <w:rFonts w:cs="Times New Roman"/>
          <w:szCs w:val="24"/>
        </w:rPr>
        <w:t>,</w:t>
      </w:r>
      <w:r w:rsidR="00AF4333" w:rsidRPr="00794D6D">
        <w:rPr>
          <w:rFonts w:cs="Times New Roman"/>
          <w:szCs w:val="24"/>
        </w:rPr>
        <w:t xml:space="preserve"> respectively, resulting in </w:t>
      </w:r>
      <w:r w:rsidR="00AF4333" w:rsidRPr="00766CFE">
        <w:rPr>
          <w:rFonts w:cs="Times New Roman"/>
          <w:szCs w:val="24"/>
        </w:rPr>
        <w:t>23,278,950</w:t>
      </w:r>
      <w:r w:rsidR="00AF4333" w:rsidRPr="00794D6D">
        <w:rPr>
          <w:rFonts w:cs="Times New Roman"/>
          <w:szCs w:val="24"/>
        </w:rPr>
        <w:t xml:space="preserve"> cells with a proportional layering scheme</w:t>
      </w:r>
      <w:r w:rsidR="006A4451">
        <w:rPr>
          <w:rFonts w:cs="Times New Roman"/>
          <w:szCs w:val="24"/>
        </w:rPr>
        <w:t xml:space="preserve">. (C) South-North oriented cross-section (B-B’) </w:t>
      </w:r>
      <w:r w:rsidR="00966EB5">
        <w:rPr>
          <w:rFonts w:cs="Times New Roman"/>
          <w:szCs w:val="24"/>
        </w:rPr>
        <w:t>through the 3D grid flattened on the basement</w:t>
      </w:r>
      <w:r w:rsidR="005217E3">
        <w:rPr>
          <w:rFonts w:cs="Times New Roman"/>
          <w:szCs w:val="24"/>
        </w:rPr>
        <w:t xml:space="preserve"> with </w:t>
      </w:r>
      <w:r w:rsidR="002D6F42">
        <w:rPr>
          <w:rFonts w:cs="Times New Roman"/>
          <w:szCs w:val="24"/>
        </w:rPr>
        <w:t>3X vertical exaggeration.</w:t>
      </w:r>
      <w:r w:rsidR="00B479B5">
        <w:rPr>
          <w:rFonts w:cs="Times New Roman"/>
          <w:szCs w:val="24"/>
        </w:rPr>
        <w:t xml:space="preserve"> </w:t>
      </w:r>
      <w:r w:rsidR="00A24DBE">
        <w:t>The l</w:t>
      </w:r>
      <w:r w:rsidR="00B479B5">
        <w:t xml:space="preserve">ocation of cross section is shown </w:t>
      </w:r>
      <w:r w:rsidR="00A24DBE">
        <w:t>i</w:t>
      </w:r>
      <w:r w:rsidR="00B479B5">
        <w:t>n Figure 2.</w:t>
      </w:r>
      <w:bookmarkEnd w:id="713"/>
      <w:bookmarkEnd w:id="714"/>
      <w:bookmarkEnd w:id="715"/>
    </w:p>
    <w:p w14:paraId="38812B70" w14:textId="77777777" w:rsidR="00C96026" w:rsidRDefault="00C96026">
      <w:pPr>
        <w:spacing w:line="240" w:lineRule="auto"/>
        <w:rPr>
          <w:iCs/>
          <w:szCs w:val="18"/>
        </w:rPr>
      </w:pPr>
      <w:r>
        <w:br w:type="page"/>
      </w:r>
    </w:p>
    <w:p w14:paraId="7ADA007D" w14:textId="7794A86D" w:rsidR="00C96026" w:rsidRDefault="00EC09F9" w:rsidP="00C96026">
      <w:pPr>
        <w:keepNext/>
        <w:jc w:val="center"/>
      </w:pPr>
      <w:r>
        <w:rPr>
          <w:noProof/>
        </w:rPr>
        <w:lastRenderedPageBreak/>
        <w:drawing>
          <wp:inline distT="0" distB="0" distL="0" distR="0" wp14:anchorId="3B5CC24C" wp14:editId="5248CADE">
            <wp:extent cx="3636447" cy="6882765"/>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662644" cy="6932349"/>
                    </a:xfrm>
                    <a:prstGeom prst="rect">
                      <a:avLst/>
                    </a:prstGeom>
                    <a:noFill/>
                  </pic:spPr>
                </pic:pic>
              </a:graphicData>
            </a:graphic>
          </wp:inline>
        </w:drawing>
      </w:r>
    </w:p>
    <w:p w14:paraId="665BFC65" w14:textId="73BA29D4" w:rsidR="00C96026" w:rsidRDefault="00C96026" w:rsidP="00C96026">
      <w:pPr>
        <w:pStyle w:val="Caption"/>
      </w:pPr>
      <w:bookmarkStart w:id="716" w:name="_Toc121095140"/>
      <w:r w:rsidRPr="00C96026">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13</w:t>
      </w:r>
      <w:r w:rsidR="00D532BC">
        <w:rPr>
          <w:b/>
          <w:bCs/>
        </w:rPr>
        <w:fldChar w:fldCharType="end"/>
      </w:r>
      <w:r w:rsidRPr="00C96026">
        <w:rPr>
          <w:b/>
          <w:bCs/>
        </w:rPr>
        <w:t xml:space="preserve">: </w:t>
      </w:r>
      <w:bookmarkStart w:id="717" w:name="_Toc117345147"/>
      <w:bookmarkStart w:id="718" w:name="_Toc117376757"/>
      <w:r>
        <w:rPr>
          <w:b/>
          <w:bCs/>
        </w:rPr>
        <w:t xml:space="preserve"> </w:t>
      </w:r>
      <w:r w:rsidR="005E0C22">
        <w:t xml:space="preserve">Perspective views of 3D model sections showing the spatial distribution of A) Petrofacies, B) Porosity, and C) Permeability. </w:t>
      </w:r>
      <w:r w:rsidR="00F115CD">
        <w:t>Base Arbuckle</w:t>
      </w:r>
      <w:r w:rsidR="005E0C22">
        <w:t xml:space="preserve"> horizon is displayed.</w:t>
      </w:r>
      <w:bookmarkEnd w:id="716"/>
      <w:bookmarkEnd w:id="717"/>
      <w:bookmarkEnd w:id="718"/>
    </w:p>
    <w:p w14:paraId="690653C8" w14:textId="5CB43EEE" w:rsidR="00431BE4" w:rsidRPr="00C96026" w:rsidRDefault="00C96026" w:rsidP="00C96026">
      <w:pPr>
        <w:spacing w:line="240" w:lineRule="auto"/>
        <w:rPr>
          <w:iCs/>
          <w:szCs w:val="18"/>
        </w:rPr>
      </w:pPr>
      <w:r>
        <w:br w:type="page"/>
      </w:r>
    </w:p>
    <w:p w14:paraId="1C2F7CD3" w14:textId="77777777" w:rsidR="00C96026" w:rsidRDefault="00431BE4" w:rsidP="00C96026">
      <w:pPr>
        <w:keepNext/>
        <w:jc w:val="center"/>
      </w:pPr>
      <w:r>
        <w:rPr>
          <w:noProof/>
        </w:rPr>
        <w:lastRenderedPageBreak/>
        <w:drawing>
          <wp:inline distT="0" distB="0" distL="0" distR="0" wp14:anchorId="215151B9" wp14:editId="388D2F44">
            <wp:extent cx="5928181" cy="7411453"/>
            <wp:effectExtent l="0" t="0" r="0" b="0"/>
            <wp:docPr id="54" name="Picture 5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chart&#10;&#10;Description automatically generated"/>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39101" cy="7425105"/>
                    </a:xfrm>
                    <a:prstGeom prst="rect">
                      <a:avLst/>
                    </a:prstGeom>
                    <a:noFill/>
                  </pic:spPr>
                </pic:pic>
              </a:graphicData>
            </a:graphic>
          </wp:inline>
        </w:drawing>
      </w:r>
    </w:p>
    <w:p w14:paraId="7213ABC4" w14:textId="2DB35A90" w:rsidR="00246EC3" w:rsidRDefault="00C96026" w:rsidP="00C96026">
      <w:pPr>
        <w:pStyle w:val="Caption"/>
      </w:pPr>
      <w:bookmarkStart w:id="719" w:name="_Toc121095141"/>
      <w:r w:rsidRPr="00C96026">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14</w:t>
      </w:r>
      <w:r w:rsidR="00D532BC">
        <w:rPr>
          <w:b/>
          <w:bCs/>
        </w:rPr>
        <w:fldChar w:fldCharType="end"/>
      </w:r>
      <w:bookmarkStart w:id="720" w:name="_Toc117345148"/>
      <w:bookmarkStart w:id="721" w:name="_Toc117376758"/>
      <w:r w:rsidR="00431BE4">
        <w:t xml:space="preserve">: </w:t>
      </w:r>
      <w:r w:rsidR="00B46973">
        <w:t xml:space="preserve">East-west oriented cross-sections (D – D’) </w:t>
      </w:r>
      <w:r w:rsidR="000937A5">
        <w:t>taken from</w:t>
      </w:r>
      <w:r w:rsidR="00DC3957">
        <w:t xml:space="preserve"> the reservoir models showing the distribution of petrofacies and corresponding petrophysical property distribution.</w:t>
      </w:r>
      <w:r w:rsidR="00F061B5">
        <w:t xml:space="preserve"> </w:t>
      </w:r>
      <w:r w:rsidR="00B46973">
        <w:t xml:space="preserve">A) </w:t>
      </w:r>
      <w:r w:rsidR="00DC3957">
        <w:lastRenderedPageBreak/>
        <w:t>Petrofacies distribution show</w:t>
      </w:r>
      <w:r w:rsidR="00A24DBE">
        <w:t>s</w:t>
      </w:r>
      <w:r w:rsidR="00DA211E">
        <w:t xml:space="preserve"> that the Arbuckle Zones A and C </w:t>
      </w:r>
      <w:r w:rsidR="00A24DBE">
        <w:t>are</w:t>
      </w:r>
      <w:r w:rsidR="00005718">
        <w:t xml:space="preserve"> mainly </w:t>
      </w:r>
      <w:r w:rsidR="001D7F29">
        <w:t xml:space="preserve">composed of petrofacies </w:t>
      </w:r>
      <w:r w:rsidR="00F061B5">
        <w:t>1, while</w:t>
      </w:r>
      <w:r w:rsidR="00407019">
        <w:t xml:space="preserve"> Zone B </w:t>
      </w:r>
      <w:r w:rsidR="00F061B5">
        <w:t xml:space="preserve">can be seen </w:t>
      </w:r>
      <w:r w:rsidR="00B872D3">
        <w:t xml:space="preserve">as </w:t>
      </w:r>
      <w:r w:rsidR="00F061B5">
        <w:t xml:space="preserve">abundant with petrofacies 2 and 3. </w:t>
      </w:r>
      <w:r w:rsidR="00B46973">
        <w:t xml:space="preserve">B) </w:t>
      </w:r>
      <w:r w:rsidR="00F061B5">
        <w:t>Porosity</w:t>
      </w:r>
      <w:r w:rsidR="00B46973">
        <w:t xml:space="preserve"> distribution. </w:t>
      </w:r>
      <w:r w:rsidR="00643110">
        <w:t>High porosity</w:t>
      </w:r>
      <w:r w:rsidR="00F73227">
        <w:t xml:space="preserve"> values are observed </w:t>
      </w:r>
      <w:r w:rsidR="006E0D54">
        <w:t xml:space="preserve">at zones A and C, correlating with the </w:t>
      </w:r>
      <w:r w:rsidR="000002D0">
        <w:t xml:space="preserve">high concentrations of the petrofacies 1. In contrast, Zone B </w:t>
      </w:r>
      <w:r w:rsidR="00B872D3">
        <w:t>has</w:t>
      </w:r>
      <w:r w:rsidR="000002D0">
        <w:t xml:space="preserve"> </w:t>
      </w:r>
      <w:r w:rsidR="004D6523">
        <w:t>lower porosity values coinciding with the abundance of petrofacies 2 and 3. C) Permeability</w:t>
      </w:r>
      <w:r w:rsidR="00C85742">
        <w:t xml:space="preserve"> distribution</w:t>
      </w:r>
      <w:r w:rsidR="00F66D89">
        <w:t xml:space="preserve"> shows a similar trend with the porosity, </w:t>
      </w:r>
      <w:r w:rsidR="005B418D">
        <w:t>in which the</w:t>
      </w:r>
      <w:r w:rsidR="00622F7F">
        <w:t xml:space="preserve"> high permeability values can be </w:t>
      </w:r>
      <w:r w:rsidR="009C1FB6">
        <w:t>seen at zones A and C</w:t>
      </w:r>
      <w:r w:rsidR="0097489A">
        <w:t>, and low</w:t>
      </w:r>
      <w:r w:rsidR="005B418D">
        <w:t xml:space="preserve"> permeability values </w:t>
      </w:r>
      <w:r w:rsidR="008537D0">
        <w:t>are observed</w:t>
      </w:r>
      <w:r w:rsidR="00622F7F">
        <w:t xml:space="preserve"> at Zone B</w:t>
      </w:r>
      <w:r w:rsidR="008537D0">
        <w:t xml:space="preserve"> </w:t>
      </w:r>
      <w:r w:rsidR="00EC26FC">
        <w:t>as petrofacies 2 and 3 become more prominent.</w:t>
      </w:r>
      <w:r w:rsidR="00B46973">
        <w:t xml:space="preserve"> </w:t>
      </w:r>
      <w:r w:rsidR="00B872D3">
        <w:t>The l</w:t>
      </w:r>
      <w:r w:rsidR="00B46973">
        <w:t xml:space="preserve">ocation of cross section is shown </w:t>
      </w:r>
      <w:r w:rsidR="00B872D3">
        <w:t>i</w:t>
      </w:r>
      <w:r w:rsidR="00B46973">
        <w:t>n Figure 2.</w:t>
      </w:r>
      <w:bookmarkEnd w:id="719"/>
      <w:bookmarkEnd w:id="720"/>
      <w:bookmarkEnd w:id="721"/>
    </w:p>
    <w:p w14:paraId="32F5CCCF" w14:textId="77777777" w:rsidR="00246EC3" w:rsidRDefault="00246EC3">
      <w:pPr>
        <w:spacing w:line="240" w:lineRule="auto"/>
        <w:rPr>
          <w:iCs/>
          <w:szCs w:val="18"/>
        </w:rPr>
      </w:pPr>
      <w:r>
        <w:br w:type="page"/>
      </w:r>
    </w:p>
    <w:p w14:paraId="7E68C87E" w14:textId="77777777" w:rsidR="00F450A0" w:rsidRDefault="00F450A0" w:rsidP="007B23EE">
      <w:pPr>
        <w:keepNext/>
        <w:jc w:val="center"/>
      </w:pPr>
      <w:r>
        <w:rPr>
          <w:noProof/>
        </w:rPr>
        <w:lastRenderedPageBreak/>
        <w:drawing>
          <wp:inline distT="0" distB="0" distL="0" distR="0" wp14:anchorId="32E5D324" wp14:editId="1AC96342">
            <wp:extent cx="5017831" cy="78035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028467" cy="7820056"/>
                    </a:xfrm>
                    <a:prstGeom prst="rect">
                      <a:avLst/>
                    </a:prstGeom>
                    <a:noFill/>
                  </pic:spPr>
                </pic:pic>
              </a:graphicData>
            </a:graphic>
          </wp:inline>
        </w:drawing>
      </w:r>
    </w:p>
    <w:p w14:paraId="63E75ECA" w14:textId="523F69CC" w:rsidR="008E32F3" w:rsidRDefault="00F450A0" w:rsidP="00372C96">
      <w:pPr>
        <w:pStyle w:val="Caption"/>
      </w:pPr>
      <w:bookmarkStart w:id="722" w:name="_Toc121095142"/>
      <w:r w:rsidRPr="007B23EE">
        <w:rPr>
          <w:b/>
          <w:bCs/>
        </w:rPr>
        <w:lastRenderedPageBreak/>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15</w:t>
      </w:r>
      <w:r w:rsidR="00D532BC">
        <w:rPr>
          <w:b/>
          <w:bCs/>
        </w:rPr>
        <w:fldChar w:fldCharType="end"/>
      </w:r>
      <w:r w:rsidR="00910A34">
        <w:t xml:space="preserve">: </w:t>
      </w:r>
      <w:r w:rsidR="005F373B">
        <w:t xml:space="preserve">Petrofacies </w:t>
      </w:r>
      <w:r w:rsidR="00167472">
        <w:t xml:space="preserve">proportion maps showing </w:t>
      </w:r>
      <w:r w:rsidR="005673E7">
        <w:t xml:space="preserve">thickness of each petrofacies proportional to the </w:t>
      </w:r>
      <w:r w:rsidR="002179A8">
        <w:t xml:space="preserve">individual </w:t>
      </w:r>
      <w:r w:rsidR="005673E7">
        <w:t>zone thickness</w:t>
      </w:r>
      <w:r w:rsidR="002179A8">
        <w:t>.</w:t>
      </w:r>
      <w:r w:rsidR="008B176E">
        <w:t xml:space="preserve"> Petrofacies 1 is mostly abundant at zones A and C, with </w:t>
      </w:r>
      <w:r w:rsidR="00CC4543">
        <w:t>a</w:t>
      </w:r>
      <w:r w:rsidR="008B176E">
        <w:t xml:space="preserve"> homogeneous spatial distribution</w:t>
      </w:r>
      <w:r w:rsidR="00CD4EE6">
        <w:t xml:space="preserve">. </w:t>
      </w:r>
      <w:r w:rsidR="008B176E">
        <w:t xml:space="preserve">Petrofacies 2 </w:t>
      </w:r>
      <w:r w:rsidR="00FC427A">
        <w:t>and 3 can be seen dominating the Arbuckle zone B, and mainly concentrated on the central and the southeastern sections of the study area</w:t>
      </w:r>
      <w:r w:rsidR="00CD4EE6">
        <w:t xml:space="preserve">, showing </w:t>
      </w:r>
      <w:r w:rsidR="00222703">
        <w:t>northeast-</w:t>
      </w:r>
      <w:r w:rsidR="00005E03">
        <w:t xml:space="preserve">southwest </w:t>
      </w:r>
      <w:r w:rsidR="00222703">
        <w:t>linear trend</w:t>
      </w:r>
      <w:r w:rsidR="007F4905">
        <w:t>.</w:t>
      </w:r>
      <w:bookmarkEnd w:id="722"/>
    </w:p>
    <w:p w14:paraId="65E2999F" w14:textId="4F9D8FC5" w:rsidR="00910A34" w:rsidRPr="008E32F3" w:rsidRDefault="00910A34" w:rsidP="004D247B">
      <w:pPr>
        <w:rPr>
          <w:iCs/>
        </w:rPr>
        <w:sectPr w:rsidR="00910A34" w:rsidRPr="008E32F3" w:rsidSect="00086BA9">
          <w:type w:val="continuous"/>
          <w:pgSz w:w="12240" w:h="15840"/>
          <w:pgMar w:top="1440" w:right="1440" w:bottom="1440" w:left="1440" w:header="720" w:footer="720" w:gutter="0"/>
          <w:cols w:space="720"/>
          <w:docGrid w:linePitch="360"/>
        </w:sectPr>
      </w:pPr>
    </w:p>
    <w:p w14:paraId="0065941B" w14:textId="77777777" w:rsidR="00C96026" w:rsidRDefault="00431BE4" w:rsidP="00C96026">
      <w:pPr>
        <w:keepNext/>
        <w:jc w:val="center"/>
      </w:pPr>
      <w:r>
        <w:rPr>
          <w:noProof/>
        </w:rPr>
        <w:lastRenderedPageBreak/>
        <w:drawing>
          <wp:inline distT="0" distB="0" distL="0" distR="0" wp14:anchorId="1C300178" wp14:editId="5B44169A">
            <wp:extent cx="7813964" cy="4549500"/>
            <wp:effectExtent l="0" t="0" r="0" b="3810"/>
            <wp:docPr id="55" name="Picture 5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10;&#10;Description automatically generated with low confidenc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7829947" cy="4558806"/>
                    </a:xfrm>
                    <a:prstGeom prst="rect">
                      <a:avLst/>
                    </a:prstGeom>
                    <a:noFill/>
                  </pic:spPr>
                </pic:pic>
              </a:graphicData>
            </a:graphic>
          </wp:inline>
        </w:drawing>
      </w:r>
    </w:p>
    <w:p w14:paraId="43F4FF33" w14:textId="1CB556C6" w:rsidR="00DE6923" w:rsidRDefault="00C96026" w:rsidP="00DE6923">
      <w:pPr>
        <w:pStyle w:val="Caption"/>
        <w:rPr>
          <w:iCs w:val="0"/>
        </w:rPr>
      </w:pPr>
      <w:bookmarkStart w:id="723" w:name="_Toc121095143"/>
      <w:r w:rsidRPr="00C96026">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16</w:t>
      </w:r>
      <w:r w:rsidR="00D532BC">
        <w:rPr>
          <w:b/>
          <w:bCs/>
        </w:rPr>
        <w:fldChar w:fldCharType="end"/>
      </w:r>
      <w:r w:rsidRPr="00C96026">
        <w:rPr>
          <w:b/>
          <w:bCs/>
        </w:rPr>
        <w:t xml:space="preserve">: </w:t>
      </w:r>
      <w:bookmarkStart w:id="724" w:name="_Toc117345149"/>
      <w:bookmarkStart w:id="725" w:name="_Toc117376759"/>
      <w:r w:rsidR="0097489A">
        <w:t xml:space="preserve">Average porosity maps </w:t>
      </w:r>
      <w:r w:rsidR="00FA5CE7">
        <w:t xml:space="preserve">for the Arbuckle zones A-C. </w:t>
      </w:r>
      <w:r w:rsidR="002064C8" w:rsidRPr="00796242">
        <w:t xml:space="preserve">Zones A and C exhibit high average porosity values (up to 8%). In contrast, Zone B has low average porosity values </w:t>
      </w:r>
      <w:r w:rsidR="00B872D3">
        <w:t xml:space="preserve">of </w:t>
      </w:r>
      <w:r w:rsidR="002064C8" w:rsidRPr="00796242">
        <w:t>up to 4%</w:t>
      </w:r>
      <w:r w:rsidR="00230D13">
        <w:t>. Heterogeneous distribution of porosity values can also be observed.</w:t>
      </w:r>
      <w:bookmarkEnd w:id="723"/>
      <w:bookmarkEnd w:id="724"/>
      <w:bookmarkEnd w:id="725"/>
      <w:r w:rsidR="00DE6923">
        <w:br w:type="page"/>
      </w:r>
    </w:p>
    <w:p w14:paraId="334EA52B" w14:textId="77777777" w:rsidR="00DE6923" w:rsidRDefault="00431BE4" w:rsidP="00DE6923">
      <w:pPr>
        <w:keepNext/>
        <w:jc w:val="center"/>
      </w:pPr>
      <w:r>
        <w:rPr>
          <w:noProof/>
        </w:rPr>
        <w:lastRenderedPageBreak/>
        <w:drawing>
          <wp:inline distT="0" distB="0" distL="0" distR="0" wp14:anchorId="5709C447" wp14:editId="3CDB3C71">
            <wp:extent cx="7960918" cy="4635062"/>
            <wp:effectExtent l="0" t="0" r="2540" b="0"/>
            <wp:docPr id="56" name="Picture 5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10;&#10;Description automatically generated"/>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8038007" cy="4679946"/>
                    </a:xfrm>
                    <a:prstGeom prst="rect">
                      <a:avLst/>
                    </a:prstGeom>
                    <a:noFill/>
                  </pic:spPr>
                </pic:pic>
              </a:graphicData>
            </a:graphic>
          </wp:inline>
        </w:drawing>
      </w:r>
    </w:p>
    <w:p w14:paraId="28B74CEA" w14:textId="4DF097A1" w:rsidR="00431BE4" w:rsidRPr="00DE6923" w:rsidRDefault="00DE6923" w:rsidP="00431BE4">
      <w:pPr>
        <w:pStyle w:val="Caption"/>
        <w:rPr>
          <w:b/>
          <w:bCs/>
        </w:rPr>
      </w:pPr>
      <w:bookmarkStart w:id="726" w:name="_Toc121095144"/>
      <w:r w:rsidRPr="00DE6923">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17</w:t>
      </w:r>
      <w:r w:rsidR="00D532BC">
        <w:rPr>
          <w:b/>
          <w:bCs/>
        </w:rPr>
        <w:fldChar w:fldCharType="end"/>
      </w:r>
      <w:r>
        <w:rPr>
          <w:b/>
          <w:bCs/>
        </w:rPr>
        <w:t xml:space="preserve">: </w:t>
      </w:r>
      <w:bookmarkStart w:id="727" w:name="_Toc117345150"/>
      <w:bookmarkStart w:id="728" w:name="_Toc117376760"/>
      <w:r w:rsidR="00994AB6">
        <w:t xml:space="preserve">Average permeability maps for the Arbuckle zones A-C. </w:t>
      </w:r>
      <w:r w:rsidR="00994AB6" w:rsidRPr="00796242">
        <w:t xml:space="preserve">Zones A and C exhibit high average </w:t>
      </w:r>
      <w:r w:rsidR="00994AB6">
        <w:t>permeability</w:t>
      </w:r>
      <w:r w:rsidR="00994AB6" w:rsidRPr="00796242">
        <w:t xml:space="preserve"> values (up to </w:t>
      </w:r>
      <w:r w:rsidR="00E221EA">
        <w:t>300 mD</w:t>
      </w:r>
      <w:r w:rsidR="00994AB6" w:rsidRPr="00796242">
        <w:t>). Zone B</w:t>
      </w:r>
      <w:r w:rsidR="00E221EA">
        <w:t xml:space="preserve"> can be seen </w:t>
      </w:r>
      <w:r w:rsidR="00B872D3">
        <w:t>as</w:t>
      </w:r>
      <w:r w:rsidR="00E221EA">
        <w:t xml:space="preserve"> having lower</w:t>
      </w:r>
      <w:r w:rsidR="00994AB6" w:rsidRPr="00796242">
        <w:t xml:space="preserve"> average </w:t>
      </w:r>
      <w:r w:rsidR="00E221EA">
        <w:t>permeability</w:t>
      </w:r>
      <w:r w:rsidR="00994AB6" w:rsidRPr="00796242">
        <w:t xml:space="preserve"> values up to </w:t>
      </w:r>
      <w:r w:rsidR="00E221EA">
        <w:t>20mD</w:t>
      </w:r>
      <w:r w:rsidR="00994AB6">
        <w:t>.</w:t>
      </w:r>
      <w:bookmarkEnd w:id="726"/>
      <w:bookmarkEnd w:id="727"/>
      <w:bookmarkEnd w:id="728"/>
      <w:r w:rsidR="00994AB6">
        <w:t xml:space="preserve"> </w:t>
      </w:r>
    </w:p>
    <w:p w14:paraId="1B0E6B93" w14:textId="77777777" w:rsidR="00431BE4" w:rsidRDefault="00431BE4" w:rsidP="00431BE4">
      <w:pPr>
        <w:sectPr w:rsidR="00431BE4" w:rsidSect="00086BA9">
          <w:type w:val="continuous"/>
          <w:pgSz w:w="15840" w:h="12240" w:orient="landscape"/>
          <w:pgMar w:top="1440" w:right="1440" w:bottom="1440" w:left="1440" w:header="720" w:footer="720" w:gutter="0"/>
          <w:cols w:space="720"/>
          <w:docGrid w:linePitch="360"/>
        </w:sectPr>
      </w:pPr>
    </w:p>
    <w:p w14:paraId="535D0D1E" w14:textId="1EEFBF9D" w:rsidR="00CA69E1" w:rsidRDefault="00A14FCF" w:rsidP="00CA69E1">
      <w:pPr>
        <w:keepNext/>
      </w:pPr>
      <w:r>
        <w:rPr>
          <w:noProof/>
        </w:rPr>
        <w:lastRenderedPageBreak/>
        <w:drawing>
          <wp:inline distT="0" distB="0" distL="0" distR="0" wp14:anchorId="3E4926D8" wp14:editId="1A793246">
            <wp:extent cx="5925820" cy="467614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25820" cy="4676140"/>
                    </a:xfrm>
                    <a:prstGeom prst="rect">
                      <a:avLst/>
                    </a:prstGeom>
                    <a:noFill/>
                  </pic:spPr>
                </pic:pic>
              </a:graphicData>
            </a:graphic>
          </wp:inline>
        </w:drawing>
      </w:r>
    </w:p>
    <w:p w14:paraId="29FC0290" w14:textId="710097C8" w:rsidR="00CA69E1" w:rsidRPr="00CA69E1" w:rsidRDefault="00CA69E1" w:rsidP="00CA69E1">
      <w:pPr>
        <w:pStyle w:val="Caption"/>
      </w:pPr>
      <w:bookmarkStart w:id="729" w:name="_Toc121095145"/>
      <w:r w:rsidRPr="00CA69E1">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18</w:t>
      </w:r>
      <w:r w:rsidR="00D532BC">
        <w:rPr>
          <w:b/>
          <w:bCs/>
        </w:rPr>
        <w:fldChar w:fldCharType="end"/>
      </w:r>
      <w:bookmarkStart w:id="730" w:name="_Toc117345151"/>
      <w:bookmarkStart w:id="731" w:name="_Toc117376761"/>
      <w:r w:rsidR="00431BE4" w:rsidRPr="00CA69E1">
        <w:rPr>
          <w:b/>
          <w:bCs/>
        </w:rPr>
        <w:t>:</w:t>
      </w:r>
      <w:r w:rsidR="000C3FB1">
        <w:t xml:space="preserve"> East-West and South-North oriented cross</w:t>
      </w:r>
      <w:r>
        <w:t>-</w:t>
      </w:r>
      <w:r w:rsidR="000C3FB1">
        <w:t xml:space="preserve">sections </w:t>
      </w:r>
      <w:r w:rsidR="00FB7750">
        <w:t xml:space="preserve">from the </w:t>
      </w:r>
      <w:r w:rsidR="00D66A4E">
        <w:t xml:space="preserve">dynamic simulation </w:t>
      </w:r>
      <w:r w:rsidR="00D67BBD">
        <w:t>results</w:t>
      </w:r>
      <w:r w:rsidR="00D66A4E">
        <w:t xml:space="preserve"> showing the subsurface plume evolution during (A) </w:t>
      </w:r>
      <w:r w:rsidR="00D67BBD">
        <w:t>10,</w:t>
      </w:r>
      <w:r w:rsidR="00BA74A5">
        <w:t xml:space="preserve"> (B) 50, and (C) 100 years of CO</w:t>
      </w:r>
      <w:r w:rsidR="00BA74A5" w:rsidRPr="00D67BBD">
        <w:rPr>
          <w:vertAlign w:val="subscript"/>
        </w:rPr>
        <w:t>2</w:t>
      </w:r>
      <w:r w:rsidR="00BA74A5">
        <w:t xml:space="preserve"> injection</w:t>
      </w:r>
      <w:r w:rsidR="00D67BBD">
        <w:t>.</w:t>
      </w:r>
      <w:bookmarkEnd w:id="729"/>
      <w:bookmarkEnd w:id="730"/>
      <w:bookmarkEnd w:id="731"/>
      <w:r>
        <w:br w:type="page"/>
      </w:r>
    </w:p>
    <w:p w14:paraId="2E44E48D" w14:textId="6E96B69C" w:rsidR="00CA69E1" w:rsidRDefault="00755603" w:rsidP="00CA69E1">
      <w:pPr>
        <w:keepNext/>
      </w:pPr>
      <w:r>
        <w:rPr>
          <w:noProof/>
        </w:rPr>
        <w:lastRenderedPageBreak/>
        <w:drawing>
          <wp:inline distT="0" distB="0" distL="0" distR="0" wp14:anchorId="44776AFF" wp14:editId="34509DA4">
            <wp:extent cx="5904273" cy="4521381"/>
            <wp:effectExtent l="0" t="0" r="1270" b="0"/>
            <wp:docPr id="90" name="Picture 9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hart&#10;&#10;Description automatically generated"/>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916955" cy="4531092"/>
                    </a:xfrm>
                    <a:prstGeom prst="rect">
                      <a:avLst/>
                    </a:prstGeom>
                    <a:noFill/>
                  </pic:spPr>
                </pic:pic>
              </a:graphicData>
            </a:graphic>
          </wp:inline>
        </w:drawing>
      </w:r>
    </w:p>
    <w:p w14:paraId="23D1178C" w14:textId="3E0860A5" w:rsidR="00D67BBD" w:rsidRPr="00CA69E1" w:rsidRDefault="00CA69E1" w:rsidP="00D67BBD">
      <w:pPr>
        <w:pStyle w:val="Caption"/>
        <w:rPr>
          <w:b/>
          <w:bCs/>
        </w:rPr>
      </w:pPr>
      <w:bookmarkStart w:id="732" w:name="_Toc121095146"/>
      <w:r w:rsidRPr="00CA69E1">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19</w:t>
      </w:r>
      <w:r w:rsidR="00D532BC">
        <w:rPr>
          <w:b/>
          <w:bCs/>
        </w:rPr>
        <w:fldChar w:fldCharType="end"/>
      </w:r>
      <w:r w:rsidRPr="00CA69E1">
        <w:rPr>
          <w:b/>
          <w:bCs/>
        </w:rPr>
        <w:t>:</w:t>
      </w:r>
      <w:bookmarkStart w:id="733" w:name="_Toc117345152"/>
      <w:bookmarkStart w:id="734" w:name="_Toc117376762"/>
      <w:r w:rsidR="00D67BBD">
        <w:t xml:space="preserve"> East-West and South-North oriented cross sections from the dynamic simulation results showing the subsurface plume evolution </w:t>
      </w:r>
      <w:r w:rsidR="00DC22CB">
        <w:t>during</w:t>
      </w:r>
      <w:r w:rsidR="00D67BBD">
        <w:t xml:space="preserve"> (A) 10, (B) 50, and (C) 100 years of CO</w:t>
      </w:r>
      <w:r w:rsidR="00D67BBD" w:rsidRPr="00D67BBD">
        <w:rPr>
          <w:vertAlign w:val="subscript"/>
        </w:rPr>
        <w:t>2</w:t>
      </w:r>
      <w:r w:rsidR="00D67BBD">
        <w:t xml:space="preserve"> </w:t>
      </w:r>
      <w:r w:rsidR="00DC22CB">
        <w:t>post-</w:t>
      </w:r>
      <w:r w:rsidR="00D67BBD">
        <w:t>injection</w:t>
      </w:r>
      <w:r w:rsidR="00DC22CB">
        <w:t xml:space="preserve"> periods.</w:t>
      </w:r>
      <w:bookmarkEnd w:id="732"/>
      <w:bookmarkEnd w:id="733"/>
      <w:bookmarkEnd w:id="734"/>
      <w:r w:rsidR="00D67BBD">
        <w:t xml:space="preserve"> </w:t>
      </w:r>
    </w:p>
    <w:p w14:paraId="0628B0F8" w14:textId="77777777" w:rsidR="00431BE4" w:rsidRDefault="00431BE4" w:rsidP="00431BE4">
      <w:pPr>
        <w:sectPr w:rsidR="00431BE4" w:rsidSect="00086BA9">
          <w:type w:val="continuous"/>
          <w:pgSz w:w="12240" w:h="15840"/>
          <w:pgMar w:top="1440" w:right="1440" w:bottom="1440" w:left="1440" w:header="720" w:footer="720" w:gutter="0"/>
          <w:cols w:space="720"/>
          <w:docGrid w:linePitch="360"/>
        </w:sectPr>
      </w:pPr>
    </w:p>
    <w:p w14:paraId="3EFE1D94" w14:textId="26E870F0" w:rsidR="003039F3" w:rsidRDefault="00373EF2" w:rsidP="003039F3">
      <w:pPr>
        <w:keepNext/>
        <w:jc w:val="center"/>
        <w:rPr>
          <w:b/>
          <w:bCs/>
        </w:rPr>
        <w:sectPr w:rsidR="003039F3" w:rsidSect="00086BA9">
          <w:type w:val="continuous"/>
          <w:pgSz w:w="15840" w:h="12240" w:orient="landscape"/>
          <w:pgMar w:top="1440" w:right="1440" w:bottom="1440" w:left="1440" w:header="720" w:footer="720" w:gutter="0"/>
          <w:cols w:space="720"/>
          <w:docGrid w:linePitch="360"/>
        </w:sectPr>
      </w:pPr>
      <w:bookmarkStart w:id="735" w:name="_Toc117345153"/>
      <w:bookmarkStart w:id="736" w:name="_Toc117376763"/>
      <w:r>
        <w:rPr>
          <w:b/>
          <w:bCs/>
          <w:noProof/>
        </w:rPr>
        <w:lastRenderedPageBreak/>
        <w:drawing>
          <wp:inline distT="0" distB="0" distL="0" distR="0" wp14:anchorId="24AA086B" wp14:editId="26D8F60D">
            <wp:extent cx="7082889" cy="5292997"/>
            <wp:effectExtent l="0" t="0" r="3810" b="3175"/>
            <wp:docPr id="91" name="Picture 91" descr="Graphical user interface, application,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Graphical user interface, application, background pattern&#10;&#10;Description automatically generated"/>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7102989" cy="5308018"/>
                    </a:xfrm>
                    <a:prstGeom prst="rect">
                      <a:avLst/>
                    </a:prstGeom>
                    <a:noFill/>
                  </pic:spPr>
                </pic:pic>
              </a:graphicData>
            </a:graphic>
          </wp:inline>
        </w:drawing>
      </w:r>
    </w:p>
    <w:p w14:paraId="3989EF53" w14:textId="5D9FE7D5" w:rsidR="00CA69E1" w:rsidRPr="00C5199A" w:rsidRDefault="00C5199A" w:rsidP="005722A0">
      <w:pPr>
        <w:keepNext/>
        <w:spacing w:line="240" w:lineRule="auto"/>
        <w:rPr>
          <w:b/>
          <w:bCs/>
        </w:rPr>
        <w:sectPr w:rsidR="00CA69E1" w:rsidRPr="00C5199A" w:rsidSect="00086BA9">
          <w:type w:val="continuous"/>
          <w:pgSz w:w="12240" w:h="15840"/>
          <w:pgMar w:top="1440" w:right="1440" w:bottom="1440" w:left="1440" w:header="720" w:footer="720" w:gutter="0"/>
          <w:cols w:space="720"/>
          <w:docGrid w:linePitch="360"/>
        </w:sectPr>
      </w:pPr>
      <w:bookmarkStart w:id="737" w:name="_Toc121095147"/>
      <w:r w:rsidRPr="00C5199A">
        <w:rPr>
          <w:b/>
          <w:bCs/>
        </w:rPr>
        <w:lastRenderedPageBreak/>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20</w:t>
      </w:r>
      <w:r w:rsidR="00D532BC">
        <w:rPr>
          <w:b/>
          <w:bCs/>
        </w:rPr>
        <w:fldChar w:fldCharType="end"/>
      </w:r>
      <w:r w:rsidRPr="00C5199A">
        <w:rPr>
          <w:b/>
          <w:bCs/>
        </w:rPr>
        <w:t>:</w:t>
      </w:r>
      <w:r>
        <w:rPr>
          <w:b/>
          <w:bCs/>
        </w:rPr>
        <w:t xml:space="preserve"> </w:t>
      </w:r>
      <w:r w:rsidR="00864FD4">
        <w:t>Map</w:t>
      </w:r>
      <w:r w:rsidR="00643AC4">
        <w:t xml:space="preserve"> views of subsurface CO</w:t>
      </w:r>
      <w:r w:rsidR="00643AC4" w:rsidRPr="00643AC4">
        <w:rPr>
          <w:vertAlign w:val="subscript"/>
        </w:rPr>
        <w:t>2</w:t>
      </w:r>
      <w:r w:rsidR="0092799C">
        <w:t xml:space="preserve"> plume </w:t>
      </w:r>
      <w:r w:rsidR="00CC6647">
        <w:t xml:space="preserve">migration during </w:t>
      </w:r>
      <w:r w:rsidR="003C74E0">
        <w:t>100-year injection and 100-year post</w:t>
      </w:r>
      <w:r w:rsidR="00B872D3">
        <w:t>-</w:t>
      </w:r>
      <w:r w:rsidR="003C74E0">
        <w:t xml:space="preserve">injection periods. </w:t>
      </w:r>
      <w:r w:rsidR="009A0153">
        <w:t xml:space="preserve">Maps </w:t>
      </w:r>
      <w:r w:rsidR="003C74E0">
        <w:t>A</w:t>
      </w:r>
      <w:r w:rsidR="009A0153">
        <w:t xml:space="preserve"> through </w:t>
      </w:r>
      <w:r w:rsidR="003C74E0">
        <w:t xml:space="preserve">C </w:t>
      </w:r>
      <w:r w:rsidR="00B872D3">
        <w:t>show</w:t>
      </w:r>
      <w:r w:rsidR="003C74E0">
        <w:t xml:space="preserve"> 10</w:t>
      </w:r>
      <w:r w:rsidR="00D01E95">
        <w:t>, 50</w:t>
      </w:r>
      <w:r w:rsidR="00B872D3">
        <w:t>,</w:t>
      </w:r>
      <w:r w:rsidR="00D01E95">
        <w:t xml:space="preserve"> and </w:t>
      </w:r>
      <w:r w:rsidR="003C74E0">
        <w:t xml:space="preserve">100 years of </w:t>
      </w:r>
      <w:r w:rsidR="00B872D3">
        <w:t xml:space="preserve">the </w:t>
      </w:r>
      <w:r w:rsidR="003C74E0">
        <w:t>injection period</w:t>
      </w:r>
      <w:r w:rsidR="00D01E95">
        <w:t>. Maps</w:t>
      </w:r>
      <w:r w:rsidR="003C74E0">
        <w:t xml:space="preserve"> </w:t>
      </w:r>
      <w:r w:rsidR="00F37A22">
        <w:t>D</w:t>
      </w:r>
      <w:r w:rsidR="00D01E95">
        <w:t xml:space="preserve"> through </w:t>
      </w:r>
      <w:r w:rsidR="00F37A22">
        <w:t>F</w:t>
      </w:r>
      <w:r w:rsidR="00D01E95">
        <w:t xml:space="preserve"> </w:t>
      </w:r>
      <w:r w:rsidR="00B872D3">
        <w:t xml:space="preserve">show the plume migration at </w:t>
      </w:r>
      <w:r w:rsidR="00246EC3">
        <w:t>10-, 50-, and 100-years</w:t>
      </w:r>
      <w:r w:rsidR="009A0153">
        <w:t xml:space="preserve"> post-injection periods</w:t>
      </w:r>
      <w:r w:rsidR="00B872D3">
        <w:t>,</w:t>
      </w:r>
      <w:r w:rsidR="009A0153">
        <w:t xml:space="preserve"> respectively.</w:t>
      </w:r>
      <w:bookmarkEnd w:id="735"/>
      <w:bookmarkEnd w:id="736"/>
      <w:bookmarkEnd w:id="737"/>
    </w:p>
    <w:p w14:paraId="5466C677" w14:textId="77777777" w:rsidR="0016329F" w:rsidRDefault="00431BE4" w:rsidP="0016329F">
      <w:pPr>
        <w:keepNext/>
        <w:jc w:val="center"/>
      </w:pPr>
      <w:r>
        <w:rPr>
          <w:noProof/>
        </w:rPr>
        <w:lastRenderedPageBreak/>
        <w:drawing>
          <wp:inline distT="0" distB="0" distL="0" distR="0" wp14:anchorId="77D0340A" wp14:editId="1A1E9B65">
            <wp:extent cx="4660710" cy="6750946"/>
            <wp:effectExtent l="0" t="0" r="6985" b="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660710" cy="6750946"/>
                    </a:xfrm>
                    <a:prstGeom prst="rect">
                      <a:avLst/>
                    </a:prstGeom>
                    <a:noFill/>
                  </pic:spPr>
                </pic:pic>
              </a:graphicData>
            </a:graphic>
          </wp:inline>
        </w:drawing>
      </w:r>
    </w:p>
    <w:p w14:paraId="083D40BC" w14:textId="3FA560A7" w:rsidR="0016329F" w:rsidRDefault="0016329F" w:rsidP="0016329F">
      <w:pPr>
        <w:pStyle w:val="Caption"/>
      </w:pPr>
      <w:bookmarkStart w:id="738" w:name="_Toc121095148"/>
      <w:r w:rsidRPr="0016329F">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21</w:t>
      </w:r>
      <w:r w:rsidR="00D532BC">
        <w:rPr>
          <w:b/>
          <w:bCs/>
        </w:rPr>
        <w:fldChar w:fldCharType="end"/>
      </w:r>
      <w:r>
        <w:rPr>
          <w:b/>
          <w:bCs/>
        </w:rPr>
        <w:t>:</w:t>
      </w:r>
      <w:bookmarkStart w:id="739" w:name="_Toc117345154"/>
      <w:bookmarkStart w:id="740" w:name="_Toc117376764"/>
      <w:r>
        <w:rPr>
          <w:b/>
          <w:bCs/>
        </w:rPr>
        <w:t xml:space="preserve"> </w:t>
      </w:r>
      <w:r w:rsidR="000E0061">
        <w:t xml:space="preserve">Maximum lateral and </w:t>
      </w:r>
      <w:r w:rsidR="001B5A2C">
        <w:t xml:space="preserve">the </w:t>
      </w:r>
      <w:r w:rsidR="000E0061">
        <w:t>vertical extent of the CO</w:t>
      </w:r>
      <w:r w:rsidR="000E0061" w:rsidRPr="000E0061">
        <w:rPr>
          <w:vertAlign w:val="subscript"/>
        </w:rPr>
        <w:t>2</w:t>
      </w:r>
      <w:r w:rsidR="000E0061">
        <w:t xml:space="preserve"> plume </w:t>
      </w:r>
      <w:r w:rsidR="000F6A84">
        <w:t>through injection and post</w:t>
      </w:r>
      <w:r w:rsidR="001B5A2C">
        <w:t>-</w:t>
      </w:r>
      <w:r w:rsidR="000F6A84">
        <w:t>injection periods.</w:t>
      </w:r>
      <w:r w:rsidR="003364A8">
        <w:t xml:space="preserve"> (A) </w:t>
      </w:r>
      <w:r w:rsidR="00CC7767">
        <w:t>The maximum lateral extent of the plume reaches 4450 feet (</w:t>
      </w:r>
      <w:r w:rsidR="00CC7767" w:rsidRPr="00E76806">
        <w:t>1356.36</w:t>
      </w:r>
      <w:r w:rsidR="00CC7767">
        <w:t>)</w:t>
      </w:r>
      <w:r w:rsidR="00BB4192">
        <w:t>,</w:t>
      </w:r>
      <w:r w:rsidR="00CC7767">
        <w:t xml:space="preserve"> and </w:t>
      </w:r>
      <w:r w:rsidR="00BB4192">
        <w:t xml:space="preserve">(B) </w:t>
      </w:r>
      <w:r w:rsidR="00CC7767">
        <w:t xml:space="preserve">the </w:t>
      </w:r>
      <w:r w:rsidR="001B5A2C">
        <w:t>great</w:t>
      </w:r>
      <w:r w:rsidR="00CC7767">
        <w:t xml:space="preserve">est vertical </w:t>
      </w:r>
      <w:r w:rsidR="00394423">
        <w:t>radius</w:t>
      </w:r>
      <w:r w:rsidR="00CC7767">
        <w:t xml:space="preserve"> reaches up to 340 feet (</w:t>
      </w:r>
      <w:r w:rsidR="00CC7767" w:rsidRPr="002100B2">
        <w:t>103.63</w:t>
      </w:r>
      <w:r w:rsidR="00CC7767">
        <w:t xml:space="preserve"> m)</w:t>
      </w:r>
      <w:r w:rsidR="00BB4192">
        <w:t>.</w:t>
      </w:r>
      <w:bookmarkEnd w:id="738"/>
      <w:bookmarkEnd w:id="739"/>
      <w:bookmarkEnd w:id="740"/>
      <w:r>
        <w:br w:type="page"/>
      </w:r>
    </w:p>
    <w:p w14:paraId="1BD4749C" w14:textId="77777777" w:rsidR="00731F52" w:rsidRDefault="00731F52" w:rsidP="00731F52">
      <w:pPr>
        <w:keepNext/>
      </w:pPr>
      <w:r>
        <w:rPr>
          <w:noProof/>
        </w:rPr>
        <w:lastRenderedPageBreak/>
        <w:drawing>
          <wp:inline distT="0" distB="0" distL="0" distR="0" wp14:anchorId="69E37E61" wp14:editId="73655A88">
            <wp:extent cx="5853430" cy="543104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874282" cy="5450393"/>
                    </a:xfrm>
                    <a:prstGeom prst="rect">
                      <a:avLst/>
                    </a:prstGeom>
                    <a:noFill/>
                  </pic:spPr>
                </pic:pic>
              </a:graphicData>
            </a:graphic>
          </wp:inline>
        </w:drawing>
      </w:r>
    </w:p>
    <w:p w14:paraId="2201B229" w14:textId="7CC8483F" w:rsidR="003E79DD" w:rsidRDefault="00731F52" w:rsidP="008428AC">
      <w:pPr>
        <w:pStyle w:val="Caption"/>
      </w:pPr>
      <w:bookmarkStart w:id="741" w:name="_Toc121095149"/>
      <w:r w:rsidRPr="00731F52">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22</w:t>
      </w:r>
      <w:r w:rsidR="00D532BC">
        <w:rPr>
          <w:b/>
          <w:bCs/>
        </w:rPr>
        <w:fldChar w:fldCharType="end"/>
      </w:r>
      <w:r w:rsidRPr="00731F52">
        <w:rPr>
          <w:b/>
          <w:bCs/>
        </w:rPr>
        <w:t xml:space="preserve">: </w:t>
      </w:r>
      <w:r w:rsidR="00656336" w:rsidRPr="00656336">
        <w:t>M</w:t>
      </w:r>
      <w:r w:rsidR="00633916" w:rsidRPr="00633916">
        <w:t>ap view</w:t>
      </w:r>
      <w:r w:rsidR="0031421F">
        <w:t xml:space="preserve"> comparison of</w:t>
      </w:r>
      <w:r w:rsidR="00633916">
        <w:rPr>
          <w:b/>
          <w:bCs/>
        </w:rPr>
        <w:t xml:space="preserve"> </w:t>
      </w:r>
      <w:r w:rsidR="002D7E13" w:rsidRPr="002D7E13">
        <w:t>3D grids used in</w:t>
      </w:r>
      <w:r w:rsidR="002D7E13">
        <w:t xml:space="preserve"> </w:t>
      </w:r>
      <w:r w:rsidR="006353AA">
        <w:t>A)</w:t>
      </w:r>
      <w:r w:rsidR="00523869">
        <w:t xml:space="preserve"> </w:t>
      </w:r>
      <w:r w:rsidR="006353AA">
        <w:t>Watney and Rush (2012)</w:t>
      </w:r>
      <w:r w:rsidR="008428AC">
        <w:t>,</w:t>
      </w:r>
      <w:r w:rsidR="006353AA">
        <w:t xml:space="preserve"> </w:t>
      </w:r>
      <w:r w:rsidR="00523869">
        <w:t xml:space="preserve">and </w:t>
      </w:r>
      <w:r w:rsidR="008428AC">
        <w:t>B) this</w:t>
      </w:r>
      <w:r w:rsidR="006353AA">
        <w:t xml:space="preserve"> study</w:t>
      </w:r>
      <w:r w:rsidR="00014E46">
        <w:t>.</w:t>
      </w:r>
      <w:r w:rsidR="006353AA">
        <w:t xml:space="preserve"> </w:t>
      </w:r>
      <w:r w:rsidR="005F0A6C">
        <w:t xml:space="preserve">The grid </w:t>
      </w:r>
      <w:r w:rsidR="008428AC">
        <w:t xml:space="preserve">defined by Watney and Rush (2012) </w:t>
      </w:r>
      <w:r w:rsidR="005F0A6C">
        <w:t xml:space="preserve">covers an area of </w:t>
      </w:r>
      <w:r w:rsidR="005F0A6C" w:rsidRPr="005F0A6C">
        <w:t>1.56 mi</w:t>
      </w:r>
      <w:r w:rsidR="005F0A6C" w:rsidRPr="005F0A6C">
        <w:rPr>
          <w:vertAlign w:val="superscript"/>
        </w:rPr>
        <w:t>2</w:t>
      </w:r>
      <w:r w:rsidR="005F0A6C" w:rsidRPr="005F0A6C">
        <w:rPr>
          <w:rFonts w:cs="Times New Roman"/>
          <w:szCs w:val="24"/>
        </w:rPr>
        <w:t xml:space="preserve"> (</w:t>
      </w:r>
      <w:r w:rsidR="005F0A6C" w:rsidRPr="005F0A6C">
        <w:t>4.04 km</w:t>
      </w:r>
      <w:r w:rsidR="005F0A6C" w:rsidRPr="008428AC">
        <w:rPr>
          <w:vertAlign w:val="superscript"/>
        </w:rPr>
        <w:t>2</w:t>
      </w:r>
      <w:r w:rsidR="008428AC">
        <w:t>)a</w:t>
      </w:r>
      <w:r w:rsidR="0029055A">
        <w:t xml:space="preserve">nd made up of </w:t>
      </w:r>
      <w:r w:rsidR="005F0A6C" w:rsidRPr="005F0A6C">
        <w:rPr>
          <w:rFonts w:cs="Times New Roman"/>
          <w:szCs w:val="24"/>
        </w:rPr>
        <w:t>706 x 654</w:t>
      </w:r>
      <w:r w:rsidR="00014E46">
        <w:rPr>
          <w:rFonts w:cs="Times New Roman"/>
          <w:szCs w:val="24"/>
        </w:rPr>
        <w:t xml:space="preserve"> x </w:t>
      </w:r>
      <w:r w:rsidR="005F0A6C" w:rsidRPr="005F0A6C">
        <w:rPr>
          <w:rFonts w:cs="Times New Roman"/>
          <w:szCs w:val="24"/>
        </w:rPr>
        <w:t>79 cells</w:t>
      </w:r>
      <w:r w:rsidR="00014E46">
        <w:rPr>
          <w:rFonts w:cs="Times New Roman"/>
          <w:szCs w:val="24"/>
        </w:rPr>
        <w:t xml:space="preserve"> in I, J, and K directions</w:t>
      </w:r>
      <w:r w:rsidR="005F0A6C" w:rsidRPr="005F0A6C">
        <w:rPr>
          <w:rFonts w:cs="Times New Roman"/>
          <w:szCs w:val="24"/>
        </w:rPr>
        <w:t xml:space="preserve"> (total of </w:t>
      </w:r>
      <w:r w:rsidR="005F0A6C" w:rsidRPr="005F0A6C">
        <w:t>36,476,196 cells)</w:t>
      </w:r>
      <w:r w:rsidR="00014E46">
        <w:t>.</w:t>
      </w:r>
      <w:r w:rsidR="005F0A6C" w:rsidRPr="005F0A6C">
        <w:t xml:space="preserve"> </w:t>
      </w:r>
      <w:r w:rsidR="00F951DD">
        <w:t xml:space="preserve">The 3D grid defined in this study spans an area of </w:t>
      </w:r>
      <w:r w:rsidR="00F951DD" w:rsidRPr="00794D6D">
        <w:rPr>
          <w:rFonts w:cs="Times New Roman"/>
          <w:szCs w:val="24"/>
        </w:rPr>
        <w:t>approximately 10.4 mi</w:t>
      </w:r>
      <w:r w:rsidR="00F951DD" w:rsidRPr="009F4EE6">
        <w:rPr>
          <w:rFonts w:cs="Times New Roman"/>
          <w:szCs w:val="24"/>
          <w:vertAlign w:val="superscript"/>
        </w:rPr>
        <w:t>2</w:t>
      </w:r>
      <w:r w:rsidR="00F951DD" w:rsidRPr="00794D6D">
        <w:rPr>
          <w:rFonts w:cs="Times New Roman"/>
          <w:szCs w:val="24"/>
        </w:rPr>
        <w:t xml:space="preserve"> (26.9 km</w:t>
      </w:r>
      <w:r w:rsidR="00F951DD" w:rsidRPr="009F4EE6">
        <w:rPr>
          <w:rFonts w:cs="Times New Roman"/>
          <w:szCs w:val="24"/>
          <w:vertAlign w:val="superscript"/>
        </w:rPr>
        <w:t>2</w:t>
      </w:r>
      <w:r w:rsidR="00F951DD" w:rsidRPr="00794D6D">
        <w:rPr>
          <w:rFonts w:cs="Times New Roman"/>
          <w:szCs w:val="24"/>
        </w:rPr>
        <w:t>)</w:t>
      </w:r>
      <w:r w:rsidR="00F951DD">
        <w:rPr>
          <w:rFonts w:cs="Times New Roman"/>
          <w:szCs w:val="24"/>
        </w:rPr>
        <w:t xml:space="preserve"> and comprises of 179 x 289 x 450 cells in the I, J, and K directions</w:t>
      </w:r>
      <w:r w:rsidR="00F951DD" w:rsidRPr="00794D6D">
        <w:rPr>
          <w:rFonts w:cs="Times New Roman"/>
          <w:szCs w:val="24"/>
        </w:rPr>
        <w:t xml:space="preserve">, resulting in </w:t>
      </w:r>
      <w:r w:rsidR="00F951DD" w:rsidRPr="00766CFE">
        <w:rPr>
          <w:rFonts w:cs="Times New Roman"/>
          <w:szCs w:val="24"/>
        </w:rPr>
        <w:t>23,278,950</w:t>
      </w:r>
      <w:r w:rsidR="00F951DD" w:rsidRPr="00794D6D">
        <w:rPr>
          <w:rFonts w:cs="Times New Roman"/>
          <w:szCs w:val="24"/>
        </w:rPr>
        <w:t xml:space="preserve"> cells</w:t>
      </w:r>
      <w:r w:rsidR="00F951DD">
        <w:rPr>
          <w:rFonts w:cs="Times New Roman"/>
          <w:szCs w:val="24"/>
        </w:rPr>
        <w:t>.</w:t>
      </w:r>
      <w:bookmarkEnd w:id="741"/>
    </w:p>
    <w:p w14:paraId="3C2C30F4" w14:textId="178361D9" w:rsidR="003E79DD" w:rsidRDefault="003E79DD">
      <w:pPr>
        <w:spacing w:line="240" w:lineRule="auto"/>
      </w:pPr>
      <w:r>
        <w:br w:type="page"/>
      </w:r>
    </w:p>
    <w:p w14:paraId="57170C6D" w14:textId="7E0895ED" w:rsidR="00595C4D" w:rsidRDefault="00052769" w:rsidP="00595C4D">
      <w:pPr>
        <w:keepNext/>
      </w:pPr>
      <w:r>
        <w:rPr>
          <w:noProof/>
        </w:rPr>
        <w:lastRenderedPageBreak/>
        <w:drawing>
          <wp:inline distT="0" distB="0" distL="0" distR="0" wp14:anchorId="1C018985" wp14:editId="25EBBC23">
            <wp:extent cx="5924665" cy="41209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933915" cy="4127413"/>
                    </a:xfrm>
                    <a:prstGeom prst="rect">
                      <a:avLst/>
                    </a:prstGeom>
                    <a:noFill/>
                  </pic:spPr>
                </pic:pic>
              </a:graphicData>
            </a:graphic>
          </wp:inline>
        </w:drawing>
      </w:r>
    </w:p>
    <w:p w14:paraId="264D8CB0" w14:textId="40EB7349" w:rsidR="003E79DD" w:rsidRPr="00C65E7E" w:rsidRDefault="00595C4D" w:rsidP="00595C4D">
      <w:pPr>
        <w:pStyle w:val="Caption"/>
      </w:pPr>
      <w:bookmarkStart w:id="742" w:name="_Toc121095150"/>
      <w:r w:rsidRPr="00595C4D">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23</w:t>
      </w:r>
      <w:r w:rsidR="00D532BC">
        <w:rPr>
          <w:b/>
          <w:bCs/>
        </w:rPr>
        <w:fldChar w:fldCharType="end"/>
      </w:r>
      <w:r w:rsidRPr="00595C4D">
        <w:rPr>
          <w:b/>
          <w:bCs/>
        </w:rPr>
        <w:t xml:space="preserve">: </w:t>
      </w:r>
      <w:r w:rsidR="00FB21D1">
        <w:t>East</w:t>
      </w:r>
      <w:r w:rsidR="00134755" w:rsidRPr="00C65E7E">
        <w:t>-</w:t>
      </w:r>
      <w:r w:rsidR="001166FE">
        <w:t>w</w:t>
      </w:r>
      <w:r w:rsidR="00FB21D1">
        <w:t>est</w:t>
      </w:r>
      <w:r w:rsidR="00134755" w:rsidRPr="00C65E7E">
        <w:t xml:space="preserve"> </w:t>
      </w:r>
      <w:r w:rsidR="00FB21D1">
        <w:t>c</w:t>
      </w:r>
      <w:r w:rsidR="00134755" w:rsidRPr="00C65E7E">
        <w:t xml:space="preserve">ross sections transecting through the Berexco Wellington KGS #1-28 Well showing the </w:t>
      </w:r>
      <w:r w:rsidR="00FB21D1">
        <w:t>c</w:t>
      </w:r>
      <w:r w:rsidR="00134755" w:rsidRPr="00C65E7E">
        <w:t>omparison of rock type</w:t>
      </w:r>
      <w:r w:rsidR="00C65E7E" w:rsidRPr="00C65E7E">
        <w:t xml:space="preserve"> models created by </w:t>
      </w:r>
      <w:r w:rsidR="00FB21D1" w:rsidRPr="00C65E7E">
        <w:t>A) Watney</w:t>
      </w:r>
      <w:r w:rsidR="00C65E7E" w:rsidRPr="00C65E7E">
        <w:t xml:space="preserve"> and Rush (2012) and B) this study.</w:t>
      </w:r>
      <w:bookmarkEnd w:id="742"/>
    </w:p>
    <w:p w14:paraId="4520BCDE" w14:textId="13FA7C79" w:rsidR="00731F52" w:rsidRDefault="00731F52" w:rsidP="003E79DD"/>
    <w:p w14:paraId="0B85F00C" w14:textId="65C5BDF3" w:rsidR="00931F18" w:rsidRDefault="00931F18">
      <w:pPr>
        <w:spacing w:line="240" w:lineRule="auto"/>
      </w:pPr>
      <w:r>
        <w:br w:type="page"/>
      </w:r>
    </w:p>
    <w:p w14:paraId="59F80D21" w14:textId="77777777" w:rsidR="00931F18" w:rsidRDefault="00931F18" w:rsidP="00931F18">
      <w:pPr>
        <w:keepNext/>
      </w:pPr>
      <w:r>
        <w:rPr>
          <w:noProof/>
        </w:rPr>
        <w:lastRenderedPageBreak/>
        <w:drawing>
          <wp:inline distT="0" distB="0" distL="0" distR="0" wp14:anchorId="1F23E84E" wp14:editId="39EF1995">
            <wp:extent cx="5929745" cy="3610503"/>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948919" cy="3622178"/>
                    </a:xfrm>
                    <a:prstGeom prst="rect">
                      <a:avLst/>
                    </a:prstGeom>
                    <a:noFill/>
                  </pic:spPr>
                </pic:pic>
              </a:graphicData>
            </a:graphic>
          </wp:inline>
        </w:drawing>
      </w:r>
    </w:p>
    <w:p w14:paraId="44B18940" w14:textId="5B9C541B" w:rsidR="001166FE" w:rsidRPr="00C65E7E" w:rsidRDefault="00931F18" w:rsidP="001166FE">
      <w:pPr>
        <w:pStyle w:val="Caption"/>
      </w:pPr>
      <w:bookmarkStart w:id="743" w:name="_Toc121095151"/>
      <w:r w:rsidRPr="00931F18">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24</w:t>
      </w:r>
      <w:r w:rsidR="00D532BC">
        <w:rPr>
          <w:b/>
          <w:bCs/>
        </w:rPr>
        <w:fldChar w:fldCharType="end"/>
      </w:r>
      <w:r w:rsidRPr="00931F18">
        <w:rPr>
          <w:b/>
          <w:bCs/>
        </w:rPr>
        <w:t xml:space="preserve">: </w:t>
      </w:r>
      <w:r w:rsidR="001166FE">
        <w:t>North</w:t>
      </w:r>
      <w:r w:rsidR="001166FE" w:rsidRPr="00C65E7E">
        <w:t>-</w:t>
      </w:r>
      <w:r w:rsidR="001166FE">
        <w:t>south</w:t>
      </w:r>
      <w:r w:rsidR="001166FE" w:rsidRPr="00C65E7E">
        <w:t xml:space="preserve"> </w:t>
      </w:r>
      <w:r w:rsidR="001166FE">
        <w:t>c</w:t>
      </w:r>
      <w:r w:rsidR="001166FE" w:rsidRPr="00C65E7E">
        <w:t xml:space="preserve">ross sections transecting through the Berexco Wellington KGS #1-28 Well showing the </w:t>
      </w:r>
      <w:r w:rsidR="001166FE">
        <w:t>c</w:t>
      </w:r>
      <w:r w:rsidR="001166FE" w:rsidRPr="00C65E7E">
        <w:t>omparison of rock type models created by A) Watney and Rush (2012) and B) this study.</w:t>
      </w:r>
      <w:bookmarkEnd w:id="743"/>
    </w:p>
    <w:p w14:paraId="6972298A" w14:textId="69EB3CFB" w:rsidR="00595C4D" w:rsidRDefault="00595C4D" w:rsidP="00931F18">
      <w:pPr>
        <w:pStyle w:val="Caption"/>
        <w:rPr>
          <w:b/>
          <w:bCs/>
        </w:rPr>
      </w:pPr>
    </w:p>
    <w:p w14:paraId="5177E49C" w14:textId="20468D69" w:rsidR="00931F18" w:rsidRDefault="00931F18">
      <w:pPr>
        <w:spacing w:line="240" w:lineRule="auto"/>
      </w:pPr>
      <w:r>
        <w:br w:type="page"/>
      </w:r>
    </w:p>
    <w:p w14:paraId="39843696" w14:textId="1EED2452" w:rsidR="00F57EFE" w:rsidRDefault="00242C9A" w:rsidP="00F57EFE">
      <w:pPr>
        <w:keepNext/>
        <w:jc w:val="center"/>
      </w:pPr>
      <w:r>
        <w:rPr>
          <w:noProof/>
        </w:rPr>
        <w:lastRenderedPageBreak/>
        <w:drawing>
          <wp:inline distT="0" distB="0" distL="0" distR="0" wp14:anchorId="3DA32D85" wp14:editId="640301F0">
            <wp:extent cx="5900181" cy="4602307"/>
            <wp:effectExtent l="0" t="0" r="5715"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908348" cy="4608678"/>
                    </a:xfrm>
                    <a:prstGeom prst="rect">
                      <a:avLst/>
                    </a:prstGeom>
                    <a:noFill/>
                  </pic:spPr>
                </pic:pic>
              </a:graphicData>
            </a:graphic>
          </wp:inline>
        </w:drawing>
      </w:r>
    </w:p>
    <w:p w14:paraId="626CEC53" w14:textId="41578B21" w:rsidR="001166FE" w:rsidRPr="00C65E7E" w:rsidRDefault="00F57EFE" w:rsidP="001166FE">
      <w:pPr>
        <w:pStyle w:val="Caption"/>
      </w:pPr>
      <w:bookmarkStart w:id="744" w:name="_Toc121095152"/>
      <w:r w:rsidRPr="00F57EFE">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25</w:t>
      </w:r>
      <w:r w:rsidR="00D532BC">
        <w:rPr>
          <w:b/>
          <w:bCs/>
        </w:rPr>
        <w:fldChar w:fldCharType="end"/>
      </w:r>
      <w:r>
        <w:rPr>
          <w:b/>
          <w:bCs/>
        </w:rPr>
        <w:t>:</w:t>
      </w:r>
      <w:r w:rsidR="001166FE" w:rsidRPr="001166FE">
        <w:t xml:space="preserve"> </w:t>
      </w:r>
      <w:r w:rsidR="001166FE">
        <w:t>East-west</w:t>
      </w:r>
      <w:r w:rsidR="001166FE" w:rsidRPr="00C65E7E">
        <w:t xml:space="preserve"> </w:t>
      </w:r>
      <w:r w:rsidR="001166FE">
        <w:t>c</w:t>
      </w:r>
      <w:r w:rsidR="001166FE" w:rsidRPr="00C65E7E">
        <w:t xml:space="preserve">ross sections transecting through the Berexco Wellington KGS #1-28 Well showing the </w:t>
      </w:r>
      <w:r w:rsidR="001166FE">
        <w:t>c</w:t>
      </w:r>
      <w:r w:rsidR="001166FE" w:rsidRPr="00C65E7E">
        <w:t xml:space="preserve">omparison of </w:t>
      </w:r>
      <w:r w:rsidR="001166FE">
        <w:t>horizontal permeability</w:t>
      </w:r>
      <w:r w:rsidR="001166FE" w:rsidRPr="00C65E7E">
        <w:t xml:space="preserve"> models created by A) Watney and Rush (2012) and B) this study.</w:t>
      </w:r>
      <w:bookmarkEnd w:id="744"/>
    </w:p>
    <w:p w14:paraId="4DABBA14" w14:textId="07B308FE" w:rsidR="00931F18" w:rsidRPr="00F57EFE" w:rsidRDefault="00F57EFE" w:rsidP="00F57EFE">
      <w:pPr>
        <w:pStyle w:val="Caption"/>
        <w:rPr>
          <w:b/>
          <w:bCs/>
        </w:rPr>
      </w:pPr>
      <w:r>
        <w:rPr>
          <w:b/>
          <w:bCs/>
        </w:rPr>
        <w:t xml:space="preserve"> </w:t>
      </w:r>
    </w:p>
    <w:p w14:paraId="70E24C29" w14:textId="6767706E" w:rsidR="00931F18" w:rsidRDefault="00931F18" w:rsidP="00931F18"/>
    <w:p w14:paraId="06512054" w14:textId="2CC8C2D9" w:rsidR="004D25E6" w:rsidRDefault="004D25E6">
      <w:pPr>
        <w:spacing w:line="240" w:lineRule="auto"/>
      </w:pPr>
      <w:r>
        <w:br w:type="page"/>
      </w:r>
    </w:p>
    <w:p w14:paraId="23043174" w14:textId="77777777" w:rsidR="00922CF2" w:rsidRDefault="00922CF2" w:rsidP="00922CF2">
      <w:pPr>
        <w:keepNext/>
      </w:pPr>
      <w:r>
        <w:rPr>
          <w:noProof/>
        </w:rPr>
        <w:lastRenderedPageBreak/>
        <w:drawing>
          <wp:inline distT="0" distB="0" distL="0" distR="0" wp14:anchorId="34F030FB" wp14:editId="1405B9F7">
            <wp:extent cx="5950527" cy="393323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968641" cy="3945212"/>
                    </a:xfrm>
                    <a:prstGeom prst="rect">
                      <a:avLst/>
                    </a:prstGeom>
                    <a:noFill/>
                  </pic:spPr>
                </pic:pic>
              </a:graphicData>
            </a:graphic>
          </wp:inline>
        </w:drawing>
      </w:r>
    </w:p>
    <w:p w14:paraId="6B86BC45" w14:textId="2EB90346" w:rsidR="001166FE" w:rsidRPr="00C65E7E" w:rsidRDefault="00922CF2" w:rsidP="001166FE">
      <w:pPr>
        <w:pStyle w:val="Caption"/>
      </w:pPr>
      <w:bookmarkStart w:id="745" w:name="_Toc121095153"/>
      <w:r w:rsidRPr="00922CF2">
        <w:rPr>
          <w:b/>
          <w:bCs/>
        </w:rPr>
        <w:t xml:space="preserve">Figure </w:t>
      </w:r>
      <w:r w:rsidR="00D532BC">
        <w:rPr>
          <w:b/>
          <w:bCs/>
        </w:rPr>
        <w:fldChar w:fldCharType="begin"/>
      </w:r>
      <w:r w:rsidR="00D532BC">
        <w:rPr>
          <w:b/>
          <w:bCs/>
        </w:rPr>
        <w:instrText xml:space="preserve"> STYLEREF 1 \s </w:instrText>
      </w:r>
      <w:r w:rsidR="00D532BC">
        <w:rPr>
          <w:b/>
          <w:bCs/>
        </w:rPr>
        <w:fldChar w:fldCharType="separate"/>
      </w:r>
      <w:r w:rsidR="00B52D1E">
        <w:rPr>
          <w:b/>
          <w:bCs/>
          <w:noProof/>
        </w:rPr>
        <w:t>3</w:t>
      </w:r>
      <w:r w:rsidR="00D532BC">
        <w:rPr>
          <w:b/>
          <w:bCs/>
        </w:rPr>
        <w:fldChar w:fldCharType="end"/>
      </w:r>
      <w:r w:rsidR="00D532BC">
        <w:rPr>
          <w:b/>
          <w:bCs/>
        </w:rPr>
        <w:t>.</w:t>
      </w:r>
      <w:r w:rsidR="00D532BC">
        <w:rPr>
          <w:b/>
          <w:bCs/>
        </w:rPr>
        <w:fldChar w:fldCharType="begin"/>
      </w:r>
      <w:r w:rsidR="00D532BC">
        <w:rPr>
          <w:b/>
          <w:bCs/>
        </w:rPr>
        <w:instrText xml:space="preserve"> SEQ Figure \* ARABIC \s 1 </w:instrText>
      </w:r>
      <w:r w:rsidR="00D532BC">
        <w:rPr>
          <w:b/>
          <w:bCs/>
        </w:rPr>
        <w:fldChar w:fldCharType="separate"/>
      </w:r>
      <w:r w:rsidR="00B52D1E">
        <w:rPr>
          <w:b/>
          <w:bCs/>
          <w:noProof/>
        </w:rPr>
        <w:t>26</w:t>
      </w:r>
      <w:r w:rsidR="00D532BC">
        <w:rPr>
          <w:b/>
          <w:bCs/>
        </w:rPr>
        <w:fldChar w:fldCharType="end"/>
      </w:r>
      <w:r w:rsidRPr="00922CF2">
        <w:rPr>
          <w:b/>
          <w:bCs/>
        </w:rPr>
        <w:t>:</w:t>
      </w:r>
      <w:r w:rsidR="001166FE" w:rsidRPr="001166FE">
        <w:t xml:space="preserve"> </w:t>
      </w:r>
      <w:r w:rsidR="001166FE">
        <w:t>North-south</w:t>
      </w:r>
      <w:r w:rsidR="001166FE" w:rsidRPr="00C65E7E">
        <w:t xml:space="preserve"> </w:t>
      </w:r>
      <w:r w:rsidR="001166FE">
        <w:t>c</w:t>
      </w:r>
      <w:r w:rsidR="001166FE" w:rsidRPr="00C65E7E">
        <w:t xml:space="preserve">ross sections transecting through the Berexco Wellington KGS #1-28 Well showing the </w:t>
      </w:r>
      <w:r w:rsidR="001166FE">
        <w:t>c</w:t>
      </w:r>
      <w:r w:rsidR="001166FE" w:rsidRPr="00C65E7E">
        <w:t xml:space="preserve">omparison of </w:t>
      </w:r>
      <w:r w:rsidR="001166FE">
        <w:t>horizontal permeability</w:t>
      </w:r>
      <w:r w:rsidR="001166FE" w:rsidRPr="00C65E7E">
        <w:t xml:space="preserve"> models created by A) Watney and Rush (2012) and B) this study.</w:t>
      </w:r>
      <w:bookmarkEnd w:id="745"/>
    </w:p>
    <w:p w14:paraId="1AA6410F" w14:textId="59F5F67E" w:rsidR="00DC76BF" w:rsidRDefault="00DC76BF" w:rsidP="001166FE">
      <w:pPr>
        <w:pStyle w:val="Caption"/>
      </w:pPr>
      <w:r>
        <w:br w:type="page"/>
      </w:r>
    </w:p>
    <w:p w14:paraId="69A5D2BA" w14:textId="1F824A26" w:rsidR="00303E28" w:rsidRDefault="0015165B" w:rsidP="0015165B">
      <w:pPr>
        <w:pStyle w:val="Heading2"/>
      </w:pPr>
      <w:bookmarkStart w:id="746" w:name="_Toc121096002"/>
      <w:r>
        <w:lastRenderedPageBreak/>
        <w:t>Chapter 3 Tables</w:t>
      </w:r>
      <w:bookmarkEnd w:id="746"/>
    </w:p>
    <w:tbl>
      <w:tblPr>
        <w:tblW w:w="5000" w:type="pct"/>
        <w:tblLook w:val="04A0" w:firstRow="1" w:lastRow="0" w:firstColumn="1" w:lastColumn="0" w:noHBand="0" w:noVBand="1"/>
      </w:tblPr>
      <w:tblGrid>
        <w:gridCol w:w="3163"/>
        <w:gridCol w:w="2079"/>
        <w:gridCol w:w="1857"/>
        <w:gridCol w:w="2251"/>
      </w:tblGrid>
      <w:tr w:rsidR="004D4B5B" w:rsidRPr="00F71A71" w14:paraId="30D8B353" w14:textId="77777777" w:rsidTr="00681ED0">
        <w:trPr>
          <w:trHeight w:val="576"/>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832D0" w14:textId="77777777" w:rsidR="004D4B5B" w:rsidRPr="00F71A71" w:rsidRDefault="004D4B5B" w:rsidP="00620605">
            <w:pPr>
              <w:spacing w:before="0" w:after="0" w:line="240" w:lineRule="auto"/>
              <w:jc w:val="center"/>
              <w:rPr>
                <w:rFonts w:ascii="Arial" w:eastAsia="Times New Roman" w:hAnsi="Arial" w:cs="Arial"/>
                <w:b/>
                <w:bCs/>
                <w:szCs w:val="24"/>
              </w:rPr>
            </w:pPr>
            <w:r w:rsidRPr="00F71A71">
              <w:rPr>
                <w:rFonts w:ascii="Arial" w:eastAsia="Times New Roman" w:hAnsi="Arial" w:cs="Arial"/>
                <w:b/>
                <w:bCs/>
                <w:szCs w:val="24"/>
              </w:rPr>
              <w:t>Parameters</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2480E" w14:textId="77777777" w:rsidR="004D4B5B" w:rsidRPr="00F71A71" w:rsidRDefault="004D4B5B" w:rsidP="00620605">
            <w:pPr>
              <w:spacing w:before="0" w:after="0" w:line="240" w:lineRule="auto"/>
              <w:jc w:val="center"/>
              <w:rPr>
                <w:rFonts w:ascii="Arial" w:eastAsia="Times New Roman" w:hAnsi="Arial" w:cs="Arial"/>
                <w:b/>
                <w:bCs/>
                <w:szCs w:val="24"/>
              </w:rPr>
            </w:pPr>
            <w:r w:rsidRPr="00F71A71">
              <w:rPr>
                <w:rFonts w:ascii="Arial" w:eastAsia="Times New Roman" w:hAnsi="Arial" w:cs="Arial"/>
                <w:b/>
                <w:bCs/>
                <w:szCs w:val="24"/>
              </w:rPr>
              <w:t>Low</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3098B" w14:textId="77777777" w:rsidR="004D4B5B" w:rsidRPr="00F71A71" w:rsidRDefault="004D4B5B" w:rsidP="00620605">
            <w:pPr>
              <w:spacing w:before="0" w:after="0" w:line="240" w:lineRule="auto"/>
              <w:jc w:val="center"/>
              <w:rPr>
                <w:rFonts w:ascii="Arial" w:eastAsia="Times New Roman" w:hAnsi="Arial" w:cs="Arial"/>
                <w:b/>
                <w:bCs/>
                <w:szCs w:val="24"/>
              </w:rPr>
            </w:pPr>
            <w:r w:rsidRPr="00F71A71">
              <w:rPr>
                <w:rFonts w:ascii="Arial" w:eastAsia="Times New Roman" w:hAnsi="Arial" w:cs="Arial"/>
                <w:b/>
                <w:bCs/>
                <w:szCs w:val="24"/>
              </w:rPr>
              <w:t>Most likely</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1E5C6" w14:textId="77777777" w:rsidR="004D4B5B" w:rsidRPr="00F71A71" w:rsidRDefault="004D4B5B" w:rsidP="00620605">
            <w:pPr>
              <w:spacing w:before="0" w:after="0" w:line="240" w:lineRule="auto"/>
              <w:jc w:val="center"/>
              <w:rPr>
                <w:rFonts w:ascii="Arial" w:eastAsia="Times New Roman" w:hAnsi="Arial" w:cs="Arial"/>
                <w:b/>
                <w:bCs/>
                <w:szCs w:val="24"/>
              </w:rPr>
            </w:pPr>
            <w:r w:rsidRPr="00F71A71">
              <w:rPr>
                <w:rFonts w:ascii="Arial" w:eastAsia="Times New Roman" w:hAnsi="Arial" w:cs="Arial"/>
                <w:b/>
                <w:bCs/>
                <w:szCs w:val="24"/>
              </w:rPr>
              <w:t>High</w:t>
            </w:r>
          </w:p>
        </w:tc>
      </w:tr>
      <w:tr w:rsidR="004D4B5B" w:rsidRPr="00F71A71" w14:paraId="78BBCFAF" w14:textId="77777777" w:rsidTr="00620605">
        <w:trPr>
          <w:trHeight w:val="576"/>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43B31"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Porosity (fraction)</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F7795"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0.045</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B4C1E"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0.065</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4158F"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0.1</w:t>
            </w:r>
          </w:p>
        </w:tc>
      </w:tr>
      <w:tr w:rsidR="004D4B5B" w:rsidRPr="00F71A71" w14:paraId="54046C5A" w14:textId="77777777" w:rsidTr="00681ED0">
        <w:trPr>
          <w:trHeight w:val="1070"/>
        </w:trPr>
        <w:tc>
          <w:tcPr>
            <w:tcW w:w="1691" w:type="pct"/>
            <w:tcBorders>
              <w:top w:val="single" w:sz="4" w:space="0" w:color="auto"/>
              <w:left w:val="single" w:sz="4" w:space="0" w:color="auto"/>
              <w:right w:val="single" w:sz="4" w:space="0" w:color="auto"/>
            </w:tcBorders>
            <w:shd w:val="clear" w:color="auto" w:fill="auto"/>
            <w:noWrap/>
            <w:vAlign w:val="center"/>
            <w:hideMark/>
          </w:tcPr>
          <w:p w14:paraId="581B6A61"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Area</w:t>
            </w:r>
          </w:p>
        </w:tc>
        <w:tc>
          <w:tcPr>
            <w:tcW w:w="1112" w:type="pct"/>
            <w:tcBorders>
              <w:top w:val="single" w:sz="4" w:space="0" w:color="auto"/>
              <w:left w:val="single" w:sz="4" w:space="0" w:color="auto"/>
              <w:right w:val="single" w:sz="4" w:space="0" w:color="auto"/>
            </w:tcBorders>
            <w:shd w:val="clear" w:color="auto" w:fill="auto"/>
            <w:noWrap/>
            <w:vAlign w:val="center"/>
            <w:hideMark/>
          </w:tcPr>
          <w:p w14:paraId="2ECCE42E" w14:textId="77777777" w:rsidR="004D4B5B" w:rsidRDefault="004D4B5B" w:rsidP="00620605">
            <w:pPr>
              <w:spacing w:before="0" w:after="0" w:line="240" w:lineRule="auto"/>
              <w:jc w:val="center"/>
              <w:rPr>
                <w:rFonts w:ascii="Arial" w:hAnsi="Arial" w:cs="Arial"/>
                <w:color w:val="auto"/>
              </w:rPr>
            </w:pPr>
            <w:r>
              <w:rPr>
                <w:rFonts w:ascii="Arial" w:hAnsi="Arial" w:cs="Arial"/>
              </w:rPr>
              <w:t>2.90E+08 ft</w:t>
            </w:r>
            <w:r w:rsidRPr="001F14EA">
              <w:rPr>
                <w:rFonts w:ascii="Arial" w:hAnsi="Arial" w:cs="Arial"/>
                <w:vertAlign w:val="superscript"/>
              </w:rPr>
              <w:t>2</w:t>
            </w:r>
          </w:p>
          <w:p w14:paraId="055A837E" w14:textId="77777777" w:rsidR="004D4B5B" w:rsidRDefault="004D4B5B" w:rsidP="00620605">
            <w:pPr>
              <w:spacing w:before="0" w:after="0" w:line="240" w:lineRule="auto"/>
              <w:rPr>
                <w:rFonts w:ascii="Arial" w:eastAsia="Times New Roman" w:hAnsi="Arial" w:cs="Arial"/>
                <w:color w:val="auto"/>
                <w:szCs w:val="24"/>
              </w:rPr>
            </w:pPr>
          </w:p>
          <w:p w14:paraId="7C7336E3"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2.69E+07</w:t>
            </w:r>
            <w:r>
              <w:rPr>
                <w:rFonts w:ascii="Arial" w:eastAsia="Times New Roman" w:hAnsi="Arial" w:cs="Arial"/>
                <w:color w:val="auto"/>
                <w:szCs w:val="24"/>
              </w:rPr>
              <w:t xml:space="preserve"> m</w:t>
            </w:r>
            <w:r w:rsidRPr="00F71A71">
              <w:rPr>
                <w:rFonts w:ascii="Arial" w:eastAsia="Times New Roman" w:hAnsi="Arial" w:cs="Arial"/>
                <w:color w:val="auto"/>
                <w:szCs w:val="24"/>
                <w:vertAlign w:val="superscript"/>
              </w:rPr>
              <w:t>2</w:t>
            </w:r>
          </w:p>
        </w:tc>
        <w:tc>
          <w:tcPr>
            <w:tcW w:w="993" w:type="pct"/>
            <w:tcBorders>
              <w:top w:val="single" w:sz="4" w:space="0" w:color="auto"/>
              <w:left w:val="single" w:sz="4" w:space="0" w:color="auto"/>
              <w:right w:val="single" w:sz="4" w:space="0" w:color="auto"/>
            </w:tcBorders>
            <w:shd w:val="clear" w:color="auto" w:fill="auto"/>
            <w:noWrap/>
            <w:vAlign w:val="center"/>
            <w:hideMark/>
          </w:tcPr>
          <w:p w14:paraId="6B0D928E" w14:textId="77777777" w:rsidR="004D4B5B" w:rsidRDefault="004D4B5B" w:rsidP="00620605">
            <w:pPr>
              <w:spacing w:before="0" w:after="0" w:line="240" w:lineRule="auto"/>
              <w:jc w:val="center"/>
              <w:rPr>
                <w:rFonts w:ascii="Arial" w:hAnsi="Arial" w:cs="Arial"/>
                <w:color w:val="auto"/>
              </w:rPr>
            </w:pPr>
            <w:r>
              <w:rPr>
                <w:rFonts w:ascii="Arial" w:hAnsi="Arial" w:cs="Arial"/>
              </w:rPr>
              <w:t>2.90E+08 ft</w:t>
            </w:r>
            <w:r w:rsidRPr="001F14EA">
              <w:rPr>
                <w:rFonts w:ascii="Arial" w:hAnsi="Arial" w:cs="Arial"/>
                <w:vertAlign w:val="superscript"/>
              </w:rPr>
              <w:t>2</w:t>
            </w:r>
          </w:p>
          <w:p w14:paraId="02BC479A" w14:textId="77777777" w:rsidR="004D4B5B" w:rsidRDefault="004D4B5B" w:rsidP="00620605">
            <w:pPr>
              <w:spacing w:before="0" w:after="0" w:line="240" w:lineRule="auto"/>
              <w:jc w:val="center"/>
              <w:rPr>
                <w:rFonts w:ascii="Arial" w:eastAsia="Times New Roman" w:hAnsi="Arial" w:cs="Arial"/>
                <w:color w:val="auto"/>
                <w:szCs w:val="24"/>
              </w:rPr>
            </w:pPr>
          </w:p>
          <w:p w14:paraId="0C1395B9"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2.69E+07</w:t>
            </w:r>
            <w:r>
              <w:rPr>
                <w:rFonts w:ascii="Arial" w:eastAsia="Times New Roman" w:hAnsi="Arial" w:cs="Arial"/>
                <w:color w:val="auto"/>
                <w:szCs w:val="24"/>
              </w:rPr>
              <w:t xml:space="preserve"> m</w:t>
            </w:r>
            <w:r w:rsidRPr="00F71A71">
              <w:rPr>
                <w:rFonts w:ascii="Arial" w:eastAsia="Times New Roman" w:hAnsi="Arial" w:cs="Arial"/>
                <w:color w:val="auto"/>
                <w:szCs w:val="24"/>
                <w:vertAlign w:val="superscript"/>
              </w:rPr>
              <w:t>2</w:t>
            </w:r>
          </w:p>
        </w:tc>
        <w:tc>
          <w:tcPr>
            <w:tcW w:w="1204" w:type="pct"/>
            <w:tcBorders>
              <w:top w:val="single" w:sz="4" w:space="0" w:color="auto"/>
              <w:left w:val="single" w:sz="4" w:space="0" w:color="auto"/>
              <w:right w:val="single" w:sz="4" w:space="0" w:color="auto"/>
            </w:tcBorders>
            <w:shd w:val="clear" w:color="auto" w:fill="auto"/>
            <w:noWrap/>
            <w:vAlign w:val="center"/>
            <w:hideMark/>
          </w:tcPr>
          <w:p w14:paraId="66638537" w14:textId="77777777" w:rsidR="004D4B5B" w:rsidRDefault="004D4B5B" w:rsidP="00620605">
            <w:pPr>
              <w:spacing w:before="0" w:after="0" w:line="240" w:lineRule="auto"/>
              <w:jc w:val="center"/>
              <w:rPr>
                <w:rFonts w:ascii="Arial" w:hAnsi="Arial" w:cs="Arial"/>
                <w:color w:val="auto"/>
              </w:rPr>
            </w:pPr>
            <w:r>
              <w:rPr>
                <w:rFonts w:ascii="Arial" w:hAnsi="Arial" w:cs="Arial"/>
              </w:rPr>
              <w:t>2.90E+08 ft</w:t>
            </w:r>
            <w:r w:rsidRPr="001F14EA">
              <w:rPr>
                <w:rFonts w:ascii="Arial" w:hAnsi="Arial" w:cs="Arial"/>
                <w:vertAlign w:val="superscript"/>
              </w:rPr>
              <w:t>2</w:t>
            </w:r>
          </w:p>
          <w:p w14:paraId="12FA89DB" w14:textId="77777777" w:rsidR="004D4B5B" w:rsidRDefault="004D4B5B" w:rsidP="00620605">
            <w:pPr>
              <w:spacing w:before="0" w:after="0" w:line="240" w:lineRule="auto"/>
              <w:jc w:val="center"/>
              <w:rPr>
                <w:rFonts w:ascii="Arial" w:eastAsia="Times New Roman" w:hAnsi="Arial" w:cs="Arial"/>
                <w:color w:val="auto"/>
                <w:szCs w:val="24"/>
              </w:rPr>
            </w:pPr>
          </w:p>
          <w:p w14:paraId="30875CEB"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2.69E+07</w:t>
            </w:r>
            <w:r>
              <w:rPr>
                <w:rFonts w:ascii="Arial" w:eastAsia="Times New Roman" w:hAnsi="Arial" w:cs="Arial"/>
                <w:color w:val="auto"/>
                <w:szCs w:val="24"/>
              </w:rPr>
              <w:t>m</w:t>
            </w:r>
            <w:r w:rsidRPr="00F71A71">
              <w:rPr>
                <w:rFonts w:ascii="Arial" w:eastAsia="Times New Roman" w:hAnsi="Arial" w:cs="Arial"/>
                <w:color w:val="auto"/>
                <w:szCs w:val="24"/>
                <w:vertAlign w:val="superscript"/>
              </w:rPr>
              <w:t>2</w:t>
            </w:r>
          </w:p>
        </w:tc>
      </w:tr>
      <w:tr w:rsidR="004D4B5B" w:rsidRPr="00F71A71" w14:paraId="7F219C31" w14:textId="77777777" w:rsidTr="00620605">
        <w:trPr>
          <w:trHeight w:val="980"/>
        </w:trPr>
        <w:tc>
          <w:tcPr>
            <w:tcW w:w="1691" w:type="pct"/>
            <w:tcBorders>
              <w:top w:val="single" w:sz="4" w:space="0" w:color="auto"/>
              <w:left w:val="single" w:sz="4" w:space="0" w:color="auto"/>
              <w:right w:val="single" w:sz="4" w:space="0" w:color="auto"/>
            </w:tcBorders>
            <w:shd w:val="clear" w:color="auto" w:fill="auto"/>
            <w:noWrap/>
            <w:vAlign w:val="center"/>
            <w:hideMark/>
          </w:tcPr>
          <w:p w14:paraId="48BD8F63"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Gross thickness</w:t>
            </w:r>
          </w:p>
        </w:tc>
        <w:tc>
          <w:tcPr>
            <w:tcW w:w="1112" w:type="pct"/>
            <w:tcBorders>
              <w:top w:val="single" w:sz="4" w:space="0" w:color="auto"/>
              <w:left w:val="single" w:sz="4" w:space="0" w:color="auto"/>
              <w:right w:val="single" w:sz="4" w:space="0" w:color="auto"/>
            </w:tcBorders>
            <w:shd w:val="clear" w:color="auto" w:fill="auto"/>
            <w:noWrap/>
            <w:vAlign w:val="center"/>
            <w:hideMark/>
          </w:tcPr>
          <w:p w14:paraId="2B32A8E0" w14:textId="77777777" w:rsidR="004D4B5B"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337.9</w:t>
            </w:r>
            <w:r>
              <w:rPr>
                <w:rFonts w:ascii="Arial" w:eastAsia="Times New Roman" w:hAnsi="Arial" w:cs="Arial"/>
                <w:color w:val="auto"/>
                <w:szCs w:val="24"/>
              </w:rPr>
              <w:t xml:space="preserve"> ft</w:t>
            </w:r>
            <w:r w:rsidRPr="00F71A71">
              <w:rPr>
                <w:rFonts w:ascii="Arial" w:eastAsia="Times New Roman" w:hAnsi="Arial" w:cs="Arial"/>
                <w:color w:val="auto"/>
                <w:szCs w:val="24"/>
              </w:rPr>
              <w:t xml:space="preserve"> </w:t>
            </w:r>
          </w:p>
          <w:p w14:paraId="51856008" w14:textId="77777777" w:rsidR="004D4B5B" w:rsidRDefault="004D4B5B" w:rsidP="00620605">
            <w:pPr>
              <w:spacing w:before="0" w:after="0" w:line="240" w:lineRule="auto"/>
              <w:jc w:val="center"/>
              <w:rPr>
                <w:rFonts w:ascii="Arial" w:eastAsia="Times New Roman" w:hAnsi="Arial" w:cs="Arial"/>
                <w:color w:val="auto"/>
                <w:szCs w:val="24"/>
              </w:rPr>
            </w:pPr>
          </w:p>
          <w:p w14:paraId="04C1F7C3"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103</w:t>
            </w:r>
            <w:r>
              <w:rPr>
                <w:rFonts w:ascii="Arial" w:eastAsia="Times New Roman" w:hAnsi="Arial" w:cs="Arial"/>
                <w:color w:val="auto"/>
                <w:szCs w:val="24"/>
              </w:rPr>
              <w:t xml:space="preserve"> m</w:t>
            </w:r>
          </w:p>
        </w:tc>
        <w:tc>
          <w:tcPr>
            <w:tcW w:w="993" w:type="pct"/>
            <w:tcBorders>
              <w:top w:val="single" w:sz="4" w:space="0" w:color="auto"/>
              <w:left w:val="single" w:sz="4" w:space="0" w:color="auto"/>
              <w:right w:val="single" w:sz="4" w:space="0" w:color="auto"/>
            </w:tcBorders>
            <w:shd w:val="clear" w:color="auto" w:fill="auto"/>
            <w:noWrap/>
            <w:vAlign w:val="center"/>
            <w:hideMark/>
          </w:tcPr>
          <w:p w14:paraId="204ABA0D" w14:textId="77777777" w:rsidR="004D4B5B" w:rsidRDefault="004D4B5B" w:rsidP="00620605">
            <w:pPr>
              <w:spacing w:before="0" w:after="0" w:line="240" w:lineRule="auto"/>
              <w:jc w:val="center"/>
              <w:rPr>
                <w:rFonts w:ascii="Arial" w:eastAsia="Times New Roman" w:hAnsi="Arial" w:cs="Arial"/>
                <w:color w:val="auto"/>
                <w:szCs w:val="24"/>
              </w:rPr>
            </w:pPr>
            <w:r>
              <w:rPr>
                <w:rFonts w:ascii="Arial" w:eastAsia="Times New Roman" w:hAnsi="Arial" w:cs="Arial"/>
                <w:color w:val="auto"/>
                <w:szCs w:val="24"/>
              </w:rPr>
              <w:t>315 ft</w:t>
            </w:r>
          </w:p>
          <w:p w14:paraId="6DD03FC4" w14:textId="77777777" w:rsidR="004D4B5B" w:rsidRDefault="004D4B5B" w:rsidP="00620605">
            <w:pPr>
              <w:spacing w:before="0" w:after="0" w:line="240" w:lineRule="auto"/>
              <w:jc w:val="center"/>
              <w:rPr>
                <w:rFonts w:ascii="Arial" w:eastAsia="Times New Roman" w:hAnsi="Arial" w:cs="Arial"/>
                <w:color w:val="auto"/>
                <w:szCs w:val="24"/>
              </w:rPr>
            </w:pPr>
          </w:p>
          <w:p w14:paraId="692B2123" w14:textId="77777777" w:rsidR="004D4B5B"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107</w:t>
            </w:r>
            <w:r>
              <w:rPr>
                <w:rFonts w:ascii="Arial" w:eastAsia="Times New Roman" w:hAnsi="Arial" w:cs="Arial"/>
                <w:color w:val="auto"/>
                <w:szCs w:val="24"/>
              </w:rPr>
              <w:t xml:space="preserve"> m</w:t>
            </w:r>
          </w:p>
          <w:p w14:paraId="36A31AF3" w14:textId="77777777" w:rsidR="004D4B5B" w:rsidRPr="00F71A71" w:rsidRDefault="004D4B5B" w:rsidP="00620605">
            <w:pPr>
              <w:spacing w:before="0" w:after="0" w:line="240" w:lineRule="auto"/>
              <w:jc w:val="center"/>
              <w:rPr>
                <w:rFonts w:ascii="Arial" w:eastAsia="Times New Roman" w:hAnsi="Arial" w:cs="Arial"/>
                <w:color w:val="auto"/>
                <w:szCs w:val="24"/>
              </w:rPr>
            </w:pPr>
          </w:p>
        </w:tc>
        <w:tc>
          <w:tcPr>
            <w:tcW w:w="1204" w:type="pct"/>
            <w:tcBorders>
              <w:top w:val="single" w:sz="4" w:space="0" w:color="auto"/>
              <w:left w:val="single" w:sz="4" w:space="0" w:color="auto"/>
              <w:right w:val="single" w:sz="4" w:space="0" w:color="auto"/>
            </w:tcBorders>
            <w:shd w:val="clear" w:color="auto" w:fill="auto"/>
            <w:noWrap/>
            <w:vAlign w:val="center"/>
            <w:hideMark/>
          </w:tcPr>
          <w:p w14:paraId="2A4DB0F3" w14:textId="77777777" w:rsidR="004D4B5B" w:rsidRDefault="004D4B5B" w:rsidP="00620605">
            <w:pPr>
              <w:spacing w:before="0" w:after="0" w:line="240" w:lineRule="auto"/>
              <w:jc w:val="center"/>
              <w:rPr>
                <w:rFonts w:ascii="Arial" w:eastAsia="Times New Roman" w:hAnsi="Arial" w:cs="Arial"/>
                <w:color w:val="auto"/>
                <w:szCs w:val="24"/>
              </w:rPr>
            </w:pPr>
            <w:r>
              <w:rPr>
                <w:rFonts w:ascii="Arial" w:eastAsia="Times New Roman" w:hAnsi="Arial" w:cs="Arial"/>
                <w:color w:val="auto"/>
                <w:szCs w:val="24"/>
              </w:rPr>
              <w:t>360.8 ft</w:t>
            </w:r>
            <w:r w:rsidRPr="00F71A71">
              <w:rPr>
                <w:rFonts w:ascii="Arial" w:eastAsia="Times New Roman" w:hAnsi="Arial" w:cs="Arial"/>
                <w:color w:val="auto"/>
                <w:szCs w:val="24"/>
              </w:rPr>
              <w:t xml:space="preserve"> </w:t>
            </w:r>
          </w:p>
          <w:p w14:paraId="018A177F" w14:textId="77777777" w:rsidR="004D4B5B" w:rsidRDefault="004D4B5B" w:rsidP="00620605">
            <w:pPr>
              <w:spacing w:before="0" w:after="0" w:line="240" w:lineRule="auto"/>
              <w:jc w:val="center"/>
              <w:rPr>
                <w:rFonts w:ascii="Arial" w:eastAsia="Times New Roman" w:hAnsi="Arial" w:cs="Arial"/>
                <w:color w:val="auto"/>
                <w:szCs w:val="24"/>
              </w:rPr>
            </w:pPr>
          </w:p>
          <w:p w14:paraId="29B425F9"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110</w:t>
            </w:r>
            <w:r>
              <w:rPr>
                <w:rFonts w:ascii="Arial" w:eastAsia="Times New Roman" w:hAnsi="Arial" w:cs="Arial"/>
                <w:color w:val="auto"/>
                <w:szCs w:val="24"/>
              </w:rPr>
              <w:t xml:space="preserve"> m</w:t>
            </w:r>
          </w:p>
        </w:tc>
      </w:tr>
      <w:tr w:rsidR="004D4B5B" w:rsidRPr="00F71A71" w14:paraId="370EF87C" w14:textId="77777777" w:rsidTr="00681ED0">
        <w:trPr>
          <w:trHeight w:val="620"/>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20E3B"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CO2 Density (kg/m</w:t>
            </w:r>
            <w:r w:rsidRPr="00F71A71">
              <w:rPr>
                <w:rFonts w:ascii="Arial" w:eastAsia="Times New Roman" w:hAnsi="Arial" w:cs="Arial"/>
                <w:color w:val="auto"/>
                <w:szCs w:val="24"/>
                <w:vertAlign w:val="superscript"/>
              </w:rPr>
              <w:t>3</w:t>
            </w:r>
            <w:r w:rsidRPr="00F71A71">
              <w:rPr>
                <w:rFonts w:ascii="Arial" w:eastAsia="Times New Roman" w:hAnsi="Arial" w:cs="Arial"/>
                <w:color w:val="auto"/>
                <w:szCs w:val="24"/>
              </w:rPr>
              <w:t>)</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8CA6B"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547</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A54AB"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547</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F103E"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547</w:t>
            </w:r>
          </w:p>
        </w:tc>
      </w:tr>
      <w:tr w:rsidR="004D4B5B" w:rsidRPr="00F71A71" w14:paraId="13D9BAD5" w14:textId="77777777" w:rsidTr="00620605">
        <w:trPr>
          <w:trHeight w:val="576"/>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F7E58"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Efficiency Factor</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ED2E1"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0.64</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CE492"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2.2</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97EFE"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5.5</w:t>
            </w:r>
          </w:p>
        </w:tc>
      </w:tr>
      <w:tr w:rsidR="004D4B5B" w:rsidRPr="00F71A71" w14:paraId="79E5C559" w14:textId="77777777" w:rsidTr="00681ED0">
        <w:trPr>
          <w:trHeight w:val="926"/>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127DE"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Bulk Volume</w:t>
            </w:r>
          </w:p>
          <w:p w14:paraId="32C322C0" w14:textId="77777777" w:rsidR="004D4B5B" w:rsidRPr="00F71A71" w:rsidRDefault="004D4B5B" w:rsidP="00620605">
            <w:pPr>
              <w:spacing w:before="0" w:after="0" w:line="240" w:lineRule="auto"/>
              <w:jc w:val="center"/>
              <w:rPr>
                <w:rFonts w:ascii="Arial" w:eastAsia="Times New Roman" w:hAnsi="Arial" w:cs="Arial"/>
                <w:color w:val="auto"/>
                <w:szCs w:val="24"/>
              </w:rPr>
            </w:pP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8F4F3" w14:textId="77777777" w:rsidR="004D4B5B"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9.78E+10</w:t>
            </w:r>
            <w:r>
              <w:rPr>
                <w:rFonts w:ascii="Arial" w:eastAsia="Times New Roman" w:hAnsi="Arial" w:cs="Arial"/>
                <w:color w:val="auto"/>
                <w:szCs w:val="24"/>
              </w:rPr>
              <w:t xml:space="preserve"> ft</w:t>
            </w:r>
            <w:r w:rsidRPr="00F71A71">
              <w:rPr>
                <w:rFonts w:ascii="Arial" w:eastAsia="Times New Roman" w:hAnsi="Arial" w:cs="Arial"/>
                <w:color w:val="auto"/>
                <w:szCs w:val="24"/>
                <w:vertAlign w:val="superscript"/>
              </w:rPr>
              <w:t>3</w:t>
            </w:r>
          </w:p>
          <w:p w14:paraId="6F79AF8B" w14:textId="77777777" w:rsidR="004D4B5B" w:rsidRPr="00F71A71" w:rsidRDefault="004D4B5B" w:rsidP="00620605">
            <w:pPr>
              <w:spacing w:before="0" w:after="0" w:line="240" w:lineRule="auto"/>
              <w:jc w:val="center"/>
              <w:rPr>
                <w:rFonts w:ascii="Arial" w:eastAsia="Times New Roman" w:hAnsi="Arial" w:cs="Arial"/>
                <w:color w:val="auto"/>
                <w:szCs w:val="24"/>
              </w:rPr>
            </w:pPr>
          </w:p>
          <w:p w14:paraId="2A505A37"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2.77E+09</w:t>
            </w:r>
            <w:r>
              <w:rPr>
                <w:rFonts w:ascii="Arial" w:eastAsia="Times New Roman" w:hAnsi="Arial" w:cs="Arial"/>
                <w:color w:val="auto"/>
                <w:szCs w:val="24"/>
              </w:rPr>
              <w:t xml:space="preserve"> m</w:t>
            </w:r>
            <w:r w:rsidRPr="00F71A71">
              <w:rPr>
                <w:rFonts w:ascii="Arial" w:eastAsia="Times New Roman" w:hAnsi="Arial" w:cs="Arial"/>
                <w:color w:val="auto"/>
                <w:szCs w:val="24"/>
                <w:vertAlign w:val="superscript"/>
              </w:rPr>
              <w:t>3</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1BDFB" w14:textId="77777777" w:rsidR="004D4B5B"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1.02E+11</w:t>
            </w:r>
            <w:r>
              <w:rPr>
                <w:rFonts w:ascii="Arial" w:eastAsia="Times New Roman" w:hAnsi="Arial" w:cs="Arial"/>
                <w:color w:val="auto"/>
                <w:szCs w:val="24"/>
              </w:rPr>
              <w:t>ft</w:t>
            </w:r>
            <w:r w:rsidRPr="00F71A71">
              <w:rPr>
                <w:rFonts w:ascii="Arial" w:eastAsia="Times New Roman" w:hAnsi="Arial" w:cs="Arial"/>
                <w:color w:val="auto"/>
                <w:szCs w:val="24"/>
                <w:vertAlign w:val="superscript"/>
              </w:rPr>
              <w:t>3</w:t>
            </w:r>
          </w:p>
          <w:p w14:paraId="43022365" w14:textId="77777777" w:rsidR="004D4B5B" w:rsidRPr="00F71A71" w:rsidRDefault="004D4B5B" w:rsidP="00620605">
            <w:pPr>
              <w:spacing w:before="0" w:after="0" w:line="240" w:lineRule="auto"/>
              <w:jc w:val="center"/>
              <w:rPr>
                <w:rFonts w:ascii="Arial" w:eastAsia="Times New Roman" w:hAnsi="Arial" w:cs="Arial"/>
                <w:color w:val="auto"/>
                <w:szCs w:val="24"/>
              </w:rPr>
            </w:pPr>
          </w:p>
          <w:p w14:paraId="4414B208"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2.88E+09</w:t>
            </w:r>
            <w:r>
              <w:rPr>
                <w:rFonts w:ascii="Arial" w:eastAsia="Times New Roman" w:hAnsi="Arial" w:cs="Arial"/>
                <w:color w:val="auto"/>
                <w:szCs w:val="24"/>
              </w:rPr>
              <w:t xml:space="preserve"> m</w:t>
            </w:r>
            <w:r w:rsidRPr="00F71A71">
              <w:rPr>
                <w:rFonts w:ascii="Arial" w:eastAsia="Times New Roman" w:hAnsi="Arial" w:cs="Arial"/>
                <w:color w:val="auto"/>
                <w:szCs w:val="24"/>
                <w:vertAlign w:val="superscript"/>
              </w:rPr>
              <w:t>3</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EBCAA" w14:textId="77777777" w:rsidR="004D4B5B"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1.02E+11</w:t>
            </w:r>
            <w:r>
              <w:rPr>
                <w:rFonts w:ascii="Arial" w:eastAsia="Times New Roman" w:hAnsi="Arial" w:cs="Arial"/>
                <w:color w:val="auto"/>
                <w:szCs w:val="24"/>
              </w:rPr>
              <w:t xml:space="preserve"> ft</w:t>
            </w:r>
            <w:r w:rsidRPr="00F71A71">
              <w:rPr>
                <w:rFonts w:ascii="Arial" w:eastAsia="Times New Roman" w:hAnsi="Arial" w:cs="Arial"/>
                <w:color w:val="auto"/>
                <w:szCs w:val="24"/>
                <w:vertAlign w:val="superscript"/>
              </w:rPr>
              <w:t>3</w:t>
            </w:r>
          </w:p>
          <w:p w14:paraId="0F98A4D8" w14:textId="77777777" w:rsidR="004D4B5B" w:rsidRPr="00F71A71" w:rsidRDefault="004D4B5B" w:rsidP="00620605">
            <w:pPr>
              <w:spacing w:before="0" w:after="0" w:line="240" w:lineRule="auto"/>
              <w:jc w:val="center"/>
              <w:rPr>
                <w:rFonts w:ascii="Arial" w:eastAsia="Times New Roman" w:hAnsi="Arial" w:cs="Arial"/>
                <w:color w:val="auto"/>
                <w:szCs w:val="24"/>
              </w:rPr>
            </w:pPr>
          </w:p>
          <w:p w14:paraId="6DF8B933"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2.96E+09</w:t>
            </w:r>
            <w:r>
              <w:rPr>
                <w:rFonts w:ascii="Arial" w:eastAsia="Times New Roman" w:hAnsi="Arial" w:cs="Arial"/>
                <w:color w:val="auto"/>
                <w:szCs w:val="24"/>
              </w:rPr>
              <w:t xml:space="preserve"> m</w:t>
            </w:r>
            <w:r w:rsidRPr="00F71A71">
              <w:rPr>
                <w:rFonts w:ascii="Arial" w:eastAsia="Times New Roman" w:hAnsi="Arial" w:cs="Arial"/>
                <w:color w:val="auto"/>
                <w:szCs w:val="24"/>
                <w:vertAlign w:val="superscript"/>
              </w:rPr>
              <w:t>3</w:t>
            </w:r>
          </w:p>
        </w:tc>
      </w:tr>
      <w:tr w:rsidR="004D4B5B" w:rsidRPr="00F71A71" w14:paraId="112482C1" w14:textId="77777777" w:rsidTr="004D4B5B">
        <w:trPr>
          <w:trHeight w:val="1070"/>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0CFDA"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F71A71">
              <w:rPr>
                <w:rFonts w:ascii="Arial" w:eastAsia="Times New Roman" w:hAnsi="Arial" w:cs="Arial"/>
                <w:color w:val="auto"/>
                <w:szCs w:val="24"/>
              </w:rPr>
              <w:t>Pore Volume</w:t>
            </w:r>
          </w:p>
          <w:p w14:paraId="2BC2ED63" w14:textId="77777777" w:rsidR="004D4B5B" w:rsidRPr="00F71A71" w:rsidRDefault="004D4B5B" w:rsidP="00620605">
            <w:pPr>
              <w:spacing w:before="0" w:after="0" w:line="240" w:lineRule="auto"/>
              <w:jc w:val="center"/>
              <w:rPr>
                <w:rFonts w:ascii="Arial" w:eastAsia="Times New Roman" w:hAnsi="Arial" w:cs="Arial"/>
                <w:color w:val="auto"/>
                <w:szCs w:val="24"/>
              </w:rPr>
            </w:pP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9A6EF" w14:textId="77777777" w:rsidR="004D4B5B"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4.40E+09</w:t>
            </w:r>
            <w:r>
              <w:rPr>
                <w:rFonts w:ascii="Arial" w:eastAsia="Times New Roman" w:hAnsi="Arial" w:cs="Arial"/>
                <w:color w:val="auto"/>
                <w:szCs w:val="24"/>
              </w:rPr>
              <w:t xml:space="preserve"> ft</w:t>
            </w:r>
            <w:r w:rsidRPr="00F71A71">
              <w:rPr>
                <w:rFonts w:ascii="Arial" w:eastAsia="Times New Roman" w:hAnsi="Arial" w:cs="Arial"/>
                <w:color w:val="auto"/>
                <w:szCs w:val="24"/>
                <w:vertAlign w:val="superscript"/>
              </w:rPr>
              <w:t>3</w:t>
            </w:r>
          </w:p>
          <w:p w14:paraId="232612F7" w14:textId="77777777" w:rsidR="004D4B5B" w:rsidRPr="00F71A71" w:rsidRDefault="004D4B5B" w:rsidP="00620605">
            <w:pPr>
              <w:spacing w:before="0" w:after="0" w:line="240" w:lineRule="auto"/>
              <w:jc w:val="center"/>
              <w:rPr>
                <w:rFonts w:ascii="Arial" w:eastAsia="Times New Roman" w:hAnsi="Arial" w:cs="Arial"/>
                <w:color w:val="auto"/>
                <w:szCs w:val="24"/>
              </w:rPr>
            </w:pPr>
          </w:p>
          <w:p w14:paraId="06B25631"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1.25E+08</w:t>
            </w:r>
            <w:r>
              <w:rPr>
                <w:rFonts w:ascii="Arial" w:eastAsia="Times New Roman" w:hAnsi="Arial" w:cs="Arial"/>
                <w:color w:val="auto"/>
                <w:szCs w:val="24"/>
              </w:rPr>
              <w:t xml:space="preserve"> m</w:t>
            </w:r>
            <w:r w:rsidRPr="00F71A71">
              <w:rPr>
                <w:rFonts w:ascii="Arial" w:eastAsia="Times New Roman" w:hAnsi="Arial" w:cs="Arial"/>
                <w:color w:val="auto"/>
                <w:szCs w:val="24"/>
                <w:vertAlign w:val="superscript"/>
              </w:rPr>
              <w:t>3</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13BB8" w14:textId="77777777" w:rsidR="004D4B5B"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6.61E+09</w:t>
            </w:r>
            <w:r>
              <w:rPr>
                <w:rFonts w:ascii="Arial" w:eastAsia="Times New Roman" w:hAnsi="Arial" w:cs="Arial"/>
                <w:color w:val="auto"/>
                <w:szCs w:val="24"/>
              </w:rPr>
              <w:t xml:space="preserve"> ft</w:t>
            </w:r>
            <w:r w:rsidRPr="00F71A71">
              <w:rPr>
                <w:rFonts w:ascii="Arial" w:eastAsia="Times New Roman" w:hAnsi="Arial" w:cs="Arial"/>
                <w:color w:val="auto"/>
                <w:szCs w:val="24"/>
                <w:vertAlign w:val="superscript"/>
              </w:rPr>
              <w:t>3</w:t>
            </w:r>
          </w:p>
          <w:p w14:paraId="7E7CB1DF" w14:textId="77777777" w:rsidR="004D4B5B" w:rsidRPr="00F71A71" w:rsidRDefault="004D4B5B" w:rsidP="00620605">
            <w:pPr>
              <w:spacing w:before="0" w:after="0" w:line="240" w:lineRule="auto"/>
              <w:jc w:val="center"/>
              <w:rPr>
                <w:rFonts w:ascii="Arial" w:eastAsia="Times New Roman" w:hAnsi="Arial" w:cs="Arial"/>
                <w:color w:val="auto"/>
                <w:szCs w:val="24"/>
              </w:rPr>
            </w:pPr>
          </w:p>
          <w:p w14:paraId="10C0A26A"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1.87E+08</w:t>
            </w:r>
            <w:r>
              <w:rPr>
                <w:rFonts w:ascii="Arial" w:eastAsia="Times New Roman" w:hAnsi="Arial" w:cs="Arial"/>
                <w:color w:val="auto"/>
                <w:szCs w:val="24"/>
              </w:rPr>
              <w:t xml:space="preserve"> m</w:t>
            </w:r>
            <w:r w:rsidRPr="00F71A71">
              <w:rPr>
                <w:rFonts w:ascii="Arial" w:eastAsia="Times New Roman" w:hAnsi="Arial" w:cs="Arial"/>
                <w:color w:val="auto"/>
                <w:szCs w:val="24"/>
                <w:vertAlign w:val="superscript"/>
              </w:rPr>
              <w:t>3</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3845D" w14:textId="77777777" w:rsidR="004D4B5B"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1.04E+10</w:t>
            </w:r>
            <w:r>
              <w:rPr>
                <w:rFonts w:ascii="Arial" w:eastAsia="Times New Roman" w:hAnsi="Arial" w:cs="Arial"/>
                <w:color w:val="auto"/>
                <w:szCs w:val="24"/>
              </w:rPr>
              <w:t xml:space="preserve"> ft</w:t>
            </w:r>
            <w:r w:rsidRPr="00F71A71">
              <w:rPr>
                <w:rFonts w:ascii="Arial" w:eastAsia="Times New Roman" w:hAnsi="Arial" w:cs="Arial"/>
                <w:color w:val="auto"/>
                <w:szCs w:val="24"/>
                <w:vertAlign w:val="superscript"/>
              </w:rPr>
              <w:t>3</w:t>
            </w:r>
          </w:p>
          <w:p w14:paraId="7299C50A" w14:textId="77777777" w:rsidR="004D4B5B" w:rsidRPr="00F71A71" w:rsidRDefault="004D4B5B" w:rsidP="00620605">
            <w:pPr>
              <w:spacing w:before="0" w:after="0" w:line="240" w:lineRule="auto"/>
              <w:jc w:val="center"/>
              <w:rPr>
                <w:rFonts w:ascii="Arial" w:eastAsia="Times New Roman" w:hAnsi="Arial" w:cs="Arial"/>
                <w:color w:val="auto"/>
                <w:szCs w:val="24"/>
              </w:rPr>
            </w:pPr>
          </w:p>
          <w:p w14:paraId="102907FF" w14:textId="77777777" w:rsidR="004D4B5B" w:rsidRPr="00F71A71" w:rsidRDefault="004D4B5B" w:rsidP="00620605">
            <w:pPr>
              <w:spacing w:before="0" w:after="0" w:line="240" w:lineRule="auto"/>
              <w:jc w:val="center"/>
              <w:rPr>
                <w:rFonts w:ascii="Arial" w:eastAsia="Times New Roman" w:hAnsi="Arial" w:cs="Arial"/>
                <w:color w:val="auto"/>
                <w:szCs w:val="24"/>
              </w:rPr>
            </w:pPr>
            <w:r w:rsidRPr="006A0C39">
              <w:rPr>
                <w:rFonts w:ascii="Arial" w:eastAsia="Times New Roman" w:hAnsi="Arial" w:cs="Arial"/>
                <w:color w:val="auto"/>
                <w:szCs w:val="24"/>
              </w:rPr>
              <w:t>2.96E+08</w:t>
            </w:r>
            <w:r>
              <w:rPr>
                <w:rFonts w:ascii="Arial" w:eastAsia="Times New Roman" w:hAnsi="Arial" w:cs="Arial"/>
                <w:color w:val="auto"/>
                <w:szCs w:val="24"/>
              </w:rPr>
              <w:t xml:space="preserve"> m</w:t>
            </w:r>
            <w:r w:rsidRPr="00F71A71">
              <w:rPr>
                <w:rFonts w:ascii="Arial" w:eastAsia="Times New Roman" w:hAnsi="Arial" w:cs="Arial"/>
                <w:color w:val="auto"/>
                <w:szCs w:val="24"/>
                <w:vertAlign w:val="superscript"/>
              </w:rPr>
              <w:t>3</w:t>
            </w:r>
          </w:p>
        </w:tc>
      </w:tr>
    </w:tbl>
    <w:p w14:paraId="2BD2EB8E" w14:textId="77777777" w:rsidR="00565924" w:rsidRPr="00565924" w:rsidRDefault="00565924" w:rsidP="004D4B5B"/>
    <w:p w14:paraId="4D5BD676" w14:textId="00474B53" w:rsidR="00303E28" w:rsidRDefault="0072196A" w:rsidP="0072196A">
      <w:pPr>
        <w:pStyle w:val="Caption"/>
      </w:pPr>
      <w:bookmarkStart w:id="747" w:name="_Toc120472458"/>
      <w:r w:rsidRPr="00321616">
        <w:rPr>
          <w:b/>
          <w:bCs/>
        </w:rPr>
        <w:t xml:space="preserve">Table </w:t>
      </w:r>
      <w:r w:rsidR="00E242D6">
        <w:rPr>
          <w:b/>
          <w:bCs/>
        </w:rPr>
        <w:fldChar w:fldCharType="begin"/>
      </w:r>
      <w:r w:rsidR="00E242D6">
        <w:rPr>
          <w:b/>
          <w:bCs/>
        </w:rPr>
        <w:instrText xml:space="preserve"> STYLEREF 1 \s </w:instrText>
      </w:r>
      <w:r w:rsidR="00E242D6">
        <w:rPr>
          <w:b/>
          <w:bCs/>
        </w:rPr>
        <w:fldChar w:fldCharType="separate"/>
      </w:r>
      <w:r w:rsidR="00B52D1E">
        <w:rPr>
          <w:b/>
          <w:bCs/>
          <w:noProof/>
        </w:rPr>
        <w:t>3</w:t>
      </w:r>
      <w:r w:rsidR="00E242D6">
        <w:rPr>
          <w:b/>
          <w:bCs/>
        </w:rPr>
        <w:fldChar w:fldCharType="end"/>
      </w:r>
      <w:r w:rsidR="00E242D6">
        <w:rPr>
          <w:b/>
          <w:bCs/>
        </w:rPr>
        <w:t>.</w:t>
      </w:r>
      <w:r w:rsidR="00E242D6">
        <w:rPr>
          <w:b/>
          <w:bCs/>
        </w:rPr>
        <w:fldChar w:fldCharType="begin"/>
      </w:r>
      <w:r w:rsidR="00E242D6">
        <w:rPr>
          <w:b/>
          <w:bCs/>
        </w:rPr>
        <w:instrText xml:space="preserve"> SEQ Table \* ARABIC \s 1 </w:instrText>
      </w:r>
      <w:r w:rsidR="00E242D6">
        <w:rPr>
          <w:b/>
          <w:bCs/>
        </w:rPr>
        <w:fldChar w:fldCharType="separate"/>
      </w:r>
      <w:r w:rsidR="00B52D1E">
        <w:rPr>
          <w:b/>
          <w:bCs/>
          <w:noProof/>
        </w:rPr>
        <w:t>1</w:t>
      </w:r>
      <w:r w:rsidR="00E242D6">
        <w:rPr>
          <w:b/>
          <w:bCs/>
        </w:rPr>
        <w:fldChar w:fldCharType="end"/>
      </w:r>
      <w:r w:rsidRPr="00321616">
        <w:rPr>
          <w:b/>
          <w:bCs/>
        </w:rPr>
        <w:t>:</w:t>
      </w:r>
      <w:r>
        <w:t xml:space="preserve"> Summary of the values used for the theoretical CO</w:t>
      </w:r>
      <w:r w:rsidRPr="004D4B5B">
        <w:rPr>
          <w:vertAlign w:val="subscript"/>
        </w:rPr>
        <w:t>2</w:t>
      </w:r>
      <w:r>
        <w:t xml:space="preserve"> storage capacity calculation</w:t>
      </w:r>
      <w:r w:rsidR="00565924">
        <w:t xml:space="preserve"> for the Arbuckle zone A</w:t>
      </w:r>
      <w:r>
        <w:t>.</w:t>
      </w:r>
      <w:bookmarkEnd w:id="747"/>
    </w:p>
    <w:p w14:paraId="6BF1A307" w14:textId="77777777" w:rsidR="004D4B5B" w:rsidRDefault="004D4B5B">
      <w:pPr>
        <w:spacing w:line="240" w:lineRule="auto"/>
      </w:pPr>
      <w:r>
        <w:br w:type="page"/>
      </w:r>
    </w:p>
    <w:tbl>
      <w:tblPr>
        <w:tblW w:w="5000" w:type="pct"/>
        <w:tblLook w:val="04A0" w:firstRow="1" w:lastRow="0" w:firstColumn="1" w:lastColumn="0" w:noHBand="0" w:noVBand="1"/>
      </w:tblPr>
      <w:tblGrid>
        <w:gridCol w:w="3163"/>
        <w:gridCol w:w="2079"/>
        <w:gridCol w:w="1857"/>
        <w:gridCol w:w="2251"/>
      </w:tblGrid>
      <w:tr w:rsidR="00E242D6" w:rsidRPr="00E242D6" w14:paraId="454067F1" w14:textId="77777777" w:rsidTr="00681ED0">
        <w:trPr>
          <w:trHeight w:val="576"/>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FF2B6" w14:textId="77777777" w:rsidR="00E242D6" w:rsidRPr="00E242D6" w:rsidRDefault="00E242D6" w:rsidP="00E242D6">
            <w:pPr>
              <w:spacing w:before="0" w:after="0" w:line="240" w:lineRule="auto"/>
              <w:jc w:val="center"/>
              <w:rPr>
                <w:rFonts w:ascii="Arial" w:eastAsia="Times New Roman" w:hAnsi="Arial" w:cs="Arial"/>
                <w:b/>
                <w:bCs/>
                <w:szCs w:val="24"/>
              </w:rPr>
            </w:pPr>
            <w:r w:rsidRPr="00E242D6">
              <w:rPr>
                <w:rFonts w:ascii="Arial" w:eastAsia="Times New Roman" w:hAnsi="Arial" w:cs="Arial"/>
                <w:b/>
                <w:bCs/>
                <w:szCs w:val="24"/>
              </w:rPr>
              <w:lastRenderedPageBreak/>
              <w:t>Parameters</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F3C76" w14:textId="77777777" w:rsidR="00E242D6" w:rsidRPr="00E242D6" w:rsidRDefault="00E242D6" w:rsidP="00E242D6">
            <w:pPr>
              <w:spacing w:before="0" w:after="0" w:line="240" w:lineRule="auto"/>
              <w:jc w:val="center"/>
              <w:rPr>
                <w:rFonts w:ascii="Arial" w:eastAsia="Times New Roman" w:hAnsi="Arial" w:cs="Arial"/>
                <w:b/>
                <w:bCs/>
                <w:szCs w:val="24"/>
              </w:rPr>
            </w:pPr>
            <w:r w:rsidRPr="00E242D6">
              <w:rPr>
                <w:rFonts w:ascii="Arial" w:eastAsia="Times New Roman" w:hAnsi="Arial" w:cs="Arial"/>
                <w:b/>
                <w:bCs/>
                <w:szCs w:val="24"/>
              </w:rPr>
              <w:t>Low</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F3696" w14:textId="77777777" w:rsidR="00E242D6" w:rsidRPr="00E242D6" w:rsidRDefault="00E242D6" w:rsidP="00E242D6">
            <w:pPr>
              <w:spacing w:before="0" w:after="0" w:line="240" w:lineRule="auto"/>
              <w:jc w:val="center"/>
              <w:rPr>
                <w:rFonts w:ascii="Arial" w:eastAsia="Times New Roman" w:hAnsi="Arial" w:cs="Arial"/>
                <w:b/>
                <w:bCs/>
                <w:szCs w:val="24"/>
              </w:rPr>
            </w:pPr>
            <w:r w:rsidRPr="00E242D6">
              <w:rPr>
                <w:rFonts w:ascii="Arial" w:eastAsia="Times New Roman" w:hAnsi="Arial" w:cs="Arial"/>
                <w:b/>
                <w:bCs/>
                <w:szCs w:val="24"/>
              </w:rPr>
              <w:t>Most likely</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DE96B" w14:textId="77777777" w:rsidR="00E242D6" w:rsidRPr="00E242D6" w:rsidRDefault="00E242D6" w:rsidP="00E242D6">
            <w:pPr>
              <w:spacing w:before="0" w:after="0" w:line="240" w:lineRule="auto"/>
              <w:jc w:val="center"/>
              <w:rPr>
                <w:rFonts w:ascii="Arial" w:eastAsia="Times New Roman" w:hAnsi="Arial" w:cs="Arial"/>
                <w:b/>
                <w:bCs/>
                <w:szCs w:val="24"/>
              </w:rPr>
            </w:pPr>
            <w:r w:rsidRPr="00E242D6">
              <w:rPr>
                <w:rFonts w:ascii="Arial" w:eastAsia="Times New Roman" w:hAnsi="Arial" w:cs="Arial"/>
                <w:b/>
                <w:bCs/>
                <w:szCs w:val="24"/>
              </w:rPr>
              <w:t>High</w:t>
            </w:r>
          </w:p>
        </w:tc>
      </w:tr>
      <w:tr w:rsidR="00E242D6" w:rsidRPr="00E242D6" w14:paraId="6818702A" w14:textId="77777777" w:rsidTr="00620605">
        <w:trPr>
          <w:trHeight w:val="576"/>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0599F"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Porosity (fraction)</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B1723"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0.038</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33C30"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0.06</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89FD5"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0.09</w:t>
            </w:r>
          </w:p>
        </w:tc>
      </w:tr>
      <w:tr w:rsidR="00E242D6" w:rsidRPr="00E242D6" w14:paraId="4648C862" w14:textId="77777777" w:rsidTr="00681ED0">
        <w:trPr>
          <w:trHeight w:val="1070"/>
        </w:trPr>
        <w:tc>
          <w:tcPr>
            <w:tcW w:w="1691" w:type="pct"/>
            <w:tcBorders>
              <w:top w:val="single" w:sz="4" w:space="0" w:color="auto"/>
              <w:left w:val="single" w:sz="4" w:space="0" w:color="auto"/>
              <w:right w:val="single" w:sz="4" w:space="0" w:color="auto"/>
            </w:tcBorders>
            <w:shd w:val="clear" w:color="auto" w:fill="auto"/>
            <w:noWrap/>
            <w:vAlign w:val="center"/>
            <w:hideMark/>
          </w:tcPr>
          <w:p w14:paraId="0C93E788"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Area</w:t>
            </w:r>
          </w:p>
        </w:tc>
        <w:tc>
          <w:tcPr>
            <w:tcW w:w="1112" w:type="pct"/>
            <w:tcBorders>
              <w:top w:val="single" w:sz="4" w:space="0" w:color="auto"/>
              <w:left w:val="single" w:sz="4" w:space="0" w:color="auto"/>
              <w:right w:val="single" w:sz="4" w:space="0" w:color="auto"/>
            </w:tcBorders>
            <w:shd w:val="clear" w:color="auto" w:fill="auto"/>
            <w:noWrap/>
            <w:vAlign w:val="center"/>
            <w:hideMark/>
          </w:tcPr>
          <w:p w14:paraId="212611F1" w14:textId="77777777" w:rsidR="00E242D6" w:rsidRPr="00E242D6" w:rsidRDefault="00E242D6" w:rsidP="00E242D6">
            <w:pPr>
              <w:spacing w:before="0" w:after="0" w:line="240" w:lineRule="auto"/>
              <w:jc w:val="center"/>
              <w:rPr>
                <w:rFonts w:ascii="Arial" w:hAnsi="Arial" w:cs="Arial"/>
                <w:color w:val="auto"/>
              </w:rPr>
            </w:pPr>
            <w:r w:rsidRPr="00E242D6">
              <w:rPr>
                <w:rFonts w:ascii="Arial" w:hAnsi="Arial" w:cs="Arial"/>
              </w:rPr>
              <w:t>2.90E+08 ft</w:t>
            </w:r>
            <w:r w:rsidRPr="00E242D6">
              <w:rPr>
                <w:rFonts w:ascii="Arial" w:hAnsi="Arial" w:cs="Arial"/>
                <w:vertAlign w:val="superscript"/>
              </w:rPr>
              <w:t>2</w:t>
            </w:r>
          </w:p>
          <w:p w14:paraId="4C8B139B" w14:textId="77777777" w:rsidR="00E242D6" w:rsidRPr="00E242D6" w:rsidRDefault="00E242D6" w:rsidP="00E242D6">
            <w:pPr>
              <w:spacing w:before="0" w:after="0" w:line="240" w:lineRule="auto"/>
              <w:rPr>
                <w:rFonts w:ascii="Arial" w:eastAsia="Times New Roman" w:hAnsi="Arial" w:cs="Arial"/>
                <w:color w:val="auto"/>
                <w:szCs w:val="24"/>
              </w:rPr>
            </w:pPr>
          </w:p>
          <w:p w14:paraId="0E7BFEF9"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2.69E+07 m</w:t>
            </w:r>
            <w:r w:rsidRPr="00E242D6">
              <w:rPr>
                <w:rFonts w:ascii="Arial" w:eastAsia="Times New Roman" w:hAnsi="Arial" w:cs="Arial"/>
                <w:color w:val="auto"/>
                <w:szCs w:val="24"/>
                <w:vertAlign w:val="superscript"/>
              </w:rPr>
              <w:t>2</w:t>
            </w:r>
          </w:p>
        </w:tc>
        <w:tc>
          <w:tcPr>
            <w:tcW w:w="993" w:type="pct"/>
            <w:tcBorders>
              <w:top w:val="single" w:sz="4" w:space="0" w:color="auto"/>
              <w:left w:val="single" w:sz="4" w:space="0" w:color="auto"/>
              <w:right w:val="single" w:sz="4" w:space="0" w:color="auto"/>
            </w:tcBorders>
            <w:shd w:val="clear" w:color="auto" w:fill="auto"/>
            <w:noWrap/>
            <w:vAlign w:val="center"/>
            <w:hideMark/>
          </w:tcPr>
          <w:p w14:paraId="45F14BE2" w14:textId="77777777" w:rsidR="00E242D6" w:rsidRPr="00E242D6" w:rsidRDefault="00E242D6" w:rsidP="00E242D6">
            <w:pPr>
              <w:spacing w:before="0" w:after="0" w:line="240" w:lineRule="auto"/>
              <w:jc w:val="center"/>
              <w:rPr>
                <w:rFonts w:ascii="Arial" w:hAnsi="Arial" w:cs="Arial"/>
                <w:color w:val="auto"/>
              </w:rPr>
            </w:pPr>
            <w:r w:rsidRPr="00E242D6">
              <w:rPr>
                <w:rFonts w:ascii="Arial" w:hAnsi="Arial" w:cs="Arial"/>
              </w:rPr>
              <w:t>2.90E+08 ft</w:t>
            </w:r>
            <w:r w:rsidRPr="00E242D6">
              <w:rPr>
                <w:rFonts w:ascii="Arial" w:hAnsi="Arial" w:cs="Arial"/>
                <w:vertAlign w:val="superscript"/>
              </w:rPr>
              <w:t>2</w:t>
            </w:r>
          </w:p>
          <w:p w14:paraId="54F8E422"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6B54CDAE"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2.69E+07 m</w:t>
            </w:r>
            <w:r w:rsidRPr="00E242D6">
              <w:rPr>
                <w:rFonts w:ascii="Arial" w:eastAsia="Times New Roman" w:hAnsi="Arial" w:cs="Arial"/>
                <w:color w:val="auto"/>
                <w:szCs w:val="24"/>
                <w:vertAlign w:val="superscript"/>
              </w:rPr>
              <w:t>2</w:t>
            </w:r>
          </w:p>
        </w:tc>
        <w:tc>
          <w:tcPr>
            <w:tcW w:w="1204" w:type="pct"/>
            <w:tcBorders>
              <w:top w:val="single" w:sz="4" w:space="0" w:color="auto"/>
              <w:left w:val="single" w:sz="4" w:space="0" w:color="auto"/>
              <w:right w:val="single" w:sz="4" w:space="0" w:color="auto"/>
            </w:tcBorders>
            <w:shd w:val="clear" w:color="auto" w:fill="auto"/>
            <w:noWrap/>
            <w:vAlign w:val="center"/>
            <w:hideMark/>
          </w:tcPr>
          <w:p w14:paraId="2F638A8B" w14:textId="77777777" w:rsidR="00E242D6" w:rsidRPr="00E242D6" w:rsidRDefault="00E242D6" w:rsidP="00E242D6">
            <w:pPr>
              <w:spacing w:before="0" w:after="0" w:line="240" w:lineRule="auto"/>
              <w:jc w:val="center"/>
              <w:rPr>
                <w:rFonts w:ascii="Arial" w:hAnsi="Arial" w:cs="Arial"/>
                <w:color w:val="auto"/>
              </w:rPr>
            </w:pPr>
            <w:r w:rsidRPr="00E242D6">
              <w:rPr>
                <w:rFonts w:ascii="Arial" w:hAnsi="Arial" w:cs="Arial"/>
              </w:rPr>
              <w:t>2.90E+08 ft</w:t>
            </w:r>
            <w:r w:rsidRPr="00E242D6">
              <w:rPr>
                <w:rFonts w:ascii="Arial" w:hAnsi="Arial" w:cs="Arial"/>
                <w:vertAlign w:val="superscript"/>
              </w:rPr>
              <w:t>2</w:t>
            </w:r>
          </w:p>
          <w:p w14:paraId="18C6B391"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19E37694"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2.69E+07m</w:t>
            </w:r>
            <w:r w:rsidRPr="00E242D6">
              <w:rPr>
                <w:rFonts w:ascii="Arial" w:eastAsia="Times New Roman" w:hAnsi="Arial" w:cs="Arial"/>
                <w:color w:val="auto"/>
                <w:szCs w:val="24"/>
                <w:vertAlign w:val="superscript"/>
              </w:rPr>
              <w:t>2</w:t>
            </w:r>
          </w:p>
        </w:tc>
      </w:tr>
      <w:tr w:rsidR="00E242D6" w:rsidRPr="00E242D6" w14:paraId="50D1C497" w14:textId="77777777" w:rsidTr="00620605">
        <w:trPr>
          <w:trHeight w:val="980"/>
        </w:trPr>
        <w:tc>
          <w:tcPr>
            <w:tcW w:w="1691" w:type="pct"/>
            <w:tcBorders>
              <w:top w:val="single" w:sz="4" w:space="0" w:color="auto"/>
              <w:left w:val="single" w:sz="4" w:space="0" w:color="auto"/>
              <w:right w:val="single" w:sz="4" w:space="0" w:color="auto"/>
            </w:tcBorders>
            <w:shd w:val="clear" w:color="auto" w:fill="auto"/>
            <w:noWrap/>
            <w:vAlign w:val="center"/>
            <w:hideMark/>
          </w:tcPr>
          <w:p w14:paraId="713C2F6A"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Gross thickness</w:t>
            </w:r>
          </w:p>
        </w:tc>
        <w:tc>
          <w:tcPr>
            <w:tcW w:w="1112" w:type="pct"/>
            <w:tcBorders>
              <w:top w:val="single" w:sz="4" w:space="0" w:color="auto"/>
              <w:left w:val="single" w:sz="4" w:space="0" w:color="auto"/>
              <w:right w:val="single" w:sz="4" w:space="0" w:color="auto"/>
            </w:tcBorders>
            <w:shd w:val="clear" w:color="auto" w:fill="auto"/>
            <w:noWrap/>
            <w:vAlign w:val="center"/>
            <w:hideMark/>
          </w:tcPr>
          <w:p w14:paraId="2CF3F137"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893 ft</w:t>
            </w:r>
          </w:p>
          <w:p w14:paraId="2579A0A0"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4613E534"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268 m</w:t>
            </w:r>
          </w:p>
        </w:tc>
        <w:tc>
          <w:tcPr>
            <w:tcW w:w="993" w:type="pct"/>
            <w:tcBorders>
              <w:top w:val="single" w:sz="4" w:space="0" w:color="auto"/>
              <w:left w:val="single" w:sz="4" w:space="0" w:color="auto"/>
              <w:right w:val="single" w:sz="4" w:space="0" w:color="auto"/>
            </w:tcBorders>
            <w:shd w:val="clear" w:color="auto" w:fill="auto"/>
            <w:noWrap/>
            <w:vAlign w:val="center"/>
            <w:hideMark/>
          </w:tcPr>
          <w:p w14:paraId="044CD5E2"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915 ft</w:t>
            </w:r>
          </w:p>
          <w:p w14:paraId="12B5F85A"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6A053F7A"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279 m</w:t>
            </w:r>
          </w:p>
          <w:p w14:paraId="666120A8" w14:textId="77777777" w:rsidR="00E242D6" w:rsidRPr="00E242D6" w:rsidRDefault="00E242D6" w:rsidP="00E242D6">
            <w:pPr>
              <w:spacing w:before="0" w:after="0" w:line="240" w:lineRule="auto"/>
              <w:jc w:val="center"/>
              <w:rPr>
                <w:rFonts w:ascii="Arial" w:eastAsia="Times New Roman" w:hAnsi="Arial" w:cs="Arial"/>
                <w:color w:val="auto"/>
                <w:szCs w:val="24"/>
              </w:rPr>
            </w:pPr>
          </w:p>
        </w:tc>
        <w:tc>
          <w:tcPr>
            <w:tcW w:w="1204" w:type="pct"/>
            <w:tcBorders>
              <w:top w:val="single" w:sz="4" w:space="0" w:color="auto"/>
              <w:left w:val="single" w:sz="4" w:space="0" w:color="auto"/>
              <w:right w:val="single" w:sz="4" w:space="0" w:color="auto"/>
            </w:tcBorders>
            <w:shd w:val="clear" w:color="auto" w:fill="auto"/>
            <w:noWrap/>
            <w:vAlign w:val="center"/>
            <w:hideMark/>
          </w:tcPr>
          <w:p w14:paraId="372EB81B"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1017 ft</w:t>
            </w:r>
          </w:p>
          <w:p w14:paraId="1659ACF1"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094C57D2"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310 m</w:t>
            </w:r>
          </w:p>
        </w:tc>
      </w:tr>
      <w:tr w:rsidR="00E242D6" w:rsidRPr="00E242D6" w14:paraId="672B5452" w14:textId="77777777" w:rsidTr="00681ED0">
        <w:trPr>
          <w:trHeight w:val="620"/>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FC2A1"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CO2 Density (kg/m</w:t>
            </w:r>
            <w:r w:rsidRPr="00E242D6">
              <w:rPr>
                <w:rFonts w:ascii="Arial" w:eastAsia="Times New Roman" w:hAnsi="Arial" w:cs="Arial"/>
                <w:color w:val="auto"/>
                <w:szCs w:val="24"/>
                <w:vertAlign w:val="superscript"/>
              </w:rPr>
              <w:t>3</w:t>
            </w:r>
            <w:r w:rsidRPr="00E242D6">
              <w:rPr>
                <w:rFonts w:ascii="Arial" w:eastAsia="Times New Roman" w:hAnsi="Arial" w:cs="Arial"/>
                <w:color w:val="auto"/>
                <w:szCs w:val="24"/>
              </w:rPr>
              <w:t>)</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A51EF"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547</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6278C"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547</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80B03"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547</w:t>
            </w:r>
          </w:p>
        </w:tc>
      </w:tr>
      <w:tr w:rsidR="00E242D6" w:rsidRPr="00E242D6" w14:paraId="62B54DDC" w14:textId="77777777" w:rsidTr="00620605">
        <w:trPr>
          <w:trHeight w:val="576"/>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EACA7"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Efficiency Factor</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2347E"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0.64</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4BDF5"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2.2</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84754"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5.5</w:t>
            </w:r>
          </w:p>
        </w:tc>
      </w:tr>
      <w:tr w:rsidR="00E242D6" w:rsidRPr="00E242D6" w14:paraId="2A262192" w14:textId="77777777" w:rsidTr="00681ED0">
        <w:trPr>
          <w:trHeight w:val="926"/>
        </w:trPr>
        <w:tc>
          <w:tcPr>
            <w:tcW w:w="1691" w:type="pct"/>
            <w:tcBorders>
              <w:top w:val="single" w:sz="4" w:space="0" w:color="auto"/>
              <w:left w:val="single" w:sz="4" w:space="0" w:color="auto"/>
              <w:right w:val="single" w:sz="4" w:space="0" w:color="auto"/>
            </w:tcBorders>
            <w:shd w:val="clear" w:color="auto" w:fill="auto"/>
            <w:noWrap/>
            <w:vAlign w:val="center"/>
            <w:hideMark/>
          </w:tcPr>
          <w:p w14:paraId="6078E3EF"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Bulk Volume</w:t>
            </w:r>
          </w:p>
          <w:p w14:paraId="18CD4110" w14:textId="77777777" w:rsidR="00E242D6" w:rsidRPr="00E242D6" w:rsidRDefault="00E242D6" w:rsidP="00E242D6">
            <w:pPr>
              <w:spacing w:before="0" w:after="0" w:line="240" w:lineRule="auto"/>
              <w:jc w:val="center"/>
              <w:rPr>
                <w:rFonts w:ascii="Arial" w:eastAsia="Times New Roman" w:hAnsi="Arial" w:cs="Arial"/>
                <w:color w:val="auto"/>
                <w:szCs w:val="24"/>
              </w:rPr>
            </w:pPr>
          </w:p>
        </w:tc>
        <w:tc>
          <w:tcPr>
            <w:tcW w:w="1112" w:type="pct"/>
            <w:tcBorders>
              <w:top w:val="single" w:sz="4" w:space="0" w:color="auto"/>
              <w:left w:val="single" w:sz="4" w:space="0" w:color="auto"/>
              <w:right w:val="single" w:sz="4" w:space="0" w:color="auto"/>
            </w:tcBorders>
            <w:shd w:val="clear" w:color="auto" w:fill="auto"/>
            <w:noWrap/>
            <w:vAlign w:val="center"/>
            <w:hideMark/>
          </w:tcPr>
          <w:p w14:paraId="1545B23F"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9.78E+10 ft</w:t>
            </w:r>
            <w:r w:rsidRPr="00E242D6">
              <w:rPr>
                <w:rFonts w:ascii="Arial" w:eastAsia="Times New Roman" w:hAnsi="Arial" w:cs="Arial"/>
                <w:color w:val="auto"/>
                <w:szCs w:val="24"/>
                <w:vertAlign w:val="superscript"/>
              </w:rPr>
              <w:t>3</w:t>
            </w:r>
          </w:p>
          <w:p w14:paraId="2DD3CD8A"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3180F8E1"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2.77E+09 m</w:t>
            </w:r>
            <w:r w:rsidRPr="00E242D6">
              <w:rPr>
                <w:rFonts w:ascii="Arial" w:eastAsia="Times New Roman" w:hAnsi="Arial" w:cs="Arial"/>
                <w:color w:val="auto"/>
                <w:szCs w:val="24"/>
                <w:vertAlign w:val="superscript"/>
              </w:rPr>
              <w:t>3</w:t>
            </w:r>
          </w:p>
        </w:tc>
        <w:tc>
          <w:tcPr>
            <w:tcW w:w="993" w:type="pct"/>
            <w:tcBorders>
              <w:top w:val="single" w:sz="4" w:space="0" w:color="auto"/>
              <w:left w:val="single" w:sz="4" w:space="0" w:color="auto"/>
              <w:right w:val="single" w:sz="4" w:space="0" w:color="auto"/>
            </w:tcBorders>
            <w:shd w:val="clear" w:color="auto" w:fill="auto"/>
            <w:noWrap/>
            <w:vAlign w:val="center"/>
            <w:hideMark/>
          </w:tcPr>
          <w:p w14:paraId="3BD8B019"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1.02E+11ft</w:t>
            </w:r>
            <w:r w:rsidRPr="00E242D6">
              <w:rPr>
                <w:rFonts w:ascii="Arial" w:eastAsia="Times New Roman" w:hAnsi="Arial" w:cs="Arial"/>
                <w:color w:val="auto"/>
                <w:szCs w:val="24"/>
                <w:vertAlign w:val="superscript"/>
              </w:rPr>
              <w:t>3</w:t>
            </w:r>
          </w:p>
          <w:p w14:paraId="02E87931"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2B7DF291"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2.88E+09 m</w:t>
            </w:r>
            <w:r w:rsidRPr="00E242D6">
              <w:rPr>
                <w:rFonts w:ascii="Arial" w:eastAsia="Times New Roman" w:hAnsi="Arial" w:cs="Arial"/>
                <w:color w:val="auto"/>
                <w:szCs w:val="24"/>
                <w:vertAlign w:val="superscript"/>
              </w:rPr>
              <w:t>3</w:t>
            </w:r>
          </w:p>
        </w:tc>
        <w:tc>
          <w:tcPr>
            <w:tcW w:w="1204" w:type="pct"/>
            <w:tcBorders>
              <w:top w:val="single" w:sz="4" w:space="0" w:color="auto"/>
              <w:left w:val="single" w:sz="4" w:space="0" w:color="auto"/>
              <w:right w:val="single" w:sz="4" w:space="0" w:color="auto"/>
            </w:tcBorders>
            <w:shd w:val="clear" w:color="auto" w:fill="auto"/>
            <w:noWrap/>
            <w:vAlign w:val="center"/>
            <w:hideMark/>
          </w:tcPr>
          <w:p w14:paraId="19CF6D23"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1.02E+11 ft</w:t>
            </w:r>
            <w:r w:rsidRPr="00E242D6">
              <w:rPr>
                <w:rFonts w:ascii="Arial" w:eastAsia="Times New Roman" w:hAnsi="Arial" w:cs="Arial"/>
                <w:color w:val="auto"/>
                <w:szCs w:val="24"/>
                <w:vertAlign w:val="superscript"/>
              </w:rPr>
              <w:t>3</w:t>
            </w:r>
          </w:p>
          <w:p w14:paraId="459A94A2"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5644D82D"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2.96E+09 m</w:t>
            </w:r>
            <w:r w:rsidRPr="00E242D6">
              <w:rPr>
                <w:rFonts w:ascii="Arial" w:eastAsia="Times New Roman" w:hAnsi="Arial" w:cs="Arial"/>
                <w:color w:val="auto"/>
                <w:szCs w:val="24"/>
                <w:vertAlign w:val="superscript"/>
              </w:rPr>
              <w:t>3</w:t>
            </w:r>
          </w:p>
        </w:tc>
      </w:tr>
      <w:tr w:rsidR="00E242D6" w:rsidRPr="00E242D6" w14:paraId="61FA5614" w14:textId="77777777" w:rsidTr="00620605">
        <w:trPr>
          <w:trHeight w:val="1070"/>
        </w:trPr>
        <w:tc>
          <w:tcPr>
            <w:tcW w:w="1691" w:type="pct"/>
            <w:tcBorders>
              <w:top w:val="single" w:sz="4" w:space="0" w:color="auto"/>
              <w:left w:val="single" w:sz="4" w:space="0" w:color="auto"/>
              <w:right w:val="single" w:sz="4" w:space="0" w:color="auto"/>
            </w:tcBorders>
            <w:shd w:val="clear" w:color="auto" w:fill="auto"/>
            <w:noWrap/>
            <w:vAlign w:val="center"/>
            <w:hideMark/>
          </w:tcPr>
          <w:p w14:paraId="13E2B51C"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Pore Volume</w:t>
            </w:r>
          </w:p>
          <w:p w14:paraId="7B4AA931" w14:textId="77777777" w:rsidR="00E242D6" w:rsidRPr="00E242D6" w:rsidRDefault="00E242D6" w:rsidP="00E242D6">
            <w:pPr>
              <w:spacing w:before="0" w:after="0" w:line="240" w:lineRule="auto"/>
              <w:jc w:val="center"/>
              <w:rPr>
                <w:rFonts w:ascii="Arial" w:eastAsia="Times New Roman" w:hAnsi="Arial" w:cs="Arial"/>
                <w:color w:val="auto"/>
                <w:szCs w:val="24"/>
              </w:rPr>
            </w:pPr>
          </w:p>
        </w:tc>
        <w:tc>
          <w:tcPr>
            <w:tcW w:w="1112" w:type="pct"/>
            <w:tcBorders>
              <w:top w:val="single" w:sz="4" w:space="0" w:color="auto"/>
              <w:left w:val="single" w:sz="4" w:space="0" w:color="auto"/>
              <w:right w:val="single" w:sz="4" w:space="0" w:color="auto"/>
            </w:tcBorders>
            <w:shd w:val="clear" w:color="auto" w:fill="auto"/>
            <w:noWrap/>
            <w:vAlign w:val="center"/>
            <w:hideMark/>
          </w:tcPr>
          <w:p w14:paraId="7A49BB94"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4.40E+09 ft</w:t>
            </w:r>
            <w:r w:rsidRPr="00E242D6">
              <w:rPr>
                <w:rFonts w:ascii="Arial" w:eastAsia="Times New Roman" w:hAnsi="Arial" w:cs="Arial"/>
                <w:color w:val="auto"/>
                <w:szCs w:val="24"/>
                <w:vertAlign w:val="superscript"/>
              </w:rPr>
              <w:t>3</w:t>
            </w:r>
          </w:p>
          <w:p w14:paraId="79AE037D"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23C8D3D0"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1.25E+08 m</w:t>
            </w:r>
            <w:r w:rsidRPr="00E242D6">
              <w:rPr>
                <w:rFonts w:ascii="Arial" w:eastAsia="Times New Roman" w:hAnsi="Arial" w:cs="Arial"/>
                <w:color w:val="auto"/>
                <w:szCs w:val="24"/>
                <w:vertAlign w:val="superscript"/>
              </w:rPr>
              <w:t>3</w:t>
            </w:r>
          </w:p>
        </w:tc>
        <w:tc>
          <w:tcPr>
            <w:tcW w:w="993" w:type="pct"/>
            <w:tcBorders>
              <w:top w:val="single" w:sz="4" w:space="0" w:color="auto"/>
              <w:left w:val="single" w:sz="4" w:space="0" w:color="auto"/>
              <w:right w:val="single" w:sz="4" w:space="0" w:color="auto"/>
            </w:tcBorders>
            <w:shd w:val="clear" w:color="auto" w:fill="auto"/>
            <w:noWrap/>
            <w:vAlign w:val="center"/>
            <w:hideMark/>
          </w:tcPr>
          <w:p w14:paraId="6A72A0B6"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6.61E+09 ft</w:t>
            </w:r>
            <w:r w:rsidRPr="00E242D6">
              <w:rPr>
                <w:rFonts w:ascii="Arial" w:eastAsia="Times New Roman" w:hAnsi="Arial" w:cs="Arial"/>
                <w:color w:val="auto"/>
                <w:szCs w:val="24"/>
                <w:vertAlign w:val="superscript"/>
              </w:rPr>
              <w:t>3</w:t>
            </w:r>
          </w:p>
          <w:p w14:paraId="4A8C5144"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04166DCE"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1.87E+08 m</w:t>
            </w:r>
            <w:r w:rsidRPr="00E242D6">
              <w:rPr>
                <w:rFonts w:ascii="Arial" w:eastAsia="Times New Roman" w:hAnsi="Arial" w:cs="Arial"/>
                <w:color w:val="auto"/>
                <w:szCs w:val="24"/>
                <w:vertAlign w:val="superscript"/>
              </w:rPr>
              <w:t>3</w:t>
            </w:r>
          </w:p>
        </w:tc>
        <w:tc>
          <w:tcPr>
            <w:tcW w:w="1204" w:type="pct"/>
            <w:tcBorders>
              <w:top w:val="single" w:sz="4" w:space="0" w:color="auto"/>
              <w:left w:val="single" w:sz="4" w:space="0" w:color="auto"/>
              <w:right w:val="single" w:sz="4" w:space="0" w:color="auto"/>
            </w:tcBorders>
            <w:shd w:val="clear" w:color="auto" w:fill="auto"/>
            <w:noWrap/>
            <w:vAlign w:val="center"/>
            <w:hideMark/>
          </w:tcPr>
          <w:p w14:paraId="6B7F31FA"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1.04E+10 ft</w:t>
            </w:r>
            <w:r w:rsidRPr="00E242D6">
              <w:rPr>
                <w:rFonts w:ascii="Arial" w:eastAsia="Times New Roman" w:hAnsi="Arial" w:cs="Arial"/>
                <w:color w:val="auto"/>
                <w:szCs w:val="24"/>
                <w:vertAlign w:val="superscript"/>
              </w:rPr>
              <w:t>3</w:t>
            </w:r>
          </w:p>
          <w:p w14:paraId="09AD423A" w14:textId="77777777" w:rsidR="00E242D6" w:rsidRPr="00E242D6" w:rsidRDefault="00E242D6" w:rsidP="00E242D6">
            <w:pPr>
              <w:spacing w:before="0" w:after="0" w:line="240" w:lineRule="auto"/>
              <w:jc w:val="center"/>
              <w:rPr>
                <w:rFonts w:ascii="Arial" w:eastAsia="Times New Roman" w:hAnsi="Arial" w:cs="Arial"/>
                <w:color w:val="auto"/>
                <w:szCs w:val="24"/>
              </w:rPr>
            </w:pPr>
          </w:p>
          <w:p w14:paraId="56D26F07"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2.96E+08 m</w:t>
            </w:r>
            <w:r w:rsidRPr="00E242D6">
              <w:rPr>
                <w:rFonts w:ascii="Arial" w:eastAsia="Times New Roman" w:hAnsi="Arial" w:cs="Arial"/>
                <w:color w:val="auto"/>
                <w:szCs w:val="24"/>
                <w:vertAlign w:val="superscript"/>
              </w:rPr>
              <w:t>3</w:t>
            </w:r>
          </w:p>
        </w:tc>
      </w:tr>
      <w:tr w:rsidR="00E242D6" w:rsidRPr="00E242D6" w14:paraId="07C125E7" w14:textId="77777777" w:rsidTr="00681ED0">
        <w:trPr>
          <w:trHeight w:val="576"/>
        </w:trPr>
        <w:tc>
          <w:tcPr>
            <w:tcW w:w="16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524BD"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CO2 Storage Capacity (Mt)</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F60F2"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0.9</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6E82D" w14:textId="77777777" w:rsidR="00E242D6" w:rsidRPr="00E242D6" w:rsidRDefault="00E242D6" w:rsidP="00E242D6">
            <w:pPr>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5.4</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5CC08" w14:textId="77777777" w:rsidR="00E242D6" w:rsidRPr="00E242D6" w:rsidRDefault="00E242D6" w:rsidP="00E242D6">
            <w:pPr>
              <w:keepNext/>
              <w:spacing w:before="0" w:after="0" w:line="240" w:lineRule="auto"/>
              <w:jc w:val="center"/>
              <w:rPr>
                <w:rFonts w:ascii="Arial" w:eastAsia="Times New Roman" w:hAnsi="Arial" w:cs="Arial"/>
                <w:color w:val="auto"/>
                <w:szCs w:val="24"/>
              </w:rPr>
            </w:pPr>
            <w:r w:rsidRPr="00E242D6">
              <w:rPr>
                <w:rFonts w:ascii="Arial" w:eastAsia="Times New Roman" w:hAnsi="Arial" w:cs="Arial"/>
                <w:color w:val="auto"/>
                <w:szCs w:val="24"/>
              </w:rPr>
              <w:t>22.5</w:t>
            </w:r>
          </w:p>
        </w:tc>
      </w:tr>
    </w:tbl>
    <w:p w14:paraId="607595E3" w14:textId="77777777" w:rsidR="00E242D6" w:rsidRDefault="00E242D6" w:rsidP="00E242D6">
      <w:pPr>
        <w:pStyle w:val="Caption"/>
        <w:rPr>
          <w:b/>
          <w:bCs/>
        </w:rPr>
      </w:pPr>
    </w:p>
    <w:p w14:paraId="1767764B" w14:textId="6DCDA0B3" w:rsidR="004D4B5B" w:rsidRPr="00E242D6" w:rsidRDefault="00E242D6" w:rsidP="00E242D6">
      <w:pPr>
        <w:pStyle w:val="Caption"/>
        <w:rPr>
          <w:b/>
          <w:bCs/>
        </w:rPr>
      </w:pPr>
      <w:bookmarkStart w:id="748" w:name="_Toc120472459"/>
      <w:r w:rsidRPr="00E242D6">
        <w:rPr>
          <w:b/>
          <w:bCs/>
        </w:rPr>
        <w:t xml:space="preserve">Table </w:t>
      </w:r>
      <w:r w:rsidRPr="00E242D6">
        <w:rPr>
          <w:b/>
          <w:bCs/>
        </w:rPr>
        <w:fldChar w:fldCharType="begin"/>
      </w:r>
      <w:r w:rsidRPr="00E242D6">
        <w:rPr>
          <w:b/>
          <w:bCs/>
        </w:rPr>
        <w:instrText xml:space="preserve"> STYLEREF 1 \s </w:instrText>
      </w:r>
      <w:r w:rsidRPr="00E242D6">
        <w:rPr>
          <w:b/>
          <w:bCs/>
        </w:rPr>
        <w:fldChar w:fldCharType="separate"/>
      </w:r>
      <w:r w:rsidR="00B52D1E">
        <w:rPr>
          <w:b/>
          <w:bCs/>
          <w:noProof/>
        </w:rPr>
        <w:t>3</w:t>
      </w:r>
      <w:r w:rsidRPr="00E242D6">
        <w:rPr>
          <w:b/>
          <w:bCs/>
        </w:rPr>
        <w:fldChar w:fldCharType="end"/>
      </w:r>
      <w:r w:rsidRPr="00E242D6">
        <w:rPr>
          <w:b/>
          <w:bCs/>
        </w:rPr>
        <w:t>.</w:t>
      </w:r>
      <w:r w:rsidRPr="00E242D6">
        <w:rPr>
          <w:b/>
          <w:bCs/>
        </w:rPr>
        <w:fldChar w:fldCharType="begin"/>
      </w:r>
      <w:r w:rsidRPr="00E242D6">
        <w:rPr>
          <w:b/>
          <w:bCs/>
        </w:rPr>
        <w:instrText xml:space="preserve"> SEQ Table \* ARABIC \s 1 </w:instrText>
      </w:r>
      <w:r w:rsidRPr="00E242D6">
        <w:rPr>
          <w:b/>
          <w:bCs/>
        </w:rPr>
        <w:fldChar w:fldCharType="separate"/>
      </w:r>
      <w:r w:rsidR="00B52D1E">
        <w:rPr>
          <w:b/>
          <w:bCs/>
          <w:noProof/>
        </w:rPr>
        <w:t>2</w:t>
      </w:r>
      <w:r w:rsidRPr="00E242D6">
        <w:rPr>
          <w:b/>
          <w:bCs/>
        </w:rPr>
        <w:fldChar w:fldCharType="end"/>
      </w:r>
      <w:r>
        <w:rPr>
          <w:b/>
          <w:bCs/>
        </w:rPr>
        <w:t xml:space="preserve">: </w:t>
      </w:r>
      <w:r>
        <w:t>Summary of the values used for the theoretical CO</w:t>
      </w:r>
      <w:r w:rsidRPr="004D4B5B">
        <w:rPr>
          <w:vertAlign w:val="subscript"/>
        </w:rPr>
        <w:t>2</w:t>
      </w:r>
      <w:r>
        <w:t xml:space="preserve"> storage capacity calculation for the entire Arbuckle Group in the study area.</w:t>
      </w:r>
      <w:bookmarkEnd w:id="748"/>
    </w:p>
    <w:p w14:paraId="4252A513" w14:textId="5082B486" w:rsidR="00303E28" w:rsidRDefault="00303E28" w:rsidP="00E242D6">
      <w:r>
        <w:br w:type="page"/>
      </w:r>
    </w:p>
    <w:p w14:paraId="351BFD91" w14:textId="2C42397B" w:rsidR="00BB4192" w:rsidRDefault="00BB4192" w:rsidP="008B645C">
      <w:pPr>
        <w:pStyle w:val="Heading1"/>
      </w:pPr>
      <w:bookmarkStart w:id="749" w:name="_Toc121096003"/>
      <w:r>
        <w:lastRenderedPageBreak/>
        <w:t>General Conclusions</w:t>
      </w:r>
      <w:bookmarkEnd w:id="749"/>
    </w:p>
    <w:p w14:paraId="3A4431AD" w14:textId="00EBF014" w:rsidR="00A64CBB" w:rsidRDefault="00A64CBB" w:rsidP="0016329F">
      <w:pPr>
        <w:ind w:firstLine="720"/>
        <w:rPr>
          <w:color w:val="000000"/>
        </w:rPr>
      </w:pPr>
      <w:r>
        <w:t xml:space="preserve">In this dissertation, I studied the combination of quantitative seismic interpretation methods and supervised machine learning approaches to </w:t>
      </w:r>
      <w:r w:rsidR="00E973E8">
        <w:t xml:space="preserve">create seismic-scale distributions of subsurface </w:t>
      </w:r>
      <w:r w:rsidR="006C1700">
        <w:t xml:space="preserve">rock </w:t>
      </w:r>
      <w:r w:rsidR="00E973E8">
        <w:t>properties</w:t>
      </w:r>
      <w:r w:rsidR="006C1700">
        <w:t>. I also</w:t>
      </w:r>
      <w:r w:rsidR="00E973E8">
        <w:t xml:space="preserve"> </w:t>
      </w:r>
      <w:r w:rsidR="00202DA7">
        <w:t xml:space="preserve">applied seismic-constrained reservoir modeling workflows to </w:t>
      </w:r>
      <w:r w:rsidR="001B59CD">
        <w:t xml:space="preserve">combine seismic-scale property trends with well log and core data to create detailed subsurface models. </w:t>
      </w:r>
      <w:r w:rsidR="0032424E">
        <w:t>In the</w:t>
      </w:r>
      <w:r w:rsidR="0068289C">
        <w:t xml:space="preserve"> first chapter</w:t>
      </w:r>
      <w:r w:rsidR="0032424E">
        <w:t>,</w:t>
      </w:r>
      <w:r w:rsidR="00816654">
        <w:t xml:space="preserve"> I showed that the </w:t>
      </w:r>
      <w:r w:rsidR="0088211C">
        <w:t>combination</w:t>
      </w:r>
      <w:r w:rsidR="0032424E">
        <w:t xml:space="preserve"> of </w:t>
      </w:r>
      <w:r w:rsidR="00D052A8">
        <w:t xml:space="preserve">supervised Bayesian classifier and the </w:t>
      </w:r>
      <w:r w:rsidR="00E56925">
        <w:t>P</w:t>
      </w:r>
      <w:r w:rsidR="00D052A8">
        <w:t xml:space="preserve">robabilistic Neural </w:t>
      </w:r>
      <w:r w:rsidR="00E56925">
        <w:t>N</w:t>
      </w:r>
      <w:r w:rsidR="00D052A8">
        <w:t xml:space="preserve">etwork </w:t>
      </w:r>
      <w:r w:rsidR="00E56925">
        <w:t xml:space="preserve">(PNN) </w:t>
      </w:r>
      <w:r w:rsidR="00D052A8">
        <w:t xml:space="preserve">methods </w:t>
      </w:r>
      <w:r w:rsidR="002701E8">
        <w:t>showed the regional reflux dolomitization</w:t>
      </w:r>
      <w:r w:rsidR="00270539">
        <w:t>,</w:t>
      </w:r>
      <w:r w:rsidR="002701E8">
        <w:t xml:space="preserve"> and corresponding reservoir quality</w:t>
      </w:r>
      <w:r w:rsidR="00B5677A">
        <w:t xml:space="preserve"> in the </w:t>
      </w:r>
      <w:r w:rsidR="00120BFD">
        <w:t>Clearfork and Wichita formations in the Midland Basin</w:t>
      </w:r>
      <w:r w:rsidR="002701E8">
        <w:t xml:space="preserve"> </w:t>
      </w:r>
      <w:r w:rsidR="00926B10">
        <w:t>can be mapped on seismic scale with sparse well control.</w:t>
      </w:r>
      <w:r w:rsidR="00E14786">
        <w:t xml:space="preserve"> </w:t>
      </w:r>
      <w:r w:rsidR="00885E3B">
        <w:t>My</w:t>
      </w:r>
      <w:r w:rsidR="007B7450">
        <w:t xml:space="preserve"> </w:t>
      </w:r>
      <w:r w:rsidR="00BC1F90">
        <w:t xml:space="preserve">results </w:t>
      </w:r>
      <w:r w:rsidR="00AD0047">
        <w:t>agreed with the regional dolomitization model, in which the porosity increases</w:t>
      </w:r>
      <w:r w:rsidR="00BE404B">
        <w:rPr>
          <w:color w:val="000000"/>
        </w:rPr>
        <w:t xml:space="preserve"> from the shelf to the slope concomitant with</w:t>
      </w:r>
      <w:r w:rsidR="00AD0047">
        <w:rPr>
          <w:color w:val="000000"/>
        </w:rPr>
        <w:t xml:space="preserve"> the decreasing dolomitization</w:t>
      </w:r>
      <w:r w:rsidR="00BE404B">
        <w:rPr>
          <w:color w:val="000000"/>
        </w:rPr>
        <w:t xml:space="preserve"> on the periplatform responding to variations in sea level.</w:t>
      </w:r>
    </w:p>
    <w:p w14:paraId="145E47AA" w14:textId="24ECE925" w:rsidR="00826433" w:rsidRDefault="009B6D83" w:rsidP="0016329F">
      <w:pPr>
        <w:ind w:firstLine="720"/>
        <w:rPr>
          <w:color w:val="000000"/>
        </w:rPr>
      </w:pPr>
      <w:r>
        <w:rPr>
          <w:color w:val="000000"/>
        </w:rPr>
        <w:t xml:space="preserve">In </w:t>
      </w:r>
      <w:r w:rsidR="001B2225">
        <w:rPr>
          <w:color w:val="000000"/>
        </w:rPr>
        <w:t>Chapter</w:t>
      </w:r>
      <w:r w:rsidR="008E4827">
        <w:rPr>
          <w:color w:val="000000"/>
        </w:rPr>
        <w:t xml:space="preserve"> </w:t>
      </w:r>
      <w:r w:rsidR="001B2225">
        <w:rPr>
          <w:color w:val="000000"/>
        </w:rPr>
        <w:t>2</w:t>
      </w:r>
      <w:r>
        <w:rPr>
          <w:color w:val="000000"/>
        </w:rPr>
        <w:t>,</w:t>
      </w:r>
      <w:r w:rsidR="001B2225">
        <w:rPr>
          <w:color w:val="000000"/>
        </w:rPr>
        <w:t xml:space="preserve"> </w:t>
      </w:r>
      <w:r>
        <w:rPr>
          <w:color w:val="000000"/>
        </w:rPr>
        <w:t xml:space="preserve">I utilized the supervised random forest classification method </w:t>
      </w:r>
      <w:r w:rsidR="00D63EF8">
        <w:rPr>
          <w:color w:val="000000"/>
        </w:rPr>
        <w:t>and</w:t>
      </w:r>
      <w:r>
        <w:rPr>
          <w:color w:val="000000"/>
        </w:rPr>
        <w:t xml:space="preserve"> integrate</w:t>
      </w:r>
      <w:r w:rsidR="00D63EF8">
        <w:rPr>
          <w:color w:val="000000"/>
        </w:rPr>
        <w:t>d</w:t>
      </w:r>
      <w:r>
        <w:rPr>
          <w:color w:val="000000"/>
        </w:rPr>
        <w:t xml:space="preserve"> </w:t>
      </w:r>
      <w:r w:rsidR="001B2225">
        <w:rPr>
          <w:color w:val="000000"/>
        </w:rPr>
        <w:t xml:space="preserve">core-derived </w:t>
      </w:r>
      <w:r w:rsidR="008E4827">
        <w:rPr>
          <w:color w:val="000000"/>
        </w:rPr>
        <w:t xml:space="preserve">petrophysics-based rock types (or petrofacies) </w:t>
      </w:r>
      <w:r w:rsidR="0055522A">
        <w:rPr>
          <w:color w:val="000000"/>
        </w:rPr>
        <w:t xml:space="preserve">information </w:t>
      </w:r>
      <w:r w:rsidR="00B5677A">
        <w:rPr>
          <w:color w:val="000000"/>
        </w:rPr>
        <w:t>with</w:t>
      </w:r>
      <w:r w:rsidR="0055522A">
        <w:rPr>
          <w:color w:val="000000"/>
        </w:rPr>
        <w:t xml:space="preserve"> the seismic data</w:t>
      </w:r>
      <w:r w:rsidR="00FB6EFA">
        <w:rPr>
          <w:color w:val="000000"/>
        </w:rPr>
        <w:t xml:space="preserve"> </w:t>
      </w:r>
      <w:r w:rsidR="00CE01AB">
        <w:rPr>
          <w:color w:val="000000"/>
        </w:rPr>
        <w:t xml:space="preserve">to </w:t>
      </w:r>
      <w:r w:rsidR="00AE7346">
        <w:rPr>
          <w:color w:val="000000"/>
        </w:rPr>
        <w:t xml:space="preserve">investigate seismic-scale </w:t>
      </w:r>
      <w:r w:rsidR="009C53E0">
        <w:rPr>
          <w:color w:val="000000"/>
        </w:rPr>
        <w:t>CO</w:t>
      </w:r>
      <w:r w:rsidR="009C53E0" w:rsidRPr="009C53E0">
        <w:rPr>
          <w:color w:val="000000"/>
          <w:vertAlign w:val="subscript"/>
        </w:rPr>
        <w:t>2</w:t>
      </w:r>
      <w:r w:rsidR="009C53E0">
        <w:rPr>
          <w:color w:val="000000"/>
        </w:rPr>
        <w:t xml:space="preserve"> </w:t>
      </w:r>
      <w:r w:rsidR="00AE7346">
        <w:rPr>
          <w:color w:val="000000"/>
        </w:rPr>
        <w:t xml:space="preserve">injectivity and storage </w:t>
      </w:r>
      <w:r w:rsidR="00BE52B6">
        <w:rPr>
          <w:color w:val="000000"/>
        </w:rPr>
        <w:t>potential</w:t>
      </w:r>
      <w:r w:rsidR="00AE7346">
        <w:rPr>
          <w:color w:val="000000"/>
        </w:rPr>
        <w:t xml:space="preserve"> of the Arbuckle Group in Wellington Field in southern </w:t>
      </w:r>
      <w:r w:rsidR="00270B3E">
        <w:rPr>
          <w:color w:val="000000"/>
        </w:rPr>
        <w:t>Kansas. Seismic</w:t>
      </w:r>
      <w:r w:rsidR="00CE01AB">
        <w:rPr>
          <w:color w:val="000000"/>
        </w:rPr>
        <w:t xml:space="preserve">-scale 3D </w:t>
      </w:r>
      <w:r w:rsidR="001F1C17">
        <w:rPr>
          <w:color w:val="000000"/>
        </w:rPr>
        <w:t>petrofacies</w:t>
      </w:r>
      <w:r w:rsidR="00664662">
        <w:rPr>
          <w:color w:val="000000"/>
        </w:rPr>
        <w:t xml:space="preserve"> </w:t>
      </w:r>
      <w:r w:rsidR="00E534BB">
        <w:rPr>
          <w:color w:val="000000"/>
        </w:rPr>
        <w:t xml:space="preserve">analysis provided </w:t>
      </w:r>
      <w:r w:rsidR="00270B3E">
        <w:rPr>
          <w:color w:val="000000"/>
        </w:rPr>
        <w:t>a heterogeneous</w:t>
      </w:r>
      <w:r w:rsidR="00F36CB2">
        <w:rPr>
          <w:color w:val="000000"/>
        </w:rPr>
        <w:t xml:space="preserve"> distribution</w:t>
      </w:r>
      <w:r w:rsidR="00077258">
        <w:rPr>
          <w:color w:val="000000"/>
        </w:rPr>
        <w:t xml:space="preserve"> indicating </w:t>
      </w:r>
      <w:r w:rsidR="00270B3E">
        <w:rPr>
          <w:color w:val="000000"/>
        </w:rPr>
        <w:t>a corresponding</w:t>
      </w:r>
      <w:r w:rsidR="003D4E5B">
        <w:rPr>
          <w:color w:val="000000"/>
        </w:rPr>
        <w:t xml:space="preserve"> </w:t>
      </w:r>
      <w:r w:rsidR="00BA5D9E">
        <w:rPr>
          <w:color w:val="000000"/>
        </w:rPr>
        <w:t>fluid flow characteristics within the study area.</w:t>
      </w:r>
      <w:r w:rsidR="003D4E5B">
        <w:rPr>
          <w:color w:val="000000"/>
        </w:rPr>
        <w:t xml:space="preserve"> Res</w:t>
      </w:r>
      <w:r w:rsidR="0014057B">
        <w:rPr>
          <w:color w:val="000000"/>
        </w:rPr>
        <w:t xml:space="preserve">ults </w:t>
      </w:r>
      <w:r w:rsidR="0096747A">
        <w:rPr>
          <w:color w:val="000000"/>
        </w:rPr>
        <w:t xml:space="preserve">also </w:t>
      </w:r>
      <w:r w:rsidR="0014057B">
        <w:rPr>
          <w:color w:val="000000"/>
        </w:rPr>
        <w:t xml:space="preserve">showed that the lower </w:t>
      </w:r>
      <w:r w:rsidR="006F5F19">
        <w:rPr>
          <w:color w:val="000000"/>
        </w:rPr>
        <w:t>portion of the</w:t>
      </w:r>
      <w:r w:rsidR="0014057B">
        <w:rPr>
          <w:color w:val="000000"/>
        </w:rPr>
        <w:t xml:space="preserve"> Arbuckle group </w:t>
      </w:r>
      <w:r w:rsidR="007C138C">
        <w:rPr>
          <w:color w:val="000000"/>
        </w:rPr>
        <w:t>is</w:t>
      </w:r>
      <w:r w:rsidR="00977021">
        <w:rPr>
          <w:color w:val="000000"/>
        </w:rPr>
        <w:t xml:space="preserve"> </w:t>
      </w:r>
      <w:r w:rsidR="007C138C">
        <w:rPr>
          <w:color w:val="000000"/>
        </w:rPr>
        <w:t>dominated mainly</w:t>
      </w:r>
      <w:r w:rsidR="00977021">
        <w:rPr>
          <w:color w:val="000000"/>
        </w:rPr>
        <w:t xml:space="preserve"> by permeable</w:t>
      </w:r>
      <w:r w:rsidR="009F64D5">
        <w:rPr>
          <w:color w:val="000000"/>
        </w:rPr>
        <w:t xml:space="preserve"> facies with potentially higher injectivity and storage potential, while the middle Arbuckle is </w:t>
      </w:r>
      <w:r w:rsidR="007C138C">
        <w:rPr>
          <w:color w:val="000000"/>
        </w:rPr>
        <w:t>primari</w:t>
      </w:r>
      <w:r w:rsidR="009F64D5">
        <w:rPr>
          <w:color w:val="000000"/>
        </w:rPr>
        <w:t>ly</w:t>
      </w:r>
      <w:r w:rsidR="006550FE">
        <w:rPr>
          <w:color w:val="000000"/>
        </w:rPr>
        <w:t xml:space="preserve"> </w:t>
      </w:r>
      <w:r w:rsidR="0059130E">
        <w:rPr>
          <w:color w:val="000000"/>
        </w:rPr>
        <w:t xml:space="preserve">made up of tight facies that show </w:t>
      </w:r>
      <w:r w:rsidR="006460A8">
        <w:rPr>
          <w:color w:val="000000"/>
        </w:rPr>
        <w:t>baffle-like properties.</w:t>
      </w:r>
    </w:p>
    <w:p w14:paraId="5B0B84FF" w14:textId="745FAB90" w:rsidR="00295019" w:rsidRPr="00295019" w:rsidRDefault="00940A9B" w:rsidP="0016329F">
      <w:pPr>
        <w:ind w:firstLine="720"/>
        <w:rPr>
          <w:color w:val="000000"/>
        </w:rPr>
      </w:pPr>
      <w:r>
        <w:rPr>
          <w:color w:val="000000"/>
        </w:rPr>
        <w:t>In Chapter 3</w:t>
      </w:r>
      <w:r w:rsidR="00270B3E">
        <w:rPr>
          <w:color w:val="000000"/>
        </w:rPr>
        <w:t>,</w:t>
      </w:r>
      <w:r>
        <w:rPr>
          <w:color w:val="000000"/>
        </w:rPr>
        <w:t xml:space="preserve"> I </w:t>
      </w:r>
      <w:r w:rsidR="00061930">
        <w:rPr>
          <w:color w:val="000000"/>
        </w:rPr>
        <w:t>applied</w:t>
      </w:r>
      <w:r>
        <w:rPr>
          <w:color w:val="000000"/>
        </w:rPr>
        <w:t xml:space="preserve"> </w:t>
      </w:r>
      <w:r w:rsidR="00061930">
        <w:rPr>
          <w:color w:val="000000"/>
        </w:rPr>
        <w:t>seismic-constrained modeling</w:t>
      </w:r>
      <w:r w:rsidR="00A90794">
        <w:rPr>
          <w:color w:val="000000"/>
        </w:rPr>
        <w:t xml:space="preserve"> and simulation</w:t>
      </w:r>
      <w:r>
        <w:rPr>
          <w:color w:val="000000"/>
        </w:rPr>
        <w:t xml:space="preserve"> method</w:t>
      </w:r>
      <w:r w:rsidR="00A90794">
        <w:rPr>
          <w:color w:val="000000"/>
        </w:rPr>
        <w:t>s</w:t>
      </w:r>
      <w:r>
        <w:rPr>
          <w:color w:val="000000"/>
        </w:rPr>
        <w:t xml:space="preserve"> that integrate </w:t>
      </w:r>
      <w:r w:rsidR="00EB5572" w:rsidRPr="00EB5572">
        <w:rPr>
          <w:color w:val="000000"/>
        </w:rPr>
        <w:t xml:space="preserve">seismic-based facies and petrophysical property trends with well-log and core data to </w:t>
      </w:r>
      <w:r w:rsidR="00A90794">
        <w:rPr>
          <w:color w:val="000000"/>
        </w:rPr>
        <w:t xml:space="preserve">model </w:t>
      </w:r>
      <w:r w:rsidR="00C07CB9">
        <w:rPr>
          <w:color w:val="000000"/>
        </w:rPr>
        <w:lastRenderedPageBreak/>
        <w:t>stratigraphic and spatial</w:t>
      </w:r>
      <w:r w:rsidR="005F4D43">
        <w:rPr>
          <w:color w:val="000000"/>
        </w:rPr>
        <w:t xml:space="preserve"> variability</w:t>
      </w:r>
      <w:r w:rsidR="005F4D43" w:rsidRPr="005F4D43">
        <w:rPr>
          <w:rFonts w:ascii="Arial" w:eastAsiaTheme="minorEastAsia" w:hAnsi="Arial" w:cs="Arial"/>
          <w:kern w:val="24"/>
          <w:sz w:val="44"/>
          <w:szCs w:val="44"/>
        </w:rPr>
        <w:t xml:space="preserve"> </w:t>
      </w:r>
      <w:r w:rsidR="005F4D43" w:rsidRPr="005F4D43">
        <w:rPr>
          <w:color w:val="000000"/>
        </w:rPr>
        <w:t xml:space="preserve">of petrofacies </w:t>
      </w:r>
      <w:r w:rsidR="003160DF">
        <w:rPr>
          <w:color w:val="000000"/>
        </w:rPr>
        <w:t xml:space="preserve">and petrophysical properties </w:t>
      </w:r>
      <w:r w:rsidR="00F46E33">
        <w:rPr>
          <w:color w:val="000000"/>
        </w:rPr>
        <w:t xml:space="preserve">to further </w:t>
      </w:r>
      <w:r w:rsidR="00BE3BE7">
        <w:rPr>
          <w:color w:val="000000"/>
        </w:rPr>
        <w:t xml:space="preserve">investigate </w:t>
      </w:r>
      <w:r w:rsidR="007C138C">
        <w:rPr>
          <w:color w:val="000000"/>
        </w:rPr>
        <w:t xml:space="preserve">the </w:t>
      </w:r>
      <w:r w:rsidR="00F46E33">
        <w:rPr>
          <w:color w:val="000000"/>
        </w:rPr>
        <w:t>Arbuckle group for CO</w:t>
      </w:r>
      <w:r w:rsidR="00F46E33" w:rsidRPr="00F46E33">
        <w:rPr>
          <w:color w:val="000000"/>
          <w:vertAlign w:val="subscript"/>
        </w:rPr>
        <w:t>2</w:t>
      </w:r>
      <w:r w:rsidR="00F46E33">
        <w:rPr>
          <w:color w:val="000000"/>
        </w:rPr>
        <w:t xml:space="preserve"> injectivity and storage potential.</w:t>
      </w:r>
      <w:r w:rsidR="00A90794">
        <w:rPr>
          <w:color w:val="000000"/>
        </w:rPr>
        <w:t xml:space="preserve"> </w:t>
      </w:r>
      <w:r w:rsidR="0068655E">
        <w:rPr>
          <w:color w:val="000000"/>
        </w:rPr>
        <w:t>For this workflow, I used the 3D petrofacies volume</w:t>
      </w:r>
      <w:r w:rsidR="00E210BE">
        <w:rPr>
          <w:color w:val="000000"/>
        </w:rPr>
        <w:t xml:space="preserve"> and individual probability volumes </w:t>
      </w:r>
      <w:r w:rsidR="00BF2993">
        <w:rPr>
          <w:color w:val="000000"/>
        </w:rPr>
        <w:t xml:space="preserve">that I created in Chapter 2 </w:t>
      </w:r>
      <w:r w:rsidR="007C138C">
        <w:rPr>
          <w:color w:val="000000"/>
        </w:rPr>
        <w:t>to further</w:t>
      </w:r>
      <w:r w:rsidR="00E210BE">
        <w:rPr>
          <w:color w:val="000000"/>
        </w:rPr>
        <w:t xml:space="preserve"> constrain my reservoir models. </w:t>
      </w:r>
      <w:r w:rsidR="0069147F">
        <w:rPr>
          <w:color w:val="000000"/>
        </w:rPr>
        <w:t xml:space="preserve">Results demonstrated </w:t>
      </w:r>
      <w:r w:rsidR="00310468">
        <w:rPr>
          <w:color w:val="000000"/>
        </w:rPr>
        <w:t>that the integration of multi-scale sources</w:t>
      </w:r>
      <w:r w:rsidR="0095682F">
        <w:rPr>
          <w:color w:val="000000"/>
        </w:rPr>
        <w:t xml:space="preserve"> c</w:t>
      </w:r>
      <w:r w:rsidR="007953EB">
        <w:rPr>
          <w:color w:val="000000"/>
        </w:rPr>
        <w:t>ould</w:t>
      </w:r>
      <w:r w:rsidR="0095682F">
        <w:rPr>
          <w:color w:val="000000"/>
        </w:rPr>
        <w:t xml:space="preserve"> reveal the</w:t>
      </w:r>
      <w:r w:rsidR="00310468">
        <w:rPr>
          <w:color w:val="000000"/>
        </w:rPr>
        <w:t xml:space="preserve"> </w:t>
      </w:r>
      <w:r w:rsidR="0095682F">
        <w:rPr>
          <w:color w:val="000000"/>
        </w:rPr>
        <w:t xml:space="preserve">fine-scale </w:t>
      </w:r>
      <w:r w:rsidR="00E41E94">
        <w:rPr>
          <w:color w:val="000000"/>
        </w:rPr>
        <w:t xml:space="preserve">variability of </w:t>
      </w:r>
      <w:r w:rsidR="00295019" w:rsidRPr="00295019">
        <w:t>porosity, permeability, and fluid-flow characteristics</w:t>
      </w:r>
      <w:r w:rsidR="00E41E94">
        <w:t>.</w:t>
      </w:r>
      <w:r w:rsidR="00E41E94">
        <w:rPr>
          <w:color w:val="000000"/>
        </w:rPr>
        <w:t xml:space="preserve"> </w:t>
      </w:r>
      <w:r w:rsidR="00295019" w:rsidRPr="00295019">
        <w:t>Dynamic simulation results illustrate the subsurface plume movement as a function of hydrogeological, petrophysical, and operational parameters.</w:t>
      </w:r>
    </w:p>
    <w:p w14:paraId="44FADB9F" w14:textId="615D03DC" w:rsidR="007A73DA" w:rsidRDefault="0097748D" w:rsidP="00E00206">
      <w:r>
        <w:tab/>
        <w:t>Th</w:t>
      </w:r>
      <w:r w:rsidR="00D92395">
        <w:t>is dissertation shows that the supervised machine learning methods can be used with traditional quantitative interpretation (QI)</w:t>
      </w:r>
      <w:r w:rsidR="005B03E1">
        <w:t xml:space="preserve"> </w:t>
      </w:r>
      <w:r w:rsidR="00B63F38">
        <w:t>workflows</w:t>
      </w:r>
      <w:r w:rsidR="00D92395">
        <w:t xml:space="preserve"> to</w:t>
      </w:r>
      <w:r w:rsidR="00CC54E6">
        <w:t xml:space="preserve"> accurately</w:t>
      </w:r>
      <w:r w:rsidR="002C66B4">
        <w:t xml:space="preserve"> </w:t>
      </w:r>
      <w:r w:rsidR="00F54DC7">
        <w:t>map subsurface properties</w:t>
      </w:r>
      <w:r w:rsidR="00CC54E6">
        <w:t xml:space="preserve"> </w:t>
      </w:r>
      <w:r w:rsidR="007A73DA">
        <w:t xml:space="preserve">and corresponding reservoir quality and provide </w:t>
      </w:r>
      <w:r w:rsidR="00F20E00">
        <w:t>spatial</w:t>
      </w:r>
      <w:r w:rsidR="00FF5609">
        <w:t xml:space="preserve"> information for a more robust geostatistical modeling</w:t>
      </w:r>
      <w:r w:rsidR="009177CC">
        <w:t>,</w:t>
      </w:r>
      <w:r w:rsidR="00FF5609">
        <w:t xml:space="preserve"> where the</w:t>
      </w:r>
      <w:r w:rsidR="007953EB">
        <w:t xml:space="preserve"> </w:t>
      </w:r>
      <w:r w:rsidR="00400F9D">
        <w:t>rocks</w:t>
      </w:r>
      <w:r w:rsidR="00B63F38">
        <w:t xml:space="preserve"> are</w:t>
      </w:r>
      <w:r w:rsidR="005D3013">
        <w:t xml:space="preserve"> too</w:t>
      </w:r>
      <w:r w:rsidR="00B63F38">
        <w:t xml:space="preserve"> </w:t>
      </w:r>
      <w:r w:rsidR="007953EB">
        <w:t>complex</w:t>
      </w:r>
      <w:r w:rsidR="009177CC">
        <w:t xml:space="preserve"> for traditional seismic methods</w:t>
      </w:r>
      <w:r w:rsidR="005D3013">
        <w:t xml:space="preserve"> to work, and the</w:t>
      </w:r>
      <w:r w:rsidR="00FF5609">
        <w:t xml:space="preserve"> well control is limited.</w:t>
      </w:r>
    </w:p>
    <w:sectPr w:rsidR="007A73DA" w:rsidSect="00086BA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4937E" w14:textId="77777777" w:rsidR="002E78D8" w:rsidRDefault="002E78D8">
      <w:pPr>
        <w:spacing w:after="0" w:line="240" w:lineRule="auto"/>
      </w:pPr>
      <w:r>
        <w:separator/>
      </w:r>
    </w:p>
  </w:endnote>
  <w:endnote w:type="continuationSeparator" w:id="0">
    <w:p w14:paraId="56F37AAB" w14:textId="77777777" w:rsidR="002E78D8" w:rsidRDefault="002E7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F877" w14:textId="6B76A1C7" w:rsidR="00620605" w:rsidRDefault="00620605">
    <w:pPr>
      <w:pStyle w:val="Footer"/>
      <w:jc w:val="center"/>
    </w:pPr>
    <w:r>
      <w:fldChar w:fldCharType="begin"/>
    </w:r>
    <w:r>
      <w:instrText xml:space="preserve"> PAGE   \* MERGEFORMAT </w:instrText>
    </w:r>
    <w:r>
      <w:fldChar w:fldCharType="separate"/>
    </w:r>
    <w:r>
      <w:rPr>
        <w:noProof/>
      </w:rPr>
      <w:t>2</w:t>
    </w:r>
    <w:r>
      <w:rPr>
        <w:noProof/>
      </w:rPr>
      <w:fldChar w:fldCharType="end"/>
    </w:r>
  </w:p>
  <w:p w14:paraId="4DEBC895" w14:textId="77777777" w:rsidR="00620605" w:rsidRDefault="00620605">
    <w:pPr>
      <w:spacing w:line="259"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74894"/>
      <w:docPartObj>
        <w:docPartGallery w:val="Page Numbers (Bottom of Page)"/>
        <w:docPartUnique/>
      </w:docPartObj>
    </w:sdtPr>
    <w:sdtEndPr>
      <w:rPr>
        <w:noProof/>
      </w:rPr>
    </w:sdtEndPr>
    <w:sdtContent>
      <w:p w14:paraId="6482B25E" w14:textId="1D133EA6" w:rsidR="00620605" w:rsidRDefault="006206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0E2A8A" w14:textId="77777777" w:rsidR="00620605" w:rsidRDefault="00620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E5C62" w14:textId="77777777" w:rsidR="002E78D8" w:rsidRDefault="002E78D8">
      <w:pPr>
        <w:spacing w:after="0" w:line="240" w:lineRule="auto"/>
      </w:pPr>
      <w:r>
        <w:separator/>
      </w:r>
    </w:p>
  </w:footnote>
  <w:footnote w:type="continuationSeparator" w:id="0">
    <w:p w14:paraId="7DABBE9E" w14:textId="77777777" w:rsidR="002E78D8" w:rsidRDefault="002E7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25B"/>
    <w:multiLevelType w:val="hybridMultilevel"/>
    <w:tmpl w:val="C38AFFC8"/>
    <w:lvl w:ilvl="0" w:tplc="5C083940">
      <w:start w:val="1"/>
      <w:numFmt w:val="bullet"/>
      <w:lvlText w:val="•"/>
      <w:lvlJc w:val="left"/>
      <w:pPr>
        <w:tabs>
          <w:tab w:val="num" w:pos="900"/>
        </w:tabs>
        <w:ind w:left="900" w:hanging="360"/>
      </w:pPr>
      <w:rPr>
        <w:rFonts w:ascii="Arial" w:hAnsi="Arial" w:hint="default"/>
      </w:rPr>
    </w:lvl>
    <w:lvl w:ilvl="1" w:tplc="D624CADE" w:tentative="1">
      <w:start w:val="1"/>
      <w:numFmt w:val="bullet"/>
      <w:lvlText w:val="•"/>
      <w:lvlJc w:val="left"/>
      <w:pPr>
        <w:tabs>
          <w:tab w:val="num" w:pos="1620"/>
        </w:tabs>
        <w:ind w:left="1620" w:hanging="360"/>
      </w:pPr>
      <w:rPr>
        <w:rFonts w:ascii="Arial" w:hAnsi="Arial" w:hint="default"/>
      </w:rPr>
    </w:lvl>
    <w:lvl w:ilvl="2" w:tplc="46AA349E" w:tentative="1">
      <w:start w:val="1"/>
      <w:numFmt w:val="bullet"/>
      <w:lvlText w:val="•"/>
      <w:lvlJc w:val="left"/>
      <w:pPr>
        <w:tabs>
          <w:tab w:val="num" w:pos="2340"/>
        </w:tabs>
        <w:ind w:left="2340" w:hanging="360"/>
      </w:pPr>
      <w:rPr>
        <w:rFonts w:ascii="Arial" w:hAnsi="Arial" w:hint="default"/>
      </w:rPr>
    </w:lvl>
    <w:lvl w:ilvl="3" w:tplc="16B2246C" w:tentative="1">
      <w:start w:val="1"/>
      <w:numFmt w:val="bullet"/>
      <w:lvlText w:val="•"/>
      <w:lvlJc w:val="left"/>
      <w:pPr>
        <w:tabs>
          <w:tab w:val="num" w:pos="3060"/>
        </w:tabs>
        <w:ind w:left="3060" w:hanging="360"/>
      </w:pPr>
      <w:rPr>
        <w:rFonts w:ascii="Arial" w:hAnsi="Arial" w:hint="default"/>
      </w:rPr>
    </w:lvl>
    <w:lvl w:ilvl="4" w:tplc="AD38BC6A" w:tentative="1">
      <w:start w:val="1"/>
      <w:numFmt w:val="bullet"/>
      <w:lvlText w:val="•"/>
      <w:lvlJc w:val="left"/>
      <w:pPr>
        <w:tabs>
          <w:tab w:val="num" w:pos="3780"/>
        </w:tabs>
        <w:ind w:left="3780" w:hanging="360"/>
      </w:pPr>
      <w:rPr>
        <w:rFonts w:ascii="Arial" w:hAnsi="Arial" w:hint="default"/>
      </w:rPr>
    </w:lvl>
    <w:lvl w:ilvl="5" w:tplc="CEF6737C" w:tentative="1">
      <w:start w:val="1"/>
      <w:numFmt w:val="bullet"/>
      <w:lvlText w:val="•"/>
      <w:lvlJc w:val="left"/>
      <w:pPr>
        <w:tabs>
          <w:tab w:val="num" w:pos="4500"/>
        </w:tabs>
        <w:ind w:left="4500" w:hanging="360"/>
      </w:pPr>
      <w:rPr>
        <w:rFonts w:ascii="Arial" w:hAnsi="Arial" w:hint="default"/>
      </w:rPr>
    </w:lvl>
    <w:lvl w:ilvl="6" w:tplc="E174C9E2" w:tentative="1">
      <w:start w:val="1"/>
      <w:numFmt w:val="bullet"/>
      <w:lvlText w:val="•"/>
      <w:lvlJc w:val="left"/>
      <w:pPr>
        <w:tabs>
          <w:tab w:val="num" w:pos="5220"/>
        </w:tabs>
        <w:ind w:left="5220" w:hanging="360"/>
      </w:pPr>
      <w:rPr>
        <w:rFonts w:ascii="Arial" w:hAnsi="Arial" w:hint="default"/>
      </w:rPr>
    </w:lvl>
    <w:lvl w:ilvl="7" w:tplc="98940FE4" w:tentative="1">
      <w:start w:val="1"/>
      <w:numFmt w:val="bullet"/>
      <w:lvlText w:val="•"/>
      <w:lvlJc w:val="left"/>
      <w:pPr>
        <w:tabs>
          <w:tab w:val="num" w:pos="5940"/>
        </w:tabs>
        <w:ind w:left="5940" w:hanging="360"/>
      </w:pPr>
      <w:rPr>
        <w:rFonts w:ascii="Arial" w:hAnsi="Arial" w:hint="default"/>
      </w:rPr>
    </w:lvl>
    <w:lvl w:ilvl="8" w:tplc="F0B4EC30" w:tentative="1">
      <w:start w:val="1"/>
      <w:numFmt w:val="bullet"/>
      <w:lvlText w:val="•"/>
      <w:lvlJc w:val="left"/>
      <w:pPr>
        <w:tabs>
          <w:tab w:val="num" w:pos="6660"/>
        </w:tabs>
        <w:ind w:left="6660" w:hanging="360"/>
      </w:pPr>
      <w:rPr>
        <w:rFonts w:ascii="Arial" w:hAnsi="Arial" w:hint="default"/>
      </w:rPr>
    </w:lvl>
  </w:abstractNum>
  <w:abstractNum w:abstractNumId="1" w15:restartNumberingAfterBreak="0">
    <w:nsid w:val="03F90CEB"/>
    <w:multiLevelType w:val="hybridMultilevel"/>
    <w:tmpl w:val="AC48D644"/>
    <w:lvl w:ilvl="0" w:tplc="CC0096C6">
      <w:start w:val="3"/>
      <w:numFmt w:val="decimal"/>
      <w:suff w:val="nothing"/>
      <w:lvlText w:val="Chapter %1"/>
      <w:lvlJc w:val="left"/>
      <w:pPr>
        <w:ind w:left="360" w:hanging="360"/>
      </w:pPr>
      <w:rPr>
        <w:rFonts w:hint="default"/>
        <w:spacing w:val="0"/>
        <w:w w:val="100"/>
        <w:kern w:val="0"/>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55FD2"/>
    <w:multiLevelType w:val="multilevel"/>
    <w:tmpl w:val="920094C0"/>
    <w:lvl w:ilvl="0">
      <w:start w:val="1"/>
      <w:numFmt w:val="decimal"/>
      <w:lvlText w:val="Chapter %1:"/>
      <w:lvlJc w:val="left"/>
      <w:pPr>
        <w:ind w:left="787" w:hanging="360"/>
      </w:pPr>
      <w:rPr>
        <w:rFonts w:hint="default"/>
        <w:spacing w:val="0"/>
        <w:w w:val="100"/>
        <w:kern w:val="0"/>
        <w:position w:val="0"/>
      </w:rPr>
    </w:lvl>
    <w:lvl w:ilvl="1">
      <w:start w:val="1"/>
      <w:numFmt w:val="none"/>
      <w:lvlText w:val="%2"/>
      <w:lvlJc w:val="left"/>
      <w:pPr>
        <w:ind w:left="1512" w:hanging="365"/>
      </w:pPr>
      <w:rPr>
        <w:rFonts w:hint="default"/>
      </w:rPr>
    </w:lvl>
    <w:lvl w:ilvl="2">
      <w:start w:val="1"/>
      <w:numFmt w:val="none"/>
      <w:lvlText w:val="%3"/>
      <w:lvlJc w:val="right"/>
      <w:pPr>
        <w:ind w:left="2227" w:hanging="180"/>
      </w:pPr>
      <w:rPr>
        <w:rFonts w:hint="default"/>
      </w:rPr>
    </w:lvl>
    <w:lvl w:ilvl="3">
      <w:start w:val="1"/>
      <w:numFmt w:val="none"/>
      <w:lvlText w:val="%4"/>
      <w:lvlJc w:val="left"/>
      <w:pPr>
        <w:ind w:left="2947" w:hanging="360"/>
      </w:pPr>
      <w:rPr>
        <w:rFonts w:hint="default"/>
      </w:rPr>
    </w:lvl>
    <w:lvl w:ilvl="4">
      <w:start w:val="1"/>
      <w:numFmt w:val="none"/>
      <w:lvlText w:val="%5."/>
      <w:lvlJc w:val="left"/>
      <w:pPr>
        <w:ind w:left="3667" w:hanging="360"/>
      </w:pPr>
      <w:rPr>
        <w:rFonts w:hint="default"/>
      </w:rPr>
    </w:lvl>
    <w:lvl w:ilvl="5">
      <w:start w:val="1"/>
      <w:numFmt w:val="none"/>
      <w:lvlText w:val="%6."/>
      <w:lvlJc w:val="right"/>
      <w:pPr>
        <w:ind w:left="4387" w:hanging="180"/>
      </w:pPr>
      <w:rPr>
        <w:rFonts w:hint="default"/>
      </w:rPr>
    </w:lvl>
    <w:lvl w:ilvl="6">
      <w:start w:val="1"/>
      <w:numFmt w:val="none"/>
      <w:lvlText w:val="%7."/>
      <w:lvlJc w:val="left"/>
      <w:pPr>
        <w:ind w:left="5107" w:hanging="360"/>
      </w:pPr>
      <w:rPr>
        <w:rFonts w:hint="default"/>
      </w:rPr>
    </w:lvl>
    <w:lvl w:ilvl="7">
      <w:start w:val="1"/>
      <w:numFmt w:val="none"/>
      <w:lvlText w:val="%8."/>
      <w:lvlJc w:val="left"/>
      <w:pPr>
        <w:ind w:left="5827" w:hanging="360"/>
      </w:pPr>
      <w:rPr>
        <w:rFonts w:hint="default"/>
      </w:rPr>
    </w:lvl>
    <w:lvl w:ilvl="8">
      <w:start w:val="1"/>
      <w:numFmt w:val="none"/>
      <w:lvlText w:val="%9"/>
      <w:lvlJc w:val="right"/>
      <w:pPr>
        <w:ind w:left="6547" w:hanging="180"/>
      </w:pPr>
      <w:rPr>
        <w:rFonts w:hint="default"/>
      </w:rPr>
    </w:lvl>
  </w:abstractNum>
  <w:abstractNum w:abstractNumId="3" w15:restartNumberingAfterBreak="0">
    <w:nsid w:val="0D3C5DFE"/>
    <w:multiLevelType w:val="hybridMultilevel"/>
    <w:tmpl w:val="F8381B6A"/>
    <w:lvl w:ilvl="0" w:tplc="04D0F3A2">
      <w:start w:val="1"/>
      <w:numFmt w:val="decimal"/>
      <w:pStyle w:val="ChapterHeaders"/>
      <w:suff w:val="nothing"/>
      <w:lvlText w:val="%1"/>
      <w:lvlJc w:val="left"/>
      <w:pPr>
        <w:ind w:left="0" w:firstLine="0"/>
      </w:pPr>
      <w:rPr>
        <w:rFonts w:hint="default"/>
        <w:color w:val="FFFFFF" w:themeColor="background1"/>
        <w:spacing w:val="0"/>
        <w:w w:val="100"/>
        <w:kern w:val="0"/>
        <w:position w:val="0"/>
        <w:sz w:val="28"/>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3D0C25"/>
    <w:multiLevelType w:val="hybridMultilevel"/>
    <w:tmpl w:val="280A564C"/>
    <w:lvl w:ilvl="0" w:tplc="F5F43364">
      <w:start w:val="1"/>
      <w:numFmt w:val="bullet"/>
      <w:lvlText w:val="•"/>
      <w:lvlJc w:val="left"/>
      <w:pPr>
        <w:tabs>
          <w:tab w:val="num" w:pos="720"/>
        </w:tabs>
        <w:ind w:left="720" w:hanging="360"/>
      </w:pPr>
      <w:rPr>
        <w:rFonts w:ascii="Arial" w:hAnsi="Arial" w:hint="default"/>
      </w:rPr>
    </w:lvl>
    <w:lvl w:ilvl="1" w:tplc="DEE45604" w:tentative="1">
      <w:start w:val="1"/>
      <w:numFmt w:val="bullet"/>
      <w:lvlText w:val="•"/>
      <w:lvlJc w:val="left"/>
      <w:pPr>
        <w:tabs>
          <w:tab w:val="num" w:pos="1440"/>
        </w:tabs>
        <w:ind w:left="1440" w:hanging="360"/>
      </w:pPr>
      <w:rPr>
        <w:rFonts w:ascii="Arial" w:hAnsi="Arial" w:hint="default"/>
      </w:rPr>
    </w:lvl>
    <w:lvl w:ilvl="2" w:tplc="5560A9A8" w:tentative="1">
      <w:start w:val="1"/>
      <w:numFmt w:val="bullet"/>
      <w:lvlText w:val="•"/>
      <w:lvlJc w:val="left"/>
      <w:pPr>
        <w:tabs>
          <w:tab w:val="num" w:pos="2160"/>
        </w:tabs>
        <w:ind w:left="2160" w:hanging="360"/>
      </w:pPr>
      <w:rPr>
        <w:rFonts w:ascii="Arial" w:hAnsi="Arial" w:hint="default"/>
      </w:rPr>
    </w:lvl>
    <w:lvl w:ilvl="3" w:tplc="388A85DC" w:tentative="1">
      <w:start w:val="1"/>
      <w:numFmt w:val="bullet"/>
      <w:lvlText w:val="•"/>
      <w:lvlJc w:val="left"/>
      <w:pPr>
        <w:tabs>
          <w:tab w:val="num" w:pos="2880"/>
        </w:tabs>
        <w:ind w:left="2880" w:hanging="360"/>
      </w:pPr>
      <w:rPr>
        <w:rFonts w:ascii="Arial" w:hAnsi="Arial" w:hint="default"/>
      </w:rPr>
    </w:lvl>
    <w:lvl w:ilvl="4" w:tplc="D2547CF4" w:tentative="1">
      <w:start w:val="1"/>
      <w:numFmt w:val="bullet"/>
      <w:lvlText w:val="•"/>
      <w:lvlJc w:val="left"/>
      <w:pPr>
        <w:tabs>
          <w:tab w:val="num" w:pos="3600"/>
        </w:tabs>
        <w:ind w:left="3600" w:hanging="360"/>
      </w:pPr>
      <w:rPr>
        <w:rFonts w:ascii="Arial" w:hAnsi="Arial" w:hint="default"/>
      </w:rPr>
    </w:lvl>
    <w:lvl w:ilvl="5" w:tplc="FAD66856" w:tentative="1">
      <w:start w:val="1"/>
      <w:numFmt w:val="bullet"/>
      <w:lvlText w:val="•"/>
      <w:lvlJc w:val="left"/>
      <w:pPr>
        <w:tabs>
          <w:tab w:val="num" w:pos="4320"/>
        </w:tabs>
        <w:ind w:left="4320" w:hanging="360"/>
      </w:pPr>
      <w:rPr>
        <w:rFonts w:ascii="Arial" w:hAnsi="Arial" w:hint="default"/>
      </w:rPr>
    </w:lvl>
    <w:lvl w:ilvl="6" w:tplc="443C430E" w:tentative="1">
      <w:start w:val="1"/>
      <w:numFmt w:val="bullet"/>
      <w:lvlText w:val="•"/>
      <w:lvlJc w:val="left"/>
      <w:pPr>
        <w:tabs>
          <w:tab w:val="num" w:pos="5040"/>
        </w:tabs>
        <w:ind w:left="5040" w:hanging="360"/>
      </w:pPr>
      <w:rPr>
        <w:rFonts w:ascii="Arial" w:hAnsi="Arial" w:hint="default"/>
      </w:rPr>
    </w:lvl>
    <w:lvl w:ilvl="7" w:tplc="EC425C30" w:tentative="1">
      <w:start w:val="1"/>
      <w:numFmt w:val="bullet"/>
      <w:lvlText w:val="•"/>
      <w:lvlJc w:val="left"/>
      <w:pPr>
        <w:tabs>
          <w:tab w:val="num" w:pos="5760"/>
        </w:tabs>
        <w:ind w:left="5760" w:hanging="360"/>
      </w:pPr>
      <w:rPr>
        <w:rFonts w:ascii="Arial" w:hAnsi="Arial" w:hint="default"/>
      </w:rPr>
    </w:lvl>
    <w:lvl w:ilvl="8" w:tplc="181EBA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673CEB"/>
    <w:multiLevelType w:val="hybridMultilevel"/>
    <w:tmpl w:val="9A2C0334"/>
    <w:lvl w:ilvl="0" w:tplc="4704B990">
      <w:start w:val="1"/>
      <w:numFmt w:val="bullet"/>
      <w:lvlText w:val="•"/>
      <w:lvlJc w:val="left"/>
      <w:pPr>
        <w:tabs>
          <w:tab w:val="num" w:pos="360"/>
        </w:tabs>
        <w:ind w:left="360" w:hanging="360"/>
      </w:pPr>
      <w:rPr>
        <w:rFonts w:ascii="Arial" w:hAnsi="Arial" w:hint="default"/>
      </w:rPr>
    </w:lvl>
    <w:lvl w:ilvl="1" w:tplc="5798D782" w:tentative="1">
      <w:start w:val="1"/>
      <w:numFmt w:val="bullet"/>
      <w:lvlText w:val="•"/>
      <w:lvlJc w:val="left"/>
      <w:pPr>
        <w:tabs>
          <w:tab w:val="num" w:pos="1080"/>
        </w:tabs>
        <w:ind w:left="1080" w:hanging="360"/>
      </w:pPr>
      <w:rPr>
        <w:rFonts w:ascii="Arial" w:hAnsi="Arial" w:hint="default"/>
      </w:rPr>
    </w:lvl>
    <w:lvl w:ilvl="2" w:tplc="14D0F2EC" w:tentative="1">
      <w:start w:val="1"/>
      <w:numFmt w:val="bullet"/>
      <w:lvlText w:val="•"/>
      <w:lvlJc w:val="left"/>
      <w:pPr>
        <w:tabs>
          <w:tab w:val="num" w:pos="1800"/>
        </w:tabs>
        <w:ind w:left="1800" w:hanging="360"/>
      </w:pPr>
      <w:rPr>
        <w:rFonts w:ascii="Arial" w:hAnsi="Arial" w:hint="default"/>
      </w:rPr>
    </w:lvl>
    <w:lvl w:ilvl="3" w:tplc="D18093CE" w:tentative="1">
      <w:start w:val="1"/>
      <w:numFmt w:val="bullet"/>
      <w:lvlText w:val="•"/>
      <w:lvlJc w:val="left"/>
      <w:pPr>
        <w:tabs>
          <w:tab w:val="num" w:pos="2520"/>
        </w:tabs>
        <w:ind w:left="2520" w:hanging="360"/>
      </w:pPr>
      <w:rPr>
        <w:rFonts w:ascii="Arial" w:hAnsi="Arial" w:hint="default"/>
      </w:rPr>
    </w:lvl>
    <w:lvl w:ilvl="4" w:tplc="F402B304" w:tentative="1">
      <w:start w:val="1"/>
      <w:numFmt w:val="bullet"/>
      <w:lvlText w:val="•"/>
      <w:lvlJc w:val="left"/>
      <w:pPr>
        <w:tabs>
          <w:tab w:val="num" w:pos="3240"/>
        </w:tabs>
        <w:ind w:left="3240" w:hanging="360"/>
      </w:pPr>
      <w:rPr>
        <w:rFonts w:ascii="Arial" w:hAnsi="Arial" w:hint="default"/>
      </w:rPr>
    </w:lvl>
    <w:lvl w:ilvl="5" w:tplc="376227AA" w:tentative="1">
      <w:start w:val="1"/>
      <w:numFmt w:val="bullet"/>
      <w:lvlText w:val="•"/>
      <w:lvlJc w:val="left"/>
      <w:pPr>
        <w:tabs>
          <w:tab w:val="num" w:pos="3960"/>
        </w:tabs>
        <w:ind w:left="3960" w:hanging="360"/>
      </w:pPr>
      <w:rPr>
        <w:rFonts w:ascii="Arial" w:hAnsi="Arial" w:hint="default"/>
      </w:rPr>
    </w:lvl>
    <w:lvl w:ilvl="6" w:tplc="F060522A" w:tentative="1">
      <w:start w:val="1"/>
      <w:numFmt w:val="bullet"/>
      <w:lvlText w:val="•"/>
      <w:lvlJc w:val="left"/>
      <w:pPr>
        <w:tabs>
          <w:tab w:val="num" w:pos="4680"/>
        </w:tabs>
        <w:ind w:left="4680" w:hanging="360"/>
      </w:pPr>
      <w:rPr>
        <w:rFonts w:ascii="Arial" w:hAnsi="Arial" w:hint="default"/>
      </w:rPr>
    </w:lvl>
    <w:lvl w:ilvl="7" w:tplc="A27A95DC" w:tentative="1">
      <w:start w:val="1"/>
      <w:numFmt w:val="bullet"/>
      <w:lvlText w:val="•"/>
      <w:lvlJc w:val="left"/>
      <w:pPr>
        <w:tabs>
          <w:tab w:val="num" w:pos="5400"/>
        </w:tabs>
        <w:ind w:left="5400" w:hanging="360"/>
      </w:pPr>
      <w:rPr>
        <w:rFonts w:ascii="Arial" w:hAnsi="Arial" w:hint="default"/>
      </w:rPr>
    </w:lvl>
    <w:lvl w:ilvl="8" w:tplc="A7C60130"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CB045EB"/>
    <w:multiLevelType w:val="hybridMultilevel"/>
    <w:tmpl w:val="06DECE76"/>
    <w:lvl w:ilvl="0" w:tplc="36501AB6">
      <w:start w:val="1"/>
      <w:numFmt w:val="bullet"/>
      <w:lvlText w:val="•"/>
      <w:lvlJc w:val="left"/>
      <w:pPr>
        <w:tabs>
          <w:tab w:val="num" w:pos="720"/>
        </w:tabs>
        <w:ind w:left="720" w:hanging="360"/>
      </w:pPr>
      <w:rPr>
        <w:rFonts w:ascii="Arial" w:hAnsi="Arial" w:hint="default"/>
      </w:rPr>
    </w:lvl>
    <w:lvl w:ilvl="1" w:tplc="40403386" w:tentative="1">
      <w:start w:val="1"/>
      <w:numFmt w:val="bullet"/>
      <w:lvlText w:val="•"/>
      <w:lvlJc w:val="left"/>
      <w:pPr>
        <w:tabs>
          <w:tab w:val="num" w:pos="1440"/>
        </w:tabs>
        <w:ind w:left="1440" w:hanging="360"/>
      </w:pPr>
      <w:rPr>
        <w:rFonts w:ascii="Arial" w:hAnsi="Arial" w:hint="default"/>
      </w:rPr>
    </w:lvl>
    <w:lvl w:ilvl="2" w:tplc="05D290F6" w:tentative="1">
      <w:start w:val="1"/>
      <w:numFmt w:val="bullet"/>
      <w:lvlText w:val="•"/>
      <w:lvlJc w:val="left"/>
      <w:pPr>
        <w:tabs>
          <w:tab w:val="num" w:pos="2160"/>
        </w:tabs>
        <w:ind w:left="2160" w:hanging="360"/>
      </w:pPr>
      <w:rPr>
        <w:rFonts w:ascii="Arial" w:hAnsi="Arial" w:hint="default"/>
      </w:rPr>
    </w:lvl>
    <w:lvl w:ilvl="3" w:tplc="AF3E5844" w:tentative="1">
      <w:start w:val="1"/>
      <w:numFmt w:val="bullet"/>
      <w:lvlText w:val="•"/>
      <w:lvlJc w:val="left"/>
      <w:pPr>
        <w:tabs>
          <w:tab w:val="num" w:pos="2880"/>
        </w:tabs>
        <w:ind w:left="2880" w:hanging="360"/>
      </w:pPr>
      <w:rPr>
        <w:rFonts w:ascii="Arial" w:hAnsi="Arial" w:hint="default"/>
      </w:rPr>
    </w:lvl>
    <w:lvl w:ilvl="4" w:tplc="B3927CF8" w:tentative="1">
      <w:start w:val="1"/>
      <w:numFmt w:val="bullet"/>
      <w:lvlText w:val="•"/>
      <w:lvlJc w:val="left"/>
      <w:pPr>
        <w:tabs>
          <w:tab w:val="num" w:pos="3600"/>
        </w:tabs>
        <w:ind w:left="3600" w:hanging="360"/>
      </w:pPr>
      <w:rPr>
        <w:rFonts w:ascii="Arial" w:hAnsi="Arial" w:hint="default"/>
      </w:rPr>
    </w:lvl>
    <w:lvl w:ilvl="5" w:tplc="A064AD24" w:tentative="1">
      <w:start w:val="1"/>
      <w:numFmt w:val="bullet"/>
      <w:lvlText w:val="•"/>
      <w:lvlJc w:val="left"/>
      <w:pPr>
        <w:tabs>
          <w:tab w:val="num" w:pos="4320"/>
        </w:tabs>
        <w:ind w:left="4320" w:hanging="360"/>
      </w:pPr>
      <w:rPr>
        <w:rFonts w:ascii="Arial" w:hAnsi="Arial" w:hint="default"/>
      </w:rPr>
    </w:lvl>
    <w:lvl w:ilvl="6" w:tplc="D00AC386" w:tentative="1">
      <w:start w:val="1"/>
      <w:numFmt w:val="bullet"/>
      <w:lvlText w:val="•"/>
      <w:lvlJc w:val="left"/>
      <w:pPr>
        <w:tabs>
          <w:tab w:val="num" w:pos="5040"/>
        </w:tabs>
        <w:ind w:left="5040" w:hanging="360"/>
      </w:pPr>
      <w:rPr>
        <w:rFonts w:ascii="Arial" w:hAnsi="Arial" w:hint="default"/>
      </w:rPr>
    </w:lvl>
    <w:lvl w:ilvl="7" w:tplc="83FE05E0" w:tentative="1">
      <w:start w:val="1"/>
      <w:numFmt w:val="bullet"/>
      <w:lvlText w:val="•"/>
      <w:lvlJc w:val="left"/>
      <w:pPr>
        <w:tabs>
          <w:tab w:val="num" w:pos="5760"/>
        </w:tabs>
        <w:ind w:left="5760" w:hanging="360"/>
      </w:pPr>
      <w:rPr>
        <w:rFonts w:ascii="Arial" w:hAnsi="Arial" w:hint="default"/>
      </w:rPr>
    </w:lvl>
    <w:lvl w:ilvl="8" w:tplc="CF4C1532">
      <w:start w:val="1"/>
      <w:numFmt w:val="bullet"/>
      <w:lvlText w:val="•"/>
      <w:lvlJc w:val="left"/>
      <w:pPr>
        <w:tabs>
          <w:tab w:val="num" w:pos="6480"/>
        </w:tabs>
        <w:ind w:left="6480" w:hanging="360"/>
      </w:pPr>
      <w:rPr>
        <w:rFonts w:ascii="Arial" w:hAnsi="Arial" w:hint="default"/>
      </w:rPr>
    </w:lvl>
  </w:abstractNum>
  <w:abstractNum w:abstractNumId="7" w15:restartNumberingAfterBreak="0">
    <w:nsid w:val="25EB5DBE"/>
    <w:multiLevelType w:val="hybridMultilevel"/>
    <w:tmpl w:val="17C89CF0"/>
    <w:lvl w:ilvl="0" w:tplc="39606B58">
      <w:start w:val="1"/>
      <w:numFmt w:val="bullet"/>
      <w:lvlText w:val="•"/>
      <w:lvlJc w:val="left"/>
      <w:pPr>
        <w:tabs>
          <w:tab w:val="num" w:pos="720"/>
        </w:tabs>
        <w:ind w:left="720" w:hanging="360"/>
      </w:pPr>
      <w:rPr>
        <w:rFonts w:ascii="Arial" w:hAnsi="Arial" w:hint="default"/>
      </w:rPr>
    </w:lvl>
    <w:lvl w:ilvl="1" w:tplc="834459A8" w:tentative="1">
      <w:start w:val="1"/>
      <w:numFmt w:val="bullet"/>
      <w:lvlText w:val="•"/>
      <w:lvlJc w:val="left"/>
      <w:pPr>
        <w:tabs>
          <w:tab w:val="num" w:pos="1440"/>
        </w:tabs>
        <w:ind w:left="1440" w:hanging="360"/>
      </w:pPr>
      <w:rPr>
        <w:rFonts w:ascii="Arial" w:hAnsi="Arial" w:hint="default"/>
      </w:rPr>
    </w:lvl>
    <w:lvl w:ilvl="2" w:tplc="E03E283E" w:tentative="1">
      <w:start w:val="1"/>
      <w:numFmt w:val="bullet"/>
      <w:lvlText w:val="•"/>
      <w:lvlJc w:val="left"/>
      <w:pPr>
        <w:tabs>
          <w:tab w:val="num" w:pos="2160"/>
        </w:tabs>
        <w:ind w:left="2160" w:hanging="360"/>
      </w:pPr>
      <w:rPr>
        <w:rFonts w:ascii="Arial" w:hAnsi="Arial" w:hint="default"/>
      </w:rPr>
    </w:lvl>
    <w:lvl w:ilvl="3" w:tplc="5E4C0B6A" w:tentative="1">
      <w:start w:val="1"/>
      <w:numFmt w:val="bullet"/>
      <w:lvlText w:val="•"/>
      <w:lvlJc w:val="left"/>
      <w:pPr>
        <w:tabs>
          <w:tab w:val="num" w:pos="2880"/>
        </w:tabs>
        <w:ind w:left="2880" w:hanging="360"/>
      </w:pPr>
      <w:rPr>
        <w:rFonts w:ascii="Arial" w:hAnsi="Arial" w:hint="default"/>
      </w:rPr>
    </w:lvl>
    <w:lvl w:ilvl="4" w:tplc="491AFEE4" w:tentative="1">
      <w:start w:val="1"/>
      <w:numFmt w:val="bullet"/>
      <w:lvlText w:val="•"/>
      <w:lvlJc w:val="left"/>
      <w:pPr>
        <w:tabs>
          <w:tab w:val="num" w:pos="3600"/>
        </w:tabs>
        <w:ind w:left="3600" w:hanging="360"/>
      </w:pPr>
      <w:rPr>
        <w:rFonts w:ascii="Arial" w:hAnsi="Arial" w:hint="default"/>
      </w:rPr>
    </w:lvl>
    <w:lvl w:ilvl="5" w:tplc="F84281C6" w:tentative="1">
      <w:start w:val="1"/>
      <w:numFmt w:val="bullet"/>
      <w:lvlText w:val="•"/>
      <w:lvlJc w:val="left"/>
      <w:pPr>
        <w:tabs>
          <w:tab w:val="num" w:pos="4320"/>
        </w:tabs>
        <w:ind w:left="4320" w:hanging="360"/>
      </w:pPr>
      <w:rPr>
        <w:rFonts w:ascii="Arial" w:hAnsi="Arial" w:hint="default"/>
      </w:rPr>
    </w:lvl>
    <w:lvl w:ilvl="6" w:tplc="F56CDA46" w:tentative="1">
      <w:start w:val="1"/>
      <w:numFmt w:val="bullet"/>
      <w:lvlText w:val="•"/>
      <w:lvlJc w:val="left"/>
      <w:pPr>
        <w:tabs>
          <w:tab w:val="num" w:pos="5040"/>
        </w:tabs>
        <w:ind w:left="5040" w:hanging="360"/>
      </w:pPr>
      <w:rPr>
        <w:rFonts w:ascii="Arial" w:hAnsi="Arial" w:hint="default"/>
      </w:rPr>
    </w:lvl>
    <w:lvl w:ilvl="7" w:tplc="3BDCEBB8" w:tentative="1">
      <w:start w:val="1"/>
      <w:numFmt w:val="bullet"/>
      <w:lvlText w:val="•"/>
      <w:lvlJc w:val="left"/>
      <w:pPr>
        <w:tabs>
          <w:tab w:val="num" w:pos="5760"/>
        </w:tabs>
        <w:ind w:left="5760" w:hanging="360"/>
      </w:pPr>
      <w:rPr>
        <w:rFonts w:ascii="Arial" w:hAnsi="Arial" w:hint="default"/>
      </w:rPr>
    </w:lvl>
    <w:lvl w:ilvl="8" w:tplc="A244ACF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DA2340"/>
    <w:multiLevelType w:val="hybridMultilevel"/>
    <w:tmpl w:val="EAE85DA8"/>
    <w:lvl w:ilvl="0" w:tplc="8A5A04D2">
      <w:start w:val="1"/>
      <w:numFmt w:val="bullet"/>
      <w:lvlText w:val="•"/>
      <w:lvlJc w:val="left"/>
      <w:pPr>
        <w:tabs>
          <w:tab w:val="num" w:pos="720"/>
        </w:tabs>
        <w:ind w:left="720" w:hanging="360"/>
      </w:pPr>
      <w:rPr>
        <w:rFonts w:ascii="Arial" w:hAnsi="Arial" w:hint="default"/>
      </w:rPr>
    </w:lvl>
    <w:lvl w:ilvl="1" w:tplc="249E1D70" w:tentative="1">
      <w:start w:val="1"/>
      <w:numFmt w:val="bullet"/>
      <w:lvlText w:val="•"/>
      <w:lvlJc w:val="left"/>
      <w:pPr>
        <w:tabs>
          <w:tab w:val="num" w:pos="1440"/>
        </w:tabs>
        <w:ind w:left="1440" w:hanging="360"/>
      </w:pPr>
      <w:rPr>
        <w:rFonts w:ascii="Arial" w:hAnsi="Arial" w:hint="default"/>
      </w:rPr>
    </w:lvl>
    <w:lvl w:ilvl="2" w:tplc="B5DEB718" w:tentative="1">
      <w:start w:val="1"/>
      <w:numFmt w:val="bullet"/>
      <w:lvlText w:val="•"/>
      <w:lvlJc w:val="left"/>
      <w:pPr>
        <w:tabs>
          <w:tab w:val="num" w:pos="2160"/>
        </w:tabs>
        <w:ind w:left="2160" w:hanging="360"/>
      </w:pPr>
      <w:rPr>
        <w:rFonts w:ascii="Arial" w:hAnsi="Arial" w:hint="default"/>
      </w:rPr>
    </w:lvl>
    <w:lvl w:ilvl="3" w:tplc="99D04728" w:tentative="1">
      <w:start w:val="1"/>
      <w:numFmt w:val="bullet"/>
      <w:lvlText w:val="•"/>
      <w:lvlJc w:val="left"/>
      <w:pPr>
        <w:tabs>
          <w:tab w:val="num" w:pos="2880"/>
        </w:tabs>
        <w:ind w:left="2880" w:hanging="360"/>
      </w:pPr>
      <w:rPr>
        <w:rFonts w:ascii="Arial" w:hAnsi="Arial" w:hint="default"/>
      </w:rPr>
    </w:lvl>
    <w:lvl w:ilvl="4" w:tplc="5C8A7DBC" w:tentative="1">
      <w:start w:val="1"/>
      <w:numFmt w:val="bullet"/>
      <w:lvlText w:val="•"/>
      <w:lvlJc w:val="left"/>
      <w:pPr>
        <w:tabs>
          <w:tab w:val="num" w:pos="3600"/>
        </w:tabs>
        <w:ind w:left="3600" w:hanging="360"/>
      </w:pPr>
      <w:rPr>
        <w:rFonts w:ascii="Arial" w:hAnsi="Arial" w:hint="default"/>
      </w:rPr>
    </w:lvl>
    <w:lvl w:ilvl="5" w:tplc="FF66BB4C" w:tentative="1">
      <w:start w:val="1"/>
      <w:numFmt w:val="bullet"/>
      <w:lvlText w:val="•"/>
      <w:lvlJc w:val="left"/>
      <w:pPr>
        <w:tabs>
          <w:tab w:val="num" w:pos="4320"/>
        </w:tabs>
        <w:ind w:left="4320" w:hanging="360"/>
      </w:pPr>
      <w:rPr>
        <w:rFonts w:ascii="Arial" w:hAnsi="Arial" w:hint="default"/>
      </w:rPr>
    </w:lvl>
    <w:lvl w:ilvl="6" w:tplc="EDD00AC8" w:tentative="1">
      <w:start w:val="1"/>
      <w:numFmt w:val="bullet"/>
      <w:lvlText w:val="•"/>
      <w:lvlJc w:val="left"/>
      <w:pPr>
        <w:tabs>
          <w:tab w:val="num" w:pos="5040"/>
        </w:tabs>
        <w:ind w:left="5040" w:hanging="360"/>
      </w:pPr>
      <w:rPr>
        <w:rFonts w:ascii="Arial" w:hAnsi="Arial" w:hint="default"/>
      </w:rPr>
    </w:lvl>
    <w:lvl w:ilvl="7" w:tplc="E51E4D2A" w:tentative="1">
      <w:start w:val="1"/>
      <w:numFmt w:val="bullet"/>
      <w:lvlText w:val="•"/>
      <w:lvlJc w:val="left"/>
      <w:pPr>
        <w:tabs>
          <w:tab w:val="num" w:pos="5760"/>
        </w:tabs>
        <w:ind w:left="5760" w:hanging="360"/>
      </w:pPr>
      <w:rPr>
        <w:rFonts w:ascii="Arial" w:hAnsi="Arial" w:hint="default"/>
      </w:rPr>
    </w:lvl>
    <w:lvl w:ilvl="8" w:tplc="BB6E14A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0F41AB"/>
    <w:multiLevelType w:val="hybridMultilevel"/>
    <w:tmpl w:val="206C4794"/>
    <w:lvl w:ilvl="0" w:tplc="7B1C554A">
      <w:start w:val="1"/>
      <w:numFmt w:val="bullet"/>
      <w:lvlText w:val="•"/>
      <w:lvlJc w:val="left"/>
      <w:pPr>
        <w:tabs>
          <w:tab w:val="num" w:pos="360"/>
        </w:tabs>
        <w:ind w:left="360" w:hanging="360"/>
      </w:pPr>
      <w:rPr>
        <w:rFonts w:ascii="Arial" w:hAnsi="Arial" w:hint="default"/>
      </w:rPr>
    </w:lvl>
    <w:lvl w:ilvl="1" w:tplc="791E1152" w:tentative="1">
      <w:start w:val="1"/>
      <w:numFmt w:val="bullet"/>
      <w:lvlText w:val="•"/>
      <w:lvlJc w:val="left"/>
      <w:pPr>
        <w:tabs>
          <w:tab w:val="num" w:pos="1080"/>
        </w:tabs>
        <w:ind w:left="1080" w:hanging="360"/>
      </w:pPr>
      <w:rPr>
        <w:rFonts w:ascii="Arial" w:hAnsi="Arial" w:hint="default"/>
      </w:rPr>
    </w:lvl>
    <w:lvl w:ilvl="2" w:tplc="F1481FE2" w:tentative="1">
      <w:start w:val="1"/>
      <w:numFmt w:val="bullet"/>
      <w:lvlText w:val="•"/>
      <w:lvlJc w:val="left"/>
      <w:pPr>
        <w:tabs>
          <w:tab w:val="num" w:pos="1800"/>
        </w:tabs>
        <w:ind w:left="1800" w:hanging="360"/>
      </w:pPr>
      <w:rPr>
        <w:rFonts w:ascii="Arial" w:hAnsi="Arial" w:hint="default"/>
      </w:rPr>
    </w:lvl>
    <w:lvl w:ilvl="3" w:tplc="66A8A3C4" w:tentative="1">
      <w:start w:val="1"/>
      <w:numFmt w:val="bullet"/>
      <w:lvlText w:val="•"/>
      <w:lvlJc w:val="left"/>
      <w:pPr>
        <w:tabs>
          <w:tab w:val="num" w:pos="2520"/>
        </w:tabs>
        <w:ind w:left="2520" w:hanging="360"/>
      </w:pPr>
      <w:rPr>
        <w:rFonts w:ascii="Arial" w:hAnsi="Arial" w:hint="default"/>
      </w:rPr>
    </w:lvl>
    <w:lvl w:ilvl="4" w:tplc="3BEE79D6" w:tentative="1">
      <w:start w:val="1"/>
      <w:numFmt w:val="bullet"/>
      <w:lvlText w:val="•"/>
      <w:lvlJc w:val="left"/>
      <w:pPr>
        <w:tabs>
          <w:tab w:val="num" w:pos="3240"/>
        </w:tabs>
        <w:ind w:left="3240" w:hanging="360"/>
      </w:pPr>
      <w:rPr>
        <w:rFonts w:ascii="Arial" w:hAnsi="Arial" w:hint="default"/>
      </w:rPr>
    </w:lvl>
    <w:lvl w:ilvl="5" w:tplc="A788A0A6" w:tentative="1">
      <w:start w:val="1"/>
      <w:numFmt w:val="bullet"/>
      <w:lvlText w:val="•"/>
      <w:lvlJc w:val="left"/>
      <w:pPr>
        <w:tabs>
          <w:tab w:val="num" w:pos="3960"/>
        </w:tabs>
        <w:ind w:left="3960" w:hanging="360"/>
      </w:pPr>
      <w:rPr>
        <w:rFonts w:ascii="Arial" w:hAnsi="Arial" w:hint="default"/>
      </w:rPr>
    </w:lvl>
    <w:lvl w:ilvl="6" w:tplc="7402FBDC" w:tentative="1">
      <w:start w:val="1"/>
      <w:numFmt w:val="bullet"/>
      <w:lvlText w:val="•"/>
      <w:lvlJc w:val="left"/>
      <w:pPr>
        <w:tabs>
          <w:tab w:val="num" w:pos="4680"/>
        </w:tabs>
        <w:ind w:left="4680" w:hanging="360"/>
      </w:pPr>
      <w:rPr>
        <w:rFonts w:ascii="Arial" w:hAnsi="Arial" w:hint="default"/>
      </w:rPr>
    </w:lvl>
    <w:lvl w:ilvl="7" w:tplc="CE52B26A" w:tentative="1">
      <w:start w:val="1"/>
      <w:numFmt w:val="bullet"/>
      <w:lvlText w:val="•"/>
      <w:lvlJc w:val="left"/>
      <w:pPr>
        <w:tabs>
          <w:tab w:val="num" w:pos="5400"/>
        </w:tabs>
        <w:ind w:left="5400" w:hanging="360"/>
      </w:pPr>
      <w:rPr>
        <w:rFonts w:ascii="Arial" w:hAnsi="Arial" w:hint="default"/>
      </w:rPr>
    </w:lvl>
    <w:lvl w:ilvl="8" w:tplc="1AA8E224"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30EB544B"/>
    <w:multiLevelType w:val="hybridMultilevel"/>
    <w:tmpl w:val="FF48F730"/>
    <w:lvl w:ilvl="0" w:tplc="72A468E2">
      <w:start w:val="1"/>
      <w:numFmt w:val="bullet"/>
      <w:lvlText w:val="•"/>
      <w:lvlJc w:val="left"/>
      <w:pPr>
        <w:tabs>
          <w:tab w:val="num" w:pos="360"/>
        </w:tabs>
        <w:ind w:left="360" w:hanging="360"/>
      </w:pPr>
      <w:rPr>
        <w:rFonts w:ascii="Arial" w:hAnsi="Arial" w:hint="default"/>
      </w:rPr>
    </w:lvl>
    <w:lvl w:ilvl="1" w:tplc="05587CD2" w:tentative="1">
      <w:start w:val="1"/>
      <w:numFmt w:val="bullet"/>
      <w:lvlText w:val="•"/>
      <w:lvlJc w:val="left"/>
      <w:pPr>
        <w:tabs>
          <w:tab w:val="num" w:pos="1080"/>
        </w:tabs>
        <w:ind w:left="1080" w:hanging="360"/>
      </w:pPr>
      <w:rPr>
        <w:rFonts w:ascii="Arial" w:hAnsi="Arial" w:hint="default"/>
      </w:rPr>
    </w:lvl>
    <w:lvl w:ilvl="2" w:tplc="F9DC1602" w:tentative="1">
      <w:start w:val="1"/>
      <w:numFmt w:val="bullet"/>
      <w:lvlText w:val="•"/>
      <w:lvlJc w:val="left"/>
      <w:pPr>
        <w:tabs>
          <w:tab w:val="num" w:pos="1800"/>
        </w:tabs>
        <w:ind w:left="1800" w:hanging="360"/>
      </w:pPr>
      <w:rPr>
        <w:rFonts w:ascii="Arial" w:hAnsi="Arial" w:hint="default"/>
      </w:rPr>
    </w:lvl>
    <w:lvl w:ilvl="3" w:tplc="BAC0FFD4" w:tentative="1">
      <w:start w:val="1"/>
      <w:numFmt w:val="bullet"/>
      <w:lvlText w:val="•"/>
      <w:lvlJc w:val="left"/>
      <w:pPr>
        <w:tabs>
          <w:tab w:val="num" w:pos="2520"/>
        </w:tabs>
        <w:ind w:left="2520" w:hanging="360"/>
      </w:pPr>
      <w:rPr>
        <w:rFonts w:ascii="Arial" w:hAnsi="Arial" w:hint="default"/>
      </w:rPr>
    </w:lvl>
    <w:lvl w:ilvl="4" w:tplc="EC54F686" w:tentative="1">
      <w:start w:val="1"/>
      <w:numFmt w:val="bullet"/>
      <w:lvlText w:val="•"/>
      <w:lvlJc w:val="left"/>
      <w:pPr>
        <w:tabs>
          <w:tab w:val="num" w:pos="3240"/>
        </w:tabs>
        <w:ind w:left="3240" w:hanging="360"/>
      </w:pPr>
      <w:rPr>
        <w:rFonts w:ascii="Arial" w:hAnsi="Arial" w:hint="default"/>
      </w:rPr>
    </w:lvl>
    <w:lvl w:ilvl="5" w:tplc="18247DD4" w:tentative="1">
      <w:start w:val="1"/>
      <w:numFmt w:val="bullet"/>
      <w:lvlText w:val="•"/>
      <w:lvlJc w:val="left"/>
      <w:pPr>
        <w:tabs>
          <w:tab w:val="num" w:pos="3960"/>
        </w:tabs>
        <w:ind w:left="3960" w:hanging="360"/>
      </w:pPr>
      <w:rPr>
        <w:rFonts w:ascii="Arial" w:hAnsi="Arial" w:hint="default"/>
      </w:rPr>
    </w:lvl>
    <w:lvl w:ilvl="6" w:tplc="8F92646C" w:tentative="1">
      <w:start w:val="1"/>
      <w:numFmt w:val="bullet"/>
      <w:lvlText w:val="•"/>
      <w:lvlJc w:val="left"/>
      <w:pPr>
        <w:tabs>
          <w:tab w:val="num" w:pos="4680"/>
        </w:tabs>
        <w:ind w:left="4680" w:hanging="360"/>
      </w:pPr>
      <w:rPr>
        <w:rFonts w:ascii="Arial" w:hAnsi="Arial" w:hint="default"/>
      </w:rPr>
    </w:lvl>
    <w:lvl w:ilvl="7" w:tplc="03D2057A" w:tentative="1">
      <w:start w:val="1"/>
      <w:numFmt w:val="bullet"/>
      <w:lvlText w:val="•"/>
      <w:lvlJc w:val="left"/>
      <w:pPr>
        <w:tabs>
          <w:tab w:val="num" w:pos="5400"/>
        </w:tabs>
        <w:ind w:left="5400" w:hanging="360"/>
      </w:pPr>
      <w:rPr>
        <w:rFonts w:ascii="Arial" w:hAnsi="Arial" w:hint="default"/>
      </w:rPr>
    </w:lvl>
    <w:lvl w:ilvl="8" w:tplc="81CE5C8E"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31F2552F"/>
    <w:multiLevelType w:val="hybridMultilevel"/>
    <w:tmpl w:val="7C2ADEE0"/>
    <w:lvl w:ilvl="0" w:tplc="E09EAC06">
      <w:start w:val="1"/>
      <w:numFmt w:val="bullet"/>
      <w:lvlText w:val="•"/>
      <w:lvlJc w:val="left"/>
      <w:pPr>
        <w:tabs>
          <w:tab w:val="num" w:pos="720"/>
        </w:tabs>
        <w:ind w:left="720" w:hanging="360"/>
      </w:pPr>
      <w:rPr>
        <w:rFonts w:ascii="Arial" w:hAnsi="Arial" w:hint="default"/>
      </w:rPr>
    </w:lvl>
    <w:lvl w:ilvl="1" w:tplc="E8467FA8" w:tentative="1">
      <w:start w:val="1"/>
      <w:numFmt w:val="bullet"/>
      <w:lvlText w:val="•"/>
      <w:lvlJc w:val="left"/>
      <w:pPr>
        <w:tabs>
          <w:tab w:val="num" w:pos="1440"/>
        </w:tabs>
        <w:ind w:left="1440" w:hanging="360"/>
      </w:pPr>
      <w:rPr>
        <w:rFonts w:ascii="Arial" w:hAnsi="Arial" w:hint="default"/>
      </w:rPr>
    </w:lvl>
    <w:lvl w:ilvl="2" w:tplc="B9E072BE" w:tentative="1">
      <w:start w:val="1"/>
      <w:numFmt w:val="bullet"/>
      <w:lvlText w:val="•"/>
      <w:lvlJc w:val="left"/>
      <w:pPr>
        <w:tabs>
          <w:tab w:val="num" w:pos="2160"/>
        </w:tabs>
        <w:ind w:left="2160" w:hanging="360"/>
      </w:pPr>
      <w:rPr>
        <w:rFonts w:ascii="Arial" w:hAnsi="Arial" w:hint="default"/>
      </w:rPr>
    </w:lvl>
    <w:lvl w:ilvl="3" w:tplc="4DB47072" w:tentative="1">
      <w:start w:val="1"/>
      <w:numFmt w:val="bullet"/>
      <w:lvlText w:val="•"/>
      <w:lvlJc w:val="left"/>
      <w:pPr>
        <w:tabs>
          <w:tab w:val="num" w:pos="2880"/>
        </w:tabs>
        <w:ind w:left="2880" w:hanging="360"/>
      </w:pPr>
      <w:rPr>
        <w:rFonts w:ascii="Arial" w:hAnsi="Arial" w:hint="default"/>
      </w:rPr>
    </w:lvl>
    <w:lvl w:ilvl="4" w:tplc="388E3194" w:tentative="1">
      <w:start w:val="1"/>
      <w:numFmt w:val="bullet"/>
      <w:lvlText w:val="•"/>
      <w:lvlJc w:val="left"/>
      <w:pPr>
        <w:tabs>
          <w:tab w:val="num" w:pos="3600"/>
        </w:tabs>
        <w:ind w:left="3600" w:hanging="360"/>
      </w:pPr>
      <w:rPr>
        <w:rFonts w:ascii="Arial" w:hAnsi="Arial" w:hint="default"/>
      </w:rPr>
    </w:lvl>
    <w:lvl w:ilvl="5" w:tplc="71A2E02C" w:tentative="1">
      <w:start w:val="1"/>
      <w:numFmt w:val="bullet"/>
      <w:lvlText w:val="•"/>
      <w:lvlJc w:val="left"/>
      <w:pPr>
        <w:tabs>
          <w:tab w:val="num" w:pos="4320"/>
        </w:tabs>
        <w:ind w:left="4320" w:hanging="360"/>
      </w:pPr>
      <w:rPr>
        <w:rFonts w:ascii="Arial" w:hAnsi="Arial" w:hint="default"/>
      </w:rPr>
    </w:lvl>
    <w:lvl w:ilvl="6" w:tplc="9B2EB2A4" w:tentative="1">
      <w:start w:val="1"/>
      <w:numFmt w:val="bullet"/>
      <w:lvlText w:val="•"/>
      <w:lvlJc w:val="left"/>
      <w:pPr>
        <w:tabs>
          <w:tab w:val="num" w:pos="5040"/>
        </w:tabs>
        <w:ind w:left="5040" w:hanging="360"/>
      </w:pPr>
      <w:rPr>
        <w:rFonts w:ascii="Arial" w:hAnsi="Arial" w:hint="default"/>
      </w:rPr>
    </w:lvl>
    <w:lvl w:ilvl="7" w:tplc="CDE8DB50" w:tentative="1">
      <w:start w:val="1"/>
      <w:numFmt w:val="bullet"/>
      <w:lvlText w:val="•"/>
      <w:lvlJc w:val="left"/>
      <w:pPr>
        <w:tabs>
          <w:tab w:val="num" w:pos="5760"/>
        </w:tabs>
        <w:ind w:left="5760" w:hanging="360"/>
      </w:pPr>
      <w:rPr>
        <w:rFonts w:ascii="Arial" w:hAnsi="Arial" w:hint="default"/>
      </w:rPr>
    </w:lvl>
    <w:lvl w:ilvl="8" w:tplc="05ACEE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3D06139"/>
    <w:multiLevelType w:val="hybridMultilevel"/>
    <w:tmpl w:val="17464A26"/>
    <w:lvl w:ilvl="0" w:tplc="0B8E94E8">
      <w:start w:val="1"/>
      <w:numFmt w:val="bullet"/>
      <w:lvlText w:val="•"/>
      <w:lvlJc w:val="left"/>
      <w:pPr>
        <w:tabs>
          <w:tab w:val="num" w:pos="720"/>
        </w:tabs>
        <w:ind w:left="720" w:hanging="360"/>
      </w:pPr>
      <w:rPr>
        <w:rFonts w:ascii="Arial" w:hAnsi="Arial" w:hint="default"/>
      </w:rPr>
    </w:lvl>
    <w:lvl w:ilvl="1" w:tplc="2A1E2552" w:tentative="1">
      <w:start w:val="1"/>
      <w:numFmt w:val="bullet"/>
      <w:lvlText w:val="•"/>
      <w:lvlJc w:val="left"/>
      <w:pPr>
        <w:tabs>
          <w:tab w:val="num" w:pos="1440"/>
        </w:tabs>
        <w:ind w:left="1440" w:hanging="360"/>
      </w:pPr>
      <w:rPr>
        <w:rFonts w:ascii="Arial" w:hAnsi="Arial" w:hint="default"/>
      </w:rPr>
    </w:lvl>
    <w:lvl w:ilvl="2" w:tplc="2828F1D2" w:tentative="1">
      <w:start w:val="1"/>
      <w:numFmt w:val="bullet"/>
      <w:lvlText w:val="•"/>
      <w:lvlJc w:val="left"/>
      <w:pPr>
        <w:tabs>
          <w:tab w:val="num" w:pos="2160"/>
        </w:tabs>
        <w:ind w:left="2160" w:hanging="360"/>
      </w:pPr>
      <w:rPr>
        <w:rFonts w:ascii="Arial" w:hAnsi="Arial" w:hint="default"/>
      </w:rPr>
    </w:lvl>
    <w:lvl w:ilvl="3" w:tplc="8FD08594" w:tentative="1">
      <w:start w:val="1"/>
      <w:numFmt w:val="bullet"/>
      <w:lvlText w:val="•"/>
      <w:lvlJc w:val="left"/>
      <w:pPr>
        <w:tabs>
          <w:tab w:val="num" w:pos="2880"/>
        </w:tabs>
        <w:ind w:left="2880" w:hanging="360"/>
      </w:pPr>
      <w:rPr>
        <w:rFonts w:ascii="Arial" w:hAnsi="Arial" w:hint="default"/>
      </w:rPr>
    </w:lvl>
    <w:lvl w:ilvl="4" w:tplc="DDBABD90" w:tentative="1">
      <w:start w:val="1"/>
      <w:numFmt w:val="bullet"/>
      <w:lvlText w:val="•"/>
      <w:lvlJc w:val="left"/>
      <w:pPr>
        <w:tabs>
          <w:tab w:val="num" w:pos="3600"/>
        </w:tabs>
        <w:ind w:left="3600" w:hanging="360"/>
      </w:pPr>
      <w:rPr>
        <w:rFonts w:ascii="Arial" w:hAnsi="Arial" w:hint="default"/>
      </w:rPr>
    </w:lvl>
    <w:lvl w:ilvl="5" w:tplc="CB74C5FA" w:tentative="1">
      <w:start w:val="1"/>
      <w:numFmt w:val="bullet"/>
      <w:lvlText w:val="•"/>
      <w:lvlJc w:val="left"/>
      <w:pPr>
        <w:tabs>
          <w:tab w:val="num" w:pos="4320"/>
        </w:tabs>
        <w:ind w:left="4320" w:hanging="360"/>
      </w:pPr>
      <w:rPr>
        <w:rFonts w:ascii="Arial" w:hAnsi="Arial" w:hint="default"/>
      </w:rPr>
    </w:lvl>
    <w:lvl w:ilvl="6" w:tplc="94A63C8A" w:tentative="1">
      <w:start w:val="1"/>
      <w:numFmt w:val="bullet"/>
      <w:lvlText w:val="•"/>
      <w:lvlJc w:val="left"/>
      <w:pPr>
        <w:tabs>
          <w:tab w:val="num" w:pos="5040"/>
        </w:tabs>
        <w:ind w:left="5040" w:hanging="360"/>
      </w:pPr>
      <w:rPr>
        <w:rFonts w:ascii="Arial" w:hAnsi="Arial" w:hint="default"/>
      </w:rPr>
    </w:lvl>
    <w:lvl w:ilvl="7" w:tplc="0706ABC0" w:tentative="1">
      <w:start w:val="1"/>
      <w:numFmt w:val="bullet"/>
      <w:lvlText w:val="•"/>
      <w:lvlJc w:val="left"/>
      <w:pPr>
        <w:tabs>
          <w:tab w:val="num" w:pos="5760"/>
        </w:tabs>
        <w:ind w:left="5760" w:hanging="360"/>
      </w:pPr>
      <w:rPr>
        <w:rFonts w:ascii="Arial" w:hAnsi="Arial" w:hint="default"/>
      </w:rPr>
    </w:lvl>
    <w:lvl w:ilvl="8" w:tplc="7566347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D73E6F"/>
    <w:multiLevelType w:val="hybridMultilevel"/>
    <w:tmpl w:val="FDB0CFF8"/>
    <w:lvl w:ilvl="0" w:tplc="19203806">
      <w:start w:val="1"/>
      <w:numFmt w:val="decimal"/>
      <w:suff w:val="nothing"/>
      <w:lvlText w:val="Chapter %1"/>
      <w:lvlJc w:val="left"/>
      <w:pPr>
        <w:ind w:left="360" w:hanging="360"/>
      </w:pPr>
      <w:rPr>
        <w:rFonts w:hint="default"/>
        <w:spacing w:val="0"/>
        <w:w w:val="100"/>
        <w:kern w:val="0"/>
        <w:position w:val="0"/>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4" w15:restartNumberingAfterBreak="0">
    <w:nsid w:val="370336DD"/>
    <w:multiLevelType w:val="hybridMultilevel"/>
    <w:tmpl w:val="1BA4D314"/>
    <w:lvl w:ilvl="0" w:tplc="585E9B32">
      <w:start w:val="1"/>
      <w:numFmt w:val="bullet"/>
      <w:lvlText w:val="•"/>
      <w:lvlJc w:val="left"/>
      <w:pPr>
        <w:tabs>
          <w:tab w:val="num" w:pos="720"/>
        </w:tabs>
        <w:ind w:left="720" w:hanging="360"/>
      </w:pPr>
      <w:rPr>
        <w:rFonts w:ascii="Arial" w:hAnsi="Arial" w:hint="default"/>
      </w:rPr>
    </w:lvl>
    <w:lvl w:ilvl="1" w:tplc="4906B992" w:tentative="1">
      <w:start w:val="1"/>
      <w:numFmt w:val="bullet"/>
      <w:lvlText w:val="•"/>
      <w:lvlJc w:val="left"/>
      <w:pPr>
        <w:tabs>
          <w:tab w:val="num" w:pos="1440"/>
        </w:tabs>
        <w:ind w:left="1440" w:hanging="360"/>
      </w:pPr>
      <w:rPr>
        <w:rFonts w:ascii="Arial" w:hAnsi="Arial" w:hint="default"/>
      </w:rPr>
    </w:lvl>
    <w:lvl w:ilvl="2" w:tplc="CB0AD5AE" w:tentative="1">
      <w:start w:val="1"/>
      <w:numFmt w:val="bullet"/>
      <w:lvlText w:val="•"/>
      <w:lvlJc w:val="left"/>
      <w:pPr>
        <w:tabs>
          <w:tab w:val="num" w:pos="2160"/>
        </w:tabs>
        <w:ind w:left="2160" w:hanging="360"/>
      </w:pPr>
      <w:rPr>
        <w:rFonts w:ascii="Arial" w:hAnsi="Arial" w:hint="default"/>
      </w:rPr>
    </w:lvl>
    <w:lvl w:ilvl="3" w:tplc="EAC07D60" w:tentative="1">
      <w:start w:val="1"/>
      <w:numFmt w:val="bullet"/>
      <w:lvlText w:val="•"/>
      <w:lvlJc w:val="left"/>
      <w:pPr>
        <w:tabs>
          <w:tab w:val="num" w:pos="2880"/>
        </w:tabs>
        <w:ind w:left="2880" w:hanging="360"/>
      </w:pPr>
      <w:rPr>
        <w:rFonts w:ascii="Arial" w:hAnsi="Arial" w:hint="default"/>
      </w:rPr>
    </w:lvl>
    <w:lvl w:ilvl="4" w:tplc="60B8FA48" w:tentative="1">
      <w:start w:val="1"/>
      <w:numFmt w:val="bullet"/>
      <w:lvlText w:val="•"/>
      <w:lvlJc w:val="left"/>
      <w:pPr>
        <w:tabs>
          <w:tab w:val="num" w:pos="3600"/>
        </w:tabs>
        <w:ind w:left="3600" w:hanging="360"/>
      </w:pPr>
      <w:rPr>
        <w:rFonts w:ascii="Arial" w:hAnsi="Arial" w:hint="default"/>
      </w:rPr>
    </w:lvl>
    <w:lvl w:ilvl="5" w:tplc="298E8432" w:tentative="1">
      <w:start w:val="1"/>
      <w:numFmt w:val="bullet"/>
      <w:lvlText w:val="•"/>
      <w:lvlJc w:val="left"/>
      <w:pPr>
        <w:tabs>
          <w:tab w:val="num" w:pos="4320"/>
        </w:tabs>
        <w:ind w:left="4320" w:hanging="360"/>
      </w:pPr>
      <w:rPr>
        <w:rFonts w:ascii="Arial" w:hAnsi="Arial" w:hint="default"/>
      </w:rPr>
    </w:lvl>
    <w:lvl w:ilvl="6" w:tplc="E886E8F4" w:tentative="1">
      <w:start w:val="1"/>
      <w:numFmt w:val="bullet"/>
      <w:lvlText w:val="•"/>
      <w:lvlJc w:val="left"/>
      <w:pPr>
        <w:tabs>
          <w:tab w:val="num" w:pos="5040"/>
        </w:tabs>
        <w:ind w:left="5040" w:hanging="360"/>
      </w:pPr>
      <w:rPr>
        <w:rFonts w:ascii="Arial" w:hAnsi="Arial" w:hint="default"/>
      </w:rPr>
    </w:lvl>
    <w:lvl w:ilvl="7" w:tplc="940E7D80" w:tentative="1">
      <w:start w:val="1"/>
      <w:numFmt w:val="bullet"/>
      <w:lvlText w:val="•"/>
      <w:lvlJc w:val="left"/>
      <w:pPr>
        <w:tabs>
          <w:tab w:val="num" w:pos="5760"/>
        </w:tabs>
        <w:ind w:left="5760" w:hanging="360"/>
      </w:pPr>
      <w:rPr>
        <w:rFonts w:ascii="Arial" w:hAnsi="Arial" w:hint="default"/>
      </w:rPr>
    </w:lvl>
    <w:lvl w:ilvl="8" w:tplc="0DDAB31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344FB4"/>
    <w:multiLevelType w:val="hybridMultilevel"/>
    <w:tmpl w:val="4752911E"/>
    <w:lvl w:ilvl="0" w:tplc="78281FCC">
      <w:start w:val="1"/>
      <w:numFmt w:val="upperLetter"/>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53B8F"/>
    <w:multiLevelType w:val="hybridMultilevel"/>
    <w:tmpl w:val="C74E7AF4"/>
    <w:lvl w:ilvl="0" w:tplc="4746AD84">
      <w:start w:val="1"/>
      <w:numFmt w:val="decimal"/>
      <w:lvlText w:val="Chapter %1"/>
      <w:lvlJc w:val="left"/>
      <w:pPr>
        <w:ind w:left="720" w:hanging="360"/>
      </w:pPr>
      <w:rPr>
        <w:rFonts w:hint="default"/>
        <w:spacing w:val="0"/>
        <w:w w:val="100"/>
        <w:kern w:val="0"/>
        <w:position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4477BD"/>
    <w:multiLevelType w:val="hybridMultilevel"/>
    <w:tmpl w:val="C93ECF92"/>
    <w:lvl w:ilvl="0" w:tplc="9F40FBF2">
      <w:start w:val="1"/>
      <w:numFmt w:val="bullet"/>
      <w:lvlText w:val="•"/>
      <w:lvlJc w:val="left"/>
      <w:pPr>
        <w:tabs>
          <w:tab w:val="num" w:pos="720"/>
        </w:tabs>
        <w:ind w:left="720" w:hanging="360"/>
      </w:pPr>
      <w:rPr>
        <w:rFonts w:ascii="Arial" w:hAnsi="Arial" w:hint="default"/>
      </w:rPr>
    </w:lvl>
    <w:lvl w:ilvl="1" w:tplc="FB709572" w:tentative="1">
      <w:start w:val="1"/>
      <w:numFmt w:val="bullet"/>
      <w:lvlText w:val="•"/>
      <w:lvlJc w:val="left"/>
      <w:pPr>
        <w:tabs>
          <w:tab w:val="num" w:pos="1440"/>
        </w:tabs>
        <w:ind w:left="1440" w:hanging="360"/>
      </w:pPr>
      <w:rPr>
        <w:rFonts w:ascii="Arial" w:hAnsi="Arial" w:hint="default"/>
      </w:rPr>
    </w:lvl>
    <w:lvl w:ilvl="2" w:tplc="9ED61F04" w:tentative="1">
      <w:start w:val="1"/>
      <w:numFmt w:val="bullet"/>
      <w:lvlText w:val="•"/>
      <w:lvlJc w:val="left"/>
      <w:pPr>
        <w:tabs>
          <w:tab w:val="num" w:pos="2160"/>
        </w:tabs>
        <w:ind w:left="2160" w:hanging="360"/>
      </w:pPr>
      <w:rPr>
        <w:rFonts w:ascii="Arial" w:hAnsi="Arial" w:hint="default"/>
      </w:rPr>
    </w:lvl>
    <w:lvl w:ilvl="3" w:tplc="59FC90D6" w:tentative="1">
      <w:start w:val="1"/>
      <w:numFmt w:val="bullet"/>
      <w:lvlText w:val="•"/>
      <w:lvlJc w:val="left"/>
      <w:pPr>
        <w:tabs>
          <w:tab w:val="num" w:pos="2880"/>
        </w:tabs>
        <w:ind w:left="2880" w:hanging="360"/>
      </w:pPr>
      <w:rPr>
        <w:rFonts w:ascii="Arial" w:hAnsi="Arial" w:hint="default"/>
      </w:rPr>
    </w:lvl>
    <w:lvl w:ilvl="4" w:tplc="EC202DB2" w:tentative="1">
      <w:start w:val="1"/>
      <w:numFmt w:val="bullet"/>
      <w:lvlText w:val="•"/>
      <w:lvlJc w:val="left"/>
      <w:pPr>
        <w:tabs>
          <w:tab w:val="num" w:pos="3600"/>
        </w:tabs>
        <w:ind w:left="3600" w:hanging="360"/>
      </w:pPr>
      <w:rPr>
        <w:rFonts w:ascii="Arial" w:hAnsi="Arial" w:hint="default"/>
      </w:rPr>
    </w:lvl>
    <w:lvl w:ilvl="5" w:tplc="66763158" w:tentative="1">
      <w:start w:val="1"/>
      <w:numFmt w:val="bullet"/>
      <w:lvlText w:val="•"/>
      <w:lvlJc w:val="left"/>
      <w:pPr>
        <w:tabs>
          <w:tab w:val="num" w:pos="4320"/>
        </w:tabs>
        <w:ind w:left="4320" w:hanging="360"/>
      </w:pPr>
      <w:rPr>
        <w:rFonts w:ascii="Arial" w:hAnsi="Arial" w:hint="default"/>
      </w:rPr>
    </w:lvl>
    <w:lvl w:ilvl="6" w:tplc="6492A6CC" w:tentative="1">
      <w:start w:val="1"/>
      <w:numFmt w:val="bullet"/>
      <w:lvlText w:val="•"/>
      <w:lvlJc w:val="left"/>
      <w:pPr>
        <w:tabs>
          <w:tab w:val="num" w:pos="5040"/>
        </w:tabs>
        <w:ind w:left="5040" w:hanging="360"/>
      </w:pPr>
      <w:rPr>
        <w:rFonts w:ascii="Arial" w:hAnsi="Arial" w:hint="default"/>
      </w:rPr>
    </w:lvl>
    <w:lvl w:ilvl="7" w:tplc="6BB47728" w:tentative="1">
      <w:start w:val="1"/>
      <w:numFmt w:val="bullet"/>
      <w:lvlText w:val="•"/>
      <w:lvlJc w:val="left"/>
      <w:pPr>
        <w:tabs>
          <w:tab w:val="num" w:pos="5760"/>
        </w:tabs>
        <w:ind w:left="5760" w:hanging="360"/>
      </w:pPr>
      <w:rPr>
        <w:rFonts w:ascii="Arial" w:hAnsi="Arial" w:hint="default"/>
      </w:rPr>
    </w:lvl>
    <w:lvl w:ilvl="8" w:tplc="CB0AE98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10A63BC"/>
    <w:multiLevelType w:val="hybridMultilevel"/>
    <w:tmpl w:val="BA2A6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B023A7"/>
    <w:multiLevelType w:val="hybridMultilevel"/>
    <w:tmpl w:val="D60E5DAA"/>
    <w:lvl w:ilvl="0" w:tplc="AD980BF4">
      <w:start w:val="1"/>
      <w:numFmt w:val="bullet"/>
      <w:lvlText w:val="•"/>
      <w:lvlJc w:val="left"/>
      <w:pPr>
        <w:tabs>
          <w:tab w:val="num" w:pos="360"/>
        </w:tabs>
        <w:ind w:left="360" w:hanging="360"/>
      </w:pPr>
      <w:rPr>
        <w:rFonts w:ascii="Arial" w:hAnsi="Arial" w:hint="default"/>
      </w:rPr>
    </w:lvl>
    <w:lvl w:ilvl="1" w:tplc="D4289520" w:tentative="1">
      <w:start w:val="1"/>
      <w:numFmt w:val="bullet"/>
      <w:lvlText w:val="•"/>
      <w:lvlJc w:val="left"/>
      <w:pPr>
        <w:tabs>
          <w:tab w:val="num" w:pos="1080"/>
        </w:tabs>
        <w:ind w:left="1080" w:hanging="360"/>
      </w:pPr>
      <w:rPr>
        <w:rFonts w:ascii="Arial" w:hAnsi="Arial" w:hint="default"/>
      </w:rPr>
    </w:lvl>
    <w:lvl w:ilvl="2" w:tplc="74DE04E4" w:tentative="1">
      <w:start w:val="1"/>
      <w:numFmt w:val="bullet"/>
      <w:lvlText w:val="•"/>
      <w:lvlJc w:val="left"/>
      <w:pPr>
        <w:tabs>
          <w:tab w:val="num" w:pos="1800"/>
        </w:tabs>
        <w:ind w:left="1800" w:hanging="360"/>
      </w:pPr>
      <w:rPr>
        <w:rFonts w:ascii="Arial" w:hAnsi="Arial" w:hint="default"/>
      </w:rPr>
    </w:lvl>
    <w:lvl w:ilvl="3" w:tplc="1DD60564" w:tentative="1">
      <w:start w:val="1"/>
      <w:numFmt w:val="bullet"/>
      <w:lvlText w:val="•"/>
      <w:lvlJc w:val="left"/>
      <w:pPr>
        <w:tabs>
          <w:tab w:val="num" w:pos="2520"/>
        </w:tabs>
        <w:ind w:left="2520" w:hanging="360"/>
      </w:pPr>
      <w:rPr>
        <w:rFonts w:ascii="Arial" w:hAnsi="Arial" w:hint="default"/>
      </w:rPr>
    </w:lvl>
    <w:lvl w:ilvl="4" w:tplc="4BBAAD6A" w:tentative="1">
      <w:start w:val="1"/>
      <w:numFmt w:val="bullet"/>
      <w:lvlText w:val="•"/>
      <w:lvlJc w:val="left"/>
      <w:pPr>
        <w:tabs>
          <w:tab w:val="num" w:pos="3240"/>
        </w:tabs>
        <w:ind w:left="3240" w:hanging="360"/>
      </w:pPr>
      <w:rPr>
        <w:rFonts w:ascii="Arial" w:hAnsi="Arial" w:hint="default"/>
      </w:rPr>
    </w:lvl>
    <w:lvl w:ilvl="5" w:tplc="485C814E" w:tentative="1">
      <w:start w:val="1"/>
      <w:numFmt w:val="bullet"/>
      <w:lvlText w:val="•"/>
      <w:lvlJc w:val="left"/>
      <w:pPr>
        <w:tabs>
          <w:tab w:val="num" w:pos="3960"/>
        </w:tabs>
        <w:ind w:left="3960" w:hanging="360"/>
      </w:pPr>
      <w:rPr>
        <w:rFonts w:ascii="Arial" w:hAnsi="Arial" w:hint="default"/>
      </w:rPr>
    </w:lvl>
    <w:lvl w:ilvl="6" w:tplc="2E28336E" w:tentative="1">
      <w:start w:val="1"/>
      <w:numFmt w:val="bullet"/>
      <w:lvlText w:val="•"/>
      <w:lvlJc w:val="left"/>
      <w:pPr>
        <w:tabs>
          <w:tab w:val="num" w:pos="4680"/>
        </w:tabs>
        <w:ind w:left="4680" w:hanging="360"/>
      </w:pPr>
      <w:rPr>
        <w:rFonts w:ascii="Arial" w:hAnsi="Arial" w:hint="default"/>
      </w:rPr>
    </w:lvl>
    <w:lvl w:ilvl="7" w:tplc="7C820216" w:tentative="1">
      <w:start w:val="1"/>
      <w:numFmt w:val="bullet"/>
      <w:lvlText w:val="•"/>
      <w:lvlJc w:val="left"/>
      <w:pPr>
        <w:tabs>
          <w:tab w:val="num" w:pos="5400"/>
        </w:tabs>
        <w:ind w:left="5400" w:hanging="360"/>
      </w:pPr>
      <w:rPr>
        <w:rFonts w:ascii="Arial" w:hAnsi="Arial" w:hint="default"/>
      </w:rPr>
    </w:lvl>
    <w:lvl w:ilvl="8" w:tplc="52FE5C2A"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42D06F29"/>
    <w:multiLevelType w:val="hybridMultilevel"/>
    <w:tmpl w:val="6E26231E"/>
    <w:lvl w:ilvl="0" w:tplc="84F89DBC">
      <w:start w:val="1"/>
      <w:numFmt w:val="bullet"/>
      <w:lvlText w:val="•"/>
      <w:lvlJc w:val="left"/>
      <w:pPr>
        <w:tabs>
          <w:tab w:val="num" w:pos="360"/>
        </w:tabs>
        <w:ind w:left="360" w:hanging="360"/>
      </w:pPr>
      <w:rPr>
        <w:rFonts w:ascii="Arial" w:hAnsi="Arial" w:hint="default"/>
      </w:rPr>
    </w:lvl>
    <w:lvl w:ilvl="1" w:tplc="A8F64FF2" w:tentative="1">
      <w:start w:val="1"/>
      <w:numFmt w:val="bullet"/>
      <w:lvlText w:val="•"/>
      <w:lvlJc w:val="left"/>
      <w:pPr>
        <w:tabs>
          <w:tab w:val="num" w:pos="1080"/>
        </w:tabs>
        <w:ind w:left="1080" w:hanging="360"/>
      </w:pPr>
      <w:rPr>
        <w:rFonts w:ascii="Arial" w:hAnsi="Arial" w:hint="default"/>
      </w:rPr>
    </w:lvl>
    <w:lvl w:ilvl="2" w:tplc="50A0A40C" w:tentative="1">
      <w:start w:val="1"/>
      <w:numFmt w:val="bullet"/>
      <w:lvlText w:val="•"/>
      <w:lvlJc w:val="left"/>
      <w:pPr>
        <w:tabs>
          <w:tab w:val="num" w:pos="1800"/>
        </w:tabs>
        <w:ind w:left="1800" w:hanging="360"/>
      </w:pPr>
      <w:rPr>
        <w:rFonts w:ascii="Arial" w:hAnsi="Arial" w:hint="default"/>
      </w:rPr>
    </w:lvl>
    <w:lvl w:ilvl="3" w:tplc="DBEEF66A" w:tentative="1">
      <w:start w:val="1"/>
      <w:numFmt w:val="bullet"/>
      <w:lvlText w:val="•"/>
      <w:lvlJc w:val="left"/>
      <w:pPr>
        <w:tabs>
          <w:tab w:val="num" w:pos="2520"/>
        </w:tabs>
        <w:ind w:left="2520" w:hanging="360"/>
      </w:pPr>
      <w:rPr>
        <w:rFonts w:ascii="Arial" w:hAnsi="Arial" w:hint="default"/>
      </w:rPr>
    </w:lvl>
    <w:lvl w:ilvl="4" w:tplc="E24E630A" w:tentative="1">
      <w:start w:val="1"/>
      <w:numFmt w:val="bullet"/>
      <w:lvlText w:val="•"/>
      <w:lvlJc w:val="left"/>
      <w:pPr>
        <w:tabs>
          <w:tab w:val="num" w:pos="3240"/>
        </w:tabs>
        <w:ind w:left="3240" w:hanging="360"/>
      </w:pPr>
      <w:rPr>
        <w:rFonts w:ascii="Arial" w:hAnsi="Arial" w:hint="default"/>
      </w:rPr>
    </w:lvl>
    <w:lvl w:ilvl="5" w:tplc="D6E488A2" w:tentative="1">
      <w:start w:val="1"/>
      <w:numFmt w:val="bullet"/>
      <w:lvlText w:val="•"/>
      <w:lvlJc w:val="left"/>
      <w:pPr>
        <w:tabs>
          <w:tab w:val="num" w:pos="3960"/>
        </w:tabs>
        <w:ind w:left="3960" w:hanging="360"/>
      </w:pPr>
      <w:rPr>
        <w:rFonts w:ascii="Arial" w:hAnsi="Arial" w:hint="default"/>
      </w:rPr>
    </w:lvl>
    <w:lvl w:ilvl="6" w:tplc="1F960328" w:tentative="1">
      <w:start w:val="1"/>
      <w:numFmt w:val="bullet"/>
      <w:lvlText w:val="•"/>
      <w:lvlJc w:val="left"/>
      <w:pPr>
        <w:tabs>
          <w:tab w:val="num" w:pos="4680"/>
        </w:tabs>
        <w:ind w:left="4680" w:hanging="360"/>
      </w:pPr>
      <w:rPr>
        <w:rFonts w:ascii="Arial" w:hAnsi="Arial" w:hint="default"/>
      </w:rPr>
    </w:lvl>
    <w:lvl w:ilvl="7" w:tplc="58820A6A" w:tentative="1">
      <w:start w:val="1"/>
      <w:numFmt w:val="bullet"/>
      <w:lvlText w:val="•"/>
      <w:lvlJc w:val="left"/>
      <w:pPr>
        <w:tabs>
          <w:tab w:val="num" w:pos="5400"/>
        </w:tabs>
        <w:ind w:left="5400" w:hanging="360"/>
      </w:pPr>
      <w:rPr>
        <w:rFonts w:ascii="Arial" w:hAnsi="Arial" w:hint="default"/>
      </w:rPr>
    </w:lvl>
    <w:lvl w:ilvl="8" w:tplc="CCE870B4"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46A272C3"/>
    <w:multiLevelType w:val="hybridMultilevel"/>
    <w:tmpl w:val="EB580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45C75"/>
    <w:multiLevelType w:val="hybridMultilevel"/>
    <w:tmpl w:val="61F0C7E2"/>
    <w:lvl w:ilvl="0" w:tplc="E3061780">
      <w:start w:val="1"/>
      <w:numFmt w:val="bullet"/>
      <w:lvlText w:val="•"/>
      <w:lvlJc w:val="left"/>
      <w:pPr>
        <w:tabs>
          <w:tab w:val="num" w:pos="360"/>
        </w:tabs>
        <w:ind w:left="360" w:hanging="360"/>
      </w:pPr>
      <w:rPr>
        <w:rFonts w:ascii="Arial" w:hAnsi="Arial" w:hint="default"/>
      </w:rPr>
    </w:lvl>
    <w:lvl w:ilvl="1" w:tplc="0FBCED9E" w:tentative="1">
      <w:start w:val="1"/>
      <w:numFmt w:val="bullet"/>
      <w:lvlText w:val="•"/>
      <w:lvlJc w:val="left"/>
      <w:pPr>
        <w:tabs>
          <w:tab w:val="num" w:pos="1080"/>
        </w:tabs>
        <w:ind w:left="1080" w:hanging="360"/>
      </w:pPr>
      <w:rPr>
        <w:rFonts w:ascii="Arial" w:hAnsi="Arial" w:hint="default"/>
      </w:rPr>
    </w:lvl>
    <w:lvl w:ilvl="2" w:tplc="5F001420" w:tentative="1">
      <w:start w:val="1"/>
      <w:numFmt w:val="bullet"/>
      <w:lvlText w:val="•"/>
      <w:lvlJc w:val="left"/>
      <w:pPr>
        <w:tabs>
          <w:tab w:val="num" w:pos="1800"/>
        </w:tabs>
        <w:ind w:left="1800" w:hanging="360"/>
      </w:pPr>
      <w:rPr>
        <w:rFonts w:ascii="Arial" w:hAnsi="Arial" w:hint="default"/>
      </w:rPr>
    </w:lvl>
    <w:lvl w:ilvl="3" w:tplc="7CB22C82" w:tentative="1">
      <w:start w:val="1"/>
      <w:numFmt w:val="bullet"/>
      <w:lvlText w:val="•"/>
      <w:lvlJc w:val="left"/>
      <w:pPr>
        <w:tabs>
          <w:tab w:val="num" w:pos="2520"/>
        </w:tabs>
        <w:ind w:left="2520" w:hanging="360"/>
      </w:pPr>
      <w:rPr>
        <w:rFonts w:ascii="Arial" w:hAnsi="Arial" w:hint="default"/>
      </w:rPr>
    </w:lvl>
    <w:lvl w:ilvl="4" w:tplc="E68AE7F8" w:tentative="1">
      <w:start w:val="1"/>
      <w:numFmt w:val="bullet"/>
      <w:lvlText w:val="•"/>
      <w:lvlJc w:val="left"/>
      <w:pPr>
        <w:tabs>
          <w:tab w:val="num" w:pos="3240"/>
        </w:tabs>
        <w:ind w:left="3240" w:hanging="360"/>
      </w:pPr>
      <w:rPr>
        <w:rFonts w:ascii="Arial" w:hAnsi="Arial" w:hint="default"/>
      </w:rPr>
    </w:lvl>
    <w:lvl w:ilvl="5" w:tplc="DB141AD2" w:tentative="1">
      <w:start w:val="1"/>
      <w:numFmt w:val="bullet"/>
      <w:lvlText w:val="•"/>
      <w:lvlJc w:val="left"/>
      <w:pPr>
        <w:tabs>
          <w:tab w:val="num" w:pos="3960"/>
        </w:tabs>
        <w:ind w:left="3960" w:hanging="360"/>
      </w:pPr>
      <w:rPr>
        <w:rFonts w:ascii="Arial" w:hAnsi="Arial" w:hint="default"/>
      </w:rPr>
    </w:lvl>
    <w:lvl w:ilvl="6" w:tplc="6E12051E" w:tentative="1">
      <w:start w:val="1"/>
      <w:numFmt w:val="bullet"/>
      <w:lvlText w:val="•"/>
      <w:lvlJc w:val="left"/>
      <w:pPr>
        <w:tabs>
          <w:tab w:val="num" w:pos="4680"/>
        </w:tabs>
        <w:ind w:left="4680" w:hanging="360"/>
      </w:pPr>
      <w:rPr>
        <w:rFonts w:ascii="Arial" w:hAnsi="Arial" w:hint="default"/>
      </w:rPr>
    </w:lvl>
    <w:lvl w:ilvl="7" w:tplc="937C9E20" w:tentative="1">
      <w:start w:val="1"/>
      <w:numFmt w:val="bullet"/>
      <w:lvlText w:val="•"/>
      <w:lvlJc w:val="left"/>
      <w:pPr>
        <w:tabs>
          <w:tab w:val="num" w:pos="5400"/>
        </w:tabs>
        <w:ind w:left="5400" w:hanging="360"/>
      </w:pPr>
      <w:rPr>
        <w:rFonts w:ascii="Arial" w:hAnsi="Arial" w:hint="default"/>
      </w:rPr>
    </w:lvl>
    <w:lvl w:ilvl="8" w:tplc="AA2624D2"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487C71B9"/>
    <w:multiLevelType w:val="hybridMultilevel"/>
    <w:tmpl w:val="BE3CB4E6"/>
    <w:lvl w:ilvl="0" w:tplc="2E969414">
      <w:start w:val="1"/>
      <w:numFmt w:val="decimal"/>
      <w:pStyle w:val="Title"/>
      <w:lvlText w:val="Chapter %1:"/>
      <w:lvlJc w:val="left"/>
      <w:pPr>
        <w:ind w:left="720" w:hanging="360"/>
      </w:pPr>
      <w:rPr>
        <w:rFonts w:hint="default"/>
        <w:spacing w:val="0"/>
        <w:w w:val="100"/>
        <w:kern w:val="0"/>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CB7A1F"/>
    <w:multiLevelType w:val="hybridMultilevel"/>
    <w:tmpl w:val="992E146A"/>
    <w:lvl w:ilvl="0" w:tplc="F19A31E2">
      <w:start w:val="1"/>
      <w:numFmt w:val="decimal"/>
      <w:lvlText w:val="Chapter %1"/>
      <w:lvlJc w:val="left"/>
      <w:pPr>
        <w:ind w:left="720" w:hanging="360"/>
      </w:pPr>
      <w:rPr>
        <w:rFonts w:hint="default"/>
        <w:spacing w:val="0"/>
        <w:w w:val="100"/>
        <w:kern w:val="0"/>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F22F5A"/>
    <w:multiLevelType w:val="hybridMultilevel"/>
    <w:tmpl w:val="885237C8"/>
    <w:lvl w:ilvl="0" w:tplc="6C206B1E">
      <w:start w:val="1"/>
      <w:numFmt w:val="bullet"/>
      <w:lvlText w:val="•"/>
      <w:lvlJc w:val="left"/>
      <w:pPr>
        <w:tabs>
          <w:tab w:val="num" w:pos="720"/>
        </w:tabs>
        <w:ind w:left="720" w:hanging="360"/>
      </w:pPr>
      <w:rPr>
        <w:rFonts w:ascii="Arial" w:hAnsi="Arial" w:hint="default"/>
      </w:rPr>
    </w:lvl>
    <w:lvl w:ilvl="1" w:tplc="FE5CB3CA" w:tentative="1">
      <w:start w:val="1"/>
      <w:numFmt w:val="bullet"/>
      <w:lvlText w:val="•"/>
      <w:lvlJc w:val="left"/>
      <w:pPr>
        <w:tabs>
          <w:tab w:val="num" w:pos="1440"/>
        </w:tabs>
        <w:ind w:left="1440" w:hanging="360"/>
      </w:pPr>
      <w:rPr>
        <w:rFonts w:ascii="Arial" w:hAnsi="Arial" w:hint="default"/>
      </w:rPr>
    </w:lvl>
    <w:lvl w:ilvl="2" w:tplc="E6C0092C" w:tentative="1">
      <w:start w:val="1"/>
      <w:numFmt w:val="bullet"/>
      <w:lvlText w:val="•"/>
      <w:lvlJc w:val="left"/>
      <w:pPr>
        <w:tabs>
          <w:tab w:val="num" w:pos="2160"/>
        </w:tabs>
        <w:ind w:left="2160" w:hanging="360"/>
      </w:pPr>
      <w:rPr>
        <w:rFonts w:ascii="Arial" w:hAnsi="Arial" w:hint="default"/>
      </w:rPr>
    </w:lvl>
    <w:lvl w:ilvl="3" w:tplc="525C048C" w:tentative="1">
      <w:start w:val="1"/>
      <w:numFmt w:val="bullet"/>
      <w:lvlText w:val="•"/>
      <w:lvlJc w:val="left"/>
      <w:pPr>
        <w:tabs>
          <w:tab w:val="num" w:pos="2880"/>
        </w:tabs>
        <w:ind w:left="2880" w:hanging="360"/>
      </w:pPr>
      <w:rPr>
        <w:rFonts w:ascii="Arial" w:hAnsi="Arial" w:hint="default"/>
      </w:rPr>
    </w:lvl>
    <w:lvl w:ilvl="4" w:tplc="C766427C" w:tentative="1">
      <w:start w:val="1"/>
      <w:numFmt w:val="bullet"/>
      <w:lvlText w:val="•"/>
      <w:lvlJc w:val="left"/>
      <w:pPr>
        <w:tabs>
          <w:tab w:val="num" w:pos="3600"/>
        </w:tabs>
        <w:ind w:left="3600" w:hanging="360"/>
      </w:pPr>
      <w:rPr>
        <w:rFonts w:ascii="Arial" w:hAnsi="Arial" w:hint="default"/>
      </w:rPr>
    </w:lvl>
    <w:lvl w:ilvl="5" w:tplc="E918E60E" w:tentative="1">
      <w:start w:val="1"/>
      <w:numFmt w:val="bullet"/>
      <w:lvlText w:val="•"/>
      <w:lvlJc w:val="left"/>
      <w:pPr>
        <w:tabs>
          <w:tab w:val="num" w:pos="4320"/>
        </w:tabs>
        <w:ind w:left="4320" w:hanging="360"/>
      </w:pPr>
      <w:rPr>
        <w:rFonts w:ascii="Arial" w:hAnsi="Arial" w:hint="default"/>
      </w:rPr>
    </w:lvl>
    <w:lvl w:ilvl="6" w:tplc="6C267BA2" w:tentative="1">
      <w:start w:val="1"/>
      <w:numFmt w:val="bullet"/>
      <w:lvlText w:val="•"/>
      <w:lvlJc w:val="left"/>
      <w:pPr>
        <w:tabs>
          <w:tab w:val="num" w:pos="5040"/>
        </w:tabs>
        <w:ind w:left="5040" w:hanging="360"/>
      </w:pPr>
      <w:rPr>
        <w:rFonts w:ascii="Arial" w:hAnsi="Arial" w:hint="default"/>
      </w:rPr>
    </w:lvl>
    <w:lvl w:ilvl="7" w:tplc="9774D29A" w:tentative="1">
      <w:start w:val="1"/>
      <w:numFmt w:val="bullet"/>
      <w:lvlText w:val="•"/>
      <w:lvlJc w:val="left"/>
      <w:pPr>
        <w:tabs>
          <w:tab w:val="num" w:pos="5760"/>
        </w:tabs>
        <w:ind w:left="5760" w:hanging="360"/>
      </w:pPr>
      <w:rPr>
        <w:rFonts w:ascii="Arial" w:hAnsi="Arial" w:hint="default"/>
      </w:rPr>
    </w:lvl>
    <w:lvl w:ilvl="8" w:tplc="12686AB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C920B2A"/>
    <w:multiLevelType w:val="hybridMultilevel"/>
    <w:tmpl w:val="D37CB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4755B3"/>
    <w:multiLevelType w:val="hybridMultilevel"/>
    <w:tmpl w:val="9F94A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C15DD3"/>
    <w:multiLevelType w:val="hybridMultilevel"/>
    <w:tmpl w:val="8A2C53A4"/>
    <w:lvl w:ilvl="0" w:tplc="25245E98">
      <w:start w:val="1"/>
      <w:numFmt w:val="bullet"/>
      <w:lvlText w:val="•"/>
      <w:lvlJc w:val="left"/>
      <w:pPr>
        <w:tabs>
          <w:tab w:val="num" w:pos="720"/>
        </w:tabs>
        <w:ind w:left="720" w:hanging="360"/>
      </w:pPr>
      <w:rPr>
        <w:rFonts w:ascii="Arial" w:hAnsi="Arial" w:hint="default"/>
      </w:rPr>
    </w:lvl>
    <w:lvl w:ilvl="1" w:tplc="88FED8A6" w:tentative="1">
      <w:start w:val="1"/>
      <w:numFmt w:val="bullet"/>
      <w:lvlText w:val="•"/>
      <w:lvlJc w:val="left"/>
      <w:pPr>
        <w:tabs>
          <w:tab w:val="num" w:pos="1440"/>
        </w:tabs>
        <w:ind w:left="1440" w:hanging="360"/>
      </w:pPr>
      <w:rPr>
        <w:rFonts w:ascii="Arial" w:hAnsi="Arial" w:hint="default"/>
      </w:rPr>
    </w:lvl>
    <w:lvl w:ilvl="2" w:tplc="D60ACB3E" w:tentative="1">
      <w:start w:val="1"/>
      <w:numFmt w:val="bullet"/>
      <w:lvlText w:val="•"/>
      <w:lvlJc w:val="left"/>
      <w:pPr>
        <w:tabs>
          <w:tab w:val="num" w:pos="2160"/>
        </w:tabs>
        <w:ind w:left="2160" w:hanging="360"/>
      </w:pPr>
      <w:rPr>
        <w:rFonts w:ascii="Arial" w:hAnsi="Arial" w:hint="default"/>
      </w:rPr>
    </w:lvl>
    <w:lvl w:ilvl="3" w:tplc="9574F748" w:tentative="1">
      <w:start w:val="1"/>
      <w:numFmt w:val="bullet"/>
      <w:lvlText w:val="•"/>
      <w:lvlJc w:val="left"/>
      <w:pPr>
        <w:tabs>
          <w:tab w:val="num" w:pos="2880"/>
        </w:tabs>
        <w:ind w:left="2880" w:hanging="360"/>
      </w:pPr>
      <w:rPr>
        <w:rFonts w:ascii="Arial" w:hAnsi="Arial" w:hint="default"/>
      </w:rPr>
    </w:lvl>
    <w:lvl w:ilvl="4" w:tplc="4F8412C8" w:tentative="1">
      <w:start w:val="1"/>
      <w:numFmt w:val="bullet"/>
      <w:lvlText w:val="•"/>
      <w:lvlJc w:val="left"/>
      <w:pPr>
        <w:tabs>
          <w:tab w:val="num" w:pos="3600"/>
        </w:tabs>
        <w:ind w:left="3600" w:hanging="360"/>
      </w:pPr>
      <w:rPr>
        <w:rFonts w:ascii="Arial" w:hAnsi="Arial" w:hint="default"/>
      </w:rPr>
    </w:lvl>
    <w:lvl w:ilvl="5" w:tplc="DB66632A" w:tentative="1">
      <w:start w:val="1"/>
      <w:numFmt w:val="bullet"/>
      <w:lvlText w:val="•"/>
      <w:lvlJc w:val="left"/>
      <w:pPr>
        <w:tabs>
          <w:tab w:val="num" w:pos="4320"/>
        </w:tabs>
        <w:ind w:left="4320" w:hanging="360"/>
      </w:pPr>
      <w:rPr>
        <w:rFonts w:ascii="Arial" w:hAnsi="Arial" w:hint="default"/>
      </w:rPr>
    </w:lvl>
    <w:lvl w:ilvl="6" w:tplc="C604FBC6" w:tentative="1">
      <w:start w:val="1"/>
      <w:numFmt w:val="bullet"/>
      <w:lvlText w:val="•"/>
      <w:lvlJc w:val="left"/>
      <w:pPr>
        <w:tabs>
          <w:tab w:val="num" w:pos="5040"/>
        </w:tabs>
        <w:ind w:left="5040" w:hanging="360"/>
      </w:pPr>
      <w:rPr>
        <w:rFonts w:ascii="Arial" w:hAnsi="Arial" w:hint="default"/>
      </w:rPr>
    </w:lvl>
    <w:lvl w:ilvl="7" w:tplc="9CA03DB8" w:tentative="1">
      <w:start w:val="1"/>
      <w:numFmt w:val="bullet"/>
      <w:lvlText w:val="•"/>
      <w:lvlJc w:val="left"/>
      <w:pPr>
        <w:tabs>
          <w:tab w:val="num" w:pos="5760"/>
        </w:tabs>
        <w:ind w:left="5760" w:hanging="360"/>
      </w:pPr>
      <w:rPr>
        <w:rFonts w:ascii="Arial" w:hAnsi="Arial" w:hint="default"/>
      </w:rPr>
    </w:lvl>
    <w:lvl w:ilvl="8" w:tplc="453C5B6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B277F82"/>
    <w:multiLevelType w:val="hybridMultilevel"/>
    <w:tmpl w:val="DF08C716"/>
    <w:lvl w:ilvl="0" w:tplc="2A5E9C12">
      <w:start w:val="1"/>
      <w:numFmt w:val="upperLetter"/>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305D87"/>
    <w:multiLevelType w:val="hybridMultilevel"/>
    <w:tmpl w:val="36ACE87A"/>
    <w:lvl w:ilvl="0" w:tplc="2D464622">
      <w:start w:val="1"/>
      <w:numFmt w:val="bullet"/>
      <w:lvlText w:val="•"/>
      <w:lvlJc w:val="left"/>
      <w:pPr>
        <w:tabs>
          <w:tab w:val="num" w:pos="360"/>
        </w:tabs>
        <w:ind w:left="360" w:hanging="360"/>
      </w:pPr>
      <w:rPr>
        <w:rFonts w:ascii="Arial" w:hAnsi="Arial" w:hint="default"/>
      </w:rPr>
    </w:lvl>
    <w:lvl w:ilvl="1" w:tplc="D674CA6A">
      <w:numFmt w:val="none"/>
      <w:lvlText w:val=""/>
      <w:lvlJc w:val="left"/>
      <w:pPr>
        <w:tabs>
          <w:tab w:val="num" w:pos="360"/>
        </w:tabs>
      </w:pPr>
    </w:lvl>
    <w:lvl w:ilvl="2" w:tplc="01CADA28" w:tentative="1">
      <w:start w:val="1"/>
      <w:numFmt w:val="bullet"/>
      <w:lvlText w:val="•"/>
      <w:lvlJc w:val="left"/>
      <w:pPr>
        <w:tabs>
          <w:tab w:val="num" w:pos="1800"/>
        </w:tabs>
        <w:ind w:left="1800" w:hanging="360"/>
      </w:pPr>
      <w:rPr>
        <w:rFonts w:ascii="Arial" w:hAnsi="Arial" w:hint="default"/>
      </w:rPr>
    </w:lvl>
    <w:lvl w:ilvl="3" w:tplc="C104537A" w:tentative="1">
      <w:start w:val="1"/>
      <w:numFmt w:val="bullet"/>
      <w:lvlText w:val="•"/>
      <w:lvlJc w:val="left"/>
      <w:pPr>
        <w:tabs>
          <w:tab w:val="num" w:pos="2520"/>
        </w:tabs>
        <w:ind w:left="2520" w:hanging="360"/>
      </w:pPr>
      <w:rPr>
        <w:rFonts w:ascii="Arial" w:hAnsi="Arial" w:hint="default"/>
      </w:rPr>
    </w:lvl>
    <w:lvl w:ilvl="4" w:tplc="CFDA5908" w:tentative="1">
      <w:start w:val="1"/>
      <w:numFmt w:val="bullet"/>
      <w:lvlText w:val="•"/>
      <w:lvlJc w:val="left"/>
      <w:pPr>
        <w:tabs>
          <w:tab w:val="num" w:pos="3240"/>
        </w:tabs>
        <w:ind w:left="3240" w:hanging="360"/>
      </w:pPr>
      <w:rPr>
        <w:rFonts w:ascii="Arial" w:hAnsi="Arial" w:hint="default"/>
      </w:rPr>
    </w:lvl>
    <w:lvl w:ilvl="5" w:tplc="2296211C" w:tentative="1">
      <w:start w:val="1"/>
      <w:numFmt w:val="bullet"/>
      <w:lvlText w:val="•"/>
      <w:lvlJc w:val="left"/>
      <w:pPr>
        <w:tabs>
          <w:tab w:val="num" w:pos="3960"/>
        </w:tabs>
        <w:ind w:left="3960" w:hanging="360"/>
      </w:pPr>
      <w:rPr>
        <w:rFonts w:ascii="Arial" w:hAnsi="Arial" w:hint="default"/>
      </w:rPr>
    </w:lvl>
    <w:lvl w:ilvl="6" w:tplc="8CFAF468" w:tentative="1">
      <w:start w:val="1"/>
      <w:numFmt w:val="bullet"/>
      <w:lvlText w:val="•"/>
      <w:lvlJc w:val="left"/>
      <w:pPr>
        <w:tabs>
          <w:tab w:val="num" w:pos="4680"/>
        </w:tabs>
        <w:ind w:left="4680" w:hanging="360"/>
      </w:pPr>
      <w:rPr>
        <w:rFonts w:ascii="Arial" w:hAnsi="Arial" w:hint="default"/>
      </w:rPr>
    </w:lvl>
    <w:lvl w:ilvl="7" w:tplc="D482F6F6" w:tentative="1">
      <w:start w:val="1"/>
      <w:numFmt w:val="bullet"/>
      <w:lvlText w:val="•"/>
      <w:lvlJc w:val="left"/>
      <w:pPr>
        <w:tabs>
          <w:tab w:val="num" w:pos="5400"/>
        </w:tabs>
        <w:ind w:left="5400" w:hanging="360"/>
      </w:pPr>
      <w:rPr>
        <w:rFonts w:ascii="Arial" w:hAnsi="Arial" w:hint="default"/>
      </w:rPr>
    </w:lvl>
    <w:lvl w:ilvl="8" w:tplc="F33E1C8A"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6CBD6432"/>
    <w:multiLevelType w:val="hybridMultilevel"/>
    <w:tmpl w:val="29D677A2"/>
    <w:lvl w:ilvl="0" w:tplc="114022B2">
      <w:start w:val="1"/>
      <w:numFmt w:val="bullet"/>
      <w:lvlText w:val="•"/>
      <w:lvlJc w:val="left"/>
      <w:pPr>
        <w:tabs>
          <w:tab w:val="num" w:pos="720"/>
        </w:tabs>
        <w:ind w:left="720" w:hanging="360"/>
      </w:pPr>
      <w:rPr>
        <w:rFonts w:ascii="Arial" w:hAnsi="Arial" w:hint="default"/>
      </w:rPr>
    </w:lvl>
    <w:lvl w:ilvl="1" w:tplc="692A025C" w:tentative="1">
      <w:start w:val="1"/>
      <w:numFmt w:val="bullet"/>
      <w:lvlText w:val="•"/>
      <w:lvlJc w:val="left"/>
      <w:pPr>
        <w:tabs>
          <w:tab w:val="num" w:pos="1440"/>
        </w:tabs>
        <w:ind w:left="1440" w:hanging="360"/>
      </w:pPr>
      <w:rPr>
        <w:rFonts w:ascii="Arial" w:hAnsi="Arial" w:hint="default"/>
      </w:rPr>
    </w:lvl>
    <w:lvl w:ilvl="2" w:tplc="DCF4F57A" w:tentative="1">
      <w:start w:val="1"/>
      <w:numFmt w:val="bullet"/>
      <w:lvlText w:val="•"/>
      <w:lvlJc w:val="left"/>
      <w:pPr>
        <w:tabs>
          <w:tab w:val="num" w:pos="2160"/>
        </w:tabs>
        <w:ind w:left="2160" w:hanging="360"/>
      </w:pPr>
      <w:rPr>
        <w:rFonts w:ascii="Arial" w:hAnsi="Arial" w:hint="default"/>
      </w:rPr>
    </w:lvl>
    <w:lvl w:ilvl="3" w:tplc="DD3A8DD0" w:tentative="1">
      <w:start w:val="1"/>
      <w:numFmt w:val="bullet"/>
      <w:lvlText w:val="•"/>
      <w:lvlJc w:val="left"/>
      <w:pPr>
        <w:tabs>
          <w:tab w:val="num" w:pos="2880"/>
        </w:tabs>
        <w:ind w:left="2880" w:hanging="360"/>
      </w:pPr>
      <w:rPr>
        <w:rFonts w:ascii="Arial" w:hAnsi="Arial" w:hint="default"/>
      </w:rPr>
    </w:lvl>
    <w:lvl w:ilvl="4" w:tplc="0C44FE76" w:tentative="1">
      <w:start w:val="1"/>
      <w:numFmt w:val="bullet"/>
      <w:lvlText w:val="•"/>
      <w:lvlJc w:val="left"/>
      <w:pPr>
        <w:tabs>
          <w:tab w:val="num" w:pos="3600"/>
        </w:tabs>
        <w:ind w:left="3600" w:hanging="360"/>
      </w:pPr>
      <w:rPr>
        <w:rFonts w:ascii="Arial" w:hAnsi="Arial" w:hint="default"/>
      </w:rPr>
    </w:lvl>
    <w:lvl w:ilvl="5" w:tplc="A3A2F318" w:tentative="1">
      <w:start w:val="1"/>
      <w:numFmt w:val="bullet"/>
      <w:lvlText w:val="•"/>
      <w:lvlJc w:val="left"/>
      <w:pPr>
        <w:tabs>
          <w:tab w:val="num" w:pos="4320"/>
        </w:tabs>
        <w:ind w:left="4320" w:hanging="360"/>
      </w:pPr>
      <w:rPr>
        <w:rFonts w:ascii="Arial" w:hAnsi="Arial" w:hint="default"/>
      </w:rPr>
    </w:lvl>
    <w:lvl w:ilvl="6" w:tplc="AB08D5A6" w:tentative="1">
      <w:start w:val="1"/>
      <w:numFmt w:val="bullet"/>
      <w:lvlText w:val="•"/>
      <w:lvlJc w:val="left"/>
      <w:pPr>
        <w:tabs>
          <w:tab w:val="num" w:pos="5040"/>
        </w:tabs>
        <w:ind w:left="5040" w:hanging="360"/>
      </w:pPr>
      <w:rPr>
        <w:rFonts w:ascii="Arial" w:hAnsi="Arial" w:hint="default"/>
      </w:rPr>
    </w:lvl>
    <w:lvl w:ilvl="7" w:tplc="C0CCD67C" w:tentative="1">
      <w:start w:val="1"/>
      <w:numFmt w:val="bullet"/>
      <w:lvlText w:val="•"/>
      <w:lvlJc w:val="left"/>
      <w:pPr>
        <w:tabs>
          <w:tab w:val="num" w:pos="5760"/>
        </w:tabs>
        <w:ind w:left="5760" w:hanging="360"/>
      </w:pPr>
      <w:rPr>
        <w:rFonts w:ascii="Arial" w:hAnsi="Arial" w:hint="default"/>
      </w:rPr>
    </w:lvl>
    <w:lvl w:ilvl="8" w:tplc="FA7E753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D716347"/>
    <w:multiLevelType w:val="hybridMultilevel"/>
    <w:tmpl w:val="DD58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5131F7"/>
    <w:multiLevelType w:val="hybridMultilevel"/>
    <w:tmpl w:val="0C905B00"/>
    <w:lvl w:ilvl="0" w:tplc="80C2FFE8">
      <w:start w:val="1"/>
      <w:numFmt w:val="bullet"/>
      <w:lvlText w:val="•"/>
      <w:lvlJc w:val="left"/>
      <w:pPr>
        <w:tabs>
          <w:tab w:val="num" w:pos="720"/>
        </w:tabs>
        <w:ind w:left="720" w:hanging="360"/>
      </w:pPr>
      <w:rPr>
        <w:rFonts w:ascii="Arial" w:hAnsi="Arial" w:hint="default"/>
      </w:rPr>
    </w:lvl>
    <w:lvl w:ilvl="1" w:tplc="3084A228" w:tentative="1">
      <w:start w:val="1"/>
      <w:numFmt w:val="bullet"/>
      <w:lvlText w:val="•"/>
      <w:lvlJc w:val="left"/>
      <w:pPr>
        <w:tabs>
          <w:tab w:val="num" w:pos="1440"/>
        </w:tabs>
        <w:ind w:left="1440" w:hanging="360"/>
      </w:pPr>
      <w:rPr>
        <w:rFonts w:ascii="Arial" w:hAnsi="Arial" w:hint="default"/>
      </w:rPr>
    </w:lvl>
    <w:lvl w:ilvl="2" w:tplc="49CCA310" w:tentative="1">
      <w:start w:val="1"/>
      <w:numFmt w:val="bullet"/>
      <w:lvlText w:val="•"/>
      <w:lvlJc w:val="left"/>
      <w:pPr>
        <w:tabs>
          <w:tab w:val="num" w:pos="2160"/>
        </w:tabs>
        <w:ind w:left="2160" w:hanging="360"/>
      </w:pPr>
      <w:rPr>
        <w:rFonts w:ascii="Arial" w:hAnsi="Arial" w:hint="default"/>
      </w:rPr>
    </w:lvl>
    <w:lvl w:ilvl="3" w:tplc="13AAB8E4" w:tentative="1">
      <w:start w:val="1"/>
      <w:numFmt w:val="bullet"/>
      <w:lvlText w:val="•"/>
      <w:lvlJc w:val="left"/>
      <w:pPr>
        <w:tabs>
          <w:tab w:val="num" w:pos="2880"/>
        </w:tabs>
        <w:ind w:left="2880" w:hanging="360"/>
      </w:pPr>
      <w:rPr>
        <w:rFonts w:ascii="Arial" w:hAnsi="Arial" w:hint="default"/>
      </w:rPr>
    </w:lvl>
    <w:lvl w:ilvl="4" w:tplc="B9464B80" w:tentative="1">
      <w:start w:val="1"/>
      <w:numFmt w:val="bullet"/>
      <w:lvlText w:val="•"/>
      <w:lvlJc w:val="left"/>
      <w:pPr>
        <w:tabs>
          <w:tab w:val="num" w:pos="3600"/>
        </w:tabs>
        <w:ind w:left="3600" w:hanging="360"/>
      </w:pPr>
      <w:rPr>
        <w:rFonts w:ascii="Arial" w:hAnsi="Arial" w:hint="default"/>
      </w:rPr>
    </w:lvl>
    <w:lvl w:ilvl="5" w:tplc="BF407030" w:tentative="1">
      <w:start w:val="1"/>
      <w:numFmt w:val="bullet"/>
      <w:lvlText w:val="•"/>
      <w:lvlJc w:val="left"/>
      <w:pPr>
        <w:tabs>
          <w:tab w:val="num" w:pos="4320"/>
        </w:tabs>
        <w:ind w:left="4320" w:hanging="360"/>
      </w:pPr>
      <w:rPr>
        <w:rFonts w:ascii="Arial" w:hAnsi="Arial" w:hint="default"/>
      </w:rPr>
    </w:lvl>
    <w:lvl w:ilvl="6" w:tplc="77C410C8" w:tentative="1">
      <w:start w:val="1"/>
      <w:numFmt w:val="bullet"/>
      <w:lvlText w:val="•"/>
      <w:lvlJc w:val="left"/>
      <w:pPr>
        <w:tabs>
          <w:tab w:val="num" w:pos="5040"/>
        </w:tabs>
        <w:ind w:left="5040" w:hanging="360"/>
      </w:pPr>
      <w:rPr>
        <w:rFonts w:ascii="Arial" w:hAnsi="Arial" w:hint="default"/>
      </w:rPr>
    </w:lvl>
    <w:lvl w:ilvl="7" w:tplc="0E567250" w:tentative="1">
      <w:start w:val="1"/>
      <w:numFmt w:val="bullet"/>
      <w:lvlText w:val="•"/>
      <w:lvlJc w:val="left"/>
      <w:pPr>
        <w:tabs>
          <w:tab w:val="num" w:pos="5760"/>
        </w:tabs>
        <w:ind w:left="5760" w:hanging="360"/>
      </w:pPr>
      <w:rPr>
        <w:rFonts w:ascii="Arial" w:hAnsi="Arial" w:hint="default"/>
      </w:rPr>
    </w:lvl>
    <w:lvl w:ilvl="8" w:tplc="047AF6C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42C1FB1"/>
    <w:multiLevelType w:val="hybridMultilevel"/>
    <w:tmpl w:val="06EE4DE8"/>
    <w:lvl w:ilvl="0" w:tplc="241CB778">
      <w:start w:val="1"/>
      <w:numFmt w:val="bullet"/>
      <w:lvlText w:val="•"/>
      <w:lvlJc w:val="left"/>
      <w:pPr>
        <w:tabs>
          <w:tab w:val="num" w:pos="360"/>
        </w:tabs>
        <w:ind w:left="360" w:hanging="360"/>
      </w:pPr>
      <w:rPr>
        <w:rFonts w:ascii="Arial" w:hAnsi="Arial" w:hint="default"/>
      </w:rPr>
    </w:lvl>
    <w:lvl w:ilvl="1" w:tplc="F948E088" w:tentative="1">
      <w:start w:val="1"/>
      <w:numFmt w:val="bullet"/>
      <w:lvlText w:val="•"/>
      <w:lvlJc w:val="left"/>
      <w:pPr>
        <w:tabs>
          <w:tab w:val="num" w:pos="1080"/>
        </w:tabs>
        <w:ind w:left="1080" w:hanging="360"/>
      </w:pPr>
      <w:rPr>
        <w:rFonts w:ascii="Arial" w:hAnsi="Arial" w:hint="default"/>
      </w:rPr>
    </w:lvl>
    <w:lvl w:ilvl="2" w:tplc="7F1A8ED2" w:tentative="1">
      <w:start w:val="1"/>
      <w:numFmt w:val="bullet"/>
      <w:lvlText w:val="•"/>
      <w:lvlJc w:val="left"/>
      <w:pPr>
        <w:tabs>
          <w:tab w:val="num" w:pos="1800"/>
        </w:tabs>
        <w:ind w:left="1800" w:hanging="360"/>
      </w:pPr>
      <w:rPr>
        <w:rFonts w:ascii="Arial" w:hAnsi="Arial" w:hint="default"/>
      </w:rPr>
    </w:lvl>
    <w:lvl w:ilvl="3" w:tplc="B24A46AC" w:tentative="1">
      <w:start w:val="1"/>
      <w:numFmt w:val="bullet"/>
      <w:lvlText w:val="•"/>
      <w:lvlJc w:val="left"/>
      <w:pPr>
        <w:tabs>
          <w:tab w:val="num" w:pos="2520"/>
        </w:tabs>
        <w:ind w:left="2520" w:hanging="360"/>
      </w:pPr>
      <w:rPr>
        <w:rFonts w:ascii="Arial" w:hAnsi="Arial" w:hint="default"/>
      </w:rPr>
    </w:lvl>
    <w:lvl w:ilvl="4" w:tplc="86E6AE04" w:tentative="1">
      <w:start w:val="1"/>
      <w:numFmt w:val="bullet"/>
      <w:lvlText w:val="•"/>
      <w:lvlJc w:val="left"/>
      <w:pPr>
        <w:tabs>
          <w:tab w:val="num" w:pos="3240"/>
        </w:tabs>
        <w:ind w:left="3240" w:hanging="360"/>
      </w:pPr>
      <w:rPr>
        <w:rFonts w:ascii="Arial" w:hAnsi="Arial" w:hint="default"/>
      </w:rPr>
    </w:lvl>
    <w:lvl w:ilvl="5" w:tplc="8272EDE6" w:tentative="1">
      <w:start w:val="1"/>
      <w:numFmt w:val="bullet"/>
      <w:lvlText w:val="•"/>
      <w:lvlJc w:val="left"/>
      <w:pPr>
        <w:tabs>
          <w:tab w:val="num" w:pos="3960"/>
        </w:tabs>
        <w:ind w:left="3960" w:hanging="360"/>
      </w:pPr>
      <w:rPr>
        <w:rFonts w:ascii="Arial" w:hAnsi="Arial" w:hint="default"/>
      </w:rPr>
    </w:lvl>
    <w:lvl w:ilvl="6" w:tplc="1D3CDAF2" w:tentative="1">
      <w:start w:val="1"/>
      <w:numFmt w:val="bullet"/>
      <w:lvlText w:val="•"/>
      <w:lvlJc w:val="left"/>
      <w:pPr>
        <w:tabs>
          <w:tab w:val="num" w:pos="4680"/>
        </w:tabs>
        <w:ind w:left="4680" w:hanging="360"/>
      </w:pPr>
      <w:rPr>
        <w:rFonts w:ascii="Arial" w:hAnsi="Arial" w:hint="default"/>
      </w:rPr>
    </w:lvl>
    <w:lvl w:ilvl="7" w:tplc="388A7796" w:tentative="1">
      <w:start w:val="1"/>
      <w:numFmt w:val="bullet"/>
      <w:lvlText w:val="•"/>
      <w:lvlJc w:val="left"/>
      <w:pPr>
        <w:tabs>
          <w:tab w:val="num" w:pos="5400"/>
        </w:tabs>
        <w:ind w:left="5400" w:hanging="360"/>
      </w:pPr>
      <w:rPr>
        <w:rFonts w:ascii="Arial" w:hAnsi="Arial" w:hint="default"/>
      </w:rPr>
    </w:lvl>
    <w:lvl w:ilvl="8" w:tplc="32985796"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75CE326B"/>
    <w:multiLevelType w:val="hybridMultilevel"/>
    <w:tmpl w:val="DEFCF448"/>
    <w:lvl w:ilvl="0" w:tplc="2AE8760A">
      <w:start w:val="1"/>
      <w:numFmt w:val="bullet"/>
      <w:lvlText w:val="•"/>
      <w:lvlJc w:val="left"/>
      <w:pPr>
        <w:tabs>
          <w:tab w:val="num" w:pos="720"/>
        </w:tabs>
        <w:ind w:left="720" w:hanging="360"/>
      </w:pPr>
      <w:rPr>
        <w:rFonts w:ascii="Arial" w:hAnsi="Arial" w:hint="default"/>
      </w:rPr>
    </w:lvl>
    <w:lvl w:ilvl="1" w:tplc="D018A498" w:tentative="1">
      <w:start w:val="1"/>
      <w:numFmt w:val="bullet"/>
      <w:lvlText w:val="•"/>
      <w:lvlJc w:val="left"/>
      <w:pPr>
        <w:tabs>
          <w:tab w:val="num" w:pos="1440"/>
        </w:tabs>
        <w:ind w:left="1440" w:hanging="360"/>
      </w:pPr>
      <w:rPr>
        <w:rFonts w:ascii="Arial" w:hAnsi="Arial" w:hint="default"/>
      </w:rPr>
    </w:lvl>
    <w:lvl w:ilvl="2" w:tplc="E7E24FDC" w:tentative="1">
      <w:start w:val="1"/>
      <w:numFmt w:val="bullet"/>
      <w:lvlText w:val="•"/>
      <w:lvlJc w:val="left"/>
      <w:pPr>
        <w:tabs>
          <w:tab w:val="num" w:pos="2160"/>
        </w:tabs>
        <w:ind w:left="2160" w:hanging="360"/>
      </w:pPr>
      <w:rPr>
        <w:rFonts w:ascii="Arial" w:hAnsi="Arial" w:hint="default"/>
      </w:rPr>
    </w:lvl>
    <w:lvl w:ilvl="3" w:tplc="12883A58" w:tentative="1">
      <w:start w:val="1"/>
      <w:numFmt w:val="bullet"/>
      <w:lvlText w:val="•"/>
      <w:lvlJc w:val="left"/>
      <w:pPr>
        <w:tabs>
          <w:tab w:val="num" w:pos="2880"/>
        </w:tabs>
        <w:ind w:left="2880" w:hanging="360"/>
      </w:pPr>
      <w:rPr>
        <w:rFonts w:ascii="Arial" w:hAnsi="Arial" w:hint="default"/>
      </w:rPr>
    </w:lvl>
    <w:lvl w:ilvl="4" w:tplc="BEC8916E" w:tentative="1">
      <w:start w:val="1"/>
      <w:numFmt w:val="bullet"/>
      <w:lvlText w:val="•"/>
      <w:lvlJc w:val="left"/>
      <w:pPr>
        <w:tabs>
          <w:tab w:val="num" w:pos="3600"/>
        </w:tabs>
        <w:ind w:left="3600" w:hanging="360"/>
      </w:pPr>
      <w:rPr>
        <w:rFonts w:ascii="Arial" w:hAnsi="Arial" w:hint="default"/>
      </w:rPr>
    </w:lvl>
    <w:lvl w:ilvl="5" w:tplc="9C029730" w:tentative="1">
      <w:start w:val="1"/>
      <w:numFmt w:val="bullet"/>
      <w:lvlText w:val="•"/>
      <w:lvlJc w:val="left"/>
      <w:pPr>
        <w:tabs>
          <w:tab w:val="num" w:pos="4320"/>
        </w:tabs>
        <w:ind w:left="4320" w:hanging="360"/>
      </w:pPr>
      <w:rPr>
        <w:rFonts w:ascii="Arial" w:hAnsi="Arial" w:hint="default"/>
      </w:rPr>
    </w:lvl>
    <w:lvl w:ilvl="6" w:tplc="7E0C194C" w:tentative="1">
      <w:start w:val="1"/>
      <w:numFmt w:val="bullet"/>
      <w:lvlText w:val="•"/>
      <w:lvlJc w:val="left"/>
      <w:pPr>
        <w:tabs>
          <w:tab w:val="num" w:pos="5040"/>
        </w:tabs>
        <w:ind w:left="5040" w:hanging="360"/>
      </w:pPr>
      <w:rPr>
        <w:rFonts w:ascii="Arial" w:hAnsi="Arial" w:hint="default"/>
      </w:rPr>
    </w:lvl>
    <w:lvl w:ilvl="7" w:tplc="DFA8B3DC" w:tentative="1">
      <w:start w:val="1"/>
      <w:numFmt w:val="bullet"/>
      <w:lvlText w:val="•"/>
      <w:lvlJc w:val="left"/>
      <w:pPr>
        <w:tabs>
          <w:tab w:val="num" w:pos="5760"/>
        </w:tabs>
        <w:ind w:left="5760" w:hanging="360"/>
      </w:pPr>
      <w:rPr>
        <w:rFonts w:ascii="Arial" w:hAnsi="Arial" w:hint="default"/>
      </w:rPr>
    </w:lvl>
    <w:lvl w:ilvl="8" w:tplc="82045C54">
      <w:start w:val="1"/>
      <w:numFmt w:val="bullet"/>
      <w:lvlText w:val="•"/>
      <w:lvlJc w:val="left"/>
      <w:pPr>
        <w:tabs>
          <w:tab w:val="num" w:pos="6480"/>
        </w:tabs>
        <w:ind w:left="6480" w:hanging="360"/>
      </w:pPr>
      <w:rPr>
        <w:rFonts w:ascii="Arial" w:hAnsi="Arial" w:hint="default"/>
      </w:rPr>
    </w:lvl>
  </w:abstractNum>
  <w:abstractNum w:abstractNumId="36" w15:restartNumberingAfterBreak="0">
    <w:nsid w:val="772B7475"/>
    <w:multiLevelType w:val="hybridMultilevel"/>
    <w:tmpl w:val="06CC0086"/>
    <w:lvl w:ilvl="0" w:tplc="68261A6A">
      <w:start w:val="1"/>
      <w:numFmt w:val="bullet"/>
      <w:lvlText w:val="•"/>
      <w:lvlJc w:val="left"/>
      <w:pPr>
        <w:tabs>
          <w:tab w:val="num" w:pos="720"/>
        </w:tabs>
        <w:ind w:left="720" w:hanging="360"/>
      </w:pPr>
      <w:rPr>
        <w:rFonts w:ascii="Arial" w:hAnsi="Arial" w:hint="default"/>
      </w:rPr>
    </w:lvl>
    <w:lvl w:ilvl="1" w:tplc="B6C09AE0" w:tentative="1">
      <w:start w:val="1"/>
      <w:numFmt w:val="bullet"/>
      <w:lvlText w:val="•"/>
      <w:lvlJc w:val="left"/>
      <w:pPr>
        <w:tabs>
          <w:tab w:val="num" w:pos="1440"/>
        </w:tabs>
        <w:ind w:left="1440" w:hanging="360"/>
      </w:pPr>
      <w:rPr>
        <w:rFonts w:ascii="Arial" w:hAnsi="Arial" w:hint="default"/>
      </w:rPr>
    </w:lvl>
    <w:lvl w:ilvl="2" w:tplc="03449BBE" w:tentative="1">
      <w:start w:val="1"/>
      <w:numFmt w:val="bullet"/>
      <w:lvlText w:val="•"/>
      <w:lvlJc w:val="left"/>
      <w:pPr>
        <w:tabs>
          <w:tab w:val="num" w:pos="2160"/>
        </w:tabs>
        <w:ind w:left="2160" w:hanging="360"/>
      </w:pPr>
      <w:rPr>
        <w:rFonts w:ascii="Arial" w:hAnsi="Arial" w:hint="default"/>
      </w:rPr>
    </w:lvl>
    <w:lvl w:ilvl="3" w:tplc="3AA05478" w:tentative="1">
      <w:start w:val="1"/>
      <w:numFmt w:val="bullet"/>
      <w:lvlText w:val="•"/>
      <w:lvlJc w:val="left"/>
      <w:pPr>
        <w:tabs>
          <w:tab w:val="num" w:pos="2880"/>
        </w:tabs>
        <w:ind w:left="2880" w:hanging="360"/>
      </w:pPr>
      <w:rPr>
        <w:rFonts w:ascii="Arial" w:hAnsi="Arial" w:hint="default"/>
      </w:rPr>
    </w:lvl>
    <w:lvl w:ilvl="4" w:tplc="F056CD42" w:tentative="1">
      <w:start w:val="1"/>
      <w:numFmt w:val="bullet"/>
      <w:lvlText w:val="•"/>
      <w:lvlJc w:val="left"/>
      <w:pPr>
        <w:tabs>
          <w:tab w:val="num" w:pos="3600"/>
        </w:tabs>
        <w:ind w:left="3600" w:hanging="360"/>
      </w:pPr>
      <w:rPr>
        <w:rFonts w:ascii="Arial" w:hAnsi="Arial" w:hint="default"/>
      </w:rPr>
    </w:lvl>
    <w:lvl w:ilvl="5" w:tplc="E580183A" w:tentative="1">
      <w:start w:val="1"/>
      <w:numFmt w:val="bullet"/>
      <w:lvlText w:val="•"/>
      <w:lvlJc w:val="left"/>
      <w:pPr>
        <w:tabs>
          <w:tab w:val="num" w:pos="4320"/>
        </w:tabs>
        <w:ind w:left="4320" w:hanging="360"/>
      </w:pPr>
      <w:rPr>
        <w:rFonts w:ascii="Arial" w:hAnsi="Arial" w:hint="default"/>
      </w:rPr>
    </w:lvl>
    <w:lvl w:ilvl="6" w:tplc="E6086A48" w:tentative="1">
      <w:start w:val="1"/>
      <w:numFmt w:val="bullet"/>
      <w:lvlText w:val="•"/>
      <w:lvlJc w:val="left"/>
      <w:pPr>
        <w:tabs>
          <w:tab w:val="num" w:pos="5040"/>
        </w:tabs>
        <w:ind w:left="5040" w:hanging="360"/>
      </w:pPr>
      <w:rPr>
        <w:rFonts w:ascii="Arial" w:hAnsi="Arial" w:hint="default"/>
      </w:rPr>
    </w:lvl>
    <w:lvl w:ilvl="7" w:tplc="E18C3D48" w:tentative="1">
      <w:start w:val="1"/>
      <w:numFmt w:val="bullet"/>
      <w:lvlText w:val="•"/>
      <w:lvlJc w:val="left"/>
      <w:pPr>
        <w:tabs>
          <w:tab w:val="num" w:pos="5760"/>
        </w:tabs>
        <w:ind w:left="5760" w:hanging="360"/>
      </w:pPr>
      <w:rPr>
        <w:rFonts w:ascii="Arial" w:hAnsi="Arial" w:hint="default"/>
      </w:rPr>
    </w:lvl>
    <w:lvl w:ilvl="8" w:tplc="45264BC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94172BC"/>
    <w:multiLevelType w:val="hybridMultilevel"/>
    <w:tmpl w:val="1CE6E5E0"/>
    <w:lvl w:ilvl="0" w:tplc="B55ADFEA">
      <w:start w:val="1"/>
      <w:numFmt w:val="decimal"/>
      <w:pStyle w:val="Style1"/>
      <w:suff w:val="nothing"/>
      <w:lvlText w:val="Chapter %1:"/>
      <w:lvlJc w:val="left"/>
      <w:pPr>
        <w:ind w:left="0" w:firstLine="0"/>
      </w:pPr>
      <w:rPr>
        <w:rFonts w:hint="default"/>
        <w:spacing w:val="0"/>
        <w:w w:val="100"/>
        <w:kern w:val="0"/>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DF3903"/>
    <w:multiLevelType w:val="hybridMultilevel"/>
    <w:tmpl w:val="FF1C6FCE"/>
    <w:lvl w:ilvl="0" w:tplc="80FCC180">
      <w:start w:val="1"/>
      <w:numFmt w:val="upperLetter"/>
      <w:lvlText w:val="%1-"/>
      <w:lvlJc w:val="left"/>
      <w:pPr>
        <w:ind w:left="1380" w:hanging="51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39" w15:restartNumberingAfterBreak="0">
    <w:nsid w:val="7D6C7614"/>
    <w:multiLevelType w:val="multilevel"/>
    <w:tmpl w:val="5F2ED752"/>
    <w:lvl w:ilvl="0">
      <w:start w:val="1"/>
      <w:numFmt w:val="decimal"/>
      <w:suff w:val="nothing"/>
      <w:lvlText w:val="Chapter %1:"/>
      <w:lvlJc w:val="left"/>
      <w:pPr>
        <w:ind w:left="787" w:hanging="360"/>
      </w:pPr>
      <w:rPr>
        <w:rFonts w:hint="default"/>
        <w:spacing w:val="0"/>
        <w:w w:val="100"/>
        <w:kern w:val="0"/>
        <w:position w:val="0"/>
      </w:rPr>
    </w:lvl>
    <w:lvl w:ilvl="1">
      <w:start w:val="1"/>
      <w:numFmt w:val="none"/>
      <w:lvlText w:val="%2"/>
      <w:lvlJc w:val="left"/>
      <w:pPr>
        <w:ind w:left="1512" w:hanging="365"/>
      </w:pPr>
      <w:rPr>
        <w:rFonts w:hint="default"/>
      </w:rPr>
    </w:lvl>
    <w:lvl w:ilvl="2">
      <w:start w:val="1"/>
      <w:numFmt w:val="none"/>
      <w:lvlText w:val="%3"/>
      <w:lvlJc w:val="right"/>
      <w:pPr>
        <w:ind w:left="2227" w:hanging="180"/>
      </w:pPr>
      <w:rPr>
        <w:rFonts w:hint="default"/>
      </w:rPr>
    </w:lvl>
    <w:lvl w:ilvl="3">
      <w:start w:val="1"/>
      <w:numFmt w:val="none"/>
      <w:lvlText w:val="%4"/>
      <w:lvlJc w:val="left"/>
      <w:pPr>
        <w:ind w:left="2947" w:hanging="360"/>
      </w:pPr>
      <w:rPr>
        <w:rFonts w:hint="default"/>
      </w:rPr>
    </w:lvl>
    <w:lvl w:ilvl="4">
      <w:start w:val="1"/>
      <w:numFmt w:val="none"/>
      <w:lvlText w:val="%5."/>
      <w:lvlJc w:val="left"/>
      <w:pPr>
        <w:ind w:left="3667" w:hanging="360"/>
      </w:pPr>
      <w:rPr>
        <w:rFonts w:hint="default"/>
      </w:rPr>
    </w:lvl>
    <w:lvl w:ilvl="5">
      <w:start w:val="1"/>
      <w:numFmt w:val="none"/>
      <w:lvlText w:val="%6."/>
      <w:lvlJc w:val="right"/>
      <w:pPr>
        <w:ind w:left="4387" w:hanging="180"/>
      </w:pPr>
      <w:rPr>
        <w:rFonts w:hint="default"/>
      </w:rPr>
    </w:lvl>
    <w:lvl w:ilvl="6">
      <w:start w:val="1"/>
      <w:numFmt w:val="none"/>
      <w:lvlText w:val="%7."/>
      <w:lvlJc w:val="left"/>
      <w:pPr>
        <w:ind w:left="5107" w:hanging="360"/>
      </w:pPr>
      <w:rPr>
        <w:rFonts w:hint="default"/>
      </w:rPr>
    </w:lvl>
    <w:lvl w:ilvl="7">
      <w:start w:val="1"/>
      <w:numFmt w:val="none"/>
      <w:lvlText w:val="%8."/>
      <w:lvlJc w:val="left"/>
      <w:pPr>
        <w:ind w:left="5827" w:hanging="360"/>
      </w:pPr>
      <w:rPr>
        <w:rFonts w:hint="default"/>
      </w:rPr>
    </w:lvl>
    <w:lvl w:ilvl="8">
      <w:start w:val="1"/>
      <w:numFmt w:val="none"/>
      <w:lvlText w:val="%9"/>
      <w:lvlJc w:val="right"/>
      <w:pPr>
        <w:ind w:left="6547" w:hanging="180"/>
      </w:pPr>
      <w:rPr>
        <w:rFonts w:hint="default"/>
      </w:rPr>
    </w:lvl>
  </w:abstractNum>
  <w:num w:numId="1" w16cid:durableId="731469493">
    <w:abstractNumId w:val="0"/>
  </w:num>
  <w:num w:numId="2" w16cid:durableId="1137185521">
    <w:abstractNumId w:val="33"/>
  </w:num>
  <w:num w:numId="3" w16cid:durableId="747071388">
    <w:abstractNumId w:val="8"/>
  </w:num>
  <w:num w:numId="4" w16cid:durableId="1108738729">
    <w:abstractNumId w:val="14"/>
  </w:num>
  <w:num w:numId="5" w16cid:durableId="1165894818">
    <w:abstractNumId w:val="4"/>
  </w:num>
  <w:num w:numId="6" w16cid:durableId="126092282">
    <w:abstractNumId w:val="28"/>
  </w:num>
  <w:num w:numId="7" w16cid:durableId="1128161175">
    <w:abstractNumId w:val="10"/>
  </w:num>
  <w:num w:numId="8" w16cid:durableId="527715493">
    <w:abstractNumId w:val="11"/>
  </w:num>
  <w:num w:numId="9" w16cid:durableId="867065223">
    <w:abstractNumId w:val="30"/>
  </w:num>
  <w:num w:numId="10" w16cid:durableId="535043695">
    <w:abstractNumId w:val="20"/>
  </w:num>
  <w:num w:numId="11" w16cid:durableId="1284656478">
    <w:abstractNumId w:val="22"/>
  </w:num>
  <w:num w:numId="12" w16cid:durableId="43603961">
    <w:abstractNumId w:val="7"/>
  </w:num>
  <w:num w:numId="13" w16cid:durableId="1821844280">
    <w:abstractNumId w:val="19"/>
  </w:num>
  <w:num w:numId="14" w16cid:durableId="1751468664">
    <w:abstractNumId w:val="34"/>
  </w:num>
  <w:num w:numId="15" w16cid:durableId="1791195256">
    <w:abstractNumId w:val="5"/>
  </w:num>
  <w:num w:numId="16" w16cid:durableId="240601095">
    <w:abstractNumId w:val="9"/>
  </w:num>
  <w:num w:numId="17" w16cid:durableId="530842503">
    <w:abstractNumId w:val="25"/>
  </w:num>
  <w:num w:numId="18" w16cid:durableId="665324332">
    <w:abstractNumId w:val="12"/>
  </w:num>
  <w:num w:numId="19" w16cid:durableId="1862892728">
    <w:abstractNumId w:val="18"/>
  </w:num>
  <w:num w:numId="20" w16cid:durableId="167595584">
    <w:abstractNumId w:val="27"/>
  </w:num>
  <w:num w:numId="21" w16cid:durableId="1678535354">
    <w:abstractNumId w:val="32"/>
  </w:num>
  <w:num w:numId="22" w16cid:durableId="1855652160">
    <w:abstractNumId w:val="36"/>
  </w:num>
  <w:num w:numId="23" w16cid:durableId="1535384927">
    <w:abstractNumId w:val="21"/>
  </w:num>
  <w:num w:numId="24" w16cid:durableId="1227299772">
    <w:abstractNumId w:val="35"/>
  </w:num>
  <w:num w:numId="25" w16cid:durableId="1617061938">
    <w:abstractNumId w:val="6"/>
  </w:num>
  <w:num w:numId="26" w16cid:durableId="574243924">
    <w:abstractNumId w:val="26"/>
  </w:num>
  <w:num w:numId="27" w16cid:durableId="125047607">
    <w:abstractNumId w:val="15"/>
  </w:num>
  <w:num w:numId="28" w16cid:durableId="2118325173">
    <w:abstractNumId w:val="38"/>
  </w:num>
  <w:num w:numId="29" w16cid:durableId="1064108186">
    <w:abstractNumId w:val="17"/>
  </w:num>
  <w:num w:numId="30" w16cid:durableId="1521814012">
    <w:abstractNumId w:val="31"/>
  </w:num>
  <w:num w:numId="31" w16cid:durableId="909772204">
    <w:abstractNumId w:val="23"/>
  </w:num>
  <w:num w:numId="32" w16cid:durableId="568468352">
    <w:abstractNumId w:val="3"/>
  </w:num>
  <w:num w:numId="33" w16cid:durableId="268392662">
    <w:abstractNumId w:val="37"/>
  </w:num>
  <w:num w:numId="34" w16cid:durableId="1327709119">
    <w:abstractNumId w:val="37"/>
  </w:num>
  <w:num w:numId="35" w16cid:durableId="1758011915">
    <w:abstractNumId w:val="2"/>
  </w:num>
  <w:num w:numId="36" w16cid:durableId="368989810">
    <w:abstractNumId w:val="39"/>
  </w:num>
  <w:num w:numId="37" w16cid:durableId="736634862">
    <w:abstractNumId w:val="13"/>
  </w:num>
  <w:num w:numId="38" w16cid:durableId="936794619">
    <w:abstractNumId w:val="24"/>
  </w:num>
  <w:num w:numId="39" w16cid:durableId="991642941">
    <w:abstractNumId w:val="16"/>
  </w:num>
  <w:num w:numId="40" w16cid:durableId="1842619172">
    <w:abstractNumId w:val="1"/>
  </w:num>
  <w:num w:numId="41" w16cid:durableId="19338528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wMTC1MDU3MTEyMjVW0lEKTi0uzszPAykwMqgFAMbIwQEtAAAA"/>
  </w:docVars>
  <w:rsids>
    <w:rsidRoot w:val="00106B0D"/>
    <w:rsid w:val="000002D0"/>
    <w:rsid w:val="000018CB"/>
    <w:rsid w:val="0000221A"/>
    <w:rsid w:val="00002B36"/>
    <w:rsid w:val="00002B87"/>
    <w:rsid w:val="00003727"/>
    <w:rsid w:val="000042A2"/>
    <w:rsid w:val="000050AC"/>
    <w:rsid w:val="000054DE"/>
    <w:rsid w:val="000055DC"/>
    <w:rsid w:val="00005718"/>
    <w:rsid w:val="00005E03"/>
    <w:rsid w:val="00006ECF"/>
    <w:rsid w:val="0000702E"/>
    <w:rsid w:val="000109B0"/>
    <w:rsid w:val="000118E3"/>
    <w:rsid w:val="00012AE9"/>
    <w:rsid w:val="000132BD"/>
    <w:rsid w:val="00014258"/>
    <w:rsid w:val="000144A9"/>
    <w:rsid w:val="000146EE"/>
    <w:rsid w:val="00014E46"/>
    <w:rsid w:val="00015A12"/>
    <w:rsid w:val="00015D64"/>
    <w:rsid w:val="0002002B"/>
    <w:rsid w:val="000208D3"/>
    <w:rsid w:val="00021E46"/>
    <w:rsid w:val="00021F87"/>
    <w:rsid w:val="00024C94"/>
    <w:rsid w:val="00024EF0"/>
    <w:rsid w:val="00025CED"/>
    <w:rsid w:val="00030264"/>
    <w:rsid w:val="00030548"/>
    <w:rsid w:val="00030968"/>
    <w:rsid w:val="00030BDC"/>
    <w:rsid w:val="0003194E"/>
    <w:rsid w:val="00031EF4"/>
    <w:rsid w:val="0003282F"/>
    <w:rsid w:val="000332BD"/>
    <w:rsid w:val="00033E5C"/>
    <w:rsid w:val="00036189"/>
    <w:rsid w:val="00036FB3"/>
    <w:rsid w:val="0004182D"/>
    <w:rsid w:val="00041B70"/>
    <w:rsid w:val="00042EA6"/>
    <w:rsid w:val="00044186"/>
    <w:rsid w:val="000448EF"/>
    <w:rsid w:val="00045163"/>
    <w:rsid w:val="00045B0F"/>
    <w:rsid w:val="000479AD"/>
    <w:rsid w:val="0005095E"/>
    <w:rsid w:val="00051E83"/>
    <w:rsid w:val="000522FD"/>
    <w:rsid w:val="00052769"/>
    <w:rsid w:val="00056350"/>
    <w:rsid w:val="00060656"/>
    <w:rsid w:val="00061930"/>
    <w:rsid w:val="00061D17"/>
    <w:rsid w:val="00062175"/>
    <w:rsid w:val="00062607"/>
    <w:rsid w:val="0006272D"/>
    <w:rsid w:val="0006286D"/>
    <w:rsid w:val="0006368A"/>
    <w:rsid w:val="0006465A"/>
    <w:rsid w:val="0006625B"/>
    <w:rsid w:val="000719C4"/>
    <w:rsid w:val="00073579"/>
    <w:rsid w:val="0007370A"/>
    <w:rsid w:val="00074406"/>
    <w:rsid w:val="00074CE6"/>
    <w:rsid w:val="00075539"/>
    <w:rsid w:val="00077258"/>
    <w:rsid w:val="00077610"/>
    <w:rsid w:val="00081C81"/>
    <w:rsid w:val="000832B5"/>
    <w:rsid w:val="000838FE"/>
    <w:rsid w:val="00086302"/>
    <w:rsid w:val="00086BA9"/>
    <w:rsid w:val="0008733B"/>
    <w:rsid w:val="00087706"/>
    <w:rsid w:val="00090C9B"/>
    <w:rsid w:val="00090F82"/>
    <w:rsid w:val="000937A5"/>
    <w:rsid w:val="0009487B"/>
    <w:rsid w:val="00094AD1"/>
    <w:rsid w:val="00096CA1"/>
    <w:rsid w:val="000975C6"/>
    <w:rsid w:val="000A068A"/>
    <w:rsid w:val="000A0F6C"/>
    <w:rsid w:val="000A318C"/>
    <w:rsid w:val="000A355F"/>
    <w:rsid w:val="000A4CE2"/>
    <w:rsid w:val="000A4E00"/>
    <w:rsid w:val="000A58B1"/>
    <w:rsid w:val="000A5955"/>
    <w:rsid w:val="000A5B2B"/>
    <w:rsid w:val="000A650A"/>
    <w:rsid w:val="000A65ED"/>
    <w:rsid w:val="000A75E4"/>
    <w:rsid w:val="000B0332"/>
    <w:rsid w:val="000B267E"/>
    <w:rsid w:val="000B2898"/>
    <w:rsid w:val="000B3E87"/>
    <w:rsid w:val="000B6FB0"/>
    <w:rsid w:val="000C0907"/>
    <w:rsid w:val="000C3FB1"/>
    <w:rsid w:val="000C44A2"/>
    <w:rsid w:val="000C4F65"/>
    <w:rsid w:val="000C4F82"/>
    <w:rsid w:val="000C4F95"/>
    <w:rsid w:val="000C544B"/>
    <w:rsid w:val="000C6C18"/>
    <w:rsid w:val="000C7C59"/>
    <w:rsid w:val="000D0510"/>
    <w:rsid w:val="000D1D78"/>
    <w:rsid w:val="000D3E9B"/>
    <w:rsid w:val="000D42BF"/>
    <w:rsid w:val="000D5996"/>
    <w:rsid w:val="000D7980"/>
    <w:rsid w:val="000E0061"/>
    <w:rsid w:val="000E07D1"/>
    <w:rsid w:val="000E0A28"/>
    <w:rsid w:val="000E15C2"/>
    <w:rsid w:val="000E1D04"/>
    <w:rsid w:val="000E20FB"/>
    <w:rsid w:val="000E354F"/>
    <w:rsid w:val="000E3864"/>
    <w:rsid w:val="000E3FCD"/>
    <w:rsid w:val="000E433B"/>
    <w:rsid w:val="000E6291"/>
    <w:rsid w:val="000E795D"/>
    <w:rsid w:val="000F087A"/>
    <w:rsid w:val="000F11F1"/>
    <w:rsid w:val="000F4205"/>
    <w:rsid w:val="000F4665"/>
    <w:rsid w:val="000F4CBF"/>
    <w:rsid w:val="000F5295"/>
    <w:rsid w:val="000F5D44"/>
    <w:rsid w:val="000F6A84"/>
    <w:rsid w:val="001004A5"/>
    <w:rsid w:val="001023F1"/>
    <w:rsid w:val="0010323F"/>
    <w:rsid w:val="00105116"/>
    <w:rsid w:val="0010646A"/>
    <w:rsid w:val="00106B0D"/>
    <w:rsid w:val="0010784E"/>
    <w:rsid w:val="00107BAF"/>
    <w:rsid w:val="001104F6"/>
    <w:rsid w:val="00112626"/>
    <w:rsid w:val="001130C2"/>
    <w:rsid w:val="001133AC"/>
    <w:rsid w:val="00113616"/>
    <w:rsid w:val="001146F5"/>
    <w:rsid w:val="00114CCC"/>
    <w:rsid w:val="00114D27"/>
    <w:rsid w:val="001159BE"/>
    <w:rsid w:val="00115E4D"/>
    <w:rsid w:val="00116076"/>
    <w:rsid w:val="00116379"/>
    <w:rsid w:val="001166FE"/>
    <w:rsid w:val="00117EF4"/>
    <w:rsid w:val="0012031D"/>
    <w:rsid w:val="00120A13"/>
    <w:rsid w:val="00120BFD"/>
    <w:rsid w:val="00120DF1"/>
    <w:rsid w:val="00120E98"/>
    <w:rsid w:val="00122413"/>
    <w:rsid w:val="001233A0"/>
    <w:rsid w:val="00123EEE"/>
    <w:rsid w:val="00123F63"/>
    <w:rsid w:val="001250FE"/>
    <w:rsid w:val="00125335"/>
    <w:rsid w:val="0013007D"/>
    <w:rsid w:val="00130085"/>
    <w:rsid w:val="00131C21"/>
    <w:rsid w:val="001320B8"/>
    <w:rsid w:val="001346AF"/>
    <w:rsid w:val="00134755"/>
    <w:rsid w:val="00134EA4"/>
    <w:rsid w:val="00136458"/>
    <w:rsid w:val="0013660D"/>
    <w:rsid w:val="001373C2"/>
    <w:rsid w:val="0014057B"/>
    <w:rsid w:val="00141E05"/>
    <w:rsid w:val="00142A61"/>
    <w:rsid w:val="00143707"/>
    <w:rsid w:val="001439A9"/>
    <w:rsid w:val="001439CB"/>
    <w:rsid w:val="001444F2"/>
    <w:rsid w:val="00144BF2"/>
    <w:rsid w:val="00144EE7"/>
    <w:rsid w:val="0014563B"/>
    <w:rsid w:val="00145E95"/>
    <w:rsid w:val="00146DA1"/>
    <w:rsid w:val="0014715F"/>
    <w:rsid w:val="001477C1"/>
    <w:rsid w:val="00150105"/>
    <w:rsid w:val="001508E7"/>
    <w:rsid w:val="0015165B"/>
    <w:rsid w:val="00151C4E"/>
    <w:rsid w:val="001524A1"/>
    <w:rsid w:val="00153CC3"/>
    <w:rsid w:val="0015415D"/>
    <w:rsid w:val="001550D9"/>
    <w:rsid w:val="00155BB4"/>
    <w:rsid w:val="00156438"/>
    <w:rsid w:val="0015676B"/>
    <w:rsid w:val="00160D82"/>
    <w:rsid w:val="001617E3"/>
    <w:rsid w:val="00161C07"/>
    <w:rsid w:val="001626B5"/>
    <w:rsid w:val="0016329F"/>
    <w:rsid w:val="0016337F"/>
    <w:rsid w:val="00163E6F"/>
    <w:rsid w:val="00164B74"/>
    <w:rsid w:val="00166EB4"/>
    <w:rsid w:val="00167381"/>
    <w:rsid w:val="00167472"/>
    <w:rsid w:val="001719FE"/>
    <w:rsid w:val="00171F21"/>
    <w:rsid w:val="001732DA"/>
    <w:rsid w:val="00175A5E"/>
    <w:rsid w:val="0017652F"/>
    <w:rsid w:val="00177E40"/>
    <w:rsid w:val="001813D8"/>
    <w:rsid w:val="00181A67"/>
    <w:rsid w:val="00181B94"/>
    <w:rsid w:val="00181CC5"/>
    <w:rsid w:val="001833AD"/>
    <w:rsid w:val="00183738"/>
    <w:rsid w:val="001837E9"/>
    <w:rsid w:val="00183B42"/>
    <w:rsid w:val="00184F3D"/>
    <w:rsid w:val="00185E1F"/>
    <w:rsid w:val="001878D9"/>
    <w:rsid w:val="00187DFD"/>
    <w:rsid w:val="00190065"/>
    <w:rsid w:val="00190C19"/>
    <w:rsid w:val="00191297"/>
    <w:rsid w:val="0019292E"/>
    <w:rsid w:val="001929FE"/>
    <w:rsid w:val="0019311B"/>
    <w:rsid w:val="00194DC1"/>
    <w:rsid w:val="001959FF"/>
    <w:rsid w:val="00197F39"/>
    <w:rsid w:val="001A0A7F"/>
    <w:rsid w:val="001A1657"/>
    <w:rsid w:val="001A214F"/>
    <w:rsid w:val="001A25B9"/>
    <w:rsid w:val="001A3BB8"/>
    <w:rsid w:val="001A3EF9"/>
    <w:rsid w:val="001A5C07"/>
    <w:rsid w:val="001A5E43"/>
    <w:rsid w:val="001A604C"/>
    <w:rsid w:val="001A6FB3"/>
    <w:rsid w:val="001B0D3A"/>
    <w:rsid w:val="001B12F5"/>
    <w:rsid w:val="001B2225"/>
    <w:rsid w:val="001B25B2"/>
    <w:rsid w:val="001B2CB1"/>
    <w:rsid w:val="001B5903"/>
    <w:rsid w:val="001B59CD"/>
    <w:rsid w:val="001B5A2C"/>
    <w:rsid w:val="001B5A6F"/>
    <w:rsid w:val="001B77A1"/>
    <w:rsid w:val="001C0907"/>
    <w:rsid w:val="001C0F6A"/>
    <w:rsid w:val="001C1714"/>
    <w:rsid w:val="001C18D9"/>
    <w:rsid w:val="001C3566"/>
    <w:rsid w:val="001C4969"/>
    <w:rsid w:val="001C6F29"/>
    <w:rsid w:val="001C7993"/>
    <w:rsid w:val="001C7C69"/>
    <w:rsid w:val="001D03A7"/>
    <w:rsid w:val="001D1BA2"/>
    <w:rsid w:val="001D1E45"/>
    <w:rsid w:val="001D3395"/>
    <w:rsid w:val="001D346E"/>
    <w:rsid w:val="001D35D6"/>
    <w:rsid w:val="001D4211"/>
    <w:rsid w:val="001D43A5"/>
    <w:rsid w:val="001D57EF"/>
    <w:rsid w:val="001D599D"/>
    <w:rsid w:val="001D7F29"/>
    <w:rsid w:val="001E093E"/>
    <w:rsid w:val="001E0AD6"/>
    <w:rsid w:val="001E0C24"/>
    <w:rsid w:val="001E3299"/>
    <w:rsid w:val="001E36C5"/>
    <w:rsid w:val="001E3C72"/>
    <w:rsid w:val="001E42D8"/>
    <w:rsid w:val="001E4ECF"/>
    <w:rsid w:val="001F05E3"/>
    <w:rsid w:val="001F07E2"/>
    <w:rsid w:val="001F1C17"/>
    <w:rsid w:val="001F1DE0"/>
    <w:rsid w:val="001F2BFC"/>
    <w:rsid w:val="001F3E92"/>
    <w:rsid w:val="001F5020"/>
    <w:rsid w:val="001F5D3B"/>
    <w:rsid w:val="001F5DD6"/>
    <w:rsid w:val="001F5EFF"/>
    <w:rsid w:val="001F5FFB"/>
    <w:rsid w:val="001F639E"/>
    <w:rsid w:val="001F70ED"/>
    <w:rsid w:val="001F7C76"/>
    <w:rsid w:val="00200099"/>
    <w:rsid w:val="00200D61"/>
    <w:rsid w:val="00201A51"/>
    <w:rsid w:val="00201B80"/>
    <w:rsid w:val="00202AB5"/>
    <w:rsid w:val="00202AEE"/>
    <w:rsid w:val="00202DA7"/>
    <w:rsid w:val="00203188"/>
    <w:rsid w:val="00203968"/>
    <w:rsid w:val="00206114"/>
    <w:rsid w:val="002063F8"/>
    <w:rsid w:val="002064C8"/>
    <w:rsid w:val="00210BB7"/>
    <w:rsid w:val="00212510"/>
    <w:rsid w:val="00214248"/>
    <w:rsid w:val="002150DE"/>
    <w:rsid w:val="002163B6"/>
    <w:rsid w:val="00216D10"/>
    <w:rsid w:val="00216D91"/>
    <w:rsid w:val="00216E31"/>
    <w:rsid w:val="002179A8"/>
    <w:rsid w:val="00217F89"/>
    <w:rsid w:val="0022005F"/>
    <w:rsid w:val="002219A8"/>
    <w:rsid w:val="002226E5"/>
    <w:rsid w:val="00222703"/>
    <w:rsid w:val="00222D55"/>
    <w:rsid w:val="0022469B"/>
    <w:rsid w:val="00224D9C"/>
    <w:rsid w:val="00225E7E"/>
    <w:rsid w:val="002277EE"/>
    <w:rsid w:val="00227847"/>
    <w:rsid w:val="00230720"/>
    <w:rsid w:val="00230D13"/>
    <w:rsid w:val="002310FD"/>
    <w:rsid w:val="0023297F"/>
    <w:rsid w:val="00233243"/>
    <w:rsid w:val="00233903"/>
    <w:rsid w:val="00234828"/>
    <w:rsid w:val="00236A0F"/>
    <w:rsid w:val="002376BF"/>
    <w:rsid w:val="00237EA3"/>
    <w:rsid w:val="00240BBC"/>
    <w:rsid w:val="00240CD2"/>
    <w:rsid w:val="00240FF3"/>
    <w:rsid w:val="0024110E"/>
    <w:rsid w:val="00241ED5"/>
    <w:rsid w:val="00242C9A"/>
    <w:rsid w:val="00243282"/>
    <w:rsid w:val="00243564"/>
    <w:rsid w:val="00243A0F"/>
    <w:rsid w:val="00244C80"/>
    <w:rsid w:val="00246CE7"/>
    <w:rsid w:val="00246EC3"/>
    <w:rsid w:val="00247176"/>
    <w:rsid w:val="002503D2"/>
    <w:rsid w:val="00250BE4"/>
    <w:rsid w:val="00250E7A"/>
    <w:rsid w:val="002513D3"/>
    <w:rsid w:val="0025236B"/>
    <w:rsid w:val="00253657"/>
    <w:rsid w:val="00253DC2"/>
    <w:rsid w:val="00253FE7"/>
    <w:rsid w:val="00254950"/>
    <w:rsid w:val="00256455"/>
    <w:rsid w:val="00256AB7"/>
    <w:rsid w:val="002575C5"/>
    <w:rsid w:val="00260A19"/>
    <w:rsid w:val="00262732"/>
    <w:rsid w:val="00264E1F"/>
    <w:rsid w:val="00265DF0"/>
    <w:rsid w:val="00266155"/>
    <w:rsid w:val="00266832"/>
    <w:rsid w:val="00266DFE"/>
    <w:rsid w:val="002701E8"/>
    <w:rsid w:val="00270539"/>
    <w:rsid w:val="0027076D"/>
    <w:rsid w:val="00270833"/>
    <w:rsid w:val="00270AD4"/>
    <w:rsid w:val="00270B3E"/>
    <w:rsid w:val="00272911"/>
    <w:rsid w:val="00273157"/>
    <w:rsid w:val="002743F3"/>
    <w:rsid w:val="0027678E"/>
    <w:rsid w:val="00280DCE"/>
    <w:rsid w:val="00281D89"/>
    <w:rsid w:val="002832D2"/>
    <w:rsid w:val="0028584E"/>
    <w:rsid w:val="00285A48"/>
    <w:rsid w:val="00286CBE"/>
    <w:rsid w:val="00286F7E"/>
    <w:rsid w:val="002876DA"/>
    <w:rsid w:val="002877F7"/>
    <w:rsid w:val="00287F05"/>
    <w:rsid w:val="0029019C"/>
    <w:rsid w:val="00290411"/>
    <w:rsid w:val="0029055A"/>
    <w:rsid w:val="00291E11"/>
    <w:rsid w:val="00291E97"/>
    <w:rsid w:val="00295019"/>
    <w:rsid w:val="002959C1"/>
    <w:rsid w:val="00297434"/>
    <w:rsid w:val="00297E52"/>
    <w:rsid w:val="002A1A0C"/>
    <w:rsid w:val="002A3325"/>
    <w:rsid w:val="002A6517"/>
    <w:rsid w:val="002A7CE2"/>
    <w:rsid w:val="002A7DC7"/>
    <w:rsid w:val="002B0EE0"/>
    <w:rsid w:val="002B158F"/>
    <w:rsid w:val="002B2077"/>
    <w:rsid w:val="002B23A4"/>
    <w:rsid w:val="002B28B7"/>
    <w:rsid w:val="002B3830"/>
    <w:rsid w:val="002B3BAE"/>
    <w:rsid w:val="002B3D17"/>
    <w:rsid w:val="002B4001"/>
    <w:rsid w:val="002B4FF6"/>
    <w:rsid w:val="002B72DA"/>
    <w:rsid w:val="002C27C5"/>
    <w:rsid w:val="002C36F3"/>
    <w:rsid w:val="002C55BA"/>
    <w:rsid w:val="002C5B1A"/>
    <w:rsid w:val="002C5E2C"/>
    <w:rsid w:val="002C6665"/>
    <w:rsid w:val="002C66B4"/>
    <w:rsid w:val="002C7DF2"/>
    <w:rsid w:val="002D0C46"/>
    <w:rsid w:val="002D0D95"/>
    <w:rsid w:val="002D1BCA"/>
    <w:rsid w:val="002D2047"/>
    <w:rsid w:val="002D3753"/>
    <w:rsid w:val="002D3D31"/>
    <w:rsid w:val="002D61B4"/>
    <w:rsid w:val="002D6F42"/>
    <w:rsid w:val="002D6F9A"/>
    <w:rsid w:val="002D70A7"/>
    <w:rsid w:val="002D78D7"/>
    <w:rsid w:val="002D7E13"/>
    <w:rsid w:val="002E0536"/>
    <w:rsid w:val="002E10CD"/>
    <w:rsid w:val="002E2598"/>
    <w:rsid w:val="002E2B3F"/>
    <w:rsid w:val="002E30AF"/>
    <w:rsid w:val="002E3E12"/>
    <w:rsid w:val="002E41AA"/>
    <w:rsid w:val="002E4A29"/>
    <w:rsid w:val="002E5485"/>
    <w:rsid w:val="002E5F88"/>
    <w:rsid w:val="002E6E45"/>
    <w:rsid w:val="002E78D8"/>
    <w:rsid w:val="002F03B3"/>
    <w:rsid w:val="002F0FC8"/>
    <w:rsid w:val="002F1204"/>
    <w:rsid w:val="002F2938"/>
    <w:rsid w:val="002F2D8F"/>
    <w:rsid w:val="002F5116"/>
    <w:rsid w:val="002F61D8"/>
    <w:rsid w:val="002F7193"/>
    <w:rsid w:val="002F7CF8"/>
    <w:rsid w:val="00300273"/>
    <w:rsid w:val="003009E9"/>
    <w:rsid w:val="0030171B"/>
    <w:rsid w:val="00302C26"/>
    <w:rsid w:val="00302DDE"/>
    <w:rsid w:val="003039F3"/>
    <w:rsid w:val="00303AC0"/>
    <w:rsid w:val="00303E28"/>
    <w:rsid w:val="00305275"/>
    <w:rsid w:val="003075E4"/>
    <w:rsid w:val="003101E0"/>
    <w:rsid w:val="00310468"/>
    <w:rsid w:val="00311C50"/>
    <w:rsid w:val="00311EBD"/>
    <w:rsid w:val="003120C0"/>
    <w:rsid w:val="00312862"/>
    <w:rsid w:val="00312B8A"/>
    <w:rsid w:val="003130D7"/>
    <w:rsid w:val="0031421F"/>
    <w:rsid w:val="003149AE"/>
    <w:rsid w:val="00314E7F"/>
    <w:rsid w:val="003160DF"/>
    <w:rsid w:val="00316AF9"/>
    <w:rsid w:val="003205F9"/>
    <w:rsid w:val="003208F8"/>
    <w:rsid w:val="00321616"/>
    <w:rsid w:val="00321808"/>
    <w:rsid w:val="0032424E"/>
    <w:rsid w:val="003248E0"/>
    <w:rsid w:val="00324E35"/>
    <w:rsid w:val="00327AE9"/>
    <w:rsid w:val="00327E4B"/>
    <w:rsid w:val="0033179D"/>
    <w:rsid w:val="00331E20"/>
    <w:rsid w:val="00332D42"/>
    <w:rsid w:val="00333103"/>
    <w:rsid w:val="0033481E"/>
    <w:rsid w:val="00334A11"/>
    <w:rsid w:val="003350DC"/>
    <w:rsid w:val="00335A2E"/>
    <w:rsid w:val="003364A8"/>
    <w:rsid w:val="0033760A"/>
    <w:rsid w:val="00337FB6"/>
    <w:rsid w:val="003402BB"/>
    <w:rsid w:val="00340E33"/>
    <w:rsid w:val="00341292"/>
    <w:rsid w:val="003420B7"/>
    <w:rsid w:val="0034464A"/>
    <w:rsid w:val="00346AEB"/>
    <w:rsid w:val="0034769F"/>
    <w:rsid w:val="003478B6"/>
    <w:rsid w:val="00347F04"/>
    <w:rsid w:val="00350285"/>
    <w:rsid w:val="00350872"/>
    <w:rsid w:val="003526B2"/>
    <w:rsid w:val="00353031"/>
    <w:rsid w:val="00353234"/>
    <w:rsid w:val="00353AE7"/>
    <w:rsid w:val="00353E13"/>
    <w:rsid w:val="00355462"/>
    <w:rsid w:val="003570EB"/>
    <w:rsid w:val="0036051B"/>
    <w:rsid w:val="003606E1"/>
    <w:rsid w:val="00360978"/>
    <w:rsid w:val="00360FF2"/>
    <w:rsid w:val="003635B3"/>
    <w:rsid w:val="00364852"/>
    <w:rsid w:val="00365BCD"/>
    <w:rsid w:val="00365E94"/>
    <w:rsid w:val="00367515"/>
    <w:rsid w:val="00367F8F"/>
    <w:rsid w:val="003700C7"/>
    <w:rsid w:val="003716C2"/>
    <w:rsid w:val="00372C96"/>
    <w:rsid w:val="0037338E"/>
    <w:rsid w:val="00373EF2"/>
    <w:rsid w:val="0037650D"/>
    <w:rsid w:val="003808F2"/>
    <w:rsid w:val="00381084"/>
    <w:rsid w:val="00381279"/>
    <w:rsid w:val="003826E4"/>
    <w:rsid w:val="00383FE4"/>
    <w:rsid w:val="00384298"/>
    <w:rsid w:val="0038769B"/>
    <w:rsid w:val="003878FB"/>
    <w:rsid w:val="003903A3"/>
    <w:rsid w:val="00390C78"/>
    <w:rsid w:val="003911BD"/>
    <w:rsid w:val="003916C4"/>
    <w:rsid w:val="003918FC"/>
    <w:rsid w:val="00394423"/>
    <w:rsid w:val="00394559"/>
    <w:rsid w:val="00397A04"/>
    <w:rsid w:val="003A1B8E"/>
    <w:rsid w:val="003A2DB6"/>
    <w:rsid w:val="003A56CD"/>
    <w:rsid w:val="003A59F6"/>
    <w:rsid w:val="003A677E"/>
    <w:rsid w:val="003A6C1C"/>
    <w:rsid w:val="003B00FD"/>
    <w:rsid w:val="003B240F"/>
    <w:rsid w:val="003B2D69"/>
    <w:rsid w:val="003B3A9D"/>
    <w:rsid w:val="003B4860"/>
    <w:rsid w:val="003B65E3"/>
    <w:rsid w:val="003C26BD"/>
    <w:rsid w:val="003C354B"/>
    <w:rsid w:val="003C3A76"/>
    <w:rsid w:val="003C4B72"/>
    <w:rsid w:val="003C4E8F"/>
    <w:rsid w:val="003C5928"/>
    <w:rsid w:val="003C6DD9"/>
    <w:rsid w:val="003C74E0"/>
    <w:rsid w:val="003D03EF"/>
    <w:rsid w:val="003D0983"/>
    <w:rsid w:val="003D0F0C"/>
    <w:rsid w:val="003D142E"/>
    <w:rsid w:val="003D2D03"/>
    <w:rsid w:val="003D2E44"/>
    <w:rsid w:val="003D361D"/>
    <w:rsid w:val="003D3757"/>
    <w:rsid w:val="003D3B16"/>
    <w:rsid w:val="003D3CF3"/>
    <w:rsid w:val="003D4E5B"/>
    <w:rsid w:val="003D550A"/>
    <w:rsid w:val="003D5A5D"/>
    <w:rsid w:val="003D69C0"/>
    <w:rsid w:val="003D7EC7"/>
    <w:rsid w:val="003E0A7D"/>
    <w:rsid w:val="003E0CB5"/>
    <w:rsid w:val="003E1236"/>
    <w:rsid w:val="003E3C09"/>
    <w:rsid w:val="003E40D3"/>
    <w:rsid w:val="003E47B6"/>
    <w:rsid w:val="003E4CAF"/>
    <w:rsid w:val="003E5CEC"/>
    <w:rsid w:val="003E62E8"/>
    <w:rsid w:val="003E79DD"/>
    <w:rsid w:val="003F6565"/>
    <w:rsid w:val="003F7A19"/>
    <w:rsid w:val="0040040A"/>
    <w:rsid w:val="00400F9D"/>
    <w:rsid w:val="00404850"/>
    <w:rsid w:val="00405328"/>
    <w:rsid w:val="00405C6B"/>
    <w:rsid w:val="00407019"/>
    <w:rsid w:val="00410A33"/>
    <w:rsid w:val="004154EB"/>
    <w:rsid w:val="00415766"/>
    <w:rsid w:val="004173DC"/>
    <w:rsid w:val="00420607"/>
    <w:rsid w:val="00420D7F"/>
    <w:rsid w:val="00421332"/>
    <w:rsid w:val="0042192C"/>
    <w:rsid w:val="00423857"/>
    <w:rsid w:val="00424B64"/>
    <w:rsid w:val="00425744"/>
    <w:rsid w:val="00426792"/>
    <w:rsid w:val="00427E63"/>
    <w:rsid w:val="00431BE4"/>
    <w:rsid w:val="00432281"/>
    <w:rsid w:val="004345FD"/>
    <w:rsid w:val="00434DB7"/>
    <w:rsid w:val="004366AE"/>
    <w:rsid w:val="00436765"/>
    <w:rsid w:val="00436846"/>
    <w:rsid w:val="004368F4"/>
    <w:rsid w:val="0043776A"/>
    <w:rsid w:val="0044151A"/>
    <w:rsid w:val="0044223D"/>
    <w:rsid w:val="004432AD"/>
    <w:rsid w:val="0044350B"/>
    <w:rsid w:val="004455F2"/>
    <w:rsid w:val="00445E01"/>
    <w:rsid w:val="00450048"/>
    <w:rsid w:val="00450448"/>
    <w:rsid w:val="004508FA"/>
    <w:rsid w:val="00451073"/>
    <w:rsid w:val="00451738"/>
    <w:rsid w:val="00451F72"/>
    <w:rsid w:val="004541B8"/>
    <w:rsid w:val="00455080"/>
    <w:rsid w:val="00455852"/>
    <w:rsid w:val="00455C77"/>
    <w:rsid w:val="00456844"/>
    <w:rsid w:val="004573BF"/>
    <w:rsid w:val="0046041D"/>
    <w:rsid w:val="00460588"/>
    <w:rsid w:val="004614A1"/>
    <w:rsid w:val="00461C89"/>
    <w:rsid w:val="00461E2F"/>
    <w:rsid w:val="00462AA2"/>
    <w:rsid w:val="0046328E"/>
    <w:rsid w:val="00463332"/>
    <w:rsid w:val="004636F4"/>
    <w:rsid w:val="00463892"/>
    <w:rsid w:val="00464260"/>
    <w:rsid w:val="00464BD1"/>
    <w:rsid w:val="00464DF5"/>
    <w:rsid w:val="004657ED"/>
    <w:rsid w:val="00466324"/>
    <w:rsid w:val="0046687C"/>
    <w:rsid w:val="00466C94"/>
    <w:rsid w:val="00466DCC"/>
    <w:rsid w:val="004670A8"/>
    <w:rsid w:val="00467F59"/>
    <w:rsid w:val="004700F3"/>
    <w:rsid w:val="0047066E"/>
    <w:rsid w:val="004717F5"/>
    <w:rsid w:val="004723D8"/>
    <w:rsid w:val="004729BF"/>
    <w:rsid w:val="00472AD4"/>
    <w:rsid w:val="00472E12"/>
    <w:rsid w:val="004734ED"/>
    <w:rsid w:val="0047372F"/>
    <w:rsid w:val="004741B9"/>
    <w:rsid w:val="00474D65"/>
    <w:rsid w:val="00474DB8"/>
    <w:rsid w:val="004771CD"/>
    <w:rsid w:val="00481074"/>
    <w:rsid w:val="00482DD8"/>
    <w:rsid w:val="00483F9B"/>
    <w:rsid w:val="004848D1"/>
    <w:rsid w:val="00486651"/>
    <w:rsid w:val="00486F20"/>
    <w:rsid w:val="004907CA"/>
    <w:rsid w:val="00490B9D"/>
    <w:rsid w:val="004916EF"/>
    <w:rsid w:val="00491A03"/>
    <w:rsid w:val="00492843"/>
    <w:rsid w:val="00493491"/>
    <w:rsid w:val="004937E9"/>
    <w:rsid w:val="00494196"/>
    <w:rsid w:val="00494669"/>
    <w:rsid w:val="00494FA9"/>
    <w:rsid w:val="0049540F"/>
    <w:rsid w:val="004956B3"/>
    <w:rsid w:val="00495BEB"/>
    <w:rsid w:val="00496790"/>
    <w:rsid w:val="004A15F7"/>
    <w:rsid w:val="004A22E8"/>
    <w:rsid w:val="004A25AB"/>
    <w:rsid w:val="004A2E80"/>
    <w:rsid w:val="004A41F8"/>
    <w:rsid w:val="004A425D"/>
    <w:rsid w:val="004A4265"/>
    <w:rsid w:val="004A6CF3"/>
    <w:rsid w:val="004B14F3"/>
    <w:rsid w:val="004B18C4"/>
    <w:rsid w:val="004B1FB4"/>
    <w:rsid w:val="004B2C7A"/>
    <w:rsid w:val="004B44FD"/>
    <w:rsid w:val="004B4F55"/>
    <w:rsid w:val="004B6343"/>
    <w:rsid w:val="004B7FA6"/>
    <w:rsid w:val="004C0216"/>
    <w:rsid w:val="004C2F13"/>
    <w:rsid w:val="004C6A68"/>
    <w:rsid w:val="004C759B"/>
    <w:rsid w:val="004D02DA"/>
    <w:rsid w:val="004D075C"/>
    <w:rsid w:val="004D1866"/>
    <w:rsid w:val="004D19C9"/>
    <w:rsid w:val="004D1D18"/>
    <w:rsid w:val="004D247B"/>
    <w:rsid w:val="004D25E6"/>
    <w:rsid w:val="004D31E8"/>
    <w:rsid w:val="004D3379"/>
    <w:rsid w:val="004D367E"/>
    <w:rsid w:val="004D3C29"/>
    <w:rsid w:val="004D4B5B"/>
    <w:rsid w:val="004D56F7"/>
    <w:rsid w:val="004D6523"/>
    <w:rsid w:val="004D6559"/>
    <w:rsid w:val="004D7666"/>
    <w:rsid w:val="004D7E1E"/>
    <w:rsid w:val="004E111E"/>
    <w:rsid w:val="004E2A79"/>
    <w:rsid w:val="004E3944"/>
    <w:rsid w:val="004E3D80"/>
    <w:rsid w:val="004E41A1"/>
    <w:rsid w:val="004E6806"/>
    <w:rsid w:val="004E6BF3"/>
    <w:rsid w:val="004E6FAB"/>
    <w:rsid w:val="004F0D11"/>
    <w:rsid w:val="004F1609"/>
    <w:rsid w:val="004F1E67"/>
    <w:rsid w:val="004F244B"/>
    <w:rsid w:val="004F3D9F"/>
    <w:rsid w:val="004F4CA8"/>
    <w:rsid w:val="004F6304"/>
    <w:rsid w:val="004F69E3"/>
    <w:rsid w:val="004F7ADB"/>
    <w:rsid w:val="004F7E24"/>
    <w:rsid w:val="00500504"/>
    <w:rsid w:val="0050069B"/>
    <w:rsid w:val="005017BC"/>
    <w:rsid w:val="00501E9A"/>
    <w:rsid w:val="0050291A"/>
    <w:rsid w:val="00502F02"/>
    <w:rsid w:val="005034FB"/>
    <w:rsid w:val="00503A1E"/>
    <w:rsid w:val="00503F9F"/>
    <w:rsid w:val="00504F91"/>
    <w:rsid w:val="00507939"/>
    <w:rsid w:val="00507C3E"/>
    <w:rsid w:val="00507D94"/>
    <w:rsid w:val="005107B2"/>
    <w:rsid w:val="005127FD"/>
    <w:rsid w:val="00512D53"/>
    <w:rsid w:val="00512E19"/>
    <w:rsid w:val="00513EFC"/>
    <w:rsid w:val="00514A58"/>
    <w:rsid w:val="00515B03"/>
    <w:rsid w:val="00516A86"/>
    <w:rsid w:val="0051758F"/>
    <w:rsid w:val="0052084F"/>
    <w:rsid w:val="00520A40"/>
    <w:rsid w:val="00520AD4"/>
    <w:rsid w:val="005217E3"/>
    <w:rsid w:val="00522D61"/>
    <w:rsid w:val="00523731"/>
    <w:rsid w:val="00523869"/>
    <w:rsid w:val="00526A10"/>
    <w:rsid w:val="00527D1A"/>
    <w:rsid w:val="00531579"/>
    <w:rsid w:val="00531802"/>
    <w:rsid w:val="00531F70"/>
    <w:rsid w:val="005320D7"/>
    <w:rsid w:val="00534A6A"/>
    <w:rsid w:val="00537320"/>
    <w:rsid w:val="00540222"/>
    <w:rsid w:val="0054051F"/>
    <w:rsid w:val="00540772"/>
    <w:rsid w:val="00541C16"/>
    <w:rsid w:val="00541D84"/>
    <w:rsid w:val="00541E36"/>
    <w:rsid w:val="00542329"/>
    <w:rsid w:val="00542E1E"/>
    <w:rsid w:val="00543F08"/>
    <w:rsid w:val="005442EB"/>
    <w:rsid w:val="00545369"/>
    <w:rsid w:val="0055011C"/>
    <w:rsid w:val="005509AF"/>
    <w:rsid w:val="005520BF"/>
    <w:rsid w:val="0055387F"/>
    <w:rsid w:val="0055398D"/>
    <w:rsid w:val="00554C66"/>
    <w:rsid w:val="0055522A"/>
    <w:rsid w:val="0055571E"/>
    <w:rsid w:val="00556563"/>
    <w:rsid w:val="005572DC"/>
    <w:rsid w:val="00557BA1"/>
    <w:rsid w:val="005601FB"/>
    <w:rsid w:val="0056062D"/>
    <w:rsid w:val="00560CAF"/>
    <w:rsid w:val="00560E40"/>
    <w:rsid w:val="00560EB0"/>
    <w:rsid w:val="005620A2"/>
    <w:rsid w:val="00562633"/>
    <w:rsid w:val="0056455E"/>
    <w:rsid w:val="00564EC7"/>
    <w:rsid w:val="00565653"/>
    <w:rsid w:val="00565924"/>
    <w:rsid w:val="005660E0"/>
    <w:rsid w:val="0056711D"/>
    <w:rsid w:val="005673E7"/>
    <w:rsid w:val="00570B6A"/>
    <w:rsid w:val="005718B8"/>
    <w:rsid w:val="00571913"/>
    <w:rsid w:val="00571B53"/>
    <w:rsid w:val="005722A0"/>
    <w:rsid w:val="00573637"/>
    <w:rsid w:val="00574034"/>
    <w:rsid w:val="005752C4"/>
    <w:rsid w:val="0057561B"/>
    <w:rsid w:val="00575A04"/>
    <w:rsid w:val="00575AAB"/>
    <w:rsid w:val="00575E44"/>
    <w:rsid w:val="00577432"/>
    <w:rsid w:val="005776E7"/>
    <w:rsid w:val="0058103B"/>
    <w:rsid w:val="00581A05"/>
    <w:rsid w:val="0058295C"/>
    <w:rsid w:val="005831A2"/>
    <w:rsid w:val="00583D62"/>
    <w:rsid w:val="00584119"/>
    <w:rsid w:val="0058530D"/>
    <w:rsid w:val="005859CB"/>
    <w:rsid w:val="00585B1D"/>
    <w:rsid w:val="00586980"/>
    <w:rsid w:val="00587D47"/>
    <w:rsid w:val="00590977"/>
    <w:rsid w:val="0059130E"/>
    <w:rsid w:val="00591AD1"/>
    <w:rsid w:val="00593534"/>
    <w:rsid w:val="00594D8B"/>
    <w:rsid w:val="00595C4D"/>
    <w:rsid w:val="00596D19"/>
    <w:rsid w:val="005971C5"/>
    <w:rsid w:val="005A0A0B"/>
    <w:rsid w:val="005A230D"/>
    <w:rsid w:val="005A2B16"/>
    <w:rsid w:val="005A319B"/>
    <w:rsid w:val="005A4C04"/>
    <w:rsid w:val="005A4CE5"/>
    <w:rsid w:val="005A5141"/>
    <w:rsid w:val="005A5A16"/>
    <w:rsid w:val="005A71B0"/>
    <w:rsid w:val="005B03E1"/>
    <w:rsid w:val="005B08EC"/>
    <w:rsid w:val="005B0AB8"/>
    <w:rsid w:val="005B15DA"/>
    <w:rsid w:val="005B30EC"/>
    <w:rsid w:val="005B418D"/>
    <w:rsid w:val="005B5079"/>
    <w:rsid w:val="005C3011"/>
    <w:rsid w:val="005C39B9"/>
    <w:rsid w:val="005C4306"/>
    <w:rsid w:val="005C47F9"/>
    <w:rsid w:val="005C6456"/>
    <w:rsid w:val="005C6AE8"/>
    <w:rsid w:val="005C6D87"/>
    <w:rsid w:val="005C76BC"/>
    <w:rsid w:val="005D10E6"/>
    <w:rsid w:val="005D1554"/>
    <w:rsid w:val="005D1A32"/>
    <w:rsid w:val="005D3013"/>
    <w:rsid w:val="005D49F4"/>
    <w:rsid w:val="005D561C"/>
    <w:rsid w:val="005D57BA"/>
    <w:rsid w:val="005D7769"/>
    <w:rsid w:val="005D7AF6"/>
    <w:rsid w:val="005E010C"/>
    <w:rsid w:val="005E0C22"/>
    <w:rsid w:val="005E1A50"/>
    <w:rsid w:val="005E1F2E"/>
    <w:rsid w:val="005E5122"/>
    <w:rsid w:val="005E661B"/>
    <w:rsid w:val="005E66C9"/>
    <w:rsid w:val="005E6AA8"/>
    <w:rsid w:val="005E6C7D"/>
    <w:rsid w:val="005E739D"/>
    <w:rsid w:val="005E75B9"/>
    <w:rsid w:val="005E7BC8"/>
    <w:rsid w:val="005E7D77"/>
    <w:rsid w:val="005F00D6"/>
    <w:rsid w:val="005F0A6C"/>
    <w:rsid w:val="005F12EA"/>
    <w:rsid w:val="005F21A1"/>
    <w:rsid w:val="005F2EE2"/>
    <w:rsid w:val="005F3383"/>
    <w:rsid w:val="005F373B"/>
    <w:rsid w:val="005F4D43"/>
    <w:rsid w:val="005F5134"/>
    <w:rsid w:val="005F5455"/>
    <w:rsid w:val="005F6458"/>
    <w:rsid w:val="005F79E7"/>
    <w:rsid w:val="0060378B"/>
    <w:rsid w:val="0060422E"/>
    <w:rsid w:val="00605225"/>
    <w:rsid w:val="0060558B"/>
    <w:rsid w:val="00605923"/>
    <w:rsid w:val="00605CD5"/>
    <w:rsid w:val="00607613"/>
    <w:rsid w:val="00607746"/>
    <w:rsid w:val="00607984"/>
    <w:rsid w:val="006116F4"/>
    <w:rsid w:val="00612987"/>
    <w:rsid w:val="00612CC0"/>
    <w:rsid w:val="00613B0F"/>
    <w:rsid w:val="00613DF2"/>
    <w:rsid w:val="00614276"/>
    <w:rsid w:val="0061457A"/>
    <w:rsid w:val="00614CD5"/>
    <w:rsid w:val="00617988"/>
    <w:rsid w:val="006204A7"/>
    <w:rsid w:val="00620605"/>
    <w:rsid w:val="00620951"/>
    <w:rsid w:val="00621D01"/>
    <w:rsid w:val="006229D7"/>
    <w:rsid w:val="00622F7F"/>
    <w:rsid w:val="006234C4"/>
    <w:rsid w:val="0062669F"/>
    <w:rsid w:val="00633916"/>
    <w:rsid w:val="00633A78"/>
    <w:rsid w:val="00634A91"/>
    <w:rsid w:val="006353AA"/>
    <w:rsid w:val="00636A09"/>
    <w:rsid w:val="0064095A"/>
    <w:rsid w:val="0064157F"/>
    <w:rsid w:val="006418FA"/>
    <w:rsid w:val="006426B9"/>
    <w:rsid w:val="00642ADA"/>
    <w:rsid w:val="00643110"/>
    <w:rsid w:val="00643A08"/>
    <w:rsid w:val="00643AC4"/>
    <w:rsid w:val="0064412E"/>
    <w:rsid w:val="0064443C"/>
    <w:rsid w:val="006460A8"/>
    <w:rsid w:val="00647326"/>
    <w:rsid w:val="006478AC"/>
    <w:rsid w:val="00650582"/>
    <w:rsid w:val="006515B3"/>
    <w:rsid w:val="006515BA"/>
    <w:rsid w:val="0065181F"/>
    <w:rsid w:val="00651E62"/>
    <w:rsid w:val="00652B2A"/>
    <w:rsid w:val="006549E8"/>
    <w:rsid w:val="006550FE"/>
    <w:rsid w:val="00655601"/>
    <w:rsid w:val="00656222"/>
    <w:rsid w:val="00656336"/>
    <w:rsid w:val="0065709C"/>
    <w:rsid w:val="006606B0"/>
    <w:rsid w:val="00660768"/>
    <w:rsid w:val="00661736"/>
    <w:rsid w:val="0066226E"/>
    <w:rsid w:val="00662AC1"/>
    <w:rsid w:val="00662CB5"/>
    <w:rsid w:val="006637F4"/>
    <w:rsid w:val="0066422B"/>
    <w:rsid w:val="00664662"/>
    <w:rsid w:val="00664B1B"/>
    <w:rsid w:val="006666F6"/>
    <w:rsid w:val="0066698A"/>
    <w:rsid w:val="00666EF3"/>
    <w:rsid w:val="00667C70"/>
    <w:rsid w:val="0067026A"/>
    <w:rsid w:val="00673052"/>
    <w:rsid w:val="00674B1D"/>
    <w:rsid w:val="00675CE3"/>
    <w:rsid w:val="00676E94"/>
    <w:rsid w:val="00680775"/>
    <w:rsid w:val="006807CB"/>
    <w:rsid w:val="00681ED0"/>
    <w:rsid w:val="00682887"/>
    <w:rsid w:val="0068289C"/>
    <w:rsid w:val="00682DED"/>
    <w:rsid w:val="00684185"/>
    <w:rsid w:val="00684ABD"/>
    <w:rsid w:val="0068655E"/>
    <w:rsid w:val="006871E9"/>
    <w:rsid w:val="006875C2"/>
    <w:rsid w:val="0069147F"/>
    <w:rsid w:val="006915F8"/>
    <w:rsid w:val="006932F9"/>
    <w:rsid w:val="006945CF"/>
    <w:rsid w:val="0069468F"/>
    <w:rsid w:val="00694994"/>
    <w:rsid w:val="00694B39"/>
    <w:rsid w:val="0069593D"/>
    <w:rsid w:val="006962C3"/>
    <w:rsid w:val="00696982"/>
    <w:rsid w:val="006A0F1E"/>
    <w:rsid w:val="006A1ED7"/>
    <w:rsid w:val="006A2059"/>
    <w:rsid w:val="006A20C2"/>
    <w:rsid w:val="006A244E"/>
    <w:rsid w:val="006A24C0"/>
    <w:rsid w:val="006A26B5"/>
    <w:rsid w:val="006A3431"/>
    <w:rsid w:val="006A3754"/>
    <w:rsid w:val="006A4451"/>
    <w:rsid w:val="006A469E"/>
    <w:rsid w:val="006A4719"/>
    <w:rsid w:val="006A68D0"/>
    <w:rsid w:val="006A6D67"/>
    <w:rsid w:val="006A7358"/>
    <w:rsid w:val="006A74CE"/>
    <w:rsid w:val="006B125A"/>
    <w:rsid w:val="006B2234"/>
    <w:rsid w:val="006B4235"/>
    <w:rsid w:val="006B5205"/>
    <w:rsid w:val="006B5973"/>
    <w:rsid w:val="006B5C55"/>
    <w:rsid w:val="006C14EF"/>
    <w:rsid w:val="006C1700"/>
    <w:rsid w:val="006C2987"/>
    <w:rsid w:val="006C5110"/>
    <w:rsid w:val="006C568F"/>
    <w:rsid w:val="006C6012"/>
    <w:rsid w:val="006C627E"/>
    <w:rsid w:val="006C76FE"/>
    <w:rsid w:val="006C7D6D"/>
    <w:rsid w:val="006D00FD"/>
    <w:rsid w:val="006D02EC"/>
    <w:rsid w:val="006D0B54"/>
    <w:rsid w:val="006D20ED"/>
    <w:rsid w:val="006D2A47"/>
    <w:rsid w:val="006D3588"/>
    <w:rsid w:val="006D570F"/>
    <w:rsid w:val="006D76C1"/>
    <w:rsid w:val="006E07D1"/>
    <w:rsid w:val="006E0D54"/>
    <w:rsid w:val="006E21A2"/>
    <w:rsid w:val="006E29F8"/>
    <w:rsid w:val="006E4AD1"/>
    <w:rsid w:val="006E5E3C"/>
    <w:rsid w:val="006E749D"/>
    <w:rsid w:val="006E7A78"/>
    <w:rsid w:val="006F0A89"/>
    <w:rsid w:val="006F0D7C"/>
    <w:rsid w:val="006F2550"/>
    <w:rsid w:val="006F49CD"/>
    <w:rsid w:val="006F5F19"/>
    <w:rsid w:val="006F6F05"/>
    <w:rsid w:val="006F775D"/>
    <w:rsid w:val="00700DED"/>
    <w:rsid w:val="00701C17"/>
    <w:rsid w:val="00701D05"/>
    <w:rsid w:val="00701DA2"/>
    <w:rsid w:val="00702652"/>
    <w:rsid w:val="00702803"/>
    <w:rsid w:val="00704A76"/>
    <w:rsid w:val="007058FE"/>
    <w:rsid w:val="00706457"/>
    <w:rsid w:val="00706488"/>
    <w:rsid w:val="0070731B"/>
    <w:rsid w:val="0070743A"/>
    <w:rsid w:val="00711821"/>
    <w:rsid w:val="0071296C"/>
    <w:rsid w:val="00713000"/>
    <w:rsid w:val="007131D4"/>
    <w:rsid w:val="00716AAE"/>
    <w:rsid w:val="00717B4C"/>
    <w:rsid w:val="00717C1B"/>
    <w:rsid w:val="007203F2"/>
    <w:rsid w:val="00720EC8"/>
    <w:rsid w:val="00720F1E"/>
    <w:rsid w:val="0072196A"/>
    <w:rsid w:val="007219D5"/>
    <w:rsid w:val="00723A10"/>
    <w:rsid w:val="00723FD3"/>
    <w:rsid w:val="00723FD5"/>
    <w:rsid w:val="0072427D"/>
    <w:rsid w:val="00724C46"/>
    <w:rsid w:val="00724D95"/>
    <w:rsid w:val="0073028E"/>
    <w:rsid w:val="00730E34"/>
    <w:rsid w:val="00731F52"/>
    <w:rsid w:val="00732EC9"/>
    <w:rsid w:val="007334A3"/>
    <w:rsid w:val="007341F1"/>
    <w:rsid w:val="007354C9"/>
    <w:rsid w:val="00735699"/>
    <w:rsid w:val="0073653B"/>
    <w:rsid w:val="00736CE3"/>
    <w:rsid w:val="00736F9F"/>
    <w:rsid w:val="007371BE"/>
    <w:rsid w:val="00742BFB"/>
    <w:rsid w:val="007432FB"/>
    <w:rsid w:val="007434E3"/>
    <w:rsid w:val="00744F35"/>
    <w:rsid w:val="00744FD0"/>
    <w:rsid w:val="007454D4"/>
    <w:rsid w:val="00745EAA"/>
    <w:rsid w:val="00746F77"/>
    <w:rsid w:val="00747A40"/>
    <w:rsid w:val="00752D0C"/>
    <w:rsid w:val="007534D7"/>
    <w:rsid w:val="007541E6"/>
    <w:rsid w:val="00754507"/>
    <w:rsid w:val="00754B2D"/>
    <w:rsid w:val="00754F66"/>
    <w:rsid w:val="00755603"/>
    <w:rsid w:val="007579CC"/>
    <w:rsid w:val="00757D0D"/>
    <w:rsid w:val="00762D47"/>
    <w:rsid w:val="00763047"/>
    <w:rsid w:val="00764346"/>
    <w:rsid w:val="00764501"/>
    <w:rsid w:val="00764E34"/>
    <w:rsid w:val="00766104"/>
    <w:rsid w:val="00767D8E"/>
    <w:rsid w:val="00767E31"/>
    <w:rsid w:val="00772C6F"/>
    <w:rsid w:val="00775298"/>
    <w:rsid w:val="0077621B"/>
    <w:rsid w:val="00776BE3"/>
    <w:rsid w:val="00780945"/>
    <w:rsid w:val="00782A02"/>
    <w:rsid w:val="007840D8"/>
    <w:rsid w:val="00790B96"/>
    <w:rsid w:val="00790DAD"/>
    <w:rsid w:val="0079186F"/>
    <w:rsid w:val="00793631"/>
    <w:rsid w:val="00793A80"/>
    <w:rsid w:val="007940ED"/>
    <w:rsid w:val="00794D2C"/>
    <w:rsid w:val="007953A0"/>
    <w:rsid w:val="007953EB"/>
    <w:rsid w:val="007A05C2"/>
    <w:rsid w:val="007A4234"/>
    <w:rsid w:val="007A44CD"/>
    <w:rsid w:val="007A56F9"/>
    <w:rsid w:val="007A580E"/>
    <w:rsid w:val="007A608E"/>
    <w:rsid w:val="007A65F7"/>
    <w:rsid w:val="007A70E5"/>
    <w:rsid w:val="007A7220"/>
    <w:rsid w:val="007A73DA"/>
    <w:rsid w:val="007B23EE"/>
    <w:rsid w:val="007B260F"/>
    <w:rsid w:val="007B2E57"/>
    <w:rsid w:val="007B3E67"/>
    <w:rsid w:val="007B43DA"/>
    <w:rsid w:val="007B454C"/>
    <w:rsid w:val="007B48CD"/>
    <w:rsid w:val="007B4ECA"/>
    <w:rsid w:val="007B51D3"/>
    <w:rsid w:val="007B5619"/>
    <w:rsid w:val="007B59C4"/>
    <w:rsid w:val="007B6BF4"/>
    <w:rsid w:val="007B7450"/>
    <w:rsid w:val="007B776B"/>
    <w:rsid w:val="007C138C"/>
    <w:rsid w:val="007C4A81"/>
    <w:rsid w:val="007C6479"/>
    <w:rsid w:val="007C72B3"/>
    <w:rsid w:val="007D1868"/>
    <w:rsid w:val="007D4DA9"/>
    <w:rsid w:val="007D5127"/>
    <w:rsid w:val="007D60F9"/>
    <w:rsid w:val="007D6E74"/>
    <w:rsid w:val="007D7941"/>
    <w:rsid w:val="007E006F"/>
    <w:rsid w:val="007E00C6"/>
    <w:rsid w:val="007E02D1"/>
    <w:rsid w:val="007E0A01"/>
    <w:rsid w:val="007E1099"/>
    <w:rsid w:val="007E1127"/>
    <w:rsid w:val="007E1552"/>
    <w:rsid w:val="007E259E"/>
    <w:rsid w:val="007E275B"/>
    <w:rsid w:val="007E529E"/>
    <w:rsid w:val="007E6990"/>
    <w:rsid w:val="007E69B2"/>
    <w:rsid w:val="007E759B"/>
    <w:rsid w:val="007E7797"/>
    <w:rsid w:val="007F0064"/>
    <w:rsid w:val="007F0783"/>
    <w:rsid w:val="007F092C"/>
    <w:rsid w:val="007F2750"/>
    <w:rsid w:val="007F3A35"/>
    <w:rsid w:val="007F3AAF"/>
    <w:rsid w:val="007F4905"/>
    <w:rsid w:val="007F500D"/>
    <w:rsid w:val="007F5815"/>
    <w:rsid w:val="007F6601"/>
    <w:rsid w:val="007F7570"/>
    <w:rsid w:val="007F7604"/>
    <w:rsid w:val="00800542"/>
    <w:rsid w:val="008005F9"/>
    <w:rsid w:val="00800A82"/>
    <w:rsid w:val="00800C0A"/>
    <w:rsid w:val="00801020"/>
    <w:rsid w:val="00804B9C"/>
    <w:rsid w:val="00805EDC"/>
    <w:rsid w:val="00806219"/>
    <w:rsid w:val="00806E5F"/>
    <w:rsid w:val="008104DD"/>
    <w:rsid w:val="00810D93"/>
    <w:rsid w:val="0081482D"/>
    <w:rsid w:val="008159D8"/>
    <w:rsid w:val="00815E0B"/>
    <w:rsid w:val="00816578"/>
    <w:rsid w:val="00816654"/>
    <w:rsid w:val="00816922"/>
    <w:rsid w:val="00816D24"/>
    <w:rsid w:val="008173F2"/>
    <w:rsid w:val="00820A8A"/>
    <w:rsid w:val="00822395"/>
    <w:rsid w:val="00822F77"/>
    <w:rsid w:val="008242ED"/>
    <w:rsid w:val="00824C67"/>
    <w:rsid w:val="00825A18"/>
    <w:rsid w:val="00826433"/>
    <w:rsid w:val="008273EA"/>
    <w:rsid w:val="00827A40"/>
    <w:rsid w:val="0083050B"/>
    <w:rsid w:val="00830666"/>
    <w:rsid w:val="00830AD0"/>
    <w:rsid w:val="00831ABE"/>
    <w:rsid w:val="00832952"/>
    <w:rsid w:val="00832A10"/>
    <w:rsid w:val="0083324F"/>
    <w:rsid w:val="00833CA4"/>
    <w:rsid w:val="00836147"/>
    <w:rsid w:val="00836E8E"/>
    <w:rsid w:val="0083714F"/>
    <w:rsid w:val="008411F2"/>
    <w:rsid w:val="00841F85"/>
    <w:rsid w:val="00841FB0"/>
    <w:rsid w:val="0084276C"/>
    <w:rsid w:val="008427A4"/>
    <w:rsid w:val="008428AC"/>
    <w:rsid w:val="00842E3B"/>
    <w:rsid w:val="0084425E"/>
    <w:rsid w:val="00846C72"/>
    <w:rsid w:val="00852454"/>
    <w:rsid w:val="008526BC"/>
    <w:rsid w:val="008537D0"/>
    <w:rsid w:val="00853F4F"/>
    <w:rsid w:val="008542F2"/>
    <w:rsid w:val="008544BB"/>
    <w:rsid w:val="00854949"/>
    <w:rsid w:val="00855A17"/>
    <w:rsid w:val="008573C5"/>
    <w:rsid w:val="00857836"/>
    <w:rsid w:val="008579E3"/>
    <w:rsid w:val="00861750"/>
    <w:rsid w:val="00862BA7"/>
    <w:rsid w:val="008635AB"/>
    <w:rsid w:val="008649B2"/>
    <w:rsid w:val="00864FD4"/>
    <w:rsid w:val="00866B10"/>
    <w:rsid w:val="008670C2"/>
    <w:rsid w:val="00867D3A"/>
    <w:rsid w:val="0087056C"/>
    <w:rsid w:val="0087134B"/>
    <w:rsid w:val="00871557"/>
    <w:rsid w:val="00871B36"/>
    <w:rsid w:val="00872098"/>
    <w:rsid w:val="008725A8"/>
    <w:rsid w:val="00872B31"/>
    <w:rsid w:val="00872F23"/>
    <w:rsid w:val="00873B29"/>
    <w:rsid w:val="00873CB7"/>
    <w:rsid w:val="00875E1E"/>
    <w:rsid w:val="00877A4F"/>
    <w:rsid w:val="00881432"/>
    <w:rsid w:val="00881DA6"/>
    <w:rsid w:val="0088211C"/>
    <w:rsid w:val="008826FF"/>
    <w:rsid w:val="008857F1"/>
    <w:rsid w:val="00885E3B"/>
    <w:rsid w:val="00885F4F"/>
    <w:rsid w:val="00886464"/>
    <w:rsid w:val="00886E15"/>
    <w:rsid w:val="00891453"/>
    <w:rsid w:val="00891830"/>
    <w:rsid w:val="00891883"/>
    <w:rsid w:val="00891B6D"/>
    <w:rsid w:val="00892A04"/>
    <w:rsid w:val="008934A7"/>
    <w:rsid w:val="008945A9"/>
    <w:rsid w:val="00895964"/>
    <w:rsid w:val="008964D9"/>
    <w:rsid w:val="008965A5"/>
    <w:rsid w:val="00896D18"/>
    <w:rsid w:val="00896FE2"/>
    <w:rsid w:val="0089737F"/>
    <w:rsid w:val="00897E1A"/>
    <w:rsid w:val="008A1B83"/>
    <w:rsid w:val="008A27FF"/>
    <w:rsid w:val="008A2AD8"/>
    <w:rsid w:val="008A2CCE"/>
    <w:rsid w:val="008A345F"/>
    <w:rsid w:val="008A3DC5"/>
    <w:rsid w:val="008A48F3"/>
    <w:rsid w:val="008A4FFF"/>
    <w:rsid w:val="008A5E8D"/>
    <w:rsid w:val="008A736B"/>
    <w:rsid w:val="008A73EC"/>
    <w:rsid w:val="008B0178"/>
    <w:rsid w:val="008B0564"/>
    <w:rsid w:val="008B176E"/>
    <w:rsid w:val="008B4398"/>
    <w:rsid w:val="008B5112"/>
    <w:rsid w:val="008B55F8"/>
    <w:rsid w:val="008B5BBE"/>
    <w:rsid w:val="008B645C"/>
    <w:rsid w:val="008B7487"/>
    <w:rsid w:val="008B7616"/>
    <w:rsid w:val="008C021C"/>
    <w:rsid w:val="008C0C88"/>
    <w:rsid w:val="008C1B3E"/>
    <w:rsid w:val="008C1C13"/>
    <w:rsid w:val="008C2DF1"/>
    <w:rsid w:val="008C317C"/>
    <w:rsid w:val="008C386B"/>
    <w:rsid w:val="008C520C"/>
    <w:rsid w:val="008C5575"/>
    <w:rsid w:val="008C58B7"/>
    <w:rsid w:val="008C5B73"/>
    <w:rsid w:val="008C759C"/>
    <w:rsid w:val="008D036E"/>
    <w:rsid w:val="008D147C"/>
    <w:rsid w:val="008D1FE6"/>
    <w:rsid w:val="008D2126"/>
    <w:rsid w:val="008D24E3"/>
    <w:rsid w:val="008D3393"/>
    <w:rsid w:val="008D371C"/>
    <w:rsid w:val="008D4D85"/>
    <w:rsid w:val="008E1283"/>
    <w:rsid w:val="008E1D39"/>
    <w:rsid w:val="008E1F71"/>
    <w:rsid w:val="008E25E1"/>
    <w:rsid w:val="008E2C0B"/>
    <w:rsid w:val="008E32F3"/>
    <w:rsid w:val="008E3D6F"/>
    <w:rsid w:val="008E4827"/>
    <w:rsid w:val="008E5080"/>
    <w:rsid w:val="008E5B51"/>
    <w:rsid w:val="008E6266"/>
    <w:rsid w:val="008E65E3"/>
    <w:rsid w:val="008E711D"/>
    <w:rsid w:val="008E7DDA"/>
    <w:rsid w:val="008F402E"/>
    <w:rsid w:val="008F40C0"/>
    <w:rsid w:val="008F4613"/>
    <w:rsid w:val="008F539E"/>
    <w:rsid w:val="008F6681"/>
    <w:rsid w:val="008F6828"/>
    <w:rsid w:val="008F742B"/>
    <w:rsid w:val="008F778C"/>
    <w:rsid w:val="0090174C"/>
    <w:rsid w:val="00901CFD"/>
    <w:rsid w:val="00901EB7"/>
    <w:rsid w:val="00903474"/>
    <w:rsid w:val="0090536C"/>
    <w:rsid w:val="00905838"/>
    <w:rsid w:val="00905FE9"/>
    <w:rsid w:val="00906945"/>
    <w:rsid w:val="00906B28"/>
    <w:rsid w:val="00906E07"/>
    <w:rsid w:val="00910A34"/>
    <w:rsid w:val="00911C3E"/>
    <w:rsid w:val="009126B7"/>
    <w:rsid w:val="009128E3"/>
    <w:rsid w:val="00912911"/>
    <w:rsid w:val="009160DE"/>
    <w:rsid w:val="00916CF3"/>
    <w:rsid w:val="009177CC"/>
    <w:rsid w:val="00917D79"/>
    <w:rsid w:val="009216C3"/>
    <w:rsid w:val="00921B55"/>
    <w:rsid w:val="00922CF2"/>
    <w:rsid w:val="009236D2"/>
    <w:rsid w:val="009241E4"/>
    <w:rsid w:val="00924A2D"/>
    <w:rsid w:val="009255C6"/>
    <w:rsid w:val="00925DDA"/>
    <w:rsid w:val="0092620C"/>
    <w:rsid w:val="00926B10"/>
    <w:rsid w:val="00926B68"/>
    <w:rsid w:val="0092799C"/>
    <w:rsid w:val="00931F18"/>
    <w:rsid w:val="00934EE6"/>
    <w:rsid w:val="00935456"/>
    <w:rsid w:val="0093622E"/>
    <w:rsid w:val="0093663E"/>
    <w:rsid w:val="0093698E"/>
    <w:rsid w:val="00940A9B"/>
    <w:rsid w:val="00941801"/>
    <w:rsid w:val="00941865"/>
    <w:rsid w:val="009423C4"/>
    <w:rsid w:val="00942875"/>
    <w:rsid w:val="00943AA7"/>
    <w:rsid w:val="00943BD3"/>
    <w:rsid w:val="009453F8"/>
    <w:rsid w:val="00947956"/>
    <w:rsid w:val="009479F5"/>
    <w:rsid w:val="00950F77"/>
    <w:rsid w:val="009516D0"/>
    <w:rsid w:val="0095254A"/>
    <w:rsid w:val="0095424D"/>
    <w:rsid w:val="00955069"/>
    <w:rsid w:val="00955FAF"/>
    <w:rsid w:val="0095682F"/>
    <w:rsid w:val="009574A3"/>
    <w:rsid w:val="00957E4C"/>
    <w:rsid w:val="00964077"/>
    <w:rsid w:val="009641B2"/>
    <w:rsid w:val="00964828"/>
    <w:rsid w:val="00966EB5"/>
    <w:rsid w:val="0096747A"/>
    <w:rsid w:val="0096759A"/>
    <w:rsid w:val="00967D41"/>
    <w:rsid w:val="00967F53"/>
    <w:rsid w:val="00970394"/>
    <w:rsid w:val="00971DB8"/>
    <w:rsid w:val="0097390E"/>
    <w:rsid w:val="00973FCE"/>
    <w:rsid w:val="009742F3"/>
    <w:rsid w:val="0097489A"/>
    <w:rsid w:val="00974B2F"/>
    <w:rsid w:val="00975207"/>
    <w:rsid w:val="009752AE"/>
    <w:rsid w:val="00976C81"/>
    <w:rsid w:val="00977021"/>
    <w:rsid w:val="0097748D"/>
    <w:rsid w:val="00981835"/>
    <w:rsid w:val="00981B22"/>
    <w:rsid w:val="0098286B"/>
    <w:rsid w:val="00983D21"/>
    <w:rsid w:val="00984A91"/>
    <w:rsid w:val="009853E9"/>
    <w:rsid w:val="00985C37"/>
    <w:rsid w:val="009860C3"/>
    <w:rsid w:val="00986E21"/>
    <w:rsid w:val="00991160"/>
    <w:rsid w:val="009914E8"/>
    <w:rsid w:val="00994AB6"/>
    <w:rsid w:val="00996021"/>
    <w:rsid w:val="0099603F"/>
    <w:rsid w:val="009965BC"/>
    <w:rsid w:val="009969BE"/>
    <w:rsid w:val="00996A2B"/>
    <w:rsid w:val="009973E3"/>
    <w:rsid w:val="0099773C"/>
    <w:rsid w:val="009A0153"/>
    <w:rsid w:val="009A095E"/>
    <w:rsid w:val="009A3091"/>
    <w:rsid w:val="009A38A3"/>
    <w:rsid w:val="009A3F4E"/>
    <w:rsid w:val="009A3FE2"/>
    <w:rsid w:val="009A4359"/>
    <w:rsid w:val="009A5466"/>
    <w:rsid w:val="009A5716"/>
    <w:rsid w:val="009A6CAF"/>
    <w:rsid w:val="009B06C5"/>
    <w:rsid w:val="009B1079"/>
    <w:rsid w:val="009B15FC"/>
    <w:rsid w:val="009B182B"/>
    <w:rsid w:val="009B341D"/>
    <w:rsid w:val="009B377B"/>
    <w:rsid w:val="009B37AD"/>
    <w:rsid w:val="009B428B"/>
    <w:rsid w:val="009B535B"/>
    <w:rsid w:val="009B559B"/>
    <w:rsid w:val="009B6D83"/>
    <w:rsid w:val="009B76E4"/>
    <w:rsid w:val="009B77FD"/>
    <w:rsid w:val="009C0A56"/>
    <w:rsid w:val="009C1408"/>
    <w:rsid w:val="009C1D29"/>
    <w:rsid w:val="009C1F80"/>
    <w:rsid w:val="009C1FB6"/>
    <w:rsid w:val="009C38A1"/>
    <w:rsid w:val="009C3B82"/>
    <w:rsid w:val="009C53E0"/>
    <w:rsid w:val="009C7CC7"/>
    <w:rsid w:val="009D04EB"/>
    <w:rsid w:val="009D0E08"/>
    <w:rsid w:val="009D154A"/>
    <w:rsid w:val="009D2A9F"/>
    <w:rsid w:val="009D2D11"/>
    <w:rsid w:val="009D3008"/>
    <w:rsid w:val="009D3446"/>
    <w:rsid w:val="009D4494"/>
    <w:rsid w:val="009D5684"/>
    <w:rsid w:val="009D6383"/>
    <w:rsid w:val="009D6561"/>
    <w:rsid w:val="009D794A"/>
    <w:rsid w:val="009E0DCA"/>
    <w:rsid w:val="009E1208"/>
    <w:rsid w:val="009E1BE2"/>
    <w:rsid w:val="009E1D26"/>
    <w:rsid w:val="009E1EFD"/>
    <w:rsid w:val="009E5867"/>
    <w:rsid w:val="009E60A0"/>
    <w:rsid w:val="009E67AC"/>
    <w:rsid w:val="009E750C"/>
    <w:rsid w:val="009F0D8B"/>
    <w:rsid w:val="009F4F95"/>
    <w:rsid w:val="009F64D5"/>
    <w:rsid w:val="009F669F"/>
    <w:rsid w:val="00A009E1"/>
    <w:rsid w:val="00A017D6"/>
    <w:rsid w:val="00A01D40"/>
    <w:rsid w:val="00A0240F"/>
    <w:rsid w:val="00A02E79"/>
    <w:rsid w:val="00A03015"/>
    <w:rsid w:val="00A0369F"/>
    <w:rsid w:val="00A03A3F"/>
    <w:rsid w:val="00A0526F"/>
    <w:rsid w:val="00A054F5"/>
    <w:rsid w:val="00A0690A"/>
    <w:rsid w:val="00A075F5"/>
    <w:rsid w:val="00A077DD"/>
    <w:rsid w:val="00A07D45"/>
    <w:rsid w:val="00A1118D"/>
    <w:rsid w:val="00A13462"/>
    <w:rsid w:val="00A1382A"/>
    <w:rsid w:val="00A13BF1"/>
    <w:rsid w:val="00A13DDB"/>
    <w:rsid w:val="00A14FCF"/>
    <w:rsid w:val="00A15BAE"/>
    <w:rsid w:val="00A16407"/>
    <w:rsid w:val="00A16ADF"/>
    <w:rsid w:val="00A17DCD"/>
    <w:rsid w:val="00A22174"/>
    <w:rsid w:val="00A2358F"/>
    <w:rsid w:val="00A235CA"/>
    <w:rsid w:val="00A23994"/>
    <w:rsid w:val="00A24DBE"/>
    <w:rsid w:val="00A26240"/>
    <w:rsid w:val="00A31ADB"/>
    <w:rsid w:val="00A3246F"/>
    <w:rsid w:val="00A336E8"/>
    <w:rsid w:val="00A35342"/>
    <w:rsid w:val="00A3544C"/>
    <w:rsid w:val="00A36B28"/>
    <w:rsid w:val="00A37233"/>
    <w:rsid w:val="00A40194"/>
    <w:rsid w:val="00A41990"/>
    <w:rsid w:val="00A42DC6"/>
    <w:rsid w:val="00A42E00"/>
    <w:rsid w:val="00A4401A"/>
    <w:rsid w:val="00A46393"/>
    <w:rsid w:val="00A46537"/>
    <w:rsid w:val="00A4798A"/>
    <w:rsid w:val="00A47F7C"/>
    <w:rsid w:val="00A53589"/>
    <w:rsid w:val="00A5443E"/>
    <w:rsid w:val="00A54684"/>
    <w:rsid w:val="00A5769E"/>
    <w:rsid w:val="00A6021F"/>
    <w:rsid w:val="00A607E3"/>
    <w:rsid w:val="00A609A5"/>
    <w:rsid w:val="00A609E1"/>
    <w:rsid w:val="00A609ED"/>
    <w:rsid w:val="00A617C2"/>
    <w:rsid w:val="00A61FD5"/>
    <w:rsid w:val="00A62329"/>
    <w:rsid w:val="00A63446"/>
    <w:rsid w:val="00A64CBB"/>
    <w:rsid w:val="00A64D37"/>
    <w:rsid w:val="00A651C8"/>
    <w:rsid w:val="00A65B8E"/>
    <w:rsid w:val="00A65E0C"/>
    <w:rsid w:val="00A666DE"/>
    <w:rsid w:val="00A72461"/>
    <w:rsid w:val="00A74081"/>
    <w:rsid w:val="00A755D3"/>
    <w:rsid w:val="00A77E71"/>
    <w:rsid w:val="00A80E7B"/>
    <w:rsid w:val="00A81613"/>
    <w:rsid w:val="00A816F4"/>
    <w:rsid w:val="00A818CA"/>
    <w:rsid w:val="00A82AEB"/>
    <w:rsid w:val="00A8311A"/>
    <w:rsid w:val="00A84082"/>
    <w:rsid w:val="00A85F55"/>
    <w:rsid w:val="00A875D3"/>
    <w:rsid w:val="00A90794"/>
    <w:rsid w:val="00A91909"/>
    <w:rsid w:val="00A93BBA"/>
    <w:rsid w:val="00A96318"/>
    <w:rsid w:val="00A97756"/>
    <w:rsid w:val="00AA13BD"/>
    <w:rsid w:val="00AA25DC"/>
    <w:rsid w:val="00AA3037"/>
    <w:rsid w:val="00AA35F6"/>
    <w:rsid w:val="00AA3E8A"/>
    <w:rsid w:val="00AA5A92"/>
    <w:rsid w:val="00AA6313"/>
    <w:rsid w:val="00AA6F52"/>
    <w:rsid w:val="00AB0D70"/>
    <w:rsid w:val="00AB2EB7"/>
    <w:rsid w:val="00AB4151"/>
    <w:rsid w:val="00AB41A4"/>
    <w:rsid w:val="00AB4DA5"/>
    <w:rsid w:val="00AC2463"/>
    <w:rsid w:val="00AC2FF0"/>
    <w:rsid w:val="00AC32CE"/>
    <w:rsid w:val="00AC3939"/>
    <w:rsid w:val="00AC3C6D"/>
    <w:rsid w:val="00AC55CE"/>
    <w:rsid w:val="00AC5D2A"/>
    <w:rsid w:val="00AC73F8"/>
    <w:rsid w:val="00AC75A8"/>
    <w:rsid w:val="00AD0047"/>
    <w:rsid w:val="00AD0081"/>
    <w:rsid w:val="00AD0949"/>
    <w:rsid w:val="00AD1862"/>
    <w:rsid w:val="00AD2145"/>
    <w:rsid w:val="00AD2199"/>
    <w:rsid w:val="00AD24A5"/>
    <w:rsid w:val="00AD24F9"/>
    <w:rsid w:val="00AD27A0"/>
    <w:rsid w:val="00AD2B8D"/>
    <w:rsid w:val="00AD2BE3"/>
    <w:rsid w:val="00AD5C16"/>
    <w:rsid w:val="00AD6D0C"/>
    <w:rsid w:val="00AD717E"/>
    <w:rsid w:val="00AE12D3"/>
    <w:rsid w:val="00AE23BB"/>
    <w:rsid w:val="00AE4173"/>
    <w:rsid w:val="00AE44BF"/>
    <w:rsid w:val="00AE49F8"/>
    <w:rsid w:val="00AE5197"/>
    <w:rsid w:val="00AE68CB"/>
    <w:rsid w:val="00AE7346"/>
    <w:rsid w:val="00AF03EF"/>
    <w:rsid w:val="00AF064D"/>
    <w:rsid w:val="00AF1109"/>
    <w:rsid w:val="00AF2616"/>
    <w:rsid w:val="00AF2662"/>
    <w:rsid w:val="00AF2B63"/>
    <w:rsid w:val="00AF30AA"/>
    <w:rsid w:val="00AF3568"/>
    <w:rsid w:val="00AF3AFD"/>
    <w:rsid w:val="00AF3C7B"/>
    <w:rsid w:val="00AF4333"/>
    <w:rsid w:val="00AF5807"/>
    <w:rsid w:val="00AF68CC"/>
    <w:rsid w:val="00AF78D6"/>
    <w:rsid w:val="00B001E4"/>
    <w:rsid w:val="00B00928"/>
    <w:rsid w:val="00B009F6"/>
    <w:rsid w:val="00B0158E"/>
    <w:rsid w:val="00B02095"/>
    <w:rsid w:val="00B053E5"/>
    <w:rsid w:val="00B053FA"/>
    <w:rsid w:val="00B0595E"/>
    <w:rsid w:val="00B05C1F"/>
    <w:rsid w:val="00B05CCF"/>
    <w:rsid w:val="00B068B7"/>
    <w:rsid w:val="00B07B50"/>
    <w:rsid w:val="00B1047F"/>
    <w:rsid w:val="00B11983"/>
    <w:rsid w:val="00B13828"/>
    <w:rsid w:val="00B15674"/>
    <w:rsid w:val="00B1591D"/>
    <w:rsid w:val="00B162BB"/>
    <w:rsid w:val="00B2225A"/>
    <w:rsid w:val="00B23D97"/>
    <w:rsid w:val="00B24761"/>
    <w:rsid w:val="00B26754"/>
    <w:rsid w:val="00B3040D"/>
    <w:rsid w:val="00B34D67"/>
    <w:rsid w:val="00B36A8C"/>
    <w:rsid w:val="00B36DC9"/>
    <w:rsid w:val="00B37546"/>
    <w:rsid w:val="00B40563"/>
    <w:rsid w:val="00B4074C"/>
    <w:rsid w:val="00B40A54"/>
    <w:rsid w:val="00B40C10"/>
    <w:rsid w:val="00B40D68"/>
    <w:rsid w:val="00B41850"/>
    <w:rsid w:val="00B429C3"/>
    <w:rsid w:val="00B43505"/>
    <w:rsid w:val="00B46973"/>
    <w:rsid w:val="00B479B5"/>
    <w:rsid w:val="00B47D9D"/>
    <w:rsid w:val="00B50F75"/>
    <w:rsid w:val="00B52497"/>
    <w:rsid w:val="00B52D1E"/>
    <w:rsid w:val="00B53634"/>
    <w:rsid w:val="00B53B8A"/>
    <w:rsid w:val="00B54244"/>
    <w:rsid w:val="00B549DA"/>
    <w:rsid w:val="00B5677A"/>
    <w:rsid w:val="00B601C1"/>
    <w:rsid w:val="00B61B01"/>
    <w:rsid w:val="00B62404"/>
    <w:rsid w:val="00B62566"/>
    <w:rsid w:val="00B63A55"/>
    <w:rsid w:val="00B63C95"/>
    <w:rsid w:val="00B63F38"/>
    <w:rsid w:val="00B63FEB"/>
    <w:rsid w:val="00B6731B"/>
    <w:rsid w:val="00B71F11"/>
    <w:rsid w:val="00B73404"/>
    <w:rsid w:val="00B73898"/>
    <w:rsid w:val="00B74880"/>
    <w:rsid w:val="00B75A5E"/>
    <w:rsid w:val="00B77CD7"/>
    <w:rsid w:val="00B80972"/>
    <w:rsid w:val="00B809D0"/>
    <w:rsid w:val="00B80FAE"/>
    <w:rsid w:val="00B8101F"/>
    <w:rsid w:val="00B839E3"/>
    <w:rsid w:val="00B83ACF"/>
    <w:rsid w:val="00B84E1F"/>
    <w:rsid w:val="00B857B5"/>
    <w:rsid w:val="00B85E86"/>
    <w:rsid w:val="00B864EA"/>
    <w:rsid w:val="00B86D85"/>
    <w:rsid w:val="00B872D3"/>
    <w:rsid w:val="00B87EA3"/>
    <w:rsid w:val="00B91BB5"/>
    <w:rsid w:val="00B9264D"/>
    <w:rsid w:val="00B92D8E"/>
    <w:rsid w:val="00B9348C"/>
    <w:rsid w:val="00B93615"/>
    <w:rsid w:val="00B945E6"/>
    <w:rsid w:val="00B94A0A"/>
    <w:rsid w:val="00B96220"/>
    <w:rsid w:val="00B968E5"/>
    <w:rsid w:val="00BA0098"/>
    <w:rsid w:val="00BA1542"/>
    <w:rsid w:val="00BA17F4"/>
    <w:rsid w:val="00BA3161"/>
    <w:rsid w:val="00BA321D"/>
    <w:rsid w:val="00BA4D68"/>
    <w:rsid w:val="00BA5926"/>
    <w:rsid w:val="00BA5D9E"/>
    <w:rsid w:val="00BA6384"/>
    <w:rsid w:val="00BA700F"/>
    <w:rsid w:val="00BA7269"/>
    <w:rsid w:val="00BA74A5"/>
    <w:rsid w:val="00BA7FAD"/>
    <w:rsid w:val="00BB0477"/>
    <w:rsid w:val="00BB0AAA"/>
    <w:rsid w:val="00BB1F93"/>
    <w:rsid w:val="00BB2695"/>
    <w:rsid w:val="00BB27AA"/>
    <w:rsid w:val="00BB2A61"/>
    <w:rsid w:val="00BB2BDF"/>
    <w:rsid w:val="00BB3493"/>
    <w:rsid w:val="00BB3F0B"/>
    <w:rsid w:val="00BB40BB"/>
    <w:rsid w:val="00BB4192"/>
    <w:rsid w:val="00BB7219"/>
    <w:rsid w:val="00BB7F2E"/>
    <w:rsid w:val="00BC1F90"/>
    <w:rsid w:val="00BC2039"/>
    <w:rsid w:val="00BC272C"/>
    <w:rsid w:val="00BC31AE"/>
    <w:rsid w:val="00BC3817"/>
    <w:rsid w:val="00BC4442"/>
    <w:rsid w:val="00BC76CE"/>
    <w:rsid w:val="00BD1C26"/>
    <w:rsid w:val="00BD475E"/>
    <w:rsid w:val="00BD53CF"/>
    <w:rsid w:val="00BD540A"/>
    <w:rsid w:val="00BD6C4B"/>
    <w:rsid w:val="00BE3BE7"/>
    <w:rsid w:val="00BE404B"/>
    <w:rsid w:val="00BE4D75"/>
    <w:rsid w:val="00BE4FF4"/>
    <w:rsid w:val="00BE52B6"/>
    <w:rsid w:val="00BE622E"/>
    <w:rsid w:val="00BE6D2B"/>
    <w:rsid w:val="00BE7217"/>
    <w:rsid w:val="00BF1275"/>
    <w:rsid w:val="00BF1CCF"/>
    <w:rsid w:val="00BF2993"/>
    <w:rsid w:val="00BF3F42"/>
    <w:rsid w:val="00BF722E"/>
    <w:rsid w:val="00BF79E5"/>
    <w:rsid w:val="00C0039E"/>
    <w:rsid w:val="00C004C2"/>
    <w:rsid w:val="00C00A90"/>
    <w:rsid w:val="00C021C9"/>
    <w:rsid w:val="00C042DD"/>
    <w:rsid w:val="00C0485D"/>
    <w:rsid w:val="00C06232"/>
    <w:rsid w:val="00C06759"/>
    <w:rsid w:val="00C067E8"/>
    <w:rsid w:val="00C07CB9"/>
    <w:rsid w:val="00C11CF0"/>
    <w:rsid w:val="00C126F7"/>
    <w:rsid w:val="00C12A44"/>
    <w:rsid w:val="00C12D0C"/>
    <w:rsid w:val="00C13F7E"/>
    <w:rsid w:val="00C15290"/>
    <w:rsid w:val="00C15D4D"/>
    <w:rsid w:val="00C17F71"/>
    <w:rsid w:val="00C2141C"/>
    <w:rsid w:val="00C21ED5"/>
    <w:rsid w:val="00C21F10"/>
    <w:rsid w:val="00C24908"/>
    <w:rsid w:val="00C24B07"/>
    <w:rsid w:val="00C26110"/>
    <w:rsid w:val="00C301AD"/>
    <w:rsid w:val="00C30748"/>
    <w:rsid w:val="00C314EF"/>
    <w:rsid w:val="00C31993"/>
    <w:rsid w:val="00C33883"/>
    <w:rsid w:val="00C343D0"/>
    <w:rsid w:val="00C34528"/>
    <w:rsid w:val="00C345B2"/>
    <w:rsid w:val="00C36403"/>
    <w:rsid w:val="00C3673C"/>
    <w:rsid w:val="00C37F94"/>
    <w:rsid w:val="00C41987"/>
    <w:rsid w:val="00C42B03"/>
    <w:rsid w:val="00C4387B"/>
    <w:rsid w:val="00C443FD"/>
    <w:rsid w:val="00C472B9"/>
    <w:rsid w:val="00C515C0"/>
    <w:rsid w:val="00C5199A"/>
    <w:rsid w:val="00C5357B"/>
    <w:rsid w:val="00C539B6"/>
    <w:rsid w:val="00C53AA7"/>
    <w:rsid w:val="00C562E2"/>
    <w:rsid w:val="00C60C9E"/>
    <w:rsid w:val="00C616D7"/>
    <w:rsid w:val="00C61842"/>
    <w:rsid w:val="00C61FB3"/>
    <w:rsid w:val="00C6211E"/>
    <w:rsid w:val="00C63039"/>
    <w:rsid w:val="00C63AF6"/>
    <w:rsid w:val="00C63B95"/>
    <w:rsid w:val="00C652A7"/>
    <w:rsid w:val="00C655A8"/>
    <w:rsid w:val="00C65E7E"/>
    <w:rsid w:val="00C66956"/>
    <w:rsid w:val="00C66DFB"/>
    <w:rsid w:val="00C673F0"/>
    <w:rsid w:val="00C67713"/>
    <w:rsid w:val="00C6778D"/>
    <w:rsid w:val="00C678DC"/>
    <w:rsid w:val="00C70943"/>
    <w:rsid w:val="00C70A89"/>
    <w:rsid w:val="00C71552"/>
    <w:rsid w:val="00C72B99"/>
    <w:rsid w:val="00C73F0B"/>
    <w:rsid w:val="00C74536"/>
    <w:rsid w:val="00C74A7E"/>
    <w:rsid w:val="00C74F56"/>
    <w:rsid w:val="00C76D94"/>
    <w:rsid w:val="00C76FD3"/>
    <w:rsid w:val="00C815B6"/>
    <w:rsid w:val="00C83508"/>
    <w:rsid w:val="00C846D1"/>
    <w:rsid w:val="00C85742"/>
    <w:rsid w:val="00C8634B"/>
    <w:rsid w:val="00C86B86"/>
    <w:rsid w:val="00C9015A"/>
    <w:rsid w:val="00C9020A"/>
    <w:rsid w:val="00C90F0D"/>
    <w:rsid w:val="00C91722"/>
    <w:rsid w:val="00C93CB9"/>
    <w:rsid w:val="00C93E97"/>
    <w:rsid w:val="00C96026"/>
    <w:rsid w:val="00C97010"/>
    <w:rsid w:val="00CA0F36"/>
    <w:rsid w:val="00CA1AEF"/>
    <w:rsid w:val="00CA201B"/>
    <w:rsid w:val="00CA2618"/>
    <w:rsid w:val="00CA448A"/>
    <w:rsid w:val="00CA44D2"/>
    <w:rsid w:val="00CA4A1A"/>
    <w:rsid w:val="00CA65BF"/>
    <w:rsid w:val="00CA69E1"/>
    <w:rsid w:val="00CA6AC8"/>
    <w:rsid w:val="00CA6AE3"/>
    <w:rsid w:val="00CA7334"/>
    <w:rsid w:val="00CB0EAA"/>
    <w:rsid w:val="00CB1126"/>
    <w:rsid w:val="00CB14C7"/>
    <w:rsid w:val="00CB1531"/>
    <w:rsid w:val="00CB2533"/>
    <w:rsid w:val="00CB26AE"/>
    <w:rsid w:val="00CB3BA5"/>
    <w:rsid w:val="00CB4A71"/>
    <w:rsid w:val="00CB6781"/>
    <w:rsid w:val="00CB7322"/>
    <w:rsid w:val="00CC064C"/>
    <w:rsid w:val="00CC0C18"/>
    <w:rsid w:val="00CC0DF2"/>
    <w:rsid w:val="00CC14EF"/>
    <w:rsid w:val="00CC20AC"/>
    <w:rsid w:val="00CC22B9"/>
    <w:rsid w:val="00CC23D6"/>
    <w:rsid w:val="00CC349F"/>
    <w:rsid w:val="00CC4281"/>
    <w:rsid w:val="00CC4543"/>
    <w:rsid w:val="00CC50AB"/>
    <w:rsid w:val="00CC54E6"/>
    <w:rsid w:val="00CC5959"/>
    <w:rsid w:val="00CC6005"/>
    <w:rsid w:val="00CC6647"/>
    <w:rsid w:val="00CC71B6"/>
    <w:rsid w:val="00CC72A4"/>
    <w:rsid w:val="00CC7767"/>
    <w:rsid w:val="00CD03E0"/>
    <w:rsid w:val="00CD119C"/>
    <w:rsid w:val="00CD26CE"/>
    <w:rsid w:val="00CD4EE6"/>
    <w:rsid w:val="00CD6D8A"/>
    <w:rsid w:val="00CD7819"/>
    <w:rsid w:val="00CD7F02"/>
    <w:rsid w:val="00CE01AB"/>
    <w:rsid w:val="00CE0939"/>
    <w:rsid w:val="00CE1D36"/>
    <w:rsid w:val="00CE3F13"/>
    <w:rsid w:val="00CE3F63"/>
    <w:rsid w:val="00CE7A78"/>
    <w:rsid w:val="00CF160E"/>
    <w:rsid w:val="00CF264F"/>
    <w:rsid w:val="00CF4AB2"/>
    <w:rsid w:val="00CF5EF7"/>
    <w:rsid w:val="00D00020"/>
    <w:rsid w:val="00D011E7"/>
    <w:rsid w:val="00D018D2"/>
    <w:rsid w:val="00D01E95"/>
    <w:rsid w:val="00D03166"/>
    <w:rsid w:val="00D03815"/>
    <w:rsid w:val="00D03BE9"/>
    <w:rsid w:val="00D052A8"/>
    <w:rsid w:val="00D052F6"/>
    <w:rsid w:val="00D055C5"/>
    <w:rsid w:val="00D05F40"/>
    <w:rsid w:val="00D06B9A"/>
    <w:rsid w:val="00D11506"/>
    <w:rsid w:val="00D154C4"/>
    <w:rsid w:val="00D15870"/>
    <w:rsid w:val="00D15BE1"/>
    <w:rsid w:val="00D160EE"/>
    <w:rsid w:val="00D17AC1"/>
    <w:rsid w:val="00D24CF2"/>
    <w:rsid w:val="00D26AFF"/>
    <w:rsid w:val="00D26EAB"/>
    <w:rsid w:val="00D2712D"/>
    <w:rsid w:val="00D3192A"/>
    <w:rsid w:val="00D31EDA"/>
    <w:rsid w:val="00D3303A"/>
    <w:rsid w:val="00D344A2"/>
    <w:rsid w:val="00D34F75"/>
    <w:rsid w:val="00D3694E"/>
    <w:rsid w:val="00D36EA4"/>
    <w:rsid w:val="00D4014B"/>
    <w:rsid w:val="00D40A32"/>
    <w:rsid w:val="00D4166A"/>
    <w:rsid w:val="00D4212C"/>
    <w:rsid w:val="00D42389"/>
    <w:rsid w:val="00D431D0"/>
    <w:rsid w:val="00D4336A"/>
    <w:rsid w:val="00D4378F"/>
    <w:rsid w:val="00D43F61"/>
    <w:rsid w:val="00D447CE"/>
    <w:rsid w:val="00D46315"/>
    <w:rsid w:val="00D5068B"/>
    <w:rsid w:val="00D50AEB"/>
    <w:rsid w:val="00D50EC9"/>
    <w:rsid w:val="00D51840"/>
    <w:rsid w:val="00D51A46"/>
    <w:rsid w:val="00D524BC"/>
    <w:rsid w:val="00D52955"/>
    <w:rsid w:val="00D532BC"/>
    <w:rsid w:val="00D533BF"/>
    <w:rsid w:val="00D55482"/>
    <w:rsid w:val="00D55EDB"/>
    <w:rsid w:val="00D5768A"/>
    <w:rsid w:val="00D603C6"/>
    <w:rsid w:val="00D604DF"/>
    <w:rsid w:val="00D608EF"/>
    <w:rsid w:val="00D60A5C"/>
    <w:rsid w:val="00D619FF"/>
    <w:rsid w:val="00D62C71"/>
    <w:rsid w:val="00D6346E"/>
    <w:rsid w:val="00D63EF8"/>
    <w:rsid w:val="00D64CB5"/>
    <w:rsid w:val="00D658E5"/>
    <w:rsid w:val="00D65F29"/>
    <w:rsid w:val="00D65FAC"/>
    <w:rsid w:val="00D662E4"/>
    <w:rsid w:val="00D66A4E"/>
    <w:rsid w:val="00D67AAF"/>
    <w:rsid w:val="00D67BA1"/>
    <w:rsid w:val="00D67BBD"/>
    <w:rsid w:val="00D709D8"/>
    <w:rsid w:val="00D70F64"/>
    <w:rsid w:val="00D7378E"/>
    <w:rsid w:val="00D75541"/>
    <w:rsid w:val="00D76208"/>
    <w:rsid w:val="00D76E31"/>
    <w:rsid w:val="00D77B14"/>
    <w:rsid w:val="00D81E9C"/>
    <w:rsid w:val="00D83898"/>
    <w:rsid w:val="00D83E3B"/>
    <w:rsid w:val="00D870F9"/>
    <w:rsid w:val="00D90CCE"/>
    <w:rsid w:val="00D91A6C"/>
    <w:rsid w:val="00D91BC4"/>
    <w:rsid w:val="00D92009"/>
    <w:rsid w:val="00D922F4"/>
    <w:rsid w:val="00D92395"/>
    <w:rsid w:val="00D92574"/>
    <w:rsid w:val="00D92DAE"/>
    <w:rsid w:val="00D930BC"/>
    <w:rsid w:val="00D94F85"/>
    <w:rsid w:val="00D9572B"/>
    <w:rsid w:val="00D95E2B"/>
    <w:rsid w:val="00D9642D"/>
    <w:rsid w:val="00D9738F"/>
    <w:rsid w:val="00DA0480"/>
    <w:rsid w:val="00DA11B7"/>
    <w:rsid w:val="00DA211E"/>
    <w:rsid w:val="00DA2216"/>
    <w:rsid w:val="00DA25FC"/>
    <w:rsid w:val="00DA2C38"/>
    <w:rsid w:val="00DA3111"/>
    <w:rsid w:val="00DA4D7C"/>
    <w:rsid w:val="00DA5AE5"/>
    <w:rsid w:val="00DA6682"/>
    <w:rsid w:val="00DA734B"/>
    <w:rsid w:val="00DA7361"/>
    <w:rsid w:val="00DB1244"/>
    <w:rsid w:val="00DB13AD"/>
    <w:rsid w:val="00DB1916"/>
    <w:rsid w:val="00DB192C"/>
    <w:rsid w:val="00DB1C3A"/>
    <w:rsid w:val="00DB1E0C"/>
    <w:rsid w:val="00DB229C"/>
    <w:rsid w:val="00DB3020"/>
    <w:rsid w:val="00DB3D08"/>
    <w:rsid w:val="00DB4771"/>
    <w:rsid w:val="00DB57DA"/>
    <w:rsid w:val="00DB5D2C"/>
    <w:rsid w:val="00DB7299"/>
    <w:rsid w:val="00DB788A"/>
    <w:rsid w:val="00DB7C8F"/>
    <w:rsid w:val="00DC161F"/>
    <w:rsid w:val="00DC221C"/>
    <w:rsid w:val="00DC2261"/>
    <w:rsid w:val="00DC22CB"/>
    <w:rsid w:val="00DC3460"/>
    <w:rsid w:val="00DC3957"/>
    <w:rsid w:val="00DC4F4C"/>
    <w:rsid w:val="00DC5DE3"/>
    <w:rsid w:val="00DC5F12"/>
    <w:rsid w:val="00DC60FF"/>
    <w:rsid w:val="00DC76BF"/>
    <w:rsid w:val="00DC7BB7"/>
    <w:rsid w:val="00DC7EDF"/>
    <w:rsid w:val="00DD0203"/>
    <w:rsid w:val="00DD0483"/>
    <w:rsid w:val="00DD0A29"/>
    <w:rsid w:val="00DD0C8C"/>
    <w:rsid w:val="00DD0F54"/>
    <w:rsid w:val="00DD1FB1"/>
    <w:rsid w:val="00DD2827"/>
    <w:rsid w:val="00DD2AD8"/>
    <w:rsid w:val="00DD31E2"/>
    <w:rsid w:val="00DD4718"/>
    <w:rsid w:val="00DD51A5"/>
    <w:rsid w:val="00DD5A2E"/>
    <w:rsid w:val="00DD6B95"/>
    <w:rsid w:val="00DE1097"/>
    <w:rsid w:val="00DE295B"/>
    <w:rsid w:val="00DE2AEE"/>
    <w:rsid w:val="00DE32E7"/>
    <w:rsid w:val="00DE4596"/>
    <w:rsid w:val="00DE4C15"/>
    <w:rsid w:val="00DE4F4D"/>
    <w:rsid w:val="00DE4FD7"/>
    <w:rsid w:val="00DE502F"/>
    <w:rsid w:val="00DE5034"/>
    <w:rsid w:val="00DE518F"/>
    <w:rsid w:val="00DE60DB"/>
    <w:rsid w:val="00DE6923"/>
    <w:rsid w:val="00DE71B0"/>
    <w:rsid w:val="00DE7461"/>
    <w:rsid w:val="00DF0404"/>
    <w:rsid w:val="00DF12BD"/>
    <w:rsid w:val="00DF19E8"/>
    <w:rsid w:val="00DF2B07"/>
    <w:rsid w:val="00DF2C11"/>
    <w:rsid w:val="00DF4B26"/>
    <w:rsid w:val="00DF51BA"/>
    <w:rsid w:val="00DF545F"/>
    <w:rsid w:val="00DF5700"/>
    <w:rsid w:val="00DF6A7A"/>
    <w:rsid w:val="00DF7ACD"/>
    <w:rsid w:val="00E00206"/>
    <w:rsid w:val="00E01151"/>
    <w:rsid w:val="00E042F0"/>
    <w:rsid w:val="00E04F56"/>
    <w:rsid w:val="00E04FC2"/>
    <w:rsid w:val="00E053E3"/>
    <w:rsid w:val="00E10A5D"/>
    <w:rsid w:val="00E1250F"/>
    <w:rsid w:val="00E125ED"/>
    <w:rsid w:val="00E13C04"/>
    <w:rsid w:val="00E13EB1"/>
    <w:rsid w:val="00E14786"/>
    <w:rsid w:val="00E14B32"/>
    <w:rsid w:val="00E14FB9"/>
    <w:rsid w:val="00E150A0"/>
    <w:rsid w:val="00E1790C"/>
    <w:rsid w:val="00E17EA9"/>
    <w:rsid w:val="00E2019B"/>
    <w:rsid w:val="00E20814"/>
    <w:rsid w:val="00E210BE"/>
    <w:rsid w:val="00E221EA"/>
    <w:rsid w:val="00E23874"/>
    <w:rsid w:val="00E242D6"/>
    <w:rsid w:val="00E25DBA"/>
    <w:rsid w:val="00E264F9"/>
    <w:rsid w:val="00E2672B"/>
    <w:rsid w:val="00E268A2"/>
    <w:rsid w:val="00E31256"/>
    <w:rsid w:val="00E31793"/>
    <w:rsid w:val="00E32014"/>
    <w:rsid w:val="00E32E7A"/>
    <w:rsid w:val="00E33198"/>
    <w:rsid w:val="00E36430"/>
    <w:rsid w:val="00E374D1"/>
    <w:rsid w:val="00E3783D"/>
    <w:rsid w:val="00E41E94"/>
    <w:rsid w:val="00E427F7"/>
    <w:rsid w:val="00E45BBE"/>
    <w:rsid w:val="00E45D7A"/>
    <w:rsid w:val="00E47224"/>
    <w:rsid w:val="00E475A3"/>
    <w:rsid w:val="00E504C8"/>
    <w:rsid w:val="00E504DC"/>
    <w:rsid w:val="00E52153"/>
    <w:rsid w:val="00E52575"/>
    <w:rsid w:val="00E534BB"/>
    <w:rsid w:val="00E562BE"/>
    <w:rsid w:val="00E5679C"/>
    <w:rsid w:val="00E56925"/>
    <w:rsid w:val="00E57175"/>
    <w:rsid w:val="00E623E4"/>
    <w:rsid w:val="00E62697"/>
    <w:rsid w:val="00E651B2"/>
    <w:rsid w:val="00E66152"/>
    <w:rsid w:val="00E6620F"/>
    <w:rsid w:val="00E666B7"/>
    <w:rsid w:val="00E66BD2"/>
    <w:rsid w:val="00E7076C"/>
    <w:rsid w:val="00E71226"/>
    <w:rsid w:val="00E75486"/>
    <w:rsid w:val="00E811A6"/>
    <w:rsid w:val="00E81569"/>
    <w:rsid w:val="00E81842"/>
    <w:rsid w:val="00E81A9C"/>
    <w:rsid w:val="00E8368F"/>
    <w:rsid w:val="00E86646"/>
    <w:rsid w:val="00E86652"/>
    <w:rsid w:val="00E869A7"/>
    <w:rsid w:val="00E86CAD"/>
    <w:rsid w:val="00E8778B"/>
    <w:rsid w:val="00E90823"/>
    <w:rsid w:val="00E908EC"/>
    <w:rsid w:val="00E90D7F"/>
    <w:rsid w:val="00E91309"/>
    <w:rsid w:val="00E91BDF"/>
    <w:rsid w:val="00E91CE4"/>
    <w:rsid w:val="00E92CF2"/>
    <w:rsid w:val="00E92FA9"/>
    <w:rsid w:val="00E9318A"/>
    <w:rsid w:val="00E95883"/>
    <w:rsid w:val="00E96621"/>
    <w:rsid w:val="00E973E8"/>
    <w:rsid w:val="00EA02E7"/>
    <w:rsid w:val="00EA0B42"/>
    <w:rsid w:val="00EA0DCE"/>
    <w:rsid w:val="00EA1748"/>
    <w:rsid w:val="00EA41DD"/>
    <w:rsid w:val="00EA4831"/>
    <w:rsid w:val="00EA6192"/>
    <w:rsid w:val="00EA6893"/>
    <w:rsid w:val="00EA69B4"/>
    <w:rsid w:val="00EA6A0B"/>
    <w:rsid w:val="00EA72D3"/>
    <w:rsid w:val="00EA7838"/>
    <w:rsid w:val="00EB060D"/>
    <w:rsid w:val="00EB2081"/>
    <w:rsid w:val="00EB2AFD"/>
    <w:rsid w:val="00EB3341"/>
    <w:rsid w:val="00EB45C7"/>
    <w:rsid w:val="00EB4D40"/>
    <w:rsid w:val="00EB524B"/>
    <w:rsid w:val="00EB5381"/>
    <w:rsid w:val="00EB5572"/>
    <w:rsid w:val="00EB6FE8"/>
    <w:rsid w:val="00EB7894"/>
    <w:rsid w:val="00EB7A56"/>
    <w:rsid w:val="00EC09F9"/>
    <w:rsid w:val="00EC13CA"/>
    <w:rsid w:val="00EC26FC"/>
    <w:rsid w:val="00EC3A22"/>
    <w:rsid w:val="00EC3D1B"/>
    <w:rsid w:val="00EC4972"/>
    <w:rsid w:val="00EC497D"/>
    <w:rsid w:val="00EC5215"/>
    <w:rsid w:val="00EC5344"/>
    <w:rsid w:val="00EC6C82"/>
    <w:rsid w:val="00EC718C"/>
    <w:rsid w:val="00EC73F3"/>
    <w:rsid w:val="00ED0080"/>
    <w:rsid w:val="00ED0A59"/>
    <w:rsid w:val="00ED1557"/>
    <w:rsid w:val="00ED2C8C"/>
    <w:rsid w:val="00ED2D0C"/>
    <w:rsid w:val="00ED4404"/>
    <w:rsid w:val="00ED4A3A"/>
    <w:rsid w:val="00ED4E9E"/>
    <w:rsid w:val="00ED5A48"/>
    <w:rsid w:val="00ED5B36"/>
    <w:rsid w:val="00ED5BA7"/>
    <w:rsid w:val="00ED5E62"/>
    <w:rsid w:val="00ED6B11"/>
    <w:rsid w:val="00ED78B6"/>
    <w:rsid w:val="00EE07A8"/>
    <w:rsid w:val="00EE09B9"/>
    <w:rsid w:val="00EE0A7B"/>
    <w:rsid w:val="00EE0B91"/>
    <w:rsid w:val="00EE245F"/>
    <w:rsid w:val="00EE2762"/>
    <w:rsid w:val="00EE3369"/>
    <w:rsid w:val="00EE4051"/>
    <w:rsid w:val="00EE437A"/>
    <w:rsid w:val="00EE4930"/>
    <w:rsid w:val="00EE4AA4"/>
    <w:rsid w:val="00EE607F"/>
    <w:rsid w:val="00EE6FC4"/>
    <w:rsid w:val="00EE710E"/>
    <w:rsid w:val="00EE7360"/>
    <w:rsid w:val="00EE7904"/>
    <w:rsid w:val="00EF351A"/>
    <w:rsid w:val="00EF3583"/>
    <w:rsid w:val="00EF440C"/>
    <w:rsid w:val="00EF5871"/>
    <w:rsid w:val="00EF6FD1"/>
    <w:rsid w:val="00F00C93"/>
    <w:rsid w:val="00F00E25"/>
    <w:rsid w:val="00F010A3"/>
    <w:rsid w:val="00F01AE1"/>
    <w:rsid w:val="00F01B3B"/>
    <w:rsid w:val="00F02767"/>
    <w:rsid w:val="00F035FA"/>
    <w:rsid w:val="00F061B5"/>
    <w:rsid w:val="00F061DA"/>
    <w:rsid w:val="00F115CD"/>
    <w:rsid w:val="00F12027"/>
    <w:rsid w:val="00F12607"/>
    <w:rsid w:val="00F129F4"/>
    <w:rsid w:val="00F15CF8"/>
    <w:rsid w:val="00F161C4"/>
    <w:rsid w:val="00F164BC"/>
    <w:rsid w:val="00F16806"/>
    <w:rsid w:val="00F16D19"/>
    <w:rsid w:val="00F20664"/>
    <w:rsid w:val="00F20E00"/>
    <w:rsid w:val="00F24CCD"/>
    <w:rsid w:val="00F27022"/>
    <w:rsid w:val="00F27C2C"/>
    <w:rsid w:val="00F27FE8"/>
    <w:rsid w:val="00F30746"/>
    <w:rsid w:val="00F30F93"/>
    <w:rsid w:val="00F321D8"/>
    <w:rsid w:val="00F32356"/>
    <w:rsid w:val="00F32B40"/>
    <w:rsid w:val="00F33B33"/>
    <w:rsid w:val="00F35726"/>
    <w:rsid w:val="00F3648A"/>
    <w:rsid w:val="00F36CB2"/>
    <w:rsid w:val="00F36E3E"/>
    <w:rsid w:val="00F37A22"/>
    <w:rsid w:val="00F37A44"/>
    <w:rsid w:val="00F406DD"/>
    <w:rsid w:val="00F412B4"/>
    <w:rsid w:val="00F4170E"/>
    <w:rsid w:val="00F41C54"/>
    <w:rsid w:val="00F423E2"/>
    <w:rsid w:val="00F4240E"/>
    <w:rsid w:val="00F42D75"/>
    <w:rsid w:val="00F44E4E"/>
    <w:rsid w:val="00F450A0"/>
    <w:rsid w:val="00F4590B"/>
    <w:rsid w:val="00F46E33"/>
    <w:rsid w:val="00F47122"/>
    <w:rsid w:val="00F50483"/>
    <w:rsid w:val="00F50C02"/>
    <w:rsid w:val="00F516B1"/>
    <w:rsid w:val="00F52824"/>
    <w:rsid w:val="00F5466A"/>
    <w:rsid w:val="00F54DC7"/>
    <w:rsid w:val="00F555D9"/>
    <w:rsid w:val="00F568C8"/>
    <w:rsid w:val="00F576D7"/>
    <w:rsid w:val="00F578FD"/>
    <w:rsid w:val="00F57E73"/>
    <w:rsid w:val="00F57EFE"/>
    <w:rsid w:val="00F60607"/>
    <w:rsid w:val="00F61641"/>
    <w:rsid w:val="00F61807"/>
    <w:rsid w:val="00F63D15"/>
    <w:rsid w:val="00F64304"/>
    <w:rsid w:val="00F646CD"/>
    <w:rsid w:val="00F64FF8"/>
    <w:rsid w:val="00F65A62"/>
    <w:rsid w:val="00F65C06"/>
    <w:rsid w:val="00F66D89"/>
    <w:rsid w:val="00F70343"/>
    <w:rsid w:val="00F70E3B"/>
    <w:rsid w:val="00F71E63"/>
    <w:rsid w:val="00F72F37"/>
    <w:rsid w:val="00F73227"/>
    <w:rsid w:val="00F74215"/>
    <w:rsid w:val="00F74A2E"/>
    <w:rsid w:val="00F779F1"/>
    <w:rsid w:val="00F80424"/>
    <w:rsid w:val="00F81484"/>
    <w:rsid w:val="00F832A6"/>
    <w:rsid w:val="00F83F20"/>
    <w:rsid w:val="00F84093"/>
    <w:rsid w:val="00F84AC7"/>
    <w:rsid w:val="00F84AD4"/>
    <w:rsid w:val="00F85308"/>
    <w:rsid w:val="00F874CE"/>
    <w:rsid w:val="00F87EB8"/>
    <w:rsid w:val="00F904AB"/>
    <w:rsid w:val="00F909A0"/>
    <w:rsid w:val="00F90B23"/>
    <w:rsid w:val="00F911DE"/>
    <w:rsid w:val="00F91CB2"/>
    <w:rsid w:val="00F93D00"/>
    <w:rsid w:val="00F940AE"/>
    <w:rsid w:val="00F951DD"/>
    <w:rsid w:val="00F96787"/>
    <w:rsid w:val="00F97188"/>
    <w:rsid w:val="00F97882"/>
    <w:rsid w:val="00FA0FF0"/>
    <w:rsid w:val="00FA15F1"/>
    <w:rsid w:val="00FA1724"/>
    <w:rsid w:val="00FA17D4"/>
    <w:rsid w:val="00FA205F"/>
    <w:rsid w:val="00FA28BD"/>
    <w:rsid w:val="00FA49E7"/>
    <w:rsid w:val="00FA57AA"/>
    <w:rsid w:val="00FA5CE7"/>
    <w:rsid w:val="00FA7805"/>
    <w:rsid w:val="00FB02C7"/>
    <w:rsid w:val="00FB11FC"/>
    <w:rsid w:val="00FB21D1"/>
    <w:rsid w:val="00FB46A6"/>
    <w:rsid w:val="00FB4C17"/>
    <w:rsid w:val="00FB5D49"/>
    <w:rsid w:val="00FB6EFA"/>
    <w:rsid w:val="00FB75FE"/>
    <w:rsid w:val="00FB7750"/>
    <w:rsid w:val="00FB7B1C"/>
    <w:rsid w:val="00FB7DF0"/>
    <w:rsid w:val="00FC2537"/>
    <w:rsid w:val="00FC3C4E"/>
    <w:rsid w:val="00FC427A"/>
    <w:rsid w:val="00FC4280"/>
    <w:rsid w:val="00FC4CE5"/>
    <w:rsid w:val="00FD05B3"/>
    <w:rsid w:val="00FD2E3C"/>
    <w:rsid w:val="00FD342F"/>
    <w:rsid w:val="00FD436B"/>
    <w:rsid w:val="00FD445E"/>
    <w:rsid w:val="00FD45D9"/>
    <w:rsid w:val="00FD483A"/>
    <w:rsid w:val="00FD5D96"/>
    <w:rsid w:val="00FD6EA6"/>
    <w:rsid w:val="00FE0028"/>
    <w:rsid w:val="00FE2D8A"/>
    <w:rsid w:val="00FE50FB"/>
    <w:rsid w:val="00FE57AB"/>
    <w:rsid w:val="00FE5829"/>
    <w:rsid w:val="00FE6440"/>
    <w:rsid w:val="00FE66B0"/>
    <w:rsid w:val="00FE7ACC"/>
    <w:rsid w:val="00FF0D4E"/>
    <w:rsid w:val="00FF11F4"/>
    <w:rsid w:val="00FF1C2A"/>
    <w:rsid w:val="00FF1F48"/>
    <w:rsid w:val="00FF49CB"/>
    <w:rsid w:val="00FF4D0F"/>
    <w:rsid w:val="00FF5609"/>
    <w:rsid w:val="00FF6A70"/>
    <w:rsid w:val="00FF7747"/>
    <w:rsid w:val="43F7FBFD"/>
    <w:rsid w:val="7100D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C0A5B6"/>
  <w14:defaultImageDpi w14:val="32767"/>
  <w15:chartTrackingRefBased/>
  <w15:docId w15:val="{1124CC8C-9980-431F-8B2A-50BCBFFB3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4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206"/>
    <w:pPr>
      <w:spacing w:line="480" w:lineRule="auto"/>
    </w:pPr>
    <w:rPr>
      <w:rFonts w:ascii="Times New Roman" w:hAnsi="Times New Roman"/>
      <w:color w:val="000000" w:themeColor="text1"/>
      <w:sz w:val="24"/>
    </w:rPr>
  </w:style>
  <w:style w:type="paragraph" w:styleId="Heading1">
    <w:name w:val="heading 1"/>
    <w:basedOn w:val="Normal"/>
    <w:next w:val="Normal"/>
    <w:link w:val="Heading1Char"/>
    <w:uiPriority w:val="9"/>
    <w:qFormat/>
    <w:rsid w:val="007F0783"/>
    <w:pPr>
      <w:keepNext/>
      <w:keepLines/>
      <w:spacing w:after="0"/>
      <w:outlineLvl w:val="0"/>
    </w:pPr>
    <w:rPr>
      <w:rFonts w:eastAsiaTheme="majorEastAsia" w:cstheme="majorBidi"/>
      <w:b/>
      <w:sz w:val="28"/>
      <w:szCs w:val="32"/>
    </w:rPr>
  </w:style>
  <w:style w:type="paragraph" w:styleId="Heading2">
    <w:name w:val="heading 2"/>
    <w:basedOn w:val="Heading1"/>
    <w:next w:val="Normal"/>
    <w:link w:val="Heading2Char"/>
    <w:uiPriority w:val="9"/>
    <w:unhideWhenUsed/>
    <w:qFormat/>
    <w:rsid w:val="003700C7"/>
    <w:pPr>
      <w:spacing w:before="40"/>
      <w:jc w:val="left"/>
      <w:outlineLvl w:val="1"/>
    </w:pPr>
    <w:rPr>
      <w:szCs w:val="26"/>
    </w:rPr>
  </w:style>
  <w:style w:type="paragraph" w:styleId="Heading3">
    <w:name w:val="heading 3"/>
    <w:basedOn w:val="Normal"/>
    <w:next w:val="Normal"/>
    <w:link w:val="Heading3Char"/>
    <w:uiPriority w:val="9"/>
    <w:unhideWhenUsed/>
    <w:qFormat/>
    <w:rsid w:val="005F3383"/>
    <w:pPr>
      <w:keepNext/>
      <w:keepLines/>
      <w:spacing w:before="120"/>
      <w:jc w:val="left"/>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783"/>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3700C7"/>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5F3383"/>
    <w:rPr>
      <w:rFonts w:ascii="Times New Roman" w:eastAsiaTheme="majorEastAsia" w:hAnsi="Times New Roman" w:cstheme="majorBidi"/>
      <w:i/>
      <w:color w:val="000000" w:themeColor="text1"/>
      <w:sz w:val="24"/>
      <w:szCs w:val="24"/>
    </w:rPr>
  </w:style>
  <w:style w:type="character" w:styleId="Hyperlink">
    <w:name w:val="Hyperlink"/>
    <w:basedOn w:val="DefaultParagraphFont"/>
    <w:uiPriority w:val="99"/>
    <w:unhideWhenUsed/>
    <w:rsid w:val="007F0783"/>
    <w:rPr>
      <w:color w:val="0000FF"/>
      <w:u w:val="single"/>
    </w:rPr>
  </w:style>
  <w:style w:type="character" w:customStyle="1" w:styleId="mjxassistivemathml">
    <w:name w:val="mjx_assistive_mathml"/>
    <w:basedOn w:val="DefaultParagraphFont"/>
    <w:rsid w:val="007F0783"/>
  </w:style>
  <w:style w:type="character" w:customStyle="1" w:styleId="citation">
    <w:name w:val="citation"/>
    <w:basedOn w:val="DefaultParagraphFont"/>
    <w:rsid w:val="007F0783"/>
  </w:style>
  <w:style w:type="character" w:styleId="Emphasis">
    <w:name w:val="Emphasis"/>
    <w:basedOn w:val="DefaultParagraphFont"/>
    <w:uiPriority w:val="20"/>
    <w:qFormat/>
    <w:rsid w:val="007F0783"/>
    <w:rPr>
      <w:i/>
      <w:iCs/>
    </w:rPr>
  </w:style>
  <w:style w:type="paragraph" w:styleId="Caption">
    <w:name w:val="caption"/>
    <w:aliases w:val="Abstract_Caption"/>
    <w:basedOn w:val="Normal"/>
    <w:next w:val="Normal"/>
    <w:uiPriority w:val="35"/>
    <w:unhideWhenUsed/>
    <w:qFormat/>
    <w:rsid w:val="00B63C95"/>
    <w:pPr>
      <w:spacing w:before="120" w:line="240" w:lineRule="auto"/>
    </w:pPr>
    <w:rPr>
      <w:iCs/>
      <w:szCs w:val="18"/>
    </w:rPr>
  </w:style>
  <w:style w:type="character" w:customStyle="1" w:styleId="heading">
    <w:name w:val="heading"/>
    <w:basedOn w:val="DefaultParagraphFont"/>
    <w:rsid w:val="007F0783"/>
  </w:style>
  <w:style w:type="character" w:styleId="Strong">
    <w:name w:val="Strong"/>
    <w:basedOn w:val="DefaultParagraphFont"/>
    <w:uiPriority w:val="22"/>
    <w:qFormat/>
    <w:rsid w:val="007F0783"/>
    <w:rPr>
      <w:b/>
      <w:bCs/>
    </w:rPr>
  </w:style>
  <w:style w:type="paragraph" w:styleId="NormalWeb">
    <w:name w:val="Normal (Web)"/>
    <w:basedOn w:val="Normal"/>
    <w:uiPriority w:val="99"/>
    <w:semiHidden/>
    <w:unhideWhenUsed/>
    <w:rsid w:val="007F0783"/>
    <w:pPr>
      <w:spacing w:before="100" w:beforeAutospacing="1" w:after="100" w:afterAutospacing="1" w:line="240" w:lineRule="auto"/>
      <w:jc w:val="left"/>
    </w:pPr>
    <w:rPr>
      <w:rFonts w:eastAsia="Times New Roman" w:cs="Times New Roman"/>
      <w:color w:val="auto"/>
      <w:szCs w:val="24"/>
    </w:rPr>
  </w:style>
  <w:style w:type="character" w:customStyle="1" w:styleId="markedcontent">
    <w:name w:val="markedcontent"/>
    <w:basedOn w:val="DefaultParagraphFont"/>
    <w:rsid w:val="008544BB"/>
  </w:style>
  <w:style w:type="paragraph" w:styleId="NoSpacing">
    <w:name w:val="No Spacing"/>
    <w:uiPriority w:val="1"/>
    <w:qFormat/>
    <w:rsid w:val="005859CB"/>
    <w:pPr>
      <w:spacing w:after="0"/>
    </w:pPr>
    <w:rPr>
      <w:rFonts w:ascii="Times New Roman" w:hAnsi="Times New Roman"/>
      <w:color w:val="000000" w:themeColor="text1"/>
      <w:sz w:val="24"/>
    </w:rPr>
  </w:style>
  <w:style w:type="character" w:styleId="LineNumber">
    <w:name w:val="line number"/>
    <w:basedOn w:val="DefaultParagraphFont"/>
    <w:uiPriority w:val="99"/>
    <w:semiHidden/>
    <w:unhideWhenUsed/>
    <w:rsid w:val="008F6681"/>
  </w:style>
  <w:style w:type="character" w:styleId="PlaceholderText">
    <w:name w:val="Placeholder Text"/>
    <w:basedOn w:val="DefaultParagraphFont"/>
    <w:uiPriority w:val="99"/>
    <w:semiHidden/>
    <w:rsid w:val="008F6681"/>
    <w:rPr>
      <w:color w:val="808080"/>
    </w:rPr>
  </w:style>
  <w:style w:type="paragraph" w:styleId="ListParagraph">
    <w:name w:val="List Paragraph"/>
    <w:basedOn w:val="Normal"/>
    <w:uiPriority w:val="34"/>
    <w:qFormat/>
    <w:rsid w:val="008F6681"/>
    <w:pPr>
      <w:spacing w:after="0" w:line="240" w:lineRule="auto"/>
      <w:ind w:left="720"/>
      <w:contextualSpacing/>
    </w:pPr>
    <w:rPr>
      <w:rFonts w:eastAsia="Times New Roman" w:cs="Times New Roman"/>
      <w:color w:val="auto"/>
      <w:szCs w:val="24"/>
    </w:rPr>
  </w:style>
  <w:style w:type="paragraph" w:customStyle="1" w:styleId="Default">
    <w:name w:val="Default"/>
    <w:rsid w:val="008F6681"/>
    <w:pPr>
      <w:autoSpaceDE w:val="0"/>
      <w:autoSpaceDN w:val="0"/>
      <w:adjustRightInd w:val="0"/>
      <w:spacing w:after="0"/>
    </w:pPr>
    <w:rPr>
      <w:rFonts w:ascii="Arial" w:hAnsi="Arial" w:cs="Arial"/>
      <w:color w:val="000000"/>
      <w:sz w:val="24"/>
      <w:szCs w:val="24"/>
    </w:rPr>
  </w:style>
  <w:style w:type="paragraph" w:styleId="Header">
    <w:name w:val="header"/>
    <w:basedOn w:val="Normal"/>
    <w:link w:val="HeaderChar"/>
    <w:uiPriority w:val="99"/>
    <w:unhideWhenUsed/>
    <w:rsid w:val="008F6681"/>
    <w:pPr>
      <w:tabs>
        <w:tab w:val="center" w:pos="4680"/>
        <w:tab w:val="right" w:pos="9360"/>
      </w:tabs>
      <w:spacing w:after="0" w:line="240" w:lineRule="auto"/>
    </w:pPr>
    <w:rPr>
      <w:color w:val="auto"/>
    </w:rPr>
  </w:style>
  <w:style w:type="character" w:customStyle="1" w:styleId="HeaderChar">
    <w:name w:val="Header Char"/>
    <w:basedOn w:val="DefaultParagraphFont"/>
    <w:link w:val="Header"/>
    <w:uiPriority w:val="99"/>
    <w:rsid w:val="008F6681"/>
    <w:rPr>
      <w:rFonts w:ascii="Times New Roman" w:hAnsi="Times New Roman"/>
      <w:sz w:val="24"/>
    </w:rPr>
  </w:style>
  <w:style w:type="paragraph" w:styleId="Footer">
    <w:name w:val="footer"/>
    <w:basedOn w:val="Normal"/>
    <w:link w:val="FooterChar"/>
    <w:uiPriority w:val="99"/>
    <w:unhideWhenUsed/>
    <w:rsid w:val="008F6681"/>
    <w:pPr>
      <w:tabs>
        <w:tab w:val="center" w:pos="4680"/>
        <w:tab w:val="right" w:pos="9360"/>
      </w:tabs>
      <w:spacing w:after="0" w:line="240" w:lineRule="auto"/>
    </w:pPr>
    <w:rPr>
      <w:color w:val="auto"/>
    </w:rPr>
  </w:style>
  <w:style w:type="character" w:customStyle="1" w:styleId="FooterChar">
    <w:name w:val="Footer Char"/>
    <w:basedOn w:val="DefaultParagraphFont"/>
    <w:link w:val="Footer"/>
    <w:uiPriority w:val="99"/>
    <w:rsid w:val="008F6681"/>
    <w:rPr>
      <w:rFonts w:ascii="Times New Roman" w:hAnsi="Times New Roman"/>
      <w:sz w:val="24"/>
    </w:rPr>
  </w:style>
  <w:style w:type="character" w:styleId="CommentReference">
    <w:name w:val="annotation reference"/>
    <w:basedOn w:val="DefaultParagraphFont"/>
    <w:uiPriority w:val="99"/>
    <w:semiHidden/>
    <w:unhideWhenUsed/>
    <w:rsid w:val="008F6681"/>
    <w:rPr>
      <w:sz w:val="16"/>
      <w:szCs w:val="16"/>
    </w:rPr>
  </w:style>
  <w:style w:type="paragraph" w:styleId="CommentText">
    <w:name w:val="annotation text"/>
    <w:basedOn w:val="Normal"/>
    <w:link w:val="CommentTextChar"/>
    <w:uiPriority w:val="99"/>
    <w:unhideWhenUsed/>
    <w:rsid w:val="008F6681"/>
    <w:pPr>
      <w:spacing w:after="240" w:line="240" w:lineRule="auto"/>
    </w:pPr>
    <w:rPr>
      <w:color w:val="auto"/>
      <w:sz w:val="20"/>
      <w:szCs w:val="20"/>
    </w:rPr>
  </w:style>
  <w:style w:type="character" w:customStyle="1" w:styleId="CommentTextChar">
    <w:name w:val="Comment Text Char"/>
    <w:basedOn w:val="DefaultParagraphFont"/>
    <w:link w:val="CommentText"/>
    <w:uiPriority w:val="99"/>
    <w:rsid w:val="008F668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F6681"/>
    <w:rPr>
      <w:b/>
      <w:bCs/>
    </w:rPr>
  </w:style>
  <w:style w:type="character" w:customStyle="1" w:styleId="CommentSubjectChar">
    <w:name w:val="Comment Subject Char"/>
    <w:basedOn w:val="CommentTextChar"/>
    <w:link w:val="CommentSubject"/>
    <w:uiPriority w:val="99"/>
    <w:semiHidden/>
    <w:rsid w:val="008F6681"/>
    <w:rPr>
      <w:rFonts w:ascii="Times New Roman" w:hAnsi="Times New Roman"/>
      <w:b/>
      <w:bCs/>
      <w:sz w:val="20"/>
      <w:szCs w:val="20"/>
    </w:rPr>
  </w:style>
  <w:style w:type="paragraph" w:styleId="BalloonText">
    <w:name w:val="Balloon Text"/>
    <w:basedOn w:val="Normal"/>
    <w:link w:val="BalloonTextChar"/>
    <w:uiPriority w:val="99"/>
    <w:semiHidden/>
    <w:unhideWhenUsed/>
    <w:rsid w:val="008F6681"/>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8F6681"/>
    <w:rPr>
      <w:rFonts w:ascii="Segoe UI" w:hAnsi="Segoe UI" w:cs="Segoe UI"/>
      <w:sz w:val="18"/>
      <w:szCs w:val="18"/>
    </w:rPr>
  </w:style>
  <w:style w:type="paragraph" w:styleId="PlainText">
    <w:name w:val="Plain Text"/>
    <w:basedOn w:val="Normal"/>
    <w:link w:val="PlainTextChar"/>
    <w:uiPriority w:val="99"/>
    <w:unhideWhenUsed/>
    <w:rsid w:val="008F6681"/>
    <w:pPr>
      <w:spacing w:after="0" w:line="240" w:lineRule="auto"/>
    </w:pPr>
    <w:rPr>
      <w:rFonts w:ascii="Calibri" w:hAnsi="Calibri"/>
      <w:color w:val="auto"/>
      <w:szCs w:val="21"/>
    </w:rPr>
  </w:style>
  <w:style w:type="character" w:customStyle="1" w:styleId="PlainTextChar">
    <w:name w:val="Plain Text Char"/>
    <w:basedOn w:val="DefaultParagraphFont"/>
    <w:link w:val="PlainText"/>
    <w:uiPriority w:val="99"/>
    <w:rsid w:val="008F6681"/>
    <w:rPr>
      <w:rFonts w:ascii="Calibri" w:hAnsi="Calibri"/>
      <w:sz w:val="24"/>
      <w:szCs w:val="21"/>
    </w:rPr>
  </w:style>
  <w:style w:type="paragraph" w:customStyle="1" w:styleId="AbstractSectionHeading">
    <w:name w:val="Abstract_Section_Heading"/>
    <w:basedOn w:val="Normal"/>
    <w:rsid w:val="008F6681"/>
    <w:pPr>
      <w:tabs>
        <w:tab w:val="left" w:pos="504"/>
      </w:tabs>
      <w:spacing w:after="0" w:line="240" w:lineRule="auto"/>
      <w:jc w:val="left"/>
    </w:pPr>
    <w:rPr>
      <w:rFonts w:eastAsia="Times New Roman" w:cs="Times New Roman"/>
      <w:b/>
      <w:color w:val="auto"/>
      <w:sz w:val="18"/>
      <w:szCs w:val="20"/>
    </w:rPr>
  </w:style>
  <w:style w:type="character" w:styleId="UnresolvedMention">
    <w:name w:val="Unresolved Mention"/>
    <w:basedOn w:val="DefaultParagraphFont"/>
    <w:uiPriority w:val="99"/>
    <w:semiHidden/>
    <w:unhideWhenUsed/>
    <w:rsid w:val="008F6681"/>
    <w:rPr>
      <w:color w:val="605E5C"/>
      <w:shd w:val="clear" w:color="auto" w:fill="E1DFDD"/>
    </w:rPr>
  </w:style>
  <w:style w:type="character" w:customStyle="1" w:styleId="meta-value">
    <w:name w:val="meta-value"/>
    <w:basedOn w:val="DefaultParagraphFont"/>
    <w:rsid w:val="008F6681"/>
  </w:style>
  <w:style w:type="character" w:styleId="FollowedHyperlink">
    <w:name w:val="FollowedHyperlink"/>
    <w:basedOn w:val="DefaultParagraphFont"/>
    <w:uiPriority w:val="99"/>
    <w:semiHidden/>
    <w:unhideWhenUsed/>
    <w:rsid w:val="008F6681"/>
    <w:rPr>
      <w:color w:val="954F72" w:themeColor="followedHyperlink"/>
      <w:u w:val="single"/>
    </w:rPr>
  </w:style>
  <w:style w:type="paragraph" w:styleId="TableofFigures">
    <w:name w:val="table of figures"/>
    <w:basedOn w:val="Normal"/>
    <w:next w:val="Normal"/>
    <w:uiPriority w:val="99"/>
    <w:unhideWhenUsed/>
    <w:rsid w:val="00BB7219"/>
    <w:pPr>
      <w:spacing w:after="0"/>
    </w:pPr>
    <w:rPr>
      <w:color w:val="auto"/>
    </w:rPr>
  </w:style>
  <w:style w:type="table" w:styleId="TableGrid">
    <w:name w:val="Table Grid"/>
    <w:basedOn w:val="TableNormal"/>
    <w:uiPriority w:val="39"/>
    <w:rsid w:val="008F668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F668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8F6681"/>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8F668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8F6681"/>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1959FF"/>
  </w:style>
  <w:style w:type="paragraph" w:styleId="TOCHeading">
    <w:name w:val="TOC Heading"/>
    <w:basedOn w:val="Heading1"/>
    <w:next w:val="Normal"/>
    <w:uiPriority w:val="39"/>
    <w:unhideWhenUsed/>
    <w:qFormat/>
    <w:rsid w:val="0057561B"/>
    <w:pPr>
      <w:spacing w:line="259" w:lineRule="auto"/>
      <w:jc w:val="left"/>
      <w:outlineLvl w:val="9"/>
    </w:pPr>
    <w:rPr>
      <w:rFonts w:asciiTheme="majorHAnsi" w:hAnsiTheme="majorHAnsi"/>
      <w:b w:val="0"/>
      <w:color w:val="2F5496" w:themeColor="accent1" w:themeShade="BF"/>
      <w:sz w:val="32"/>
    </w:rPr>
  </w:style>
  <w:style w:type="paragraph" w:styleId="TOC2">
    <w:name w:val="toc 2"/>
    <w:basedOn w:val="Normal"/>
    <w:next w:val="Normal"/>
    <w:autoRedefine/>
    <w:uiPriority w:val="39"/>
    <w:unhideWhenUsed/>
    <w:rsid w:val="00D70F64"/>
    <w:pPr>
      <w:tabs>
        <w:tab w:val="right" w:leader="dot" w:pos="9350"/>
      </w:tabs>
      <w:spacing w:after="100"/>
      <w:ind w:left="220"/>
      <w:jc w:val="left"/>
    </w:pPr>
    <w:rPr>
      <w:rFonts w:eastAsiaTheme="minorEastAsia" w:cs="Times New Roman"/>
      <w:b/>
      <w:color w:val="auto"/>
    </w:rPr>
  </w:style>
  <w:style w:type="paragraph" w:styleId="TOC1">
    <w:name w:val="toc 1"/>
    <w:basedOn w:val="Normal"/>
    <w:next w:val="Normal"/>
    <w:autoRedefine/>
    <w:uiPriority w:val="39"/>
    <w:unhideWhenUsed/>
    <w:rsid w:val="00D70F64"/>
    <w:pPr>
      <w:tabs>
        <w:tab w:val="right" w:leader="dot" w:pos="9350"/>
      </w:tabs>
      <w:spacing w:after="100"/>
      <w:jc w:val="left"/>
    </w:pPr>
    <w:rPr>
      <w:rFonts w:eastAsiaTheme="minorEastAsia" w:cs="Times New Roman"/>
      <w:b/>
      <w:color w:val="auto"/>
    </w:rPr>
  </w:style>
  <w:style w:type="paragraph" w:styleId="TOC3">
    <w:name w:val="toc 3"/>
    <w:basedOn w:val="Normal"/>
    <w:next w:val="Normal"/>
    <w:autoRedefine/>
    <w:uiPriority w:val="39"/>
    <w:unhideWhenUsed/>
    <w:rsid w:val="000C544B"/>
    <w:pPr>
      <w:spacing w:after="100"/>
      <w:ind w:left="440"/>
      <w:jc w:val="left"/>
    </w:pPr>
    <w:rPr>
      <w:rFonts w:eastAsiaTheme="minorEastAsia" w:cs="Times New Roman"/>
      <w:i/>
      <w:color w:val="auto"/>
    </w:rPr>
  </w:style>
  <w:style w:type="character" w:customStyle="1" w:styleId="highlight">
    <w:name w:val="highlight"/>
    <w:basedOn w:val="DefaultParagraphFont"/>
    <w:rsid w:val="00006ECF"/>
  </w:style>
  <w:style w:type="paragraph" w:customStyle="1" w:styleId="AbstractNormalText">
    <w:name w:val="Abstract_Normal_Text"/>
    <w:basedOn w:val="Normal"/>
    <w:rsid w:val="00431BE4"/>
    <w:pPr>
      <w:tabs>
        <w:tab w:val="left" w:pos="504"/>
      </w:tabs>
      <w:spacing w:after="0" w:line="240" w:lineRule="auto"/>
    </w:pPr>
    <w:rPr>
      <w:rFonts w:eastAsia="Times New Roman" w:cs="Times New Roman"/>
      <w:color w:val="auto"/>
      <w:sz w:val="18"/>
      <w:szCs w:val="20"/>
    </w:rPr>
  </w:style>
  <w:style w:type="paragraph" w:customStyle="1" w:styleId="AbstractAuthors">
    <w:name w:val="Abstract_Authors"/>
    <w:basedOn w:val="AbstractNormalText"/>
    <w:rsid w:val="00431BE4"/>
    <w:pPr>
      <w:jc w:val="left"/>
    </w:pPr>
    <w:rPr>
      <w:i/>
      <w:sz w:val="20"/>
    </w:rPr>
  </w:style>
  <w:style w:type="character" w:customStyle="1" w:styleId="nlmstring-name">
    <w:name w:val="nlm_string-name"/>
    <w:basedOn w:val="DefaultParagraphFont"/>
    <w:rsid w:val="00431BE4"/>
  </w:style>
  <w:style w:type="character" w:customStyle="1" w:styleId="author">
    <w:name w:val="author"/>
    <w:basedOn w:val="DefaultParagraphFont"/>
    <w:rsid w:val="00BD475E"/>
  </w:style>
  <w:style w:type="character" w:customStyle="1" w:styleId="pubyear">
    <w:name w:val="pubyear"/>
    <w:basedOn w:val="DefaultParagraphFont"/>
    <w:rsid w:val="00BD475E"/>
  </w:style>
  <w:style w:type="character" w:customStyle="1" w:styleId="articletitle">
    <w:name w:val="articletitle"/>
    <w:basedOn w:val="DefaultParagraphFont"/>
    <w:rsid w:val="00BD475E"/>
  </w:style>
  <w:style w:type="character" w:customStyle="1" w:styleId="vol">
    <w:name w:val="vol"/>
    <w:basedOn w:val="DefaultParagraphFont"/>
    <w:rsid w:val="00BD475E"/>
  </w:style>
  <w:style w:type="character" w:customStyle="1" w:styleId="pagefirst">
    <w:name w:val="pagefirst"/>
    <w:basedOn w:val="DefaultParagraphFont"/>
    <w:rsid w:val="00BD475E"/>
  </w:style>
  <w:style w:type="character" w:customStyle="1" w:styleId="pagelast">
    <w:name w:val="pagelast"/>
    <w:basedOn w:val="DefaultParagraphFont"/>
    <w:rsid w:val="00BD475E"/>
  </w:style>
  <w:style w:type="paragraph" w:styleId="Title">
    <w:name w:val="Title"/>
    <w:aliases w:val="Chapter Heading"/>
    <w:basedOn w:val="Heading1"/>
    <w:next w:val="Normal"/>
    <w:link w:val="TitleChar"/>
    <w:uiPriority w:val="10"/>
    <w:rsid w:val="00AD2B8D"/>
    <w:pPr>
      <w:numPr>
        <w:numId w:val="31"/>
      </w:numPr>
      <w:spacing w:before="0"/>
      <w:ind w:left="0" w:firstLine="0"/>
      <w:contextualSpacing/>
      <w:outlineLvl w:val="9"/>
    </w:pPr>
    <w:rPr>
      <w:color w:val="auto"/>
      <w:spacing w:val="-10"/>
      <w:kern w:val="28"/>
      <w:szCs w:val="56"/>
    </w:rPr>
  </w:style>
  <w:style w:type="character" w:customStyle="1" w:styleId="TitleChar">
    <w:name w:val="Title Char"/>
    <w:aliases w:val="Chapter Heading Char"/>
    <w:basedOn w:val="DefaultParagraphFont"/>
    <w:link w:val="Title"/>
    <w:uiPriority w:val="10"/>
    <w:rsid w:val="00AD2B8D"/>
    <w:rPr>
      <w:rFonts w:ascii="Times New Roman" w:eastAsiaTheme="majorEastAsia" w:hAnsi="Times New Roman" w:cstheme="majorBidi"/>
      <w:b/>
      <w:spacing w:val="-10"/>
      <w:kern w:val="28"/>
      <w:sz w:val="28"/>
      <w:szCs w:val="56"/>
    </w:rPr>
  </w:style>
  <w:style w:type="paragraph" w:customStyle="1" w:styleId="ChapterHeaders">
    <w:name w:val="Chapter Headers"/>
    <w:basedOn w:val="Heading1"/>
    <w:link w:val="ChapterHeadersChar"/>
    <w:rsid w:val="00C70943"/>
    <w:pPr>
      <w:numPr>
        <w:numId w:val="32"/>
      </w:numPr>
      <w:jc w:val="center"/>
    </w:pPr>
  </w:style>
  <w:style w:type="paragraph" w:customStyle="1" w:styleId="Style1">
    <w:name w:val="Style1"/>
    <w:basedOn w:val="Heading1"/>
    <w:next w:val="Normal"/>
    <w:link w:val="Style1Char"/>
    <w:rsid w:val="00CF264F"/>
    <w:pPr>
      <w:numPr>
        <w:numId w:val="34"/>
      </w:numPr>
      <w:jc w:val="center"/>
    </w:pPr>
  </w:style>
  <w:style w:type="character" w:customStyle="1" w:styleId="ChapterHeadersChar">
    <w:name w:val="Chapter Headers Char"/>
    <w:basedOn w:val="Heading1Char"/>
    <w:link w:val="ChapterHeaders"/>
    <w:rsid w:val="00C70943"/>
    <w:rPr>
      <w:rFonts w:ascii="Times New Roman" w:eastAsiaTheme="majorEastAsia" w:hAnsi="Times New Roman" w:cstheme="majorBidi"/>
      <w:b/>
      <w:color w:val="000000" w:themeColor="text1"/>
      <w:sz w:val="28"/>
      <w:szCs w:val="32"/>
    </w:rPr>
  </w:style>
  <w:style w:type="character" w:customStyle="1" w:styleId="Style1Char">
    <w:name w:val="Style1 Char"/>
    <w:basedOn w:val="Heading1Char"/>
    <w:link w:val="Style1"/>
    <w:rsid w:val="00CF264F"/>
    <w:rPr>
      <w:rFonts w:ascii="Times New Roman" w:eastAsiaTheme="majorEastAsia" w:hAnsi="Times New Roman" w:cstheme="majorBidi"/>
      <w:b/>
      <w:color w:val="000000" w:themeColor="text1"/>
      <w:sz w:val="28"/>
      <w:szCs w:val="32"/>
    </w:rPr>
  </w:style>
  <w:style w:type="paragraph" w:styleId="Revision">
    <w:name w:val="Revision"/>
    <w:hidden/>
    <w:uiPriority w:val="99"/>
    <w:semiHidden/>
    <w:rsid w:val="008C5B73"/>
    <w:pPr>
      <w:spacing w:before="0" w:after="0"/>
      <w:jc w:val="left"/>
    </w:pPr>
    <w:rPr>
      <w:rFonts w:ascii="Times New Roman" w:hAnsi="Times New Roman"/>
      <w:color w:val="000000" w:themeColor="text1"/>
      <w:sz w:val="24"/>
    </w:rPr>
  </w:style>
  <w:style w:type="character" w:customStyle="1" w:styleId="volume">
    <w:name w:val="volume"/>
    <w:basedOn w:val="DefaultParagraphFont"/>
    <w:rsid w:val="008C5B73"/>
  </w:style>
  <w:style w:type="character" w:customStyle="1" w:styleId="issue">
    <w:name w:val="issue"/>
    <w:basedOn w:val="DefaultParagraphFont"/>
    <w:rsid w:val="008C5B73"/>
  </w:style>
  <w:style w:type="character" w:customStyle="1" w:styleId="page">
    <w:name w:val="page"/>
    <w:basedOn w:val="DefaultParagraphFont"/>
    <w:rsid w:val="008C5B73"/>
  </w:style>
  <w:style w:type="paragraph" w:customStyle="1" w:styleId="xmsonormal">
    <w:name w:val="x_msonormal"/>
    <w:basedOn w:val="Normal"/>
    <w:rsid w:val="00FD342F"/>
    <w:pPr>
      <w:spacing w:before="0" w:after="0" w:line="240" w:lineRule="auto"/>
      <w:jc w:val="left"/>
    </w:pPr>
    <w:rPr>
      <w:rFonts w:ascii="Calibri" w:hAnsi="Calibri" w:cs="Calibr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96584">
      <w:bodyDiv w:val="1"/>
      <w:marLeft w:val="0"/>
      <w:marRight w:val="0"/>
      <w:marTop w:val="0"/>
      <w:marBottom w:val="0"/>
      <w:divBdr>
        <w:top w:val="none" w:sz="0" w:space="0" w:color="auto"/>
        <w:left w:val="none" w:sz="0" w:space="0" w:color="auto"/>
        <w:bottom w:val="none" w:sz="0" w:space="0" w:color="auto"/>
        <w:right w:val="none" w:sz="0" w:space="0" w:color="auto"/>
      </w:divBdr>
    </w:div>
    <w:div w:id="225772404">
      <w:bodyDiv w:val="1"/>
      <w:marLeft w:val="0"/>
      <w:marRight w:val="0"/>
      <w:marTop w:val="0"/>
      <w:marBottom w:val="0"/>
      <w:divBdr>
        <w:top w:val="none" w:sz="0" w:space="0" w:color="auto"/>
        <w:left w:val="none" w:sz="0" w:space="0" w:color="auto"/>
        <w:bottom w:val="none" w:sz="0" w:space="0" w:color="auto"/>
        <w:right w:val="none" w:sz="0" w:space="0" w:color="auto"/>
      </w:divBdr>
    </w:div>
    <w:div w:id="242422908">
      <w:bodyDiv w:val="1"/>
      <w:marLeft w:val="0"/>
      <w:marRight w:val="0"/>
      <w:marTop w:val="0"/>
      <w:marBottom w:val="0"/>
      <w:divBdr>
        <w:top w:val="none" w:sz="0" w:space="0" w:color="auto"/>
        <w:left w:val="none" w:sz="0" w:space="0" w:color="auto"/>
        <w:bottom w:val="none" w:sz="0" w:space="0" w:color="auto"/>
        <w:right w:val="none" w:sz="0" w:space="0" w:color="auto"/>
      </w:divBdr>
    </w:div>
    <w:div w:id="506674501">
      <w:bodyDiv w:val="1"/>
      <w:marLeft w:val="0"/>
      <w:marRight w:val="0"/>
      <w:marTop w:val="0"/>
      <w:marBottom w:val="0"/>
      <w:divBdr>
        <w:top w:val="none" w:sz="0" w:space="0" w:color="auto"/>
        <w:left w:val="none" w:sz="0" w:space="0" w:color="auto"/>
        <w:bottom w:val="none" w:sz="0" w:space="0" w:color="auto"/>
        <w:right w:val="none" w:sz="0" w:space="0" w:color="auto"/>
      </w:divBdr>
    </w:div>
    <w:div w:id="547841980">
      <w:bodyDiv w:val="1"/>
      <w:marLeft w:val="0"/>
      <w:marRight w:val="0"/>
      <w:marTop w:val="0"/>
      <w:marBottom w:val="0"/>
      <w:divBdr>
        <w:top w:val="none" w:sz="0" w:space="0" w:color="auto"/>
        <w:left w:val="none" w:sz="0" w:space="0" w:color="auto"/>
        <w:bottom w:val="none" w:sz="0" w:space="0" w:color="auto"/>
        <w:right w:val="none" w:sz="0" w:space="0" w:color="auto"/>
      </w:divBdr>
    </w:div>
    <w:div w:id="581335289">
      <w:bodyDiv w:val="1"/>
      <w:marLeft w:val="0"/>
      <w:marRight w:val="0"/>
      <w:marTop w:val="0"/>
      <w:marBottom w:val="0"/>
      <w:divBdr>
        <w:top w:val="none" w:sz="0" w:space="0" w:color="auto"/>
        <w:left w:val="none" w:sz="0" w:space="0" w:color="auto"/>
        <w:bottom w:val="none" w:sz="0" w:space="0" w:color="auto"/>
        <w:right w:val="none" w:sz="0" w:space="0" w:color="auto"/>
      </w:divBdr>
    </w:div>
    <w:div w:id="867332933">
      <w:bodyDiv w:val="1"/>
      <w:marLeft w:val="0"/>
      <w:marRight w:val="0"/>
      <w:marTop w:val="0"/>
      <w:marBottom w:val="0"/>
      <w:divBdr>
        <w:top w:val="none" w:sz="0" w:space="0" w:color="auto"/>
        <w:left w:val="none" w:sz="0" w:space="0" w:color="auto"/>
        <w:bottom w:val="none" w:sz="0" w:space="0" w:color="auto"/>
        <w:right w:val="none" w:sz="0" w:space="0" w:color="auto"/>
      </w:divBdr>
      <w:divsChild>
        <w:div w:id="1357540314">
          <w:marLeft w:val="547"/>
          <w:marRight w:val="0"/>
          <w:marTop w:val="200"/>
          <w:marBottom w:val="0"/>
          <w:divBdr>
            <w:top w:val="none" w:sz="0" w:space="0" w:color="auto"/>
            <w:left w:val="none" w:sz="0" w:space="0" w:color="auto"/>
            <w:bottom w:val="none" w:sz="0" w:space="0" w:color="auto"/>
            <w:right w:val="none" w:sz="0" w:space="0" w:color="auto"/>
          </w:divBdr>
        </w:div>
        <w:div w:id="1146707826">
          <w:marLeft w:val="547"/>
          <w:marRight w:val="0"/>
          <w:marTop w:val="200"/>
          <w:marBottom w:val="0"/>
          <w:divBdr>
            <w:top w:val="none" w:sz="0" w:space="0" w:color="auto"/>
            <w:left w:val="none" w:sz="0" w:space="0" w:color="auto"/>
            <w:bottom w:val="none" w:sz="0" w:space="0" w:color="auto"/>
            <w:right w:val="none" w:sz="0" w:space="0" w:color="auto"/>
          </w:divBdr>
        </w:div>
        <w:div w:id="738480438">
          <w:marLeft w:val="547"/>
          <w:marRight w:val="0"/>
          <w:marTop w:val="200"/>
          <w:marBottom w:val="0"/>
          <w:divBdr>
            <w:top w:val="none" w:sz="0" w:space="0" w:color="auto"/>
            <w:left w:val="none" w:sz="0" w:space="0" w:color="auto"/>
            <w:bottom w:val="none" w:sz="0" w:space="0" w:color="auto"/>
            <w:right w:val="none" w:sz="0" w:space="0" w:color="auto"/>
          </w:divBdr>
        </w:div>
      </w:divsChild>
    </w:div>
    <w:div w:id="939220174">
      <w:bodyDiv w:val="1"/>
      <w:marLeft w:val="0"/>
      <w:marRight w:val="0"/>
      <w:marTop w:val="0"/>
      <w:marBottom w:val="0"/>
      <w:divBdr>
        <w:top w:val="none" w:sz="0" w:space="0" w:color="auto"/>
        <w:left w:val="none" w:sz="0" w:space="0" w:color="auto"/>
        <w:bottom w:val="none" w:sz="0" w:space="0" w:color="auto"/>
        <w:right w:val="none" w:sz="0" w:space="0" w:color="auto"/>
      </w:divBdr>
    </w:div>
    <w:div w:id="993921353">
      <w:bodyDiv w:val="1"/>
      <w:marLeft w:val="0"/>
      <w:marRight w:val="0"/>
      <w:marTop w:val="0"/>
      <w:marBottom w:val="0"/>
      <w:divBdr>
        <w:top w:val="none" w:sz="0" w:space="0" w:color="auto"/>
        <w:left w:val="none" w:sz="0" w:space="0" w:color="auto"/>
        <w:bottom w:val="none" w:sz="0" w:space="0" w:color="auto"/>
        <w:right w:val="none" w:sz="0" w:space="0" w:color="auto"/>
      </w:divBdr>
    </w:div>
    <w:div w:id="1144614902">
      <w:bodyDiv w:val="1"/>
      <w:marLeft w:val="0"/>
      <w:marRight w:val="0"/>
      <w:marTop w:val="0"/>
      <w:marBottom w:val="0"/>
      <w:divBdr>
        <w:top w:val="none" w:sz="0" w:space="0" w:color="auto"/>
        <w:left w:val="none" w:sz="0" w:space="0" w:color="auto"/>
        <w:bottom w:val="none" w:sz="0" w:space="0" w:color="auto"/>
        <w:right w:val="none" w:sz="0" w:space="0" w:color="auto"/>
      </w:divBdr>
    </w:div>
    <w:div w:id="1221941187">
      <w:bodyDiv w:val="1"/>
      <w:marLeft w:val="0"/>
      <w:marRight w:val="0"/>
      <w:marTop w:val="0"/>
      <w:marBottom w:val="0"/>
      <w:divBdr>
        <w:top w:val="none" w:sz="0" w:space="0" w:color="auto"/>
        <w:left w:val="none" w:sz="0" w:space="0" w:color="auto"/>
        <w:bottom w:val="none" w:sz="0" w:space="0" w:color="auto"/>
        <w:right w:val="none" w:sz="0" w:space="0" w:color="auto"/>
      </w:divBdr>
    </w:div>
    <w:div w:id="1235043521">
      <w:bodyDiv w:val="1"/>
      <w:marLeft w:val="0"/>
      <w:marRight w:val="0"/>
      <w:marTop w:val="0"/>
      <w:marBottom w:val="0"/>
      <w:divBdr>
        <w:top w:val="none" w:sz="0" w:space="0" w:color="auto"/>
        <w:left w:val="none" w:sz="0" w:space="0" w:color="auto"/>
        <w:bottom w:val="none" w:sz="0" w:space="0" w:color="auto"/>
        <w:right w:val="none" w:sz="0" w:space="0" w:color="auto"/>
      </w:divBdr>
    </w:div>
    <w:div w:id="1715352626">
      <w:bodyDiv w:val="1"/>
      <w:marLeft w:val="0"/>
      <w:marRight w:val="0"/>
      <w:marTop w:val="0"/>
      <w:marBottom w:val="0"/>
      <w:divBdr>
        <w:top w:val="none" w:sz="0" w:space="0" w:color="auto"/>
        <w:left w:val="none" w:sz="0" w:space="0" w:color="auto"/>
        <w:bottom w:val="none" w:sz="0" w:space="0" w:color="auto"/>
        <w:right w:val="none" w:sz="0" w:space="0" w:color="auto"/>
      </w:divBdr>
      <w:divsChild>
        <w:div w:id="828406939">
          <w:marLeft w:val="0"/>
          <w:marRight w:val="0"/>
          <w:marTop w:val="0"/>
          <w:marBottom w:val="0"/>
          <w:divBdr>
            <w:top w:val="none" w:sz="0" w:space="0" w:color="auto"/>
            <w:left w:val="none" w:sz="0" w:space="0" w:color="auto"/>
            <w:bottom w:val="none" w:sz="0" w:space="0" w:color="auto"/>
            <w:right w:val="none" w:sz="0" w:space="0" w:color="auto"/>
          </w:divBdr>
        </w:div>
      </w:divsChild>
    </w:div>
    <w:div w:id="1728840429">
      <w:bodyDiv w:val="1"/>
      <w:marLeft w:val="0"/>
      <w:marRight w:val="0"/>
      <w:marTop w:val="0"/>
      <w:marBottom w:val="0"/>
      <w:divBdr>
        <w:top w:val="none" w:sz="0" w:space="0" w:color="auto"/>
        <w:left w:val="none" w:sz="0" w:space="0" w:color="auto"/>
        <w:bottom w:val="none" w:sz="0" w:space="0" w:color="auto"/>
        <w:right w:val="none" w:sz="0" w:space="0" w:color="auto"/>
      </w:divBdr>
      <w:divsChild>
        <w:div w:id="1939943683">
          <w:marLeft w:val="360"/>
          <w:marRight w:val="0"/>
          <w:marTop w:val="0"/>
          <w:marBottom w:val="0"/>
          <w:divBdr>
            <w:top w:val="none" w:sz="0" w:space="0" w:color="auto"/>
            <w:left w:val="none" w:sz="0" w:space="0" w:color="auto"/>
            <w:bottom w:val="none" w:sz="0" w:space="0" w:color="auto"/>
            <w:right w:val="none" w:sz="0" w:space="0" w:color="auto"/>
          </w:divBdr>
        </w:div>
        <w:div w:id="1068267151">
          <w:marLeft w:val="360"/>
          <w:marRight w:val="0"/>
          <w:marTop w:val="0"/>
          <w:marBottom w:val="0"/>
          <w:divBdr>
            <w:top w:val="none" w:sz="0" w:space="0" w:color="auto"/>
            <w:left w:val="none" w:sz="0" w:space="0" w:color="auto"/>
            <w:bottom w:val="none" w:sz="0" w:space="0" w:color="auto"/>
            <w:right w:val="none" w:sz="0" w:space="0" w:color="auto"/>
          </w:divBdr>
        </w:div>
      </w:divsChild>
    </w:div>
    <w:div w:id="208799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png"/><Relationship Id="rId21" Type="http://schemas.openxmlformats.org/officeDocument/2006/relationships/hyperlink" Target="https://library.seg.org/reader/content/181281f8da2/10.1190/INT-2020-0204.1/format/epub/EPUB/xhtml/index.xhtml" TargetMode="External"/><Relationship Id="rId42" Type="http://schemas.openxmlformats.org/officeDocument/2006/relationships/hyperlink" Target="https://library.seg.org/reader/content/181281f8da2/10.1190/INT-2020-0204.1/format/epub/EPUB/xhtml/index.xhtml" TargetMode="External"/><Relationship Id="rId63" Type="http://schemas.openxmlformats.org/officeDocument/2006/relationships/hyperlink" Target="https://library.seg.org/reader/content/181281f8da2/10.1190/INT-2020-0204.1/format/epub/EPUB/xhtml/f6.xhtml" TargetMode="External"/><Relationship Id="rId84" Type="http://schemas.openxmlformats.org/officeDocument/2006/relationships/hyperlink" Target="https://library.seg.org/reader/content/181281f8da2/10.1190/INT-2020-0204.1/format/epub/EPUB/xhtml/f10.xhtml" TargetMode="External"/><Relationship Id="rId138" Type="http://schemas.openxmlformats.org/officeDocument/2006/relationships/image" Target="media/image22.png"/><Relationship Id="rId159" Type="http://schemas.openxmlformats.org/officeDocument/2006/relationships/image" Target="media/image41.png"/><Relationship Id="rId170" Type="http://schemas.openxmlformats.org/officeDocument/2006/relationships/image" Target="media/image52.png"/><Relationship Id="rId107" Type="http://schemas.openxmlformats.org/officeDocument/2006/relationships/hyperlink" Target="https://library.seg.org/reader/content/181281f8da2/10.1190/INT-2020-0204.1/format/epub/EPUB/xhtml/index.xhtml" TargetMode="External"/><Relationship Id="rId11" Type="http://schemas.openxmlformats.org/officeDocument/2006/relationships/hyperlink" Target="https://library.seg.org/reader/content/181281f8da2/10.1190/INT-2020-0204.1/format/epub/EPUB/xhtml/index.xhtml" TargetMode="External"/><Relationship Id="rId32" Type="http://schemas.openxmlformats.org/officeDocument/2006/relationships/hyperlink" Target="https://library.seg.org/reader/content/181281f8da2/10.1190/INT-2020-0204.1/format/epub/EPUB/xhtml/index.xhtml" TargetMode="External"/><Relationship Id="rId53" Type="http://schemas.openxmlformats.org/officeDocument/2006/relationships/hyperlink" Target="https://library.seg.org/reader/content/181281f8da2/10.1190/INT-2020-0204.1/format/epub/EPUB/xhtml/index.xhtml" TargetMode="External"/><Relationship Id="rId74" Type="http://schemas.openxmlformats.org/officeDocument/2006/relationships/hyperlink" Target="https://library.seg.org/reader/content/181281f8da2/10.1190/INT-2020-0204.1/format/epub/EPUB/xhtml/index.xhtml" TargetMode="External"/><Relationship Id="rId128" Type="http://schemas.openxmlformats.org/officeDocument/2006/relationships/hyperlink" Target="https://library.seg.org/reader/content/181281f8da2/10.1190/INT-2020-0204.1/format/epub/EPUB/xhtml/index.xhtml" TargetMode="External"/><Relationship Id="rId149" Type="http://schemas.openxmlformats.org/officeDocument/2006/relationships/image" Target="media/image33.png"/><Relationship Id="rId5" Type="http://schemas.openxmlformats.org/officeDocument/2006/relationships/webSettings" Target="webSettings.xml"/><Relationship Id="rId95" Type="http://schemas.openxmlformats.org/officeDocument/2006/relationships/hyperlink" Target="https://library.seg.org/reader/content/181281f8da2/10.1190/INT-2020-0204.1/format/epub/EPUB/xhtml/index.xhtml" TargetMode="External"/><Relationship Id="rId160" Type="http://schemas.openxmlformats.org/officeDocument/2006/relationships/image" Target="media/image42.png"/><Relationship Id="rId181" Type="http://schemas.openxmlformats.org/officeDocument/2006/relationships/image" Target="media/image63.png"/><Relationship Id="rId22" Type="http://schemas.openxmlformats.org/officeDocument/2006/relationships/hyperlink" Target="https://library.seg.org/reader/content/181281f8da2/10.1190/INT-2020-0204.1/format/epub/EPUB/xhtml/index.xhtml" TargetMode="External"/><Relationship Id="rId43" Type="http://schemas.openxmlformats.org/officeDocument/2006/relationships/hyperlink" Target="https://library.seg.org/reader/content/181281f8da2/10.1190/INT-2020-0204.1/format/epub/EPUB/xhtml/index.xhtml" TargetMode="External"/><Relationship Id="rId64" Type="http://schemas.openxmlformats.org/officeDocument/2006/relationships/hyperlink" Target="https://library.seg.org/reader/content/181281f8da2/10.1190/INT-2020-0204.1/format/epub/EPUB/xhtml/index.xhtml" TargetMode="External"/><Relationship Id="rId118" Type="http://schemas.openxmlformats.org/officeDocument/2006/relationships/image" Target="media/image10.png"/><Relationship Id="rId139" Type="http://schemas.openxmlformats.org/officeDocument/2006/relationships/image" Target="media/image23.png"/><Relationship Id="rId85" Type="http://schemas.openxmlformats.org/officeDocument/2006/relationships/hyperlink" Target="https://library.seg.org/reader/content/181281f8da2/10.1190/INT-2020-0204.1/format/epub/EPUB/xhtml/f11.xhtml" TargetMode="External"/><Relationship Id="rId150" Type="http://schemas.openxmlformats.org/officeDocument/2006/relationships/image" Target="media/image34.png"/><Relationship Id="rId171" Type="http://schemas.openxmlformats.org/officeDocument/2006/relationships/image" Target="media/image53.png"/><Relationship Id="rId12" Type="http://schemas.openxmlformats.org/officeDocument/2006/relationships/hyperlink" Target="https://library.seg.org/reader/content/181281f8da2/10.1190/INT-2020-0204.1/format/epub/EPUB/xhtml/index.xhtml" TargetMode="External"/><Relationship Id="rId33" Type="http://schemas.openxmlformats.org/officeDocument/2006/relationships/hyperlink" Target="https://library.seg.org/reader/content/181281f8da2/10.1190/INT-2020-0204.1/format/epub/EPUB/xhtml/index.xhtml" TargetMode="External"/><Relationship Id="rId108" Type="http://schemas.openxmlformats.org/officeDocument/2006/relationships/image" Target="media/image3.png"/><Relationship Id="rId129" Type="http://schemas.openxmlformats.org/officeDocument/2006/relationships/hyperlink" Target="https://doi.org/10.1016/j.ijggc.2013.01.003" TargetMode="External"/><Relationship Id="rId54" Type="http://schemas.openxmlformats.org/officeDocument/2006/relationships/hyperlink" Target="https://library.seg.org/reader/content/181281f8da2/10.1190/INT-2020-0204.1/format/epub/EPUB/xhtml/f4.xhtml" TargetMode="External"/><Relationship Id="rId75" Type="http://schemas.openxmlformats.org/officeDocument/2006/relationships/hyperlink" Target="https://library.seg.org/reader/content/181281f8da2/10.1190/INT-2020-0204.1/format/epub/EPUB/xhtml/index.xhtml" TargetMode="External"/><Relationship Id="rId96" Type="http://schemas.openxmlformats.org/officeDocument/2006/relationships/hyperlink" Target="https://library.seg.org/reader/content/181281f8da2/10.1190/INT-2020-0204.1/format/epub/EPUB/xhtml/index.xhtml" TargetMode="External"/><Relationship Id="rId140" Type="http://schemas.openxmlformats.org/officeDocument/2006/relationships/image" Target="media/image24.png"/><Relationship Id="rId161" Type="http://schemas.openxmlformats.org/officeDocument/2006/relationships/image" Target="media/image43.png"/><Relationship Id="rId182" Type="http://schemas.openxmlformats.org/officeDocument/2006/relationships/image" Target="media/image64.png"/><Relationship Id="rId6" Type="http://schemas.openxmlformats.org/officeDocument/2006/relationships/footnotes" Target="footnotes.xml"/><Relationship Id="rId23" Type="http://schemas.openxmlformats.org/officeDocument/2006/relationships/hyperlink" Target="https://library.seg.org/reader/content/181281f8da2/10.1190/INT-2020-0204.1/format/epub/EPUB/xhtml/index.xhtml" TargetMode="External"/><Relationship Id="rId119" Type="http://schemas.openxmlformats.org/officeDocument/2006/relationships/image" Target="media/image11.png"/><Relationship Id="rId44" Type="http://schemas.openxmlformats.org/officeDocument/2006/relationships/hyperlink" Target="https://library.seg.org/reader/content/181281f8da2/10.1190/INT-2020-0204.1/format/epub/EPUB/xhtml/index.xhtml" TargetMode="External"/><Relationship Id="rId65" Type="http://schemas.openxmlformats.org/officeDocument/2006/relationships/hyperlink" Target="https://library.seg.org/reader/content/181281f8da2/10.1190/INT-2020-0204.1/format/epub/EPUB/xhtml/index.xhtml" TargetMode="External"/><Relationship Id="rId86" Type="http://schemas.openxmlformats.org/officeDocument/2006/relationships/hyperlink" Target="https://library.seg.org/reader/content/181281f8da2/10.1190/INT-2020-0204.1/format/epub/EPUB/xhtml/f12.xhtml" TargetMode="External"/><Relationship Id="rId130" Type="http://schemas.openxmlformats.org/officeDocument/2006/relationships/hyperlink" Target="https://doi.org/10.1190/INT-2020-0204.1" TargetMode="External"/><Relationship Id="rId151" Type="http://schemas.openxmlformats.org/officeDocument/2006/relationships/image" Target="media/image35.png"/><Relationship Id="rId172" Type="http://schemas.openxmlformats.org/officeDocument/2006/relationships/image" Target="media/image54.png"/><Relationship Id="rId13" Type="http://schemas.openxmlformats.org/officeDocument/2006/relationships/hyperlink" Target="https://library.seg.org/reader/content/181281f8da2/10.1190/INT-2020-0204.1/format/epub/EPUB/xhtml/index.xhtml" TargetMode="External"/><Relationship Id="rId18" Type="http://schemas.openxmlformats.org/officeDocument/2006/relationships/hyperlink" Target="https://library.seg.org/reader/content/181281f8da2/10.1190/INT-2020-0204.1/format/epub/EPUB/xhtml/index.xhtml" TargetMode="External"/><Relationship Id="rId39" Type="http://schemas.openxmlformats.org/officeDocument/2006/relationships/hyperlink" Target="https://library.seg.org/reader/content/181281f8da2/10.1190/INT-2020-0204.1/format/epub/EPUB/xhtml/index.xhtml" TargetMode="External"/><Relationship Id="rId109" Type="http://schemas.openxmlformats.org/officeDocument/2006/relationships/image" Target="media/image4.png"/><Relationship Id="rId34" Type="http://schemas.openxmlformats.org/officeDocument/2006/relationships/hyperlink" Target="https://library.seg.org/reader/content/181281f8da2/10.1190/INT-2020-0204.1/format/epub/EPUB/xhtml/index.xhtml" TargetMode="External"/><Relationship Id="rId50" Type="http://schemas.openxmlformats.org/officeDocument/2006/relationships/hyperlink" Target="https://library.seg.org/reader/content/181281f8da2/10.1190/INT-2020-0204.1/format/epub/EPUB/xhtml/index.xhtml" TargetMode="External"/><Relationship Id="rId55" Type="http://schemas.openxmlformats.org/officeDocument/2006/relationships/hyperlink" Target="https://library.seg.org/reader/content/181281f8da2/10.1190/INT-2020-0204.1/format/epub/EPUB/xhtml/index.xhtml" TargetMode="External"/><Relationship Id="rId76" Type="http://schemas.openxmlformats.org/officeDocument/2006/relationships/hyperlink" Target="https://library.seg.org/reader/content/181281f8da2/10.1190/INT-2020-0204.1/format/epub/EPUB/xhtml/index.xhtml" TargetMode="External"/><Relationship Id="rId97" Type="http://schemas.openxmlformats.org/officeDocument/2006/relationships/hyperlink" Target="https://library.seg.org/reader/content/181281f8da2/10.1190/INT-2020-0204.1/format/epub/EPUB/xhtml/f18.xhtml" TargetMode="External"/><Relationship Id="rId104" Type="http://schemas.openxmlformats.org/officeDocument/2006/relationships/hyperlink" Target="https://library.seg.org/reader/content/181281f8da2/10.1190/INT-2020-0204.1/format/epub/EPUB/xhtml/index.xhtml" TargetMode="External"/><Relationship Id="rId120" Type="http://schemas.openxmlformats.org/officeDocument/2006/relationships/image" Target="media/image12.png"/><Relationship Id="rId125" Type="http://schemas.openxmlformats.org/officeDocument/2006/relationships/image" Target="media/image17.png"/><Relationship Id="rId141" Type="http://schemas.openxmlformats.org/officeDocument/2006/relationships/image" Target="media/image25.png"/><Relationship Id="rId146" Type="http://schemas.openxmlformats.org/officeDocument/2006/relationships/image" Target="media/image30.png"/><Relationship Id="rId167" Type="http://schemas.openxmlformats.org/officeDocument/2006/relationships/image" Target="media/image49.png"/><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library.seg.org/reader/content/181281f8da2/10.1190/INT-2020-0204.1/format/epub/EPUB/xhtml/index.xhtml" TargetMode="External"/><Relationship Id="rId92" Type="http://schemas.openxmlformats.org/officeDocument/2006/relationships/hyperlink" Target="https://library.seg.org/reader/content/181281f8da2/10.1190/INT-2020-0204.1/format/epub/EPUB/xhtml/f17.xhtml" TargetMode="External"/><Relationship Id="rId162" Type="http://schemas.openxmlformats.org/officeDocument/2006/relationships/image" Target="media/image44.png"/><Relationship Id="rId183"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hyperlink" Target="https://library.seg.org/reader/content/181281f8da2/10.1190/INT-2020-0204.1/format/epub/EPUB/xhtml/index.xhtml" TargetMode="External"/><Relationship Id="rId24" Type="http://schemas.openxmlformats.org/officeDocument/2006/relationships/hyperlink" Target="https://library.seg.org/reader/content/181281f8da2/10.1190/INT-2020-0204.1/format/epub/EPUB/xhtml/index.xhtml" TargetMode="External"/><Relationship Id="rId40" Type="http://schemas.openxmlformats.org/officeDocument/2006/relationships/hyperlink" Target="https://library.seg.org/reader/content/181281f8da2/10.1190/INT-2020-0204.1/format/epub/EPUB/xhtml/index.xhtml" TargetMode="External"/><Relationship Id="rId45" Type="http://schemas.openxmlformats.org/officeDocument/2006/relationships/hyperlink" Target="https://library.seg.org/reader/content/181281f8da2/10.1190/INT-2020-0204.1/format/epub/EPUB/xhtml/index.xhtml" TargetMode="External"/><Relationship Id="rId66" Type="http://schemas.openxmlformats.org/officeDocument/2006/relationships/hyperlink" Target="https://library.seg.org/reader/content/181281f8da2/10.1190/INT-2020-0204.1/format/epub/EPUB/xhtml/index.xhtml" TargetMode="External"/><Relationship Id="rId87" Type="http://schemas.openxmlformats.org/officeDocument/2006/relationships/hyperlink" Target="https://library.seg.org/reader/content/181281f8da2/10.1190/INT-2020-0204.1/format/epub/EPUB/xhtml/t2.xhtml" TargetMode="External"/><Relationship Id="rId110" Type="http://schemas.openxmlformats.org/officeDocument/2006/relationships/hyperlink" Target="https://library.seg.org/reader/content/181281f8da2/10.1190/INT-2020-0204.1/format/epub/EPUB/xhtml/index.xhtml" TargetMode="External"/><Relationship Id="rId115" Type="http://schemas.openxmlformats.org/officeDocument/2006/relationships/image" Target="media/image7.png"/><Relationship Id="rId131" Type="http://schemas.openxmlformats.org/officeDocument/2006/relationships/hyperlink" Target="file:///C:\Users\Pranter\Desktop\Caf_Ch2\10.2113\gselements.3.3.179" TargetMode="External"/><Relationship Id="rId136" Type="http://schemas.openxmlformats.org/officeDocument/2006/relationships/image" Target="media/image20.jpeg"/><Relationship Id="rId157" Type="http://schemas.openxmlformats.org/officeDocument/2006/relationships/image" Target="media/image39.png"/><Relationship Id="rId178" Type="http://schemas.openxmlformats.org/officeDocument/2006/relationships/image" Target="media/image60.png"/><Relationship Id="rId61" Type="http://schemas.openxmlformats.org/officeDocument/2006/relationships/hyperlink" Target="https://library.seg.org/reader/content/181281f8da2/10.1190/INT-2020-0204.1/format/epub/EPUB/xhtml/index.xhtml" TargetMode="External"/><Relationship Id="rId82" Type="http://schemas.openxmlformats.org/officeDocument/2006/relationships/hyperlink" Target="https://library.seg.org/reader/content/181281f8da2/10.1190/INT-2020-0204.1/format/epub/EPUB/xhtml/f9.xhtml" TargetMode="External"/><Relationship Id="rId152" Type="http://schemas.openxmlformats.org/officeDocument/2006/relationships/image" Target="media/image36.png"/><Relationship Id="rId173" Type="http://schemas.openxmlformats.org/officeDocument/2006/relationships/image" Target="media/image55.png"/><Relationship Id="rId19" Type="http://schemas.openxmlformats.org/officeDocument/2006/relationships/hyperlink" Target="https://library.seg.org/reader/content/181281f8da2/10.1190/INT-2020-0204.1/format/epub/EPUB/xhtml/index.xhtml" TargetMode="External"/><Relationship Id="rId14" Type="http://schemas.openxmlformats.org/officeDocument/2006/relationships/hyperlink" Target="https://library.seg.org/reader/content/181281f8da2/10.1190/INT-2020-0204.1/format/epub/EPUB/xhtml/index.xhtml" TargetMode="External"/><Relationship Id="rId30" Type="http://schemas.openxmlformats.org/officeDocument/2006/relationships/hyperlink" Target="https://library.seg.org/reader/content/181281f8da2/10.1190/INT-2020-0204.1/format/epub/EPUB/xhtml/index.xhtml" TargetMode="External"/><Relationship Id="rId35" Type="http://schemas.openxmlformats.org/officeDocument/2006/relationships/hyperlink" Target="https://library.seg.org/reader/content/181281f8da2/10.1190/INT-2020-0204.1/format/epub/EPUB/xhtml/index.xhtml" TargetMode="External"/><Relationship Id="rId56" Type="http://schemas.openxmlformats.org/officeDocument/2006/relationships/hyperlink" Target="https://library.seg.org/reader/content/181281f8da2/10.1190/INT-2020-0204.1/format/epub/EPUB/xhtml/index.xhtml" TargetMode="External"/><Relationship Id="rId77" Type="http://schemas.openxmlformats.org/officeDocument/2006/relationships/hyperlink" Target="https://library.seg.org/reader/content/181281f8da2/10.1190/INT-2020-0204.1/format/epub/EPUB/xhtml/index.xhtml" TargetMode="External"/><Relationship Id="rId100" Type="http://schemas.openxmlformats.org/officeDocument/2006/relationships/hyperlink" Target="https://library.seg.org/reader/content/181281f8da2/10.1190/INT-2020-0204.1/format/epub/EPUB/xhtml/index.xhtml" TargetMode="External"/><Relationship Id="rId105" Type="http://schemas.openxmlformats.org/officeDocument/2006/relationships/image" Target="media/image1.png"/><Relationship Id="rId126" Type="http://schemas.openxmlformats.org/officeDocument/2006/relationships/image" Target="media/image18.png"/><Relationship Id="rId147" Type="http://schemas.openxmlformats.org/officeDocument/2006/relationships/image" Target="media/image31.png"/><Relationship Id="rId168" Type="http://schemas.openxmlformats.org/officeDocument/2006/relationships/image" Target="media/image50.png"/><Relationship Id="rId8" Type="http://schemas.openxmlformats.org/officeDocument/2006/relationships/footer" Target="footer1.xml"/><Relationship Id="rId51" Type="http://schemas.openxmlformats.org/officeDocument/2006/relationships/hyperlink" Target="https://library.seg.org/reader/content/181281f8da2/10.1190/INT-2020-0204.1/format/epub/EPUB/xhtml/index.xhtml" TargetMode="External"/><Relationship Id="rId72" Type="http://schemas.openxmlformats.org/officeDocument/2006/relationships/hyperlink" Target="https://library.seg.org/reader/content/181281f8da2/10.1190/INT-2020-0204.1/format/epub/EPUB/xhtml/index.xhtml" TargetMode="External"/><Relationship Id="rId93" Type="http://schemas.openxmlformats.org/officeDocument/2006/relationships/hyperlink" Target="https://library.seg.org/reader/content/181281f8da2/10.1190/INT-2020-0204.1/format/epub/EPUB/xhtml/f15.xhtml" TargetMode="External"/><Relationship Id="rId98" Type="http://schemas.openxmlformats.org/officeDocument/2006/relationships/hyperlink" Target="https://library.seg.org/reader/content/181281f8da2/10.1190/INT-2020-0204.1/format/epub/EPUB/xhtml/f15.xhtml" TargetMode="External"/><Relationship Id="rId121" Type="http://schemas.openxmlformats.org/officeDocument/2006/relationships/image" Target="media/image13.png"/><Relationship Id="rId142" Type="http://schemas.openxmlformats.org/officeDocument/2006/relationships/image" Target="media/image26.png"/><Relationship Id="rId163" Type="http://schemas.openxmlformats.org/officeDocument/2006/relationships/image" Target="media/image45.png"/><Relationship Id="rId184" Type="http://schemas.openxmlformats.org/officeDocument/2006/relationships/image" Target="media/image66.png"/><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library.seg.org/reader/content/181281f8da2/10.1190/INT-2020-0204.1/format/epub/EPUB/xhtml/index.xhtml" TargetMode="External"/><Relationship Id="rId46" Type="http://schemas.openxmlformats.org/officeDocument/2006/relationships/hyperlink" Target="https://library.seg.org/reader/content/181281f8da2/10.1190/INT-2020-0204.1/format/epub/EPUB/xhtml/index.xhtml" TargetMode="External"/><Relationship Id="rId67" Type="http://schemas.openxmlformats.org/officeDocument/2006/relationships/hyperlink" Target="https://library.seg.org/reader/content/181281f8da2/10.1190/INT-2020-0204.1/format/epub/EPUB/xhtml/f7.xhtml" TargetMode="External"/><Relationship Id="rId116" Type="http://schemas.openxmlformats.org/officeDocument/2006/relationships/image" Target="media/image8.png"/><Relationship Id="rId137" Type="http://schemas.openxmlformats.org/officeDocument/2006/relationships/image" Target="media/image21.png"/><Relationship Id="rId158" Type="http://schemas.openxmlformats.org/officeDocument/2006/relationships/image" Target="media/image40.png"/><Relationship Id="rId20" Type="http://schemas.openxmlformats.org/officeDocument/2006/relationships/hyperlink" Target="https://library.seg.org/reader/content/181281f8da2/10.1190/INT-2020-0204.1/format/epub/EPUB/xhtml/index.xhtml" TargetMode="External"/><Relationship Id="rId41" Type="http://schemas.openxmlformats.org/officeDocument/2006/relationships/hyperlink" Target="https://library.seg.org/reader/content/181281f8da2/10.1190/INT-2020-0204.1/format/epub/EPUB/xhtml/index.xhtml" TargetMode="External"/><Relationship Id="rId62" Type="http://schemas.openxmlformats.org/officeDocument/2006/relationships/hyperlink" Target="https://library.seg.org/reader/content/181281f8da2/10.1190/INT-2020-0204.1/format/epub/EPUB/xhtml/f5.xhtml" TargetMode="External"/><Relationship Id="rId83" Type="http://schemas.openxmlformats.org/officeDocument/2006/relationships/hyperlink" Target="https://library.seg.org/reader/content/181281f8da2/10.1190/INT-2020-0204.1/format/epub/EPUB/xhtml/t1.xhtml" TargetMode="External"/><Relationship Id="rId88" Type="http://schemas.openxmlformats.org/officeDocument/2006/relationships/hyperlink" Target="https://library.seg.org/reader/content/181281f8da2/10.1190/INT-2020-0204.1/format/epub/EPUB/xhtml/f13.xhtml" TargetMode="External"/><Relationship Id="rId111" Type="http://schemas.openxmlformats.org/officeDocument/2006/relationships/hyperlink" Target="https://library.seg.org/reader/content/181281f8da2/10.1190/INT-2020-0204.1/format/epub/EPUB/xhtml/index.xhtml" TargetMode="External"/><Relationship Id="rId132" Type="http://schemas.openxmlformats.org/officeDocument/2006/relationships/hyperlink" Target="https://doi.org/10.1016/j.energy.2004.03.068" TargetMode="External"/><Relationship Id="rId153" Type="http://schemas.openxmlformats.org/officeDocument/2006/relationships/image" Target="media/image37.png"/><Relationship Id="rId174" Type="http://schemas.openxmlformats.org/officeDocument/2006/relationships/image" Target="media/image56.png"/><Relationship Id="rId179" Type="http://schemas.openxmlformats.org/officeDocument/2006/relationships/image" Target="media/image61.png"/><Relationship Id="rId15" Type="http://schemas.openxmlformats.org/officeDocument/2006/relationships/hyperlink" Target="https://library.seg.org/reader/content/181281f8da2/10.1190/INT-2020-0204.1/format/epub/EPUB/xhtml/index.xhtml" TargetMode="External"/><Relationship Id="rId36" Type="http://schemas.openxmlformats.org/officeDocument/2006/relationships/hyperlink" Target="https://library.seg.org/reader/content/181281f8da2/10.1190/INT-2020-0204.1/format/epub/EPUB/xhtml/index.xhtml" TargetMode="External"/><Relationship Id="rId57" Type="http://schemas.openxmlformats.org/officeDocument/2006/relationships/hyperlink" Target="https://library.seg.org/reader/content/181281f8da2/10.1190/INT-2020-0204.1/format/epub/EPUB/xhtml/index.xhtml" TargetMode="External"/><Relationship Id="rId106" Type="http://schemas.openxmlformats.org/officeDocument/2006/relationships/image" Target="media/image2.png"/><Relationship Id="rId127" Type="http://schemas.openxmlformats.org/officeDocument/2006/relationships/hyperlink" Target="https://library.seg.org/reader/content/181281f8da2/10.1190/INT-2020-0204.1/format/epub/EPUB/xhtml/index.xhtml" TargetMode="External"/><Relationship Id="rId10" Type="http://schemas.openxmlformats.org/officeDocument/2006/relationships/hyperlink" Target="https://doi.org/10.1190/INT-2020-0204.1" TargetMode="External"/><Relationship Id="rId31" Type="http://schemas.openxmlformats.org/officeDocument/2006/relationships/hyperlink" Target="https://library.seg.org/reader/content/181281f8da2/10.1190/INT-2020-0204.1/format/epub/EPUB/xhtml/index.xhtml" TargetMode="External"/><Relationship Id="rId52" Type="http://schemas.openxmlformats.org/officeDocument/2006/relationships/hyperlink" Target="https://library.seg.org/reader/content/181281f8da2/10.1190/INT-2020-0204.1/format/epub/EPUB/xhtml/index.xhtml" TargetMode="External"/><Relationship Id="rId73" Type="http://schemas.openxmlformats.org/officeDocument/2006/relationships/hyperlink" Target="https://library.seg.org/reader/content/181281f8da2/10.1190/INT-2020-0204.1/format/epub/EPUB/xhtml/f8.xhtml" TargetMode="External"/><Relationship Id="rId78" Type="http://schemas.openxmlformats.org/officeDocument/2006/relationships/hyperlink" Target="https://library.seg.org/reader/content/181281f8da2/10.1190/INT-2020-0204.1/format/epub/EPUB/xhtml/f4.xhtml" TargetMode="External"/><Relationship Id="rId94" Type="http://schemas.openxmlformats.org/officeDocument/2006/relationships/hyperlink" Target="https://library.seg.org/reader/content/181281f8da2/10.1190/INT-2020-0204.1/format/epub/EPUB/xhtml/f17.xhtml" TargetMode="External"/><Relationship Id="rId99" Type="http://schemas.openxmlformats.org/officeDocument/2006/relationships/hyperlink" Target="https://library.seg.org/reader/content/181281f8da2/10.1190/INT-2020-0204.1/format/epub/EPUB/xhtml/f17.xhtml" TargetMode="External"/><Relationship Id="rId101" Type="http://schemas.openxmlformats.org/officeDocument/2006/relationships/hyperlink" Target="https://library.seg.org/reader/content/181281f8da2/10.1190/INT-2020-0204.1/format/epub/EPUB/xhtml/index.xhtml" TargetMode="External"/><Relationship Id="rId122" Type="http://schemas.openxmlformats.org/officeDocument/2006/relationships/image" Target="media/image14.png"/><Relationship Id="rId143" Type="http://schemas.openxmlformats.org/officeDocument/2006/relationships/image" Target="media/image27.png"/><Relationship Id="rId148" Type="http://schemas.openxmlformats.org/officeDocument/2006/relationships/image" Target="media/image32.png"/><Relationship Id="rId164" Type="http://schemas.openxmlformats.org/officeDocument/2006/relationships/image" Target="media/image46.png"/><Relationship Id="rId169" Type="http://schemas.openxmlformats.org/officeDocument/2006/relationships/image" Target="media/image51.png"/><Relationship Id="rId185" Type="http://schemas.openxmlformats.org/officeDocument/2006/relationships/image" Target="media/image67.pn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62.png"/><Relationship Id="rId26" Type="http://schemas.openxmlformats.org/officeDocument/2006/relationships/hyperlink" Target="https://library.seg.org/reader/content/181281f8da2/10.1190/INT-2020-0204.1/format/epub/EPUB/xhtml/index.xhtml" TargetMode="External"/><Relationship Id="rId47" Type="http://schemas.openxmlformats.org/officeDocument/2006/relationships/hyperlink" Target="https://library.seg.org/reader/content/181281f8da2/10.1190/INT-2020-0204.1/format/epub/EPUB/xhtml/index.xhtml" TargetMode="External"/><Relationship Id="rId68" Type="http://schemas.openxmlformats.org/officeDocument/2006/relationships/hyperlink" Target="https://library.seg.org/reader/content/181281f8da2/10.1190/INT-2020-0204.1/format/epub/EPUB/xhtml/index.xhtml" TargetMode="External"/><Relationship Id="rId89" Type="http://schemas.openxmlformats.org/officeDocument/2006/relationships/hyperlink" Target="https://library.seg.org/reader/content/181281f8da2/10.1190/INT-2020-0204.1/format/epub/EPUB/xhtml/f14.xhtml" TargetMode="External"/><Relationship Id="rId112" Type="http://schemas.openxmlformats.org/officeDocument/2006/relationships/hyperlink" Target="https://library.seg.org/reader/content/181281f8da2/10.1190/INT-2020-0204.1/format/epub/EPUB/xhtml/index.xhtml" TargetMode="External"/><Relationship Id="rId133" Type="http://schemas.openxmlformats.org/officeDocument/2006/relationships/hyperlink" Target="https://doi.org/10.1016/j.jappgeo.2014.01.017" TargetMode="External"/><Relationship Id="rId154" Type="http://schemas.openxmlformats.org/officeDocument/2006/relationships/image" Target="media/image38.png"/><Relationship Id="rId175" Type="http://schemas.openxmlformats.org/officeDocument/2006/relationships/image" Target="media/image57.png"/><Relationship Id="rId16" Type="http://schemas.openxmlformats.org/officeDocument/2006/relationships/hyperlink" Target="https://library.seg.org/reader/content/181281f8da2/10.1190/INT-2020-0204.1/format/epub/EPUB/xhtml/index.xhtml" TargetMode="External"/><Relationship Id="rId37" Type="http://schemas.openxmlformats.org/officeDocument/2006/relationships/hyperlink" Target="https://library.seg.org/reader/content/181281f8da2/10.1190/INT-2020-0204.1/format/epub/EPUB/xhtml/index.xhtml" TargetMode="External"/><Relationship Id="rId58" Type="http://schemas.openxmlformats.org/officeDocument/2006/relationships/hyperlink" Target="https://library.seg.org/reader/content/181281f8da2/10.1190/INT-2020-0204.1/format/epub/EPUB/xhtml/index.xhtml" TargetMode="External"/><Relationship Id="rId79" Type="http://schemas.openxmlformats.org/officeDocument/2006/relationships/hyperlink" Target="https://library.seg.org/reader/content/181281f8da2/10.1190/INT-2020-0204.1/format/epub/EPUB/xhtml/index.xhtml" TargetMode="External"/><Relationship Id="rId102" Type="http://schemas.openxmlformats.org/officeDocument/2006/relationships/hyperlink" Target="https://library.seg.org/reader/content/181281f8da2/10.1190/INT-2020-0204.1/format/epub/EPUB/xhtml/index.xhtml" TargetMode="External"/><Relationship Id="rId123" Type="http://schemas.openxmlformats.org/officeDocument/2006/relationships/image" Target="media/image15.png"/><Relationship Id="rId144" Type="http://schemas.openxmlformats.org/officeDocument/2006/relationships/image" Target="media/image28.png"/><Relationship Id="rId90" Type="http://schemas.openxmlformats.org/officeDocument/2006/relationships/hyperlink" Target="https://library.seg.org/reader/content/181281f8da2/10.1190/INT-2020-0204.1/format/epub/EPUB/xhtml/t3.xhtml" TargetMode="External"/><Relationship Id="rId165" Type="http://schemas.openxmlformats.org/officeDocument/2006/relationships/image" Target="media/image47.png"/><Relationship Id="rId186" Type="http://schemas.openxmlformats.org/officeDocument/2006/relationships/image" Target="media/image68.png"/><Relationship Id="rId27" Type="http://schemas.openxmlformats.org/officeDocument/2006/relationships/hyperlink" Target="https://library.seg.org/reader/content/181281f8da2/10.1190/INT-2020-0204.1/format/epub/EPUB/xhtml/index.xhtml" TargetMode="External"/><Relationship Id="rId48" Type="http://schemas.openxmlformats.org/officeDocument/2006/relationships/hyperlink" Target="https://library.seg.org/reader/content/181281f8da2/10.1190/INT-2020-0204.1/format/epub/EPUB/xhtml/f1.xhtml" TargetMode="External"/><Relationship Id="rId69" Type="http://schemas.openxmlformats.org/officeDocument/2006/relationships/hyperlink" Target="https://library.seg.org/reader/content/181281f8da2/10.1190/INT-2020-0204.1/format/epub/EPUB/xhtml/index.xhtml" TargetMode="External"/><Relationship Id="rId113" Type="http://schemas.openxmlformats.org/officeDocument/2006/relationships/image" Target="media/image5.png"/><Relationship Id="rId134" Type="http://schemas.openxmlformats.org/officeDocument/2006/relationships/hyperlink" Target="https://doi.org/10.1190/INT-2015-0166.1" TargetMode="External"/><Relationship Id="rId80" Type="http://schemas.openxmlformats.org/officeDocument/2006/relationships/hyperlink" Target="https://library.seg.org/reader/content/181281f8da2/10.1190/INT-2020-0204.1/format/epub/EPUB/xhtml/index.xhtml" TargetMode="External"/><Relationship Id="rId155" Type="http://schemas.openxmlformats.org/officeDocument/2006/relationships/hyperlink" Target="https://doi.org/10.3133/ofr86491" TargetMode="External"/><Relationship Id="rId176" Type="http://schemas.openxmlformats.org/officeDocument/2006/relationships/image" Target="media/image58.png"/><Relationship Id="rId17" Type="http://schemas.openxmlformats.org/officeDocument/2006/relationships/hyperlink" Target="https://library.seg.org/reader/content/181281f8da2/10.1190/INT-2020-0204.1/format/epub/EPUB/xhtml/index.xhtml" TargetMode="External"/><Relationship Id="rId38" Type="http://schemas.openxmlformats.org/officeDocument/2006/relationships/hyperlink" Target="https://library.seg.org/reader/content/181281f8da2/10.1190/INT-2020-0204.1/format/epub/EPUB/xhtml/index.xhtml" TargetMode="External"/><Relationship Id="rId59" Type="http://schemas.openxmlformats.org/officeDocument/2006/relationships/hyperlink" Target="https://library.seg.org/reader/content/181281f8da2/10.1190/INT-2020-0204.1/format/epub/EPUB/xhtml/index.xhtml" TargetMode="External"/><Relationship Id="rId103" Type="http://schemas.openxmlformats.org/officeDocument/2006/relationships/hyperlink" Target="https://library.seg.org/reader/content/181281f8da2/10.1190/INT-2020-0204.1/format/epub/EPUB/xhtml/index.xhtml" TargetMode="External"/><Relationship Id="rId124" Type="http://schemas.openxmlformats.org/officeDocument/2006/relationships/image" Target="media/image16.png"/><Relationship Id="rId70" Type="http://schemas.openxmlformats.org/officeDocument/2006/relationships/hyperlink" Target="https://library.seg.org/reader/content/181281f8da2/10.1190/INT-2020-0204.1/format/epub/EPUB/xhtml/index.xhtml" TargetMode="External"/><Relationship Id="rId91" Type="http://schemas.openxmlformats.org/officeDocument/2006/relationships/hyperlink" Target="https://library.seg.org/reader/content/181281f8da2/10.1190/INT-2020-0204.1/format/epub/EPUB/xhtml/f16.xhtml" TargetMode="External"/><Relationship Id="rId145" Type="http://schemas.openxmlformats.org/officeDocument/2006/relationships/image" Target="media/image29.png"/><Relationship Id="rId166" Type="http://schemas.openxmlformats.org/officeDocument/2006/relationships/image" Target="media/image48.png"/><Relationship Id="rId187" Type="http://schemas.openxmlformats.org/officeDocument/2006/relationships/image" Target="media/image69.png"/><Relationship Id="rId1" Type="http://schemas.openxmlformats.org/officeDocument/2006/relationships/customXml" Target="../customXml/item1.xml"/><Relationship Id="rId28" Type="http://schemas.openxmlformats.org/officeDocument/2006/relationships/hyperlink" Target="https://library.seg.org/reader/content/181281f8da2/10.1190/INT-2020-0204.1/format/epub/EPUB/xhtml/index.xhtml" TargetMode="External"/><Relationship Id="rId49" Type="http://schemas.openxmlformats.org/officeDocument/2006/relationships/hyperlink" Target="https://library.seg.org/reader/content/181281f8da2/10.1190/INT-2020-0204.1/format/epub/EPUB/xhtml/f2.xhtml" TargetMode="External"/><Relationship Id="rId114" Type="http://schemas.openxmlformats.org/officeDocument/2006/relationships/image" Target="media/image6.png"/><Relationship Id="rId60" Type="http://schemas.openxmlformats.org/officeDocument/2006/relationships/hyperlink" Target="https://library.seg.org/reader/content/181281f8da2/10.1190/INT-2020-0204.1/format/epub/EPUB/xhtml/index.xhtml" TargetMode="External"/><Relationship Id="rId81" Type="http://schemas.openxmlformats.org/officeDocument/2006/relationships/hyperlink" Target="https://library.seg.org/reader/content/181281f8da2/10.1190/INT-2020-0204.1/format/epub/EPUB/xhtml/index.xhtml" TargetMode="External"/><Relationship Id="rId135" Type="http://schemas.openxmlformats.org/officeDocument/2006/relationships/image" Target="media/image19.png"/><Relationship Id="rId156" Type="http://schemas.openxmlformats.org/officeDocument/2006/relationships/hyperlink" Target="https://doi.org/10.1306/07190504086" TargetMode="External"/><Relationship Id="rId177"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B5EFB-4986-A44F-9AE0-EA12DF034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198</Pages>
  <Words>34301</Words>
  <Characters>195517</Characters>
  <Application>Microsoft Office Word</Application>
  <DocSecurity>0</DocSecurity>
  <Lines>1629</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 Abidin B.</dc:creator>
  <cp:keywords/>
  <dc:description/>
  <cp:lastModifiedBy>Caf, Abidin B.</cp:lastModifiedBy>
  <cp:revision>78</cp:revision>
  <cp:lastPrinted>2022-12-05T16:59:00Z</cp:lastPrinted>
  <dcterms:created xsi:type="dcterms:W3CDTF">2022-12-03T19:53:00Z</dcterms:created>
  <dcterms:modified xsi:type="dcterms:W3CDTF">2022-12-05T16:59:00Z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06c477e5a9f47cb2fe482015aa860352d40a7a55b5d22ce00cfca29d6084639c</vt:lpwstr>
  </property>
</Properties>
</file>