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7FB84" w14:textId="77777777" w:rsidR="009C1F83" w:rsidRDefault="009C1F83" w:rsidP="009C1F83">
      <w:pPr>
        <w:spacing w:line="480" w:lineRule="auto"/>
        <w:contextualSpacing/>
      </w:pPr>
      <w:bookmarkStart w:id="0" w:name="_GoBack"/>
      <w:bookmarkEnd w:id="0"/>
      <w:r>
        <w:t>Caitlin Tobin</w:t>
      </w:r>
    </w:p>
    <w:p w14:paraId="70E8BE22" w14:textId="77777777" w:rsidR="009C1F83" w:rsidRDefault="009C1F83" w:rsidP="009C1F83">
      <w:pPr>
        <w:spacing w:line="480" w:lineRule="auto"/>
        <w:contextualSpacing/>
      </w:pPr>
      <w:r>
        <w:t>HIST 1483-013</w:t>
      </w:r>
    </w:p>
    <w:p w14:paraId="2BD30D9F" w14:textId="77777777" w:rsidR="009C1F83" w:rsidRDefault="009C1F83" w:rsidP="009C1F83">
      <w:pPr>
        <w:spacing w:line="480" w:lineRule="auto"/>
        <w:contextualSpacing/>
      </w:pPr>
      <w:r>
        <w:t>Dr. Adam Malka</w:t>
      </w:r>
    </w:p>
    <w:p w14:paraId="5ABE5C8F" w14:textId="77777777" w:rsidR="009C1F83" w:rsidRDefault="009C1F83" w:rsidP="009C1F83">
      <w:pPr>
        <w:spacing w:line="480" w:lineRule="auto"/>
        <w:contextualSpacing/>
      </w:pPr>
      <w:r>
        <w:t>April 25, 2019</w:t>
      </w:r>
    </w:p>
    <w:p w14:paraId="53F1C4F2" w14:textId="77777777" w:rsidR="009C1F83" w:rsidRDefault="009C1F83" w:rsidP="009C1F83">
      <w:pPr>
        <w:spacing w:line="480" w:lineRule="auto"/>
        <w:contextualSpacing/>
        <w:jc w:val="center"/>
      </w:pPr>
      <w:r>
        <w:t>After the Revolution:</w:t>
      </w:r>
    </w:p>
    <w:p w14:paraId="7D1D6070" w14:textId="77777777" w:rsidR="009C1F83" w:rsidRDefault="009C1F83" w:rsidP="009C1F83">
      <w:pPr>
        <w:spacing w:line="480" w:lineRule="auto"/>
        <w:contextualSpacing/>
        <w:jc w:val="center"/>
      </w:pPr>
      <w:r>
        <w:t>The Natural Rights of Women</w:t>
      </w:r>
    </w:p>
    <w:p w14:paraId="691D4D20" w14:textId="4FEF623D" w:rsidR="000E4E3F" w:rsidRDefault="00FB0B5C" w:rsidP="007434CC">
      <w:pPr>
        <w:spacing w:line="480" w:lineRule="auto"/>
        <w:ind w:firstLine="720"/>
        <w:contextualSpacing/>
        <w:rPr>
          <w:rFonts w:cs="Times New Roman"/>
          <w:color w:val="000000"/>
        </w:rPr>
      </w:pPr>
      <w:r>
        <w:rPr>
          <w:rFonts w:cs="Times New Roman"/>
        </w:rPr>
        <w:t xml:space="preserve">The </w:t>
      </w:r>
      <w:r w:rsidR="00992594">
        <w:rPr>
          <w:rFonts w:cs="Times New Roman"/>
        </w:rPr>
        <w:t xml:space="preserve">post-Revolutionary American woman was idealized as an embodiment of virtue, heralded for fulfilling her duties to family and society, but </w:t>
      </w:r>
      <w:r w:rsidR="002E7C59">
        <w:rPr>
          <w:rFonts w:cs="Times New Roman"/>
        </w:rPr>
        <w:t xml:space="preserve">kept </w:t>
      </w:r>
      <w:r w:rsidR="00992594">
        <w:rPr>
          <w:rFonts w:cs="Times New Roman"/>
        </w:rPr>
        <w:t>well outside of politics, academia, and other traditionally masculine environments. And yet the i</w:t>
      </w:r>
      <w:r>
        <w:rPr>
          <w:rFonts w:cs="Times New Roman"/>
        </w:rPr>
        <w:t>deals of the American Revolution were seated in the concept of rig</w:t>
      </w:r>
      <w:r w:rsidR="00034A3D">
        <w:rPr>
          <w:rFonts w:cs="Times New Roman"/>
        </w:rPr>
        <w:t xml:space="preserve">hts as natural and inalienable, </w:t>
      </w:r>
      <w:r w:rsidR="002E7C59">
        <w:rPr>
          <w:rFonts w:cs="Times New Roman"/>
        </w:rPr>
        <w:t>as devices that granted the power specifically to challenge exclusion from government. This social contract</w:t>
      </w:r>
      <w:r w:rsidRPr="00FB0B5C">
        <w:rPr>
          <w:rFonts w:cs="Times New Roman"/>
        </w:rPr>
        <w:t xml:space="preserve"> theory</w:t>
      </w:r>
      <w:r w:rsidR="002E7C59">
        <w:rPr>
          <w:rFonts w:cs="Times New Roman"/>
        </w:rPr>
        <w:t>, most famously expressed by John Locke in the late seventeenth century,</w:t>
      </w:r>
      <w:r w:rsidRPr="00FB0B5C">
        <w:rPr>
          <w:rFonts w:cs="Times New Roman"/>
        </w:rPr>
        <w:t xml:space="preserve"> </w:t>
      </w:r>
      <w:r w:rsidR="00034A3D">
        <w:rPr>
          <w:rFonts w:cs="Times New Roman"/>
          <w:color w:val="000000"/>
        </w:rPr>
        <w:t xml:space="preserve">held </w:t>
      </w:r>
      <w:r w:rsidRPr="00FB0B5C">
        <w:rPr>
          <w:rFonts w:cs="Times New Roman"/>
          <w:color w:val="000000"/>
        </w:rPr>
        <w:t>that members of society traded some personal freedoms in exchange for government protection of life, liberty, and p</w:t>
      </w:r>
      <w:r w:rsidR="00034A3D">
        <w:rPr>
          <w:rFonts w:cs="Times New Roman"/>
          <w:color w:val="000000"/>
        </w:rPr>
        <w:t>roperty, thus stressing</w:t>
      </w:r>
      <w:r w:rsidRPr="00FB0B5C">
        <w:rPr>
          <w:rFonts w:cs="Times New Roman"/>
          <w:color w:val="000000"/>
        </w:rPr>
        <w:t xml:space="preserve"> the importance of </w:t>
      </w:r>
      <w:r w:rsidR="00447FCB">
        <w:rPr>
          <w:rFonts w:cs="Times New Roman"/>
          <w:color w:val="000000"/>
        </w:rPr>
        <w:t>personal duties</w:t>
      </w:r>
      <w:r w:rsidRPr="00FB0B5C">
        <w:rPr>
          <w:rFonts w:cs="Times New Roman"/>
          <w:color w:val="000000"/>
        </w:rPr>
        <w:t xml:space="preserve"> as well as personal autonomy.</w:t>
      </w:r>
      <w:r w:rsidR="00E828D1">
        <w:rPr>
          <w:rStyle w:val="FootnoteReference"/>
          <w:rFonts w:cs="Times New Roman"/>
          <w:color w:val="000000"/>
        </w:rPr>
        <w:footnoteReference w:id="1"/>
      </w:r>
      <w:r w:rsidRPr="00FB0B5C">
        <w:rPr>
          <w:rFonts w:cs="Times New Roman"/>
          <w:color w:val="000000"/>
        </w:rPr>
        <w:t xml:space="preserve"> However, Americans</w:t>
      </w:r>
      <w:r w:rsidR="00447FCB">
        <w:rPr>
          <w:rFonts w:cs="Times New Roman"/>
          <w:color w:val="000000"/>
        </w:rPr>
        <w:t>’ focus</w:t>
      </w:r>
      <w:r w:rsidR="00FB1B53">
        <w:rPr>
          <w:rFonts w:cs="Times New Roman"/>
          <w:color w:val="000000"/>
        </w:rPr>
        <w:t xml:space="preserve"> during the Revolution</w:t>
      </w:r>
      <w:r w:rsidRPr="00FB0B5C">
        <w:rPr>
          <w:rFonts w:cs="Times New Roman"/>
          <w:color w:val="000000"/>
        </w:rPr>
        <w:t xml:space="preserve"> </w:t>
      </w:r>
      <w:r w:rsidR="00447FCB">
        <w:rPr>
          <w:rFonts w:cs="Times New Roman"/>
          <w:color w:val="000000"/>
        </w:rPr>
        <w:t xml:space="preserve">fell </w:t>
      </w:r>
      <w:r w:rsidRPr="00FB0B5C">
        <w:rPr>
          <w:rFonts w:cs="Times New Roman"/>
          <w:color w:val="000000"/>
        </w:rPr>
        <w:t>more heavily on the latter, emphas</w:t>
      </w:r>
      <w:r>
        <w:rPr>
          <w:rFonts w:cs="Times New Roman"/>
          <w:color w:val="000000"/>
        </w:rPr>
        <w:t>i</w:t>
      </w:r>
      <w:r w:rsidRPr="00FB0B5C">
        <w:rPr>
          <w:rFonts w:cs="Times New Roman"/>
          <w:color w:val="000000"/>
        </w:rPr>
        <w:t xml:space="preserve">zing </w:t>
      </w:r>
      <w:r w:rsidR="00E828D1">
        <w:rPr>
          <w:rFonts w:cs="Times New Roman"/>
          <w:color w:val="000000"/>
        </w:rPr>
        <w:t xml:space="preserve">man’s </w:t>
      </w:r>
      <w:r w:rsidRPr="00FB0B5C">
        <w:rPr>
          <w:rFonts w:cs="Times New Roman"/>
          <w:color w:val="000000"/>
        </w:rPr>
        <w:t xml:space="preserve">individual liberties, and more specifically, </w:t>
      </w:r>
      <w:r w:rsidR="00E828D1">
        <w:rPr>
          <w:rFonts w:cs="Times New Roman"/>
          <w:color w:val="000000"/>
        </w:rPr>
        <w:t xml:space="preserve">his </w:t>
      </w:r>
      <w:r w:rsidRPr="00FB0B5C">
        <w:rPr>
          <w:rFonts w:cs="Times New Roman"/>
          <w:color w:val="000000"/>
        </w:rPr>
        <w:t>political liberties, as the essence of natural rights.</w:t>
      </w:r>
      <w:r w:rsidR="00E828D1">
        <w:rPr>
          <w:rStyle w:val="FootnoteReference"/>
          <w:rFonts w:cs="Times New Roman"/>
          <w:color w:val="000000"/>
        </w:rPr>
        <w:footnoteReference w:id="2"/>
      </w:r>
      <w:r w:rsidRPr="00FB0B5C">
        <w:rPr>
          <w:rFonts w:cs="Times New Roman"/>
          <w:color w:val="000000"/>
        </w:rPr>
        <w:t xml:space="preserve"> In contrast, </w:t>
      </w:r>
      <w:r w:rsidR="00E828D1">
        <w:rPr>
          <w:rFonts w:cs="Times New Roman"/>
          <w:color w:val="000000"/>
        </w:rPr>
        <w:t xml:space="preserve">women’s </w:t>
      </w:r>
      <w:r w:rsidRPr="00FB0B5C">
        <w:rPr>
          <w:rFonts w:cs="Times New Roman"/>
          <w:color w:val="000000"/>
        </w:rPr>
        <w:t xml:space="preserve">natural rights </w:t>
      </w:r>
      <w:r w:rsidR="00E828D1">
        <w:rPr>
          <w:rFonts w:cs="Times New Roman"/>
          <w:color w:val="000000"/>
        </w:rPr>
        <w:t xml:space="preserve">were conceptualized in accord with </w:t>
      </w:r>
      <w:r w:rsidRPr="00FB0B5C">
        <w:rPr>
          <w:rFonts w:cs="Times New Roman"/>
          <w:color w:val="000000"/>
        </w:rPr>
        <w:t xml:space="preserve">theory originating </w:t>
      </w:r>
      <w:r w:rsidR="00FB1B53">
        <w:rPr>
          <w:rFonts w:cs="Times New Roman"/>
          <w:color w:val="000000"/>
        </w:rPr>
        <w:t xml:space="preserve">from the Scottish Enlightenment </w:t>
      </w:r>
      <w:r w:rsidR="00E828D1">
        <w:rPr>
          <w:rFonts w:cs="Times New Roman"/>
          <w:color w:val="000000"/>
        </w:rPr>
        <w:t>shortly before</w:t>
      </w:r>
      <w:r w:rsidR="00FB1B53">
        <w:rPr>
          <w:rFonts w:cs="Times New Roman"/>
          <w:color w:val="000000"/>
        </w:rPr>
        <w:t xml:space="preserve"> the American Revolution</w:t>
      </w:r>
      <w:r w:rsidR="00E828D1">
        <w:rPr>
          <w:rFonts w:cs="Times New Roman"/>
          <w:color w:val="000000"/>
        </w:rPr>
        <w:t>. In this view, rights were</w:t>
      </w:r>
      <w:r w:rsidRPr="00FB0B5C">
        <w:rPr>
          <w:rFonts w:cs="Times New Roman"/>
          <w:color w:val="000000"/>
        </w:rPr>
        <w:t xml:space="preserve"> bene</w:t>
      </w:r>
      <w:r>
        <w:rPr>
          <w:rFonts w:cs="Times New Roman"/>
          <w:color w:val="000000"/>
        </w:rPr>
        <w:t xml:space="preserve">fits </w:t>
      </w:r>
      <w:r w:rsidRPr="002E7C59">
        <w:rPr>
          <w:rFonts w:cs="Times New Roman"/>
          <w:color w:val="000000"/>
        </w:rPr>
        <w:t>conferred by God, with necessary duties attached</w:t>
      </w:r>
      <w:r w:rsidR="00E828D1" w:rsidRPr="002E7C59">
        <w:rPr>
          <w:rFonts w:cs="Times New Roman"/>
          <w:color w:val="000000"/>
        </w:rPr>
        <w:t xml:space="preserve">, and </w:t>
      </w:r>
      <w:r w:rsidRPr="002E7C59">
        <w:rPr>
          <w:rFonts w:cs="Times New Roman"/>
          <w:color w:val="000000"/>
        </w:rPr>
        <w:t>these rights and duties became indistinguishable.</w:t>
      </w:r>
      <w:r w:rsidR="00E828D1" w:rsidRPr="002E7C59">
        <w:rPr>
          <w:rStyle w:val="FootnoteReference"/>
          <w:rFonts w:cs="Times New Roman"/>
          <w:color w:val="000000"/>
        </w:rPr>
        <w:footnoteReference w:id="3"/>
      </w:r>
      <w:r w:rsidR="002E7C59" w:rsidRPr="002E7C59">
        <w:rPr>
          <w:rFonts w:cs="Times New Roman"/>
          <w:color w:val="000000"/>
        </w:rPr>
        <w:t xml:space="preserve"> While the Lockean conceptualization of natural rights found its place </w:t>
      </w:r>
      <w:r w:rsidR="002E7C59" w:rsidRPr="002E7C59">
        <w:rPr>
          <w:rFonts w:cs="Times New Roman"/>
          <w:color w:val="000000"/>
        </w:rPr>
        <w:lastRenderedPageBreak/>
        <w:t xml:space="preserve">at the very heart of the American Revolution, writings from </w:t>
      </w:r>
      <w:r w:rsidR="008F3019">
        <w:rPr>
          <w:rFonts w:cs="Times New Roman"/>
          <w:color w:val="000000"/>
        </w:rPr>
        <w:t xml:space="preserve">the later eighteenth and early </w:t>
      </w:r>
      <w:r w:rsidR="00402A00">
        <w:rPr>
          <w:rFonts w:cs="Times New Roman"/>
          <w:color w:val="000000"/>
        </w:rPr>
        <w:t>nineteenth centuries</w:t>
      </w:r>
      <w:r w:rsidR="002E7C59" w:rsidRPr="002E7C59">
        <w:rPr>
          <w:rFonts w:cs="Times New Roman"/>
          <w:color w:val="000000"/>
        </w:rPr>
        <w:t xml:space="preserve"> demonstrate how the Scottish theory of natural rights was differentially applied to women, equating their rights with duties and thus justifying the denial of the same natural rights as men.</w:t>
      </w:r>
    </w:p>
    <w:p w14:paraId="3DED84F6" w14:textId="68186C66" w:rsidR="00E23A35" w:rsidRDefault="00C33454" w:rsidP="009C1F83">
      <w:pPr>
        <w:spacing w:line="480" w:lineRule="auto"/>
        <w:ind w:firstLine="720"/>
        <w:contextualSpacing/>
        <w:rPr>
          <w:rFonts w:cs="Times New Roman"/>
          <w:color w:val="000000"/>
        </w:rPr>
      </w:pPr>
      <w:r>
        <w:rPr>
          <w:rFonts w:cs="Times New Roman"/>
          <w:color w:val="000000"/>
        </w:rPr>
        <w:t xml:space="preserve">James Otis, in his 1764 </w:t>
      </w:r>
      <w:r>
        <w:rPr>
          <w:rFonts w:cs="Times New Roman"/>
          <w:i/>
          <w:color w:val="000000"/>
        </w:rPr>
        <w:t xml:space="preserve">The Rights of the British Colonies Asserted and Proved, </w:t>
      </w:r>
      <w:r w:rsidR="006E6A0E">
        <w:rPr>
          <w:rFonts w:cs="Times New Roman"/>
          <w:color w:val="000000"/>
        </w:rPr>
        <w:t>argued</w:t>
      </w:r>
      <w:r w:rsidR="00A569E0">
        <w:rPr>
          <w:rFonts w:cs="Times New Roman"/>
          <w:color w:val="000000"/>
        </w:rPr>
        <w:t xml:space="preserve"> in </w:t>
      </w:r>
      <w:r w:rsidR="00B55F83">
        <w:rPr>
          <w:rFonts w:cs="Times New Roman"/>
          <w:color w:val="000000"/>
        </w:rPr>
        <w:t>Locke’s words that all men</w:t>
      </w:r>
      <w:r w:rsidR="00B30ED5">
        <w:rPr>
          <w:rFonts w:cs="Times New Roman"/>
          <w:color w:val="000000"/>
        </w:rPr>
        <w:t xml:space="preserve"> should be equal, not subject to any authority but that government which protects his natural rights to life, liberty, and property.</w:t>
      </w:r>
      <w:r w:rsidR="00B30ED5">
        <w:rPr>
          <w:rStyle w:val="FootnoteReference"/>
          <w:rFonts w:cs="Times New Roman"/>
          <w:color w:val="000000"/>
        </w:rPr>
        <w:footnoteReference w:id="4"/>
      </w:r>
      <w:r w:rsidR="00DF4C32">
        <w:rPr>
          <w:rFonts w:cs="Times New Roman"/>
          <w:color w:val="000000"/>
        </w:rPr>
        <w:t xml:space="preserve"> Otis even went</w:t>
      </w:r>
      <w:r w:rsidR="00BA415C">
        <w:rPr>
          <w:rFonts w:cs="Times New Roman"/>
          <w:color w:val="000000"/>
        </w:rPr>
        <w:t xml:space="preserve"> so far as to recogniz</w:t>
      </w:r>
      <w:r w:rsidR="00DF4C32">
        <w:rPr>
          <w:rFonts w:cs="Times New Roman"/>
          <w:color w:val="000000"/>
        </w:rPr>
        <w:t>e that women, denied suffrage, we</w:t>
      </w:r>
      <w:r w:rsidR="00BA415C">
        <w:rPr>
          <w:rFonts w:cs="Times New Roman"/>
          <w:color w:val="000000"/>
        </w:rPr>
        <w:t>re subject to obey laws and representatives for or against which they could not vote.</w:t>
      </w:r>
      <w:r w:rsidR="003B0A0F">
        <w:rPr>
          <w:rFonts w:cs="Times New Roman"/>
          <w:color w:val="000000"/>
        </w:rPr>
        <w:t xml:space="preserve"> But his concl</w:t>
      </w:r>
      <w:r w:rsidR="00AB29E9">
        <w:rPr>
          <w:rFonts w:cs="Times New Roman"/>
          <w:color w:val="000000"/>
        </w:rPr>
        <w:t>usion here (and, admittedly, an</w:t>
      </w:r>
      <w:r w:rsidR="007B0D56">
        <w:rPr>
          <w:rFonts w:cs="Times New Roman"/>
          <w:color w:val="000000"/>
        </w:rPr>
        <w:t xml:space="preserve"> appropriate </w:t>
      </w:r>
      <w:r w:rsidR="00AB29E9">
        <w:rPr>
          <w:rFonts w:cs="Times New Roman"/>
          <w:color w:val="000000"/>
        </w:rPr>
        <w:t xml:space="preserve">one </w:t>
      </w:r>
      <w:r w:rsidR="007B0D56">
        <w:rPr>
          <w:rFonts w:cs="Times New Roman"/>
          <w:color w:val="000000"/>
        </w:rPr>
        <w:t xml:space="preserve">for the time, </w:t>
      </w:r>
      <w:r w:rsidR="003B0A0F">
        <w:rPr>
          <w:rFonts w:cs="Times New Roman"/>
          <w:color w:val="000000"/>
        </w:rPr>
        <w:t>given</w:t>
      </w:r>
      <w:r w:rsidR="007B0D56">
        <w:rPr>
          <w:rFonts w:cs="Times New Roman"/>
          <w:color w:val="000000"/>
        </w:rPr>
        <w:t xml:space="preserve"> that</w:t>
      </w:r>
      <w:r w:rsidR="00AB29E9">
        <w:rPr>
          <w:rFonts w:cs="Times New Roman"/>
          <w:color w:val="000000"/>
        </w:rPr>
        <w:t xml:space="preserve"> the colonists’ main</w:t>
      </w:r>
      <w:r w:rsidR="007B0D56">
        <w:rPr>
          <w:rFonts w:cs="Times New Roman"/>
          <w:color w:val="000000"/>
        </w:rPr>
        <w:t xml:space="preserve"> issue was a</w:t>
      </w:r>
      <w:r w:rsidR="003B0A0F">
        <w:rPr>
          <w:rFonts w:cs="Times New Roman"/>
          <w:color w:val="000000"/>
        </w:rPr>
        <w:t xml:space="preserve"> lack of representat</w:t>
      </w:r>
      <w:r w:rsidR="00DF4C32">
        <w:rPr>
          <w:rFonts w:cs="Times New Roman"/>
          <w:color w:val="000000"/>
        </w:rPr>
        <w:t>ion in the British Parliament) wa</w:t>
      </w:r>
      <w:r w:rsidR="003B0A0F">
        <w:rPr>
          <w:rFonts w:cs="Times New Roman"/>
          <w:color w:val="000000"/>
        </w:rPr>
        <w:t>s that the compact be</w:t>
      </w:r>
      <w:r w:rsidR="00DF4C32">
        <w:rPr>
          <w:rFonts w:cs="Times New Roman"/>
          <w:color w:val="000000"/>
        </w:rPr>
        <w:t>tween man and government would</w:t>
      </w:r>
      <w:r w:rsidR="003B0A0F">
        <w:rPr>
          <w:rFonts w:cs="Times New Roman"/>
          <w:color w:val="000000"/>
        </w:rPr>
        <w:t xml:space="preserve"> be incomplete until all </w:t>
      </w:r>
      <w:r w:rsidR="003B0A0F">
        <w:rPr>
          <w:rFonts w:cs="Times New Roman"/>
          <w:i/>
          <w:color w:val="000000"/>
        </w:rPr>
        <w:t xml:space="preserve">men, </w:t>
      </w:r>
      <w:r w:rsidR="00DF4C32">
        <w:rPr>
          <w:rFonts w:cs="Times New Roman"/>
          <w:color w:val="000000"/>
        </w:rPr>
        <w:t>Black or White, had</w:t>
      </w:r>
      <w:r w:rsidR="003B0A0F">
        <w:rPr>
          <w:rFonts w:cs="Times New Roman"/>
          <w:color w:val="000000"/>
        </w:rPr>
        <w:t xml:space="preserve"> a place in the political process.</w:t>
      </w:r>
      <w:r w:rsidR="003B0A0F">
        <w:rPr>
          <w:rStyle w:val="FootnoteReference"/>
          <w:rFonts w:cs="Times New Roman"/>
          <w:color w:val="000000"/>
        </w:rPr>
        <w:footnoteReference w:id="5"/>
      </w:r>
      <w:r w:rsidR="003B0A0F">
        <w:rPr>
          <w:rFonts w:cs="Times New Roman"/>
          <w:color w:val="000000"/>
        </w:rPr>
        <w:t xml:space="preserve"> </w:t>
      </w:r>
      <w:r w:rsidR="007B0D56">
        <w:rPr>
          <w:rFonts w:cs="Times New Roman"/>
          <w:color w:val="000000"/>
        </w:rPr>
        <w:t xml:space="preserve">The invocation of women’s suffrage discussion in this case seems to </w:t>
      </w:r>
      <w:r w:rsidR="00DF4C32">
        <w:rPr>
          <w:rFonts w:cs="Times New Roman"/>
          <w:color w:val="000000"/>
        </w:rPr>
        <w:t xml:space="preserve">have </w:t>
      </w:r>
      <w:r w:rsidR="007B0D56">
        <w:rPr>
          <w:rFonts w:cs="Times New Roman"/>
          <w:color w:val="000000"/>
        </w:rPr>
        <w:t>serve</w:t>
      </w:r>
      <w:r w:rsidR="00DF4C32">
        <w:rPr>
          <w:rFonts w:cs="Times New Roman"/>
          <w:color w:val="000000"/>
        </w:rPr>
        <w:t>d</w:t>
      </w:r>
      <w:r w:rsidR="007B0D56">
        <w:rPr>
          <w:rFonts w:cs="Times New Roman"/>
          <w:color w:val="000000"/>
        </w:rPr>
        <w:t xml:space="preserve"> as a descriptive example or “door in the face” technique more than anything else.</w:t>
      </w:r>
      <w:r w:rsidR="00D53067">
        <w:rPr>
          <w:rFonts w:cs="Times New Roman"/>
          <w:color w:val="000000"/>
        </w:rPr>
        <w:t xml:space="preserve"> </w:t>
      </w:r>
      <w:r w:rsidR="00DF4C32">
        <w:rPr>
          <w:rFonts w:cs="Times New Roman"/>
          <w:color w:val="000000"/>
        </w:rPr>
        <w:t>That is, perhaps by suggesting that even women should be allowed the right to vote, he could strengthen support for his argument that men, regardless of race, should enjoy that right.</w:t>
      </w:r>
    </w:p>
    <w:p w14:paraId="1A7A7798" w14:textId="35E0ABDD" w:rsidR="00885F38" w:rsidRDefault="006A0189" w:rsidP="006A0189">
      <w:pPr>
        <w:spacing w:line="480" w:lineRule="auto"/>
        <w:ind w:firstLine="720"/>
        <w:contextualSpacing/>
        <w:rPr>
          <w:rFonts w:cs="Times New Roman"/>
          <w:color w:val="000000"/>
        </w:rPr>
      </w:pPr>
      <w:r>
        <w:rPr>
          <w:rFonts w:cs="Times New Roman"/>
          <w:color w:val="000000"/>
        </w:rPr>
        <w:t>Some f</w:t>
      </w:r>
      <w:r w:rsidR="00E23A35">
        <w:rPr>
          <w:rFonts w:cs="Times New Roman"/>
          <w:color w:val="000000"/>
        </w:rPr>
        <w:t>emale authors subscribing to the Scottish theory of nat</w:t>
      </w:r>
      <w:r>
        <w:rPr>
          <w:rFonts w:cs="Times New Roman"/>
          <w:color w:val="000000"/>
        </w:rPr>
        <w:t>ural rights seemed to echo Otis’s line of reasoning. Hannah More, in 1802, wrote that men and women should fulfill the duties laid out for their sexes. Women, by that logic, were to avoid a</w:t>
      </w:r>
      <w:r w:rsidR="002E4F85">
        <w:rPr>
          <w:rFonts w:cs="Times New Roman"/>
          <w:color w:val="000000"/>
        </w:rPr>
        <w:t>mbition and maintain humility. Furthermore, i</w:t>
      </w:r>
      <w:r>
        <w:rPr>
          <w:rFonts w:cs="Times New Roman"/>
          <w:color w:val="000000"/>
        </w:rPr>
        <w:t>n stating that both sexes had the right to strive for ex</w:t>
      </w:r>
      <w:r w:rsidR="002E4F85">
        <w:rPr>
          <w:rFonts w:cs="Times New Roman"/>
          <w:color w:val="000000"/>
        </w:rPr>
        <w:t>cellence, More specified that it</w:t>
      </w:r>
      <w:r>
        <w:rPr>
          <w:rFonts w:cs="Times New Roman"/>
          <w:color w:val="000000"/>
        </w:rPr>
        <w:t xml:space="preserve"> was desirable for members of the fairer sex to be “excellent wo</w:t>
      </w:r>
      <w:r w:rsidR="002E4F85">
        <w:rPr>
          <w:rFonts w:cs="Times New Roman"/>
          <w:color w:val="000000"/>
        </w:rPr>
        <w:t xml:space="preserve">men rather than </w:t>
      </w:r>
      <w:r w:rsidR="002E4F85">
        <w:rPr>
          <w:rFonts w:cs="Times New Roman"/>
          <w:color w:val="000000"/>
        </w:rPr>
        <w:lastRenderedPageBreak/>
        <w:t>indifferent men,</w:t>
      </w:r>
      <w:r>
        <w:rPr>
          <w:rFonts w:cs="Times New Roman"/>
          <w:color w:val="000000"/>
        </w:rPr>
        <w:t>”</w:t>
      </w:r>
      <w:r w:rsidR="002E4F85">
        <w:rPr>
          <w:rFonts w:cs="Times New Roman"/>
          <w:color w:val="000000"/>
        </w:rPr>
        <w:t xml:space="preserve"> thus combining the Scottish interpretation of natural rights with separate spheres ideology and reinforcing the idea that women’s rights were inherently tied to their domestic duties.</w:t>
      </w:r>
      <w:r>
        <w:rPr>
          <w:rStyle w:val="FootnoteReference"/>
          <w:rFonts w:cs="Times New Roman"/>
          <w:color w:val="000000"/>
        </w:rPr>
        <w:footnoteReference w:id="6"/>
      </w:r>
      <w:r w:rsidR="002E4F85">
        <w:rPr>
          <w:rFonts w:cs="Times New Roman"/>
          <w:color w:val="000000"/>
        </w:rPr>
        <w:t xml:space="preserve"> Hannah Mather Crocker expressed a similar opinion in </w:t>
      </w:r>
      <w:r w:rsidR="00AB29E9">
        <w:rPr>
          <w:rFonts w:cs="Times New Roman"/>
          <w:color w:val="000000"/>
        </w:rPr>
        <w:t>her</w:t>
      </w:r>
      <w:r w:rsidR="00551930">
        <w:rPr>
          <w:rFonts w:cs="Times New Roman"/>
          <w:color w:val="000000"/>
        </w:rPr>
        <w:t xml:space="preserve"> </w:t>
      </w:r>
      <w:r w:rsidR="002E4F85">
        <w:rPr>
          <w:rFonts w:cs="Times New Roman"/>
          <w:color w:val="000000"/>
        </w:rPr>
        <w:t>1818</w:t>
      </w:r>
      <w:r w:rsidR="00551930">
        <w:rPr>
          <w:rFonts w:cs="Times New Roman"/>
          <w:color w:val="000000"/>
        </w:rPr>
        <w:t xml:space="preserve"> treatise</w:t>
      </w:r>
      <w:r w:rsidR="00AB29E9">
        <w:rPr>
          <w:rFonts w:cs="Times New Roman"/>
          <w:color w:val="000000"/>
        </w:rPr>
        <w:t>, though</w:t>
      </w:r>
      <w:r w:rsidR="002E4F85">
        <w:rPr>
          <w:rFonts w:cs="Times New Roman"/>
          <w:color w:val="000000"/>
        </w:rPr>
        <w:t xml:space="preserve"> from a rel</w:t>
      </w:r>
      <w:r w:rsidR="00551930">
        <w:rPr>
          <w:rFonts w:cs="Times New Roman"/>
          <w:color w:val="000000"/>
        </w:rPr>
        <w:t>igious perspective. While men and women were conferred by God with the same abilities, she said, it would be immoral for women to participate in the same studies and activities as man, as those were not her God-given duties.</w:t>
      </w:r>
      <w:r w:rsidR="00444744">
        <w:rPr>
          <w:rStyle w:val="FootnoteReference"/>
          <w:rFonts w:cs="Times New Roman"/>
          <w:color w:val="000000"/>
        </w:rPr>
        <w:footnoteReference w:id="7"/>
      </w:r>
      <w:r w:rsidR="00551930">
        <w:rPr>
          <w:rFonts w:cs="Times New Roman"/>
          <w:color w:val="000000"/>
        </w:rPr>
        <w:t xml:space="preserve"> </w:t>
      </w:r>
      <w:r w:rsidR="00444744">
        <w:rPr>
          <w:rFonts w:cs="Times New Roman"/>
          <w:color w:val="000000"/>
        </w:rPr>
        <w:t xml:space="preserve">More and Crocker both invoked the rhetoric of natural rights, but </w:t>
      </w:r>
      <w:r w:rsidR="00460571">
        <w:rPr>
          <w:rFonts w:cs="Times New Roman"/>
          <w:color w:val="000000"/>
        </w:rPr>
        <w:t xml:space="preserve">both </w:t>
      </w:r>
      <w:r w:rsidR="00AB29E9">
        <w:rPr>
          <w:rFonts w:cs="Times New Roman"/>
          <w:color w:val="000000"/>
        </w:rPr>
        <w:t xml:space="preserve">also </w:t>
      </w:r>
      <w:r w:rsidR="00444744">
        <w:rPr>
          <w:rFonts w:cs="Times New Roman"/>
          <w:color w:val="000000"/>
        </w:rPr>
        <w:t>wrote from the perspective of S</w:t>
      </w:r>
      <w:r w:rsidR="00460571">
        <w:rPr>
          <w:rFonts w:cs="Times New Roman"/>
          <w:color w:val="000000"/>
        </w:rPr>
        <w:t xml:space="preserve">cottish theory combined with separate spheres ideology. As a result, their writings argued not for an expansion of women’s rights in relation to </w:t>
      </w:r>
      <w:r w:rsidR="00C35FF0">
        <w:rPr>
          <w:rFonts w:cs="Times New Roman"/>
          <w:color w:val="000000"/>
        </w:rPr>
        <w:t xml:space="preserve">politics or other spheres, but </w:t>
      </w:r>
      <w:r w:rsidR="00460571">
        <w:rPr>
          <w:rFonts w:cs="Times New Roman"/>
          <w:color w:val="000000"/>
        </w:rPr>
        <w:t>t</w:t>
      </w:r>
      <w:r w:rsidR="00C35FF0">
        <w:rPr>
          <w:rFonts w:cs="Times New Roman"/>
          <w:color w:val="000000"/>
        </w:rPr>
        <w:t>hat wo</w:t>
      </w:r>
      <w:r w:rsidR="00AB29E9">
        <w:rPr>
          <w:rFonts w:cs="Times New Roman"/>
          <w:color w:val="000000"/>
        </w:rPr>
        <w:t xml:space="preserve">men’s natural rights could </w:t>
      </w:r>
      <w:r w:rsidR="00C35FF0">
        <w:rPr>
          <w:rFonts w:cs="Times New Roman"/>
          <w:color w:val="000000"/>
        </w:rPr>
        <w:t xml:space="preserve">only be </w:t>
      </w:r>
      <w:r w:rsidR="00460571">
        <w:rPr>
          <w:rFonts w:cs="Times New Roman"/>
          <w:color w:val="000000"/>
        </w:rPr>
        <w:t xml:space="preserve">realized through the fulfillment of </w:t>
      </w:r>
      <w:r w:rsidR="00C35FF0">
        <w:rPr>
          <w:rFonts w:cs="Times New Roman"/>
          <w:color w:val="000000"/>
        </w:rPr>
        <w:t xml:space="preserve">their </w:t>
      </w:r>
      <w:r w:rsidR="00460571">
        <w:rPr>
          <w:rFonts w:cs="Times New Roman"/>
          <w:color w:val="000000"/>
        </w:rPr>
        <w:t>domestic duties</w:t>
      </w:r>
      <w:r w:rsidR="00C35FF0">
        <w:rPr>
          <w:rFonts w:cs="Times New Roman"/>
          <w:color w:val="000000"/>
        </w:rPr>
        <w:t>.</w:t>
      </w:r>
    </w:p>
    <w:p w14:paraId="3BAA63EB" w14:textId="4D1F7FEB" w:rsidR="00C33454" w:rsidRPr="001701E8" w:rsidRDefault="00881F59" w:rsidP="009C1F83">
      <w:pPr>
        <w:spacing w:line="480" w:lineRule="auto"/>
        <w:ind w:firstLine="720"/>
        <w:contextualSpacing/>
        <w:rPr>
          <w:rFonts w:cs="Times New Roman"/>
          <w:color w:val="000000"/>
        </w:rPr>
      </w:pPr>
      <w:r>
        <w:rPr>
          <w:rFonts w:cs="Times New Roman"/>
          <w:color w:val="000000"/>
        </w:rPr>
        <w:t xml:space="preserve">Other adherents to the Scottish theory of natural rights </w:t>
      </w:r>
      <w:r w:rsidR="00862448">
        <w:rPr>
          <w:rFonts w:cs="Times New Roman"/>
          <w:color w:val="000000"/>
        </w:rPr>
        <w:t xml:space="preserve">similarly </w:t>
      </w:r>
      <w:r>
        <w:rPr>
          <w:rFonts w:cs="Times New Roman"/>
          <w:color w:val="000000"/>
        </w:rPr>
        <w:t xml:space="preserve">incorporated ideals about femininity and woman’s nature in their </w:t>
      </w:r>
      <w:r w:rsidR="005B37BE">
        <w:rPr>
          <w:rFonts w:cs="Times New Roman"/>
          <w:color w:val="000000"/>
        </w:rPr>
        <w:t xml:space="preserve">justifications of the denial of political, academic, and other </w:t>
      </w:r>
      <w:r w:rsidR="002C0206">
        <w:rPr>
          <w:rFonts w:cs="Times New Roman"/>
          <w:color w:val="000000"/>
        </w:rPr>
        <w:t xml:space="preserve">rights to women. </w:t>
      </w:r>
      <w:r w:rsidR="00862448">
        <w:rPr>
          <w:rFonts w:cs="Times New Roman"/>
          <w:color w:val="000000"/>
        </w:rPr>
        <w:t xml:space="preserve">In an 1836 letter from Lydia Huntley Sigourney, </w:t>
      </w:r>
      <w:r w:rsidR="00945C4A">
        <w:rPr>
          <w:rFonts w:cs="Times New Roman"/>
          <w:color w:val="000000"/>
        </w:rPr>
        <w:t>she wrote</w:t>
      </w:r>
      <w:r w:rsidR="00213E2F">
        <w:rPr>
          <w:rFonts w:cs="Times New Roman"/>
          <w:color w:val="000000"/>
        </w:rPr>
        <w:t xml:space="preserve"> to</w:t>
      </w:r>
      <w:r w:rsidR="00862448">
        <w:rPr>
          <w:rFonts w:cs="Times New Roman"/>
          <w:color w:val="000000"/>
        </w:rPr>
        <w:t xml:space="preserve"> </w:t>
      </w:r>
      <w:r w:rsidR="00945C4A">
        <w:rPr>
          <w:rFonts w:cs="Times New Roman"/>
          <w:color w:val="000000"/>
        </w:rPr>
        <w:t>women who might be experiencing</w:t>
      </w:r>
      <w:r w:rsidR="00862448">
        <w:rPr>
          <w:rFonts w:cs="Times New Roman"/>
          <w:color w:val="000000"/>
        </w:rPr>
        <w:t xml:space="preserve"> ambition</w:t>
      </w:r>
      <w:r w:rsidR="00213E2F">
        <w:rPr>
          <w:rFonts w:cs="Times New Roman"/>
          <w:color w:val="000000"/>
        </w:rPr>
        <w:t xml:space="preserve"> in science or art or </w:t>
      </w:r>
      <w:r w:rsidR="00945C4A">
        <w:rPr>
          <w:rFonts w:cs="Times New Roman"/>
          <w:color w:val="000000"/>
        </w:rPr>
        <w:t xml:space="preserve">a </w:t>
      </w:r>
      <w:r w:rsidR="00213E2F">
        <w:rPr>
          <w:rFonts w:cs="Times New Roman"/>
          <w:color w:val="000000"/>
        </w:rPr>
        <w:t>desire</w:t>
      </w:r>
      <w:r w:rsidR="00945C4A">
        <w:rPr>
          <w:rFonts w:cs="Times New Roman"/>
          <w:color w:val="000000"/>
        </w:rPr>
        <w:t xml:space="preserve"> for</w:t>
      </w:r>
      <w:r w:rsidR="00213E2F">
        <w:rPr>
          <w:rFonts w:cs="Times New Roman"/>
          <w:color w:val="000000"/>
        </w:rPr>
        <w:t xml:space="preserve"> recognition for their accomplishments, “The antidote for this malady, is to do nothing, say nothing, be nothing.”</w:t>
      </w:r>
      <w:r w:rsidR="008D0EBB">
        <w:rPr>
          <w:rStyle w:val="FootnoteReference"/>
          <w:rFonts w:cs="Times New Roman"/>
          <w:color w:val="000000"/>
        </w:rPr>
        <w:footnoteReference w:id="8"/>
      </w:r>
      <w:r w:rsidR="00945C4A">
        <w:rPr>
          <w:rFonts w:cs="Times New Roman"/>
          <w:color w:val="000000"/>
        </w:rPr>
        <w:t xml:space="preserve"> In other words, women aspiring to participate in aspects of society outside the domestic sphere were simply to wait for this desire to go away. </w:t>
      </w:r>
      <w:r w:rsidR="00BC7451">
        <w:rPr>
          <w:rFonts w:cs="Times New Roman"/>
          <w:color w:val="000000"/>
        </w:rPr>
        <w:t>Thi</w:t>
      </w:r>
      <w:r w:rsidR="00806A7E">
        <w:rPr>
          <w:rFonts w:cs="Times New Roman"/>
          <w:color w:val="000000"/>
        </w:rPr>
        <w:t xml:space="preserve">s bears great resemblance to a </w:t>
      </w:r>
      <w:r w:rsidR="00806A7E">
        <w:rPr>
          <w:rFonts w:cs="Times New Roman"/>
          <w:color w:val="000000"/>
        </w:rPr>
        <w:lastRenderedPageBreak/>
        <w:t xml:space="preserve">conceptualization of natural rights put forth by Hannah Mather Crocker, namely that it was “woman’s </w:t>
      </w:r>
      <w:r w:rsidR="00806A7E" w:rsidRPr="00806A7E">
        <w:rPr>
          <w:rFonts w:cs="Times New Roman"/>
          <w:color w:val="000000"/>
        </w:rPr>
        <w:t>peculiar right to keep calm and serene under every circumstance in life, as it is undoubtedly her appropriate duty, to serve and alleviate the anxious cares of man, as she has an equal right to partake with him the cares, as</w:t>
      </w:r>
      <w:r w:rsidR="00806A7E">
        <w:rPr>
          <w:rFonts w:cs="Times New Roman"/>
          <w:color w:val="000000"/>
        </w:rPr>
        <w:t xml:space="preserve"> well as the pleasures of life.”</w:t>
      </w:r>
      <w:r w:rsidR="00806A7E">
        <w:rPr>
          <w:rStyle w:val="FootnoteReference"/>
          <w:rFonts w:cs="Times New Roman"/>
          <w:color w:val="000000"/>
        </w:rPr>
        <w:footnoteReference w:id="9"/>
      </w:r>
      <w:r w:rsidR="00806A7E">
        <w:rPr>
          <w:rFonts w:cs="Times New Roman"/>
          <w:color w:val="000000"/>
        </w:rPr>
        <w:t xml:space="preserve"> Here </w:t>
      </w:r>
      <w:r w:rsidR="00767E89">
        <w:rPr>
          <w:rFonts w:cs="Times New Roman"/>
          <w:color w:val="000000"/>
        </w:rPr>
        <w:t xml:space="preserve">and elsewhere in her treatise, </w:t>
      </w:r>
      <w:r w:rsidR="00806A7E">
        <w:rPr>
          <w:rFonts w:cs="Times New Roman"/>
          <w:color w:val="000000"/>
        </w:rPr>
        <w:t>Cro</w:t>
      </w:r>
      <w:r w:rsidR="00B91D2F">
        <w:rPr>
          <w:rFonts w:cs="Times New Roman"/>
          <w:color w:val="000000"/>
        </w:rPr>
        <w:t xml:space="preserve">cker </w:t>
      </w:r>
      <w:r w:rsidR="001F471B">
        <w:rPr>
          <w:rFonts w:cs="Times New Roman"/>
          <w:color w:val="000000"/>
        </w:rPr>
        <w:t>explicitly equates woman’s rights with her responsibilities</w:t>
      </w:r>
      <w:r w:rsidR="00767E89">
        <w:rPr>
          <w:rFonts w:cs="Times New Roman"/>
          <w:color w:val="000000"/>
        </w:rPr>
        <w:t xml:space="preserve"> to man and to society</w:t>
      </w:r>
      <w:r w:rsidR="001F471B">
        <w:rPr>
          <w:rFonts w:cs="Times New Roman"/>
          <w:color w:val="000000"/>
        </w:rPr>
        <w:t xml:space="preserve">, a clear invocation of </w:t>
      </w:r>
      <w:r w:rsidR="001F471B" w:rsidRPr="001701E8">
        <w:rPr>
          <w:rFonts w:cs="Times New Roman"/>
          <w:color w:val="000000"/>
        </w:rPr>
        <w:t>natural rights rhetoric from the perspective of the Scottish theory.</w:t>
      </w:r>
    </w:p>
    <w:p w14:paraId="44C425F0" w14:textId="399181F1" w:rsidR="00885F38" w:rsidRPr="001701E8" w:rsidRDefault="009854F5" w:rsidP="00D74069">
      <w:pPr>
        <w:spacing w:line="480" w:lineRule="auto"/>
        <w:ind w:firstLine="720"/>
        <w:contextualSpacing/>
        <w:rPr>
          <w:rFonts w:cs="Times New Roman"/>
          <w:color w:val="000000"/>
        </w:rPr>
      </w:pPr>
      <w:r w:rsidRPr="001701E8">
        <w:rPr>
          <w:rFonts w:cs="Times New Roman"/>
          <w:color w:val="000000"/>
        </w:rPr>
        <w:t>S</w:t>
      </w:r>
      <w:r w:rsidR="001701E8" w:rsidRPr="001701E8">
        <w:rPr>
          <w:rFonts w:cs="Times New Roman"/>
          <w:color w:val="000000"/>
        </w:rPr>
        <w:t>till, s</w:t>
      </w:r>
      <w:r w:rsidRPr="001701E8">
        <w:rPr>
          <w:rFonts w:cs="Times New Roman"/>
          <w:color w:val="000000"/>
        </w:rPr>
        <w:t xml:space="preserve">ome </w:t>
      </w:r>
      <w:r w:rsidR="001701E8" w:rsidRPr="001701E8">
        <w:rPr>
          <w:rFonts w:cs="Times New Roman"/>
          <w:color w:val="000000"/>
        </w:rPr>
        <w:t>variation does seem to exist in the adoption of the Scottish conceptualization of natu</w:t>
      </w:r>
      <w:r w:rsidR="00857669">
        <w:rPr>
          <w:rFonts w:cs="Times New Roman"/>
          <w:color w:val="000000"/>
        </w:rPr>
        <w:t>ral rights. Crocker later stated that it wa</w:t>
      </w:r>
      <w:r w:rsidR="001701E8" w:rsidRPr="001701E8">
        <w:rPr>
          <w:rFonts w:cs="Times New Roman"/>
          <w:color w:val="000000"/>
        </w:rPr>
        <w:t>s perfectly within a woman’s right to turn to literature, scientific study, and other subjects of the sort after she had completed her domestic duty, that is, after her children were gro</w:t>
      </w:r>
      <w:r w:rsidR="00857669">
        <w:rPr>
          <w:rFonts w:cs="Times New Roman"/>
          <w:color w:val="000000"/>
        </w:rPr>
        <w:t>wn.</w:t>
      </w:r>
      <w:r w:rsidR="00857669">
        <w:rPr>
          <w:rStyle w:val="FootnoteReference"/>
          <w:rFonts w:cs="Times New Roman"/>
          <w:color w:val="000000"/>
        </w:rPr>
        <w:footnoteReference w:id="10"/>
      </w:r>
      <w:r w:rsidR="00857669">
        <w:rPr>
          <w:rFonts w:cs="Times New Roman"/>
          <w:color w:val="000000"/>
        </w:rPr>
        <w:t xml:space="preserve"> But never should a woman have foun</w:t>
      </w:r>
      <w:r w:rsidR="001701E8" w:rsidRPr="001701E8">
        <w:rPr>
          <w:rFonts w:cs="Times New Roman"/>
          <w:color w:val="000000"/>
        </w:rPr>
        <w:t>d herself at "the gambling table...the horse-race, the bull-bate...the cock-fight."</w:t>
      </w:r>
      <w:r w:rsidR="00857669">
        <w:rPr>
          <w:rStyle w:val="FootnoteReference"/>
          <w:rFonts w:cs="Times New Roman"/>
          <w:color w:val="000000"/>
        </w:rPr>
        <w:footnoteReference w:id="11"/>
      </w:r>
      <w:r w:rsidR="001701E8" w:rsidRPr="001701E8">
        <w:rPr>
          <w:rFonts w:cs="Times New Roman"/>
          <w:color w:val="000000"/>
        </w:rPr>
        <w:t xml:space="preserve"> </w:t>
      </w:r>
      <w:r w:rsidR="00D91EE1">
        <w:rPr>
          <w:rFonts w:cs="Times New Roman"/>
          <w:color w:val="000000"/>
        </w:rPr>
        <w:t>(</w:t>
      </w:r>
      <w:r w:rsidR="001701E8" w:rsidRPr="001701E8">
        <w:rPr>
          <w:rFonts w:cs="Times New Roman"/>
          <w:color w:val="000000"/>
        </w:rPr>
        <w:t xml:space="preserve">These activities, Crocker asserted, were prohibited to women, as they were not focused on the betterment of society or </w:t>
      </w:r>
      <w:r w:rsidR="00857669">
        <w:rPr>
          <w:rFonts w:cs="Times New Roman"/>
          <w:color w:val="000000"/>
        </w:rPr>
        <w:t xml:space="preserve">on </w:t>
      </w:r>
      <w:r w:rsidR="001701E8" w:rsidRPr="001701E8">
        <w:rPr>
          <w:rFonts w:cs="Times New Roman"/>
          <w:color w:val="000000"/>
        </w:rPr>
        <w:t>reflection on the self.</w:t>
      </w:r>
      <w:r w:rsidR="00D91EE1">
        <w:rPr>
          <w:rFonts w:cs="Times New Roman"/>
          <w:color w:val="000000"/>
        </w:rPr>
        <w:t xml:space="preserve">) </w:t>
      </w:r>
      <w:r w:rsidR="009672E0">
        <w:rPr>
          <w:rFonts w:cs="Times New Roman"/>
          <w:color w:val="000000"/>
        </w:rPr>
        <w:t xml:space="preserve">Interestingly, here Crocker suggests that certain rights can essentially be earned by successfully performing the duties set forth for one’s sex, but only those that exist in accordance with </w:t>
      </w:r>
      <w:r w:rsidR="00D74069">
        <w:rPr>
          <w:rFonts w:cs="Times New Roman"/>
          <w:color w:val="000000"/>
        </w:rPr>
        <w:t>one’s original, socially defined purpose.</w:t>
      </w:r>
    </w:p>
    <w:p w14:paraId="57450241" w14:textId="2D407930" w:rsidR="00FC2706" w:rsidRDefault="00885F38" w:rsidP="009C1F83">
      <w:pPr>
        <w:spacing w:line="480" w:lineRule="auto"/>
        <w:ind w:firstLine="720"/>
        <w:contextualSpacing/>
        <w:rPr>
          <w:rFonts w:cs="Times New Roman"/>
          <w:color w:val="000000"/>
        </w:rPr>
      </w:pPr>
      <w:r>
        <w:rPr>
          <w:rFonts w:cs="Times New Roman"/>
          <w:color w:val="000000"/>
        </w:rPr>
        <w:t>While this paper has</w:t>
      </w:r>
      <w:r w:rsidR="00387E95">
        <w:rPr>
          <w:rFonts w:cs="Times New Roman"/>
          <w:color w:val="000000"/>
        </w:rPr>
        <w:t xml:space="preserve"> primarily examine</w:t>
      </w:r>
      <w:r>
        <w:rPr>
          <w:rFonts w:cs="Times New Roman"/>
          <w:color w:val="000000"/>
        </w:rPr>
        <w:t>d</w:t>
      </w:r>
      <w:r w:rsidR="0055091E">
        <w:rPr>
          <w:rFonts w:cs="Times New Roman"/>
          <w:color w:val="000000"/>
        </w:rPr>
        <w:t xml:space="preserve"> the natural rights</w:t>
      </w:r>
      <w:r w:rsidR="001428FD">
        <w:rPr>
          <w:rFonts w:cs="Times New Roman"/>
          <w:color w:val="000000"/>
        </w:rPr>
        <w:t xml:space="preserve"> rhetoric</w:t>
      </w:r>
      <w:r w:rsidR="0055091E">
        <w:rPr>
          <w:rFonts w:cs="Times New Roman"/>
          <w:color w:val="000000"/>
        </w:rPr>
        <w:t xml:space="preserve"> </w:t>
      </w:r>
      <w:r w:rsidR="003258F3">
        <w:rPr>
          <w:rFonts w:cs="Times New Roman"/>
          <w:color w:val="000000"/>
        </w:rPr>
        <w:t>of pos</w:t>
      </w:r>
      <w:r w:rsidR="008F3019">
        <w:rPr>
          <w:rFonts w:cs="Times New Roman"/>
          <w:color w:val="000000"/>
        </w:rPr>
        <w:t>t-Revolutionary American women</w:t>
      </w:r>
      <w:r w:rsidR="00387E95">
        <w:rPr>
          <w:rFonts w:cs="Times New Roman"/>
          <w:color w:val="000000"/>
        </w:rPr>
        <w:t>,</w:t>
      </w:r>
      <w:r w:rsidR="008F3019">
        <w:rPr>
          <w:rFonts w:cs="Times New Roman"/>
          <w:color w:val="000000"/>
        </w:rPr>
        <w:t xml:space="preserve"> </w:t>
      </w:r>
      <w:r>
        <w:rPr>
          <w:rFonts w:cs="Times New Roman"/>
          <w:color w:val="000000"/>
        </w:rPr>
        <w:t xml:space="preserve">such an investigation is not complete </w:t>
      </w:r>
      <w:r w:rsidR="001428FD">
        <w:rPr>
          <w:rFonts w:cs="Times New Roman"/>
          <w:color w:val="000000"/>
        </w:rPr>
        <w:t xml:space="preserve">without </w:t>
      </w:r>
      <w:r w:rsidR="003258F3">
        <w:rPr>
          <w:rFonts w:cs="Times New Roman"/>
          <w:color w:val="000000"/>
        </w:rPr>
        <w:t xml:space="preserve">considering the impact of Mary Wollstonecraft’s </w:t>
      </w:r>
      <w:r w:rsidR="003258F3">
        <w:rPr>
          <w:rFonts w:cs="Times New Roman"/>
          <w:i/>
          <w:color w:val="000000"/>
        </w:rPr>
        <w:t xml:space="preserve">A Vindication of the Rights of Woman: With Strictures on Political and Moral Subjects. </w:t>
      </w:r>
      <w:r w:rsidR="008F3019">
        <w:rPr>
          <w:rFonts w:cs="Times New Roman"/>
          <w:color w:val="000000"/>
        </w:rPr>
        <w:t>In this treatise, Wollstonecraft contended that</w:t>
      </w:r>
      <w:r w:rsidR="001428FD">
        <w:rPr>
          <w:rFonts w:cs="Times New Roman"/>
          <w:color w:val="000000"/>
        </w:rPr>
        <w:t xml:space="preserve"> the denial of rights to woman also relieved her of her duties, “for rights and duties are inseparable.”</w:t>
      </w:r>
      <w:r w:rsidR="001428FD">
        <w:rPr>
          <w:rStyle w:val="FootnoteReference"/>
          <w:rFonts w:cs="Times New Roman"/>
          <w:color w:val="000000"/>
        </w:rPr>
        <w:footnoteReference w:id="12"/>
      </w:r>
      <w:r w:rsidR="00EB43E4">
        <w:rPr>
          <w:rFonts w:cs="Times New Roman"/>
          <w:color w:val="000000"/>
        </w:rPr>
        <w:t xml:space="preserve"> Lacking rights, she wrote, </w:t>
      </w:r>
      <w:r w:rsidR="00EB43E4">
        <w:rPr>
          <w:rFonts w:cs="Times New Roman"/>
          <w:color w:val="000000"/>
        </w:rPr>
        <w:lastRenderedPageBreak/>
        <w:t xml:space="preserve">women had never had an impetus to </w:t>
      </w:r>
      <w:r w:rsidR="00EB43E4">
        <w:rPr>
          <w:rFonts w:cs="Times New Roman"/>
          <w:i/>
          <w:color w:val="000000"/>
        </w:rPr>
        <w:t xml:space="preserve">maintain </w:t>
      </w:r>
      <w:r w:rsidR="00EB43E4">
        <w:rPr>
          <w:rFonts w:cs="Times New Roman"/>
          <w:color w:val="000000"/>
        </w:rPr>
        <w:t>their rights, and thus had grown complacent and ignorant.</w:t>
      </w:r>
      <w:r w:rsidR="00EB43E4">
        <w:rPr>
          <w:rStyle w:val="FootnoteReference"/>
          <w:rFonts w:cs="Times New Roman"/>
          <w:color w:val="000000"/>
        </w:rPr>
        <w:footnoteReference w:id="13"/>
      </w:r>
      <w:r>
        <w:rPr>
          <w:rFonts w:cs="Times New Roman"/>
          <w:color w:val="000000"/>
        </w:rPr>
        <w:t xml:space="preserve"> </w:t>
      </w:r>
      <w:r w:rsidR="00A5318F">
        <w:rPr>
          <w:rFonts w:cs="Times New Roman"/>
          <w:color w:val="000000"/>
        </w:rPr>
        <w:t>It is interesting, one may note, that this source alone</w:t>
      </w:r>
      <w:r>
        <w:rPr>
          <w:rFonts w:cs="Times New Roman"/>
          <w:color w:val="000000"/>
        </w:rPr>
        <w:t xml:space="preserve"> </w:t>
      </w:r>
      <w:r w:rsidR="00A5318F">
        <w:rPr>
          <w:rFonts w:cs="Times New Roman"/>
          <w:color w:val="000000"/>
        </w:rPr>
        <w:t xml:space="preserve">subscribes to the Scottish theory of </w:t>
      </w:r>
      <w:r w:rsidR="00F521B7">
        <w:rPr>
          <w:rFonts w:cs="Times New Roman"/>
          <w:color w:val="000000"/>
        </w:rPr>
        <w:t xml:space="preserve">natural </w:t>
      </w:r>
      <w:r w:rsidR="00A5318F">
        <w:rPr>
          <w:rFonts w:cs="Times New Roman"/>
          <w:color w:val="000000"/>
        </w:rPr>
        <w:t>rights and yet presents the equivalence of rights and duties in such a way as to argue for the liberation of women.</w:t>
      </w:r>
      <w:r w:rsidR="00F521B7">
        <w:rPr>
          <w:rFonts w:cs="Times New Roman"/>
          <w:color w:val="000000"/>
        </w:rPr>
        <w:t xml:space="preserve"> </w:t>
      </w:r>
      <w:r w:rsidR="003B0A0F">
        <w:rPr>
          <w:rFonts w:cs="Times New Roman"/>
          <w:color w:val="000000"/>
        </w:rPr>
        <w:t xml:space="preserve">(In fact, this argument closely resembles the rather brief and indirect point that James Otis made in 1764 on women’s suffrage.) </w:t>
      </w:r>
      <w:r w:rsidR="00F521B7">
        <w:rPr>
          <w:rFonts w:cs="Times New Roman"/>
          <w:color w:val="000000"/>
        </w:rPr>
        <w:t xml:space="preserve">The responses that occupied mainstream feminist literature through the early nineteenth century, as described in the preceding pages, employed this rights-duties comparison much differently. </w:t>
      </w:r>
      <w:r w:rsidR="0049789E">
        <w:rPr>
          <w:rFonts w:cs="Times New Roman"/>
          <w:color w:val="000000"/>
        </w:rPr>
        <w:t xml:space="preserve">At least within the scope of this paper, Wollstonecraft’s </w:t>
      </w:r>
      <w:r w:rsidR="0049789E">
        <w:rPr>
          <w:rFonts w:cs="Times New Roman"/>
          <w:i/>
          <w:color w:val="000000"/>
        </w:rPr>
        <w:t>Vindication</w:t>
      </w:r>
      <w:r w:rsidR="0049789E">
        <w:rPr>
          <w:rFonts w:cs="Times New Roman"/>
          <w:color w:val="000000"/>
        </w:rPr>
        <w:t xml:space="preserve"> is the sole example of Scottish rights theory being </w:t>
      </w:r>
      <w:r w:rsidR="008B6FAD">
        <w:rPr>
          <w:rFonts w:cs="Times New Roman"/>
          <w:color w:val="000000"/>
        </w:rPr>
        <w:t>applied toward an argument for the expanded rights of women.</w:t>
      </w:r>
    </w:p>
    <w:p w14:paraId="0DDFF68C" w14:textId="297E968E" w:rsidR="0086308C" w:rsidRDefault="00D87B70" w:rsidP="00B7266E">
      <w:pPr>
        <w:spacing w:line="480" w:lineRule="auto"/>
        <w:ind w:firstLine="720"/>
        <w:contextualSpacing/>
        <w:rPr>
          <w:rFonts w:cs="Times New Roman"/>
        </w:rPr>
      </w:pPr>
      <w:r>
        <w:rPr>
          <w:rFonts w:cs="Times New Roman"/>
        </w:rPr>
        <w:t xml:space="preserve">The rhetoric used to discuss women’s rights after the American Revolution </w:t>
      </w:r>
      <w:r w:rsidR="00FD271F">
        <w:rPr>
          <w:rFonts w:cs="Times New Roman"/>
        </w:rPr>
        <w:t xml:space="preserve">centered around the Scottish conceptualization of natural rights, equating rights and duties and in most cases justifying the denial </w:t>
      </w:r>
      <w:r w:rsidR="007C27AF">
        <w:rPr>
          <w:rFonts w:cs="Times New Roman"/>
        </w:rPr>
        <w:t>of rights to women. The rhetoric</w:t>
      </w:r>
      <w:r w:rsidR="00FD271F">
        <w:rPr>
          <w:rFonts w:cs="Times New Roman"/>
        </w:rPr>
        <w:t xml:space="preserve"> of men’s rights, on the other hand</w:t>
      </w:r>
      <w:r w:rsidR="007C27AF">
        <w:rPr>
          <w:rFonts w:cs="Times New Roman"/>
        </w:rPr>
        <w:t>, was</w:t>
      </w:r>
      <w:r w:rsidR="00FD271F">
        <w:rPr>
          <w:rFonts w:cs="Times New Roman"/>
        </w:rPr>
        <w:t xml:space="preserve"> principally political in nature, </w:t>
      </w:r>
      <w:r w:rsidR="007C27AF">
        <w:rPr>
          <w:rFonts w:cs="Times New Roman"/>
        </w:rPr>
        <w:t>stressing the individual liberti</w:t>
      </w:r>
      <w:r w:rsidR="002800F6">
        <w:rPr>
          <w:rFonts w:cs="Times New Roman"/>
        </w:rPr>
        <w:t>es of man above all else. This idea, based on Lockean social contract theory, evolved at a time when</w:t>
      </w:r>
      <w:r w:rsidR="007C27AF">
        <w:rPr>
          <w:rFonts w:cs="Times New Roman"/>
        </w:rPr>
        <w:t xml:space="preserve"> mainstream</w:t>
      </w:r>
      <w:r w:rsidR="002800F6">
        <w:rPr>
          <w:rFonts w:cs="Times New Roman"/>
        </w:rPr>
        <w:t xml:space="preserve"> discussions of rights were concerned with lack of representation in </w:t>
      </w:r>
      <w:r w:rsidR="00402A00">
        <w:rPr>
          <w:rFonts w:cs="Times New Roman"/>
        </w:rPr>
        <w:t xml:space="preserve">British Parliament. It is </w:t>
      </w:r>
      <w:r w:rsidR="002800F6">
        <w:rPr>
          <w:rFonts w:cs="Times New Roman"/>
        </w:rPr>
        <w:t xml:space="preserve">easily deduced that some type of connection exists between the </w:t>
      </w:r>
      <w:r w:rsidR="00402A00">
        <w:rPr>
          <w:rFonts w:cs="Times New Roman"/>
        </w:rPr>
        <w:t xml:space="preserve">varying languages of natural rights applied toward men and women after the American Revolution and the </w:t>
      </w:r>
      <w:r w:rsidR="002800F6">
        <w:rPr>
          <w:rFonts w:cs="Times New Roman"/>
        </w:rPr>
        <w:t>lack of visibility</w:t>
      </w:r>
      <w:r w:rsidR="00402A00">
        <w:rPr>
          <w:rFonts w:cs="Times New Roman"/>
        </w:rPr>
        <w:t xml:space="preserve"> of women in politics in the Early Republic. This connection is not necessarily a causal one. But it is undeniable that the language employed by individuals an</w:t>
      </w:r>
      <w:r w:rsidR="00795EA5">
        <w:rPr>
          <w:rFonts w:cs="Times New Roman"/>
        </w:rPr>
        <w:t xml:space="preserve">d by societies at large is powerful, and that it shapes understanding of the content it communicates. </w:t>
      </w:r>
      <w:r w:rsidR="000C499C">
        <w:rPr>
          <w:rFonts w:cs="Times New Roman"/>
        </w:rPr>
        <w:t xml:space="preserve">As this paper has aimed to demonstrate, the </w:t>
      </w:r>
      <w:r w:rsidR="000C499C">
        <w:rPr>
          <w:rFonts w:cs="Times New Roman"/>
        </w:rPr>
        <w:lastRenderedPageBreak/>
        <w:t>differences in theory and rhetoric surrounding men’s and women’s rights served to justify the denial of basic rights to women.</w:t>
      </w:r>
      <w:r w:rsidR="0086308C">
        <w:rPr>
          <w:rFonts w:cs="Times New Roman"/>
        </w:rPr>
        <w:br w:type="page"/>
      </w:r>
    </w:p>
    <w:p w14:paraId="2DABA650" w14:textId="6CAE59A6" w:rsidR="00D74069" w:rsidRDefault="00B7266E" w:rsidP="00B7266E">
      <w:pPr>
        <w:spacing w:line="480" w:lineRule="auto"/>
        <w:contextualSpacing/>
        <w:jc w:val="center"/>
        <w:rPr>
          <w:rFonts w:cs="Times New Roman"/>
        </w:rPr>
      </w:pPr>
      <w:r>
        <w:rPr>
          <w:rFonts w:cs="Times New Roman"/>
        </w:rPr>
        <w:lastRenderedPageBreak/>
        <w:t>Bibliography</w:t>
      </w:r>
    </w:p>
    <w:p w14:paraId="4EE2F7BA" w14:textId="35DC41C3" w:rsidR="00B7266E" w:rsidRPr="00B7266E" w:rsidRDefault="00B7266E" w:rsidP="00B7266E">
      <w:pPr>
        <w:spacing w:line="480" w:lineRule="auto"/>
        <w:ind w:left="720" w:hanging="720"/>
        <w:contextualSpacing/>
        <w:rPr>
          <w:rFonts w:eastAsia="Times New Roman" w:cs="Times New Roman"/>
          <w:color w:val="000000"/>
        </w:rPr>
      </w:pPr>
      <w:r w:rsidRPr="00B7266E">
        <w:rPr>
          <w:rFonts w:eastAsia="Times New Roman" w:cs="Times New Roman"/>
          <w:color w:val="000000"/>
        </w:rPr>
        <w:t xml:space="preserve">Crocker, Hannah Mather. </w:t>
      </w:r>
      <w:r w:rsidRPr="00B7266E">
        <w:rPr>
          <w:rFonts w:eastAsia="Times New Roman" w:cs="Times New Roman"/>
          <w:i/>
          <w:color w:val="000000"/>
        </w:rPr>
        <w:t>Observations on the Real Rights of Women, With Their Appropriate Duties, Agreeable to Scripture, Reason and Common Sense.</w:t>
      </w:r>
      <w:r w:rsidRPr="00B7266E">
        <w:rPr>
          <w:rFonts w:eastAsia="Times New Roman" w:cs="Times New Roman"/>
          <w:color w:val="000000"/>
        </w:rPr>
        <w:t xml:space="preserve"> Boston: Hannah Mather Crocker, 1818; Google Books, n.d. Accessed March 28, 2019. https://books.google.com/books/about/Observations_on_the_Real_Rights_of_Women.html?id=VehhAAAAcAAJ&amp;printsec=frontcover&amp;source=kp_read_button#v=onepage&amp;q&amp;f=false.</w:t>
      </w:r>
    </w:p>
    <w:p w14:paraId="173462E1" w14:textId="2D384BA1" w:rsidR="00B7266E" w:rsidRDefault="00B7266E" w:rsidP="00B7266E">
      <w:pPr>
        <w:spacing w:line="480" w:lineRule="auto"/>
        <w:ind w:left="720" w:hanging="720"/>
        <w:contextualSpacing/>
        <w:rPr>
          <w:rFonts w:eastAsia="Times New Roman" w:cs="Times New Roman"/>
          <w:color w:val="000000"/>
        </w:rPr>
      </w:pPr>
      <w:r w:rsidRPr="00B7266E">
        <w:rPr>
          <w:rFonts w:eastAsia="Times New Roman" w:cs="Times New Roman"/>
          <w:color w:val="000000"/>
        </w:rPr>
        <w:t xml:space="preserve">More, Hannah. </w:t>
      </w:r>
      <w:r w:rsidRPr="00B7266E">
        <w:rPr>
          <w:rFonts w:eastAsia="Times New Roman" w:cs="Times New Roman"/>
          <w:i/>
          <w:color w:val="000000"/>
        </w:rPr>
        <w:t>Strictures on the Modern System of Female Education: With a View of the Principles and Conduct Prevalent Among Women of Rank and Fortune.</w:t>
      </w:r>
      <w:r w:rsidRPr="00B7266E">
        <w:rPr>
          <w:rFonts w:eastAsia="Times New Roman" w:cs="Times New Roman"/>
          <w:color w:val="000000"/>
        </w:rPr>
        <w:t xml:space="preserve"> Boston: Joseph </w:t>
      </w:r>
      <w:proofErr w:type="spellStart"/>
      <w:r w:rsidRPr="00B7266E">
        <w:rPr>
          <w:rFonts w:eastAsia="Times New Roman" w:cs="Times New Roman"/>
          <w:color w:val="000000"/>
        </w:rPr>
        <w:t>Bumstead</w:t>
      </w:r>
      <w:proofErr w:type="spellEnd"/>
      <w:r w:rsidRPr="00B7266E">
        <w:rPr>
          <w:rFonts w:eastAsia="Times New Roman" w:cs="Times New Roman"/>
          <w:color w:val="000000"/>
        </w:rPr>
        <w:t xml:space="preserve">, 1802; Google Books, n.d. Accessed March 28, 2019. </w:t>
      </w:r>
      <w:r w:rsidR="00327E5C" w:rsidRPr="00327E5C">
        <w:rPr>
          <w:rFonts w:eastAsia="Times New Roman" w:cs="Times New Roman"/>
          <w:color w:val="000000"/>
        </w:rPr>
        <w:t>https://books.google.com/books/about/Strictures_on_the_Modern_System_of_Femal.html?id=cmRlIyhIsdIC&amp;printsec=frontcover&amp;source=kp_read_button#v=onepage&amp;q&amp;f=false</w:t>
      </w:r>
      <w:r w:rsidR="00327E5C">
        <w:rPr>
          <w:rFonts w:eastAsia="Times New Roman" w:cs="Times New Roman"/>
          <w:color w:val="000000"/>
        </w:rPr>
        <w:t>.</w:t>
      </w:r>
    </w:p>
    <w:p w14:paraId="3A8480F0" w14:textId="4A36ED35" w:rsidR="00327E5C" w:rsidRPr="00B7266E" w:rsidRDefault="00327E5C" w:rsidP="00327E5C">
      <w:pPr>
        <w:spacing w:line="480" w:lineRule="auto"/>
        <w:ind w:left="720" w:hanging="720"/>
        <w:contextualSpacing/>
        <w:rPr>
          <w:rFonts w:eastAsia="Times New Roman" w:cs="Times New Roman"/>
          <w:color w:val="000000"/>
        </w:rPr>
      </w:pPr>
      <w:r w:rsidRPr="00B7266E">
        <w:rPr>
          <w:rFonts w:cs="Times New Roman"/>
        </w:rPr>
        <w:t xml:space="preserve">Sigourney, Lydia Huntley. 1836. In </w:t>
      </w:r>
      <w:r w:rsidRPr="00B7266E">
        <w:rPr>
          <w:rFonts w:cs="Times New Roman"/>
          <w:i/>
        </w:rPr>
        <w:t xml:space="preserve">North American Women’s Letters and Diaries. </w:t>
      </w:r>
      <w:r w:rsidRPr="00B7266E">
        <w:rPr>
          <w:rFonts w:cs="Times New Roman"/>
        </w:rPr>
        <w:t>Accessed March 28, 2019. https://nwld.alexanderstreet.com/philologic/NWLD/navigate/6046/1/.</w:t>
      </w:r>
    </w:p>
    <w:p w14:paraId="711C40E4" w14:textId="27FBDEB5" w:rsidR="00B7266E" w:rsidRDefault="00DE5CF0" w:rsidP="00B7266E">
      <w:pPr>
        <w:spacing w:line="480" w:lineRule="auto"/>
        <w:ind w:left="720" w:hanging="720"/>
        <w:contextualSpacing/>
        <w:rPr>
          <w:rFonts w:eastAsia="Times New Roman" w:cs="Times New Roman"/>
          <w:color w:val="000000"/>
        </w:rPr>
      </w:pPr>
      <w:r w:rsidRPr="00B7266E">
        <w:rPr>
          <w:rFonts w:eastAsia="Times New Roman" w:cs="Times New Roman"/>
          <w:color w:val="000000"/>
        </w:rPr>
        <w:t>Wollstonecraft</w:t>
      </w:r>
      <w:r w:rsidR="00B7266E" w:rsidRPr="00B7266E">
        <w:rPr>
          <w:rFonts w:eastAsia="Times New Roman" w:cs="Times New Roman"/>
          <w:color w:val="000000"/>
        </w:rPr>
        <w:t>, Mary. A Vindication of the Rights of Woman: With Strictures on Political and Moral Subjects. London: J. Johnson, 1792; Google Books, n.d. Accessed March 28, 2019. https://books.google.com/books/about/A_Vindication_of_the_Rights_of_Woman.html?id=tIo-AQAAMAAJ&amp;printsec=frontcover&amp;source=kp_read_button#v=onepage&amp;q&amp;f=false</w:t>
      </w:r>
      <w:r w:rsidR="00B7266E">
        <w:rPr>
          <w:rFonts w:eastAsia="Times New Roman" w:cs="Times New Roman"/>
          <w:color w:val="000000"/>
        </w:rPr>
        <w:t>.</w:t>
      </w:r>
    </w:p>
    <w:p w14:paraId="75D4B9F4" w14:textId="63F2584C" w:rsidR="00B7266E" w:rsidRPr="00B7266E" w:rsidRDefault="00B7266E" w:rsidP="00B7266E">
      <w:pPr>
        <w:spacing w:line="480" w:lineRule="auto"/>
        <w:ind w:left="720" w:hanging="720"/>
        <w:contextualSpacing/>
        <w:rPr>
          <w:rFonts w:eastAsia="Times New Roman" w:cs="Times New Roman"/>
          <w:color w:val="000000"/>
        </w:rPr>
      </w:pPr>
      <w:proofErr w:type="spellStart"/>
      <w:r w:rsidRPr="00B7266E">
        <w:rPr>
          <w:rFonts w:cs="Times New Roman"/>
        </w:rPr>
        <w:lastRenderedPageBreak/>
        <w:t>Zagarri</w:t>
      </w:r>
      <w:proofErr w:type="spellEnd"/>
      <w:r w:rsidRPr="00B7266E">
        <w:rPr>
          <w:rFonts w:cs="Times New Roman"/>
        </w:rPr>
        <w:t xml:space="preserve">, Rosemarie. “The Rights of Man and Woman in Post-Revolutionary America” </w:t>
      </w:r>
      <w:r w:rsidRPr="00B7266E">
        <w:rPr>
          <w:rFonts w:cs="Times New Roman"/>
          <w:i/>
        </w:rPr>
        <w:t xml:space="preserve">The William and Mary Quarterly </w:t>
      </w:r>
      <w:r w:rsidRPr="00B7266E">
        <w:rPr>
          <w:rFonts w:cs="Times New Roman"/>
        </w:rPr>
        <w:t xml:space="preserve">55, no. 2 (1998): 203-230. Accessed March 7, 2019. </w:t>
      </w:r>
      <w:r w:rsidRPr="00B7266E">
        <w:rPr>
          <w:rFonts w:eastAsia="Times New Roman" w:cs="Times New Roman"/>
          <w:shd w:val="clear" w:color="auto" w:fill="FFFFFF"/>
        </w:rPr>
        <w:t>https://www.jstor.org/stable/2674382.</w:t>
      </w:r>
    </w:p>
    <w:sectPr w:rsidR="00B7266E" w:rsidRPr="00B7266E" w:rsidSect="005F3E7A">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F002B" w14:textId="77777777" w:rsidR="00220505" w:rsidRDefault="00220505" w:rsidP="009C1F83">
      <w:r>
        <w:separator/>
      </w:r>
    </w:p>
  </w:endnote>
  <w:endnote w:type="continuationSeparator" w:id="0">
    <w:p w14:paraId="5E6CEA20" w14:textId="77777777" w:rsidR="00220505" w:rsidRDefault="00220505" w:rsidP="009C1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9CFCC" w14:textId="77777777" w:rsidR="00220505" w:rsidRDefault="00220505" w:rsidP="009C1F83">
      <w:r>
        <w:separator/>
      </w:r>
    </w:p>
  </w:footnote>
  <w:footnote w:type="continuationSeparator" w:id="0">
    <w:p w14:paraId="082980CA" w14:textId="77777777" w:rsidR="00220505" w:rsidRDefault="00220505" w:rsidP="009C1F83">
      <w:r>
        <w:continuationSeparator/>
      </w:r>
    </w:p>
  </w:footnote>
  <w:footnote w:id="1">
    <w:p w14:paraId="2DBEA3A8" w14:textId="5FBD22DF" w:rsidR="00795EA5" w:rsidRPr="00917EE7" w:rsidRDefault="00795EA5" w:rsidP="0046612B">
      <w:pPr>
        <w:rPr>
          <w:rFonts w:eastAsia="Times New Roman" w:cs="Times New Roman"/>
          <w:shd w:val="clear" w:color="auto" w:fill="FFFFFF"/>
        </w:rPr>
      </w:pPr>
      <w:r>
        <w:rPr>
          <w:rStyle w:val="FootnoteReference"/>
        </w:rPr>
        <w:footnoteRef/>
      </w:r>
      <w:r>
        <w:t xml:space="preserve"> </w:t>
      </w:r>
      <w:r w:rsidRPr="0046612B">
        <w:rPr>
          <w:rFonts w:cs="Times New Roman"/>
        </w:rPr>
        <w:t xml:space="preserve">Rosemarie </w:t>
      </w:r>
      <w:proofErr w:type="spellStart"/>
      <w:r w:rsidRPr="0046612B">
        <w:rPr>
          <w:rFonts w:cs="Times New Roman"/>
        </w:rPr>
        <w:t>Zagarri</w:t>
      </w:r>
      <w:proofErr w:type="spellEnd"/>
      <w:r w:rsidRPr="0046612B">
        <w:rPr>
          <w:rFonts w:cs="Times New Roman"/>
        </w:rPr>
        <w:t xml:space="preserve">, “The Rights of Man and Woman in Post-Revolutionary America,” </w:t>
      </w:r>
      <w:r w:rsidRPr="0046612B">
        <w:rPr>
          <w:rFonts w:cs="Times New Roman"/>
          <w:i/>
        </w:rPr>
        <w:t xml:space="preserve">The William and Mary Quarterly </w:t>
      </w:r>
      <w:r w:rsidRPr="0046612B">
        <w:rPr>
          <w:rFonts w:cs="Times New Roman"/>
        </w:rPr>
        <w:t xml:space="preserve">55, no. 2 (1998): 203-230, accessed March 7, 2019, </w:t>
      </w:r>
      <w:r w:rsidRPr="00917EE7">
        <w:rPr>
          <w:rFonts w:eastAsia="Times New Roman" w:cs="Times New Roman"/>
          <w:shd w:val="clear" w:color="auto" w:fill="FFFFFF"/>
        </w:rPr>
        <w:t>https://www.jstor.org/stable/2674382</w:t>
      </w:r>
      <w:r>
        <w:rPr>
          <w:rFonts w:eastAsia="Times New Roman" w:cs="Times New Roman"/>
          <w:shd w:val="clear" w:color="auto" w:fill="FFFFFF"/>
        </w:rPr>
        <w:t>.</w:t>
      </w:r>
    </w:p>
  </w:footnote>
  <w:footnote w:id="2">
    <w:p w14:paraId="5D12A433" w14:textId="07EAB984" w:rsidR="00795EA5" w:rsidRPr="0046612B" w:rsidRDefault="00795EA5">
      <w:pPr>
        <w:pStyle w:val="FootnoteText"/>
        <w:rPr>
          <w:rFonts w:cs="Times New Roman"/>
        </w:rPr>
      </w:pPr>
      <w:r w:rsidRPr="0046612B">
        <w:rPr>
          <w:rStyle w:val="FootnoteReference"/>
          <w:rFonts w:cs="Times New Roman"/>
        </w:rPr>
        <w:footnoteRef/>
      </w:r>
      <w:r w:rsidRPr="0046612B">
        <w:rPr>
          <w:rFonts w:cs="Times New Roman"/>
        </w:rPr>
        <w:t xml:space="preserve"> </w:t>
      </w:r>
      <w:r>
        <w:rPr>
          <w:rFonts w:cs="Times New Roman"/>
        </w:rPr>
        <w:t>Ibid.</w:t>
      </w:r>
    </w:p>
  </w:footnote>
  <w:footnote w:id="3">
    <w:p w14:paraId="06F768BA" w14:textId="52DBB021" w:rsidR="00795EA5" w:rsidRPr="0046612B" w:rsidRDefault="00795EA5">
      <w:pPr>
        <w:pStyle w:val="FootnoteText"/>
        <w:rPr>
          <w:rFonts w:cs="Times New Roman"/>
        </w:rPr>
      </w:pPr>
      <w:r w:rsidRPr="0046612B">
        <w:rPr>
          <w:rStyle w:val="FootnoteReference"/>
          <w:rFonts w:cs="Times New Roman"/>
        </w:rPr>
        <w:footnoteRef/>
      </w:r>
      <w:r w:rsidRPr="0046612B">
        <w:rPr>
          <w:rFonts w:cs="Times New Roman"/>
        </w:rPr>
        <w:t xml:space="preserve"> </w:t>
      </w:r>
      <w:r>
        <w:rPr>
          <w:rFonts w:cs="Times New Roman"/>
        </w:rPr>
        <w:t>Ibid.</w:t>
      </w:r>
    </w:p>
  </w:footnote>
  <w:footnote w:id="4">
    <w:p w14:paraId="1B2D08C0" w14:textId="2CFBFD91" w:rsidR="00795EA5" w:rsidRPr="00BD116D" w:rsidRDefault="00795EA5" w:rsidP="00BD116D">
      <w:pPr>
        <w:rPr>
          <w:rFonts w:eastAsia="Times New Roman" w:cs="Times New Roman"/>
          <w:sz w:val="20"/>
          <w:szCs w:val="20"/>
        </w:rPr>
      </w:pPr>
      <w:r>
        <w:rPr>
          <w:rStyle w:val="FootnoteReference"/>
        </w:rPr>
        <w:footnoteRef/>
      </w:r>
      <w:r>
        <w:t xml:space="preserve"> James </w:t>
      </w:r>
      <w:r w:rsidRPr="00BD116D">
        <w:t xml:space="preserve">Otis, </w:t>
      </w:r>
      <w:r w:rsidRPr="00BD116D">
        <w:rPr>
          <w:i/>
        </w:rPr>
        <w:t xml:space="preserve">The Rights of the British Colonies Asserted and Proved </w:t>
      </w:r>
      <w:r w:rsidRPr="00BD116D">
        <w:t xml:space="preserve">(Boston &amp; London, J. </w:t>
      </w:r>
      <w:proofErr w:type="spellStart"/>
      <w:r w:rsidRPr="00BD116D">
        <w:t>Almon</w:t>
      </w:r>
      <w:proofErr w:type="spellEnd"/>
      <w:r w:rsidRPr="00BD116D">
        <w:t>, 1764), accessed April 25, 2019,</w:t>
      </w:r>
      <w:r>
        <w:t xml:space="preserve"> https://oll.libertyfund.org/titles/2335.</w:t>
      </w:r>
    </w:p>
  </w:footnote>
  <w:footnote w:id="5">
    <w:p w14:paraId="73452BA5" w14:textId="517F40DB" w:rsidR="00795EA5" w:rsidRPr="00BD116D" w:rsidRDefault="00795EA5">
      <w:pPr>
        <w:pStyle w:val="FootnoteText"/>
      </w:pPr>
      <w:r w:rsidRPr="00BD116D">
        <w:rPr>
          <w:rStyle w:val="FootnoteReference"/>
        </w:rPr>
        <w:footnoteRef/>
      </w:r>
      <w:r w:rsidRPr="00BD116D">
        <w:t xml:space="preserve"> </w:t>
      </w:r>
      <w:r>
        <w:t>Ibid.</w:t>
      </w:r>
    </w:p>
  </w:footnote>
  <w:footnote w:id="6">
    <w:p w14:paraId="79982D9A" w14:textId="7F6582D9" w:rsidR="00795EA5" w:rsidRPr="0068766E" w:rsidRDefault="00795EA5">
      <w:pPr>
        <w:pStyle w:val="FootnoteText"/>
        <w:rPr>
          <w:rFonts w:cs="Times New Roman"/>
        </w:rPr>
      </w:pPr>
      <w:r>
        <w:rPr>
          <w:rStyle w:val="FootnoteReference"/>
        </w:rPr>
        <w:footnoteRef/>
      </w:r>
      <w:r>
        <w:t xml:space="preserve"> </w:t>
      </w:r>
      <w:r w:rsidRPr="0068766E">
        <w:rPr>
          <w:rFonts w:cs="Times New Roman"/>
        </w:rPr>
        <w:t xml:space="preserve">Hannah More, </w:t>
      </w:r>
      <w:r w:rsidRPr="0068766E">
        <w:rPr>
          <w:rFonts w:cs="Times New Roman"/>
          <w:i/>
        </w:rPr>
        <w:t xml:space="preserve">Strictures on the Modern System of Female Education: With a View of the Principles and Conduct Prevalent Among Women of Rank and Fortune </w:t>
      </w:r>
      <w:r w:rsidRPr="0068766E">
        <w:rPr>
          <w:rFonts w:cs="Times New Roman"/>
        </w:rPr>
        <w:t xml:space="preserve">(Boston: Joseph </w:t>
      </w:r>
      <w:proofErr w:type="spellStart"/>
      <w:r w:rsidRPr="0068766E">
        <w:rPr>
          <w:rFonts w:cs="Times New Roman"/>
        </w:rPr>
        <w:t>Bumstead</w:t>
      </w:r>
      <w:proofErr w:type="spellEnd"/>
      <w:r w:rsidRPr="0068766E">
        <w:rPr>
          <w:rFonts w:cs="Times New Roman"/>
        </w:rPr>
        <w:t>, 1802</w:t>
      </w:r>
      <w:r>
        <w:rPr>
          <w:rFonts w:cs="Times New Roman"/>
        </w:rPr>
        <w:t>; Google Books, n.d.</w:t>
      </w:r>
      <w:r w:rsidRPr="0068766E">
        <w:rPr>
          <w:rFonts w:cs="Times New Roman"/>
        </w:rPr>
        <w:t xml:space="preserve">), 168, accessed March 28, 2019, </w:t>
      </w:r>
      <w:r w:rsidRPr="0068766E">
        <w:rPr>
          <w:rFonts w:cs="Times New Roman"/>
          <w:color w:val="000000"/>
        </w:rPr>
        <w:t>https://books.google.com/books/about/Strictures_on_the_Modern_System_of_Femal.html?id=cmRlIyhIsdIC&amp;printsec=frontcover&amp;source=kp_read_button#v=onepage&amp;q&amp;f=false.</w:t>
      </w:r>
    </w:p>
  </w:footnote>
  <w:footnote w:id="7">
    <w:p w14:paraId="040DC7DB" w14:textId="67BBDEDF" w:rsidR="00795EA5" w:rsidRPr="0068766E" w:rsidRDefault="00795EA5">
      <w:pPr>
        <w:pStyle w:val="FootnoteText"/>
        <w:rPr>
          <w:rFonts w:cs="Times New Roman"/>
          <w:i/>
        </w:rPr>
      </w:pPr>
      <w:r w:rsidRPr="0068766E">
        <w:rPr>
          <w:rStyle w:val="FootnoteReference"/>
          <w:rFonts w:cs="Times New Roman"/>
        </w:rPr>
        <w:footnoteRef/>
      </w:r>
      <w:r w:rsidRPr="0068766E">
        <w:rPr>
          <w:rFonts w:cs="Times New Roman"/>
        </w:rPr>
        <w:t xml:space="preserve"> Hannah Mather Crocker, </w:t>
      </w:r>
      <w:r w:rsidRPr="0068766E">
        <w:rPr>
          <w:rFonts w:cs="Times New Roman"/>
          <w:i/>
          <w:color w:val="000000"/>
        </w:rPr>
        <w:t>Observations on the Real Rights of Women, With Their Appropriate Duties, Agreeable to Scripture, Reason and Common Sense</w:t>
      </w:r>
      <w:r>
        <w:rPr>
          <w:rFonts w:cs="Times New Roman"/>
          <w:i/>
          <w:color w:val="000000"/>
        </w:rPr>
        <w:t>,</w:t>
      </w:r>
      <w:r w:rsidRPr="0068766E">
        <w:rPr>
          <w:rFonts w:cs="Times New Roman"/>
          <w:color w:val="000000"/>
        </w:rPr>
        <w:t xml:space="preserve"> </w:t>
      </w:r>
      <w:r>
        <w:rPr>
          <w:rFonts w:cs="Times New Roman"/>
          <w:color w:val="000000"/>
        </w:rPr>
        <w:t>(</w:t>
      </w:r>
      <w:r w:rsidRPr="0068766E">
        <w:rPr>
          <w:rFonts w:cs="Times New Roman"/>
          <w:color w:val="000000"/>
        </w:rPr>
        <w:t>Boston: Hannah Mather Crocker, 1818; Google Books, n.d.</w:t>
      </w:r>
      <w:r>
        <w:rPr>
          <w:rFonts w:cs="Times New Roman"/>
          <w:color w:val="000000"/>
        </w:rPr>
        <w:t>), a</w:t>
      </w:r>
      <w:r w:rsidRPr="0068766E">
        <w:rPr>
          <w:rFonts w:cs="Times New Roman"/>
          <w:color w:val="000000"/>
        </w:rPr>
        <w:t>ccessed Ma</w:t>
      </w:r>
      <w:r>
        <w:rPr>
          <w:rFonts w:cs="Times New Roman"/>
          <w:color w:val="000000"/>
        </w:rPr>
        <w:t xml:space="preserve">rch 28, 2019, </w:t>
      </w:r>
      <w:r w:rsidRPr="0068766E">
        <w:rPr>
          <w:rFonts w:cs="Times New Roman"/>
          <w:color w:val="000000"/>
        </w:rPr>
        <w:t>https://books.google.com/books/about/Observations_on_the_Real_Rights_of_Women.html?id=VehhAAAAcAAJ&amp;printsec=frontcover&amp;source=kp_read_button#v=onepage&amp;q&amp;f=false</w:t>
      </w:r>
    </w:p>
  </w:footnote>
  <w:footnote w:id="8">
    <w:p w14:paraId="6F5E7E22" w14:textId="15AD7F3A" w:rsidR="00795EA5" w:rsidRPr="008D0EBB" w:rsidRDefault="00795EA5">
      <w:pPr>
        <w:pStyle w:val="FootnoteText"/>
      </w:pPr>
      <w:r>
        <w:rPr>
          <w:rStyle w:val="FootnoteReference"/>
        </w:rPr>
        <w:footnoteRef/>
      </w:r>
      <w:r>
        <w:t xml:space="preserve"> Lydia Huntley Sigourney, 1836, in </w:t>
      </w:r>
      <w:r>
        <w:rPr>
          <w:i/>
        </w:rPr>
        <w:t xml:space="preserve">North American Women’s Letters and Diaries, </w:t>
      </w:r>
      <w:r>
        <w:t xml:space="preserve">accessed March 28, 2019, </w:t>
      </w:r>
      <w:r w:rsidRPr="008D0EBB">
        <w:t>https://nwld.alexanderstreet.com/philologic/NWLD/navigate/6046/1/</w:t>
      </w:r>
      <w:r>
        <w:t>.</w:t>
      </w:r>
    </w:p>
  </w:footnote>
  <w:footnote w:id="9">
    <w:p w14:paraId="18DC7FA0" w14:textId="2D8C9078" w:rsidR="00795EA5" w:rsidRPr="00806A7E" w:rsidRDefault="00795EA5">
      <w:pPr>
        <w:pStyle w:val="FootnoteText"/>
      </w:pPr>
      <w:r>
        <w:rPr>
          <w:rStyle w:val="FootnoteReference"/>
        </w:rPr>
        <w:footnoteRef/>
      </w:r>
      <w:r>
        <w:t xml:space="preserve"> Crocker, </w:t>
      </w:r>
      <w:r>
        <w:rPr>
          <w:i/>
        </w:rPr>
        <w:t xml:space="preserve">Observations, </w:t>
      </w:r>
      <w:r>
        <w:t>15.</w:t>
      </w:r>
    </w:p>
  </w:footnote>
  <w:footnote w:id="10">
    <w:p w14:paraId="0C9157DD" w14:textId="33C80A21" w:rsidR="00795EA5" w:rsidRDefault="00795EA5">
      <w:pPr>
        <w:pStyle w:val="FootnoteText"/>
      </w:pPr>
      <w:r>
        <w:rPr>
          <w:rStyle w:val="FootnoteReference"/>
        </w:rPr>
        <w:footnoteRef/>
      </w:r>
      <w:r>
        <w:t xml:space="preserve"> Ibid.</w:t>
      </w:r>
    </w:p>
  </w:footnote>
  <w:footnote w:id="11">
    <w:p w14:paraId="46F0A26F" w14:textId="620931C1" w:rsidR="00795EA5" w:rsidRDefault="00795EA5">
      <w:pPr>
        <w:pStyle w:val="FootnoteText"/>
      </w:pPr>
      <w:r>
        <w:rPr>
          <w:rStyle w:val="FootnoteReference"/>
        </w:rPr>
        <w:footnoteRef/>
      </w:r>
      <w:r>
        <w:t xml:space="preserve"> Ibid, 20.</w:t>
      </w:r>
    </w:p>
  </w:footnote>
  <w:footnote w:id="12">
    <w:p w14:paraId="42C29500" w14:textId="7F6FCF02" w:rsidR="00795EA5" w:rsidRPr="00516B3E" w:rsidRDefault="00795EA5">
      <w:pPr>
        <w:pStyle w:val="FootnoteText"/>
      </w:pPr>
      <w:r w:rsidRPr="0068766E">
        <w:rPr>
          <w:rStyle w:val="FootnoteReference"/>
          <w:rFonts w:cs="Times New Roman"/>
        </w:rPr>
        <w:footnoteRef/>
      </w:r>
      <w:r w:rsidRPr="0068766E">
        <w:rPr>
          <w:rFonts w:cs="Times New Roman"/>
        </w:rPr>
        <w:t xml:space="preserve"> Mary Wollstonecraft, </w:t>
      </w:r>
      <w:r w:rsidRPr="0068766E">
        <w:rPr>
          <w:rFonts w:cs="Times New Roman"/>
          <w:i/>
        </w:rPr>
        <w:t>A Vindication on the Rights of Woman: With Stricture</w:t>
      </w:r>
      <w:r w:rsidRPr="00566D47">
        <w:rPr>
          <w:rFonts w:cs="Times New Roman"/>
          <w:i/>
        </w:rPr>
        <w:t>s on Political and Moral Subjects</w:t>
      </w:r>
      <w:r w:rsidRPr="00566D47">
        <w:rPr>
          <w:rFonts w:cs="Times New Roman"/>
        </w:rPr>
        <w:t xml:space="preserve"> (London: J. Johnson, 1792</w:t>
      </w:r>
      <w:r>
        <w:rPr>
          <w:rFonts w:cs="Times New Roman"/>
        </w:rPr>
        <w:t>; Google Books, n.d.</w:t>
      </w:r>
      <w:r w:rsidRPr="00566D47">
        <w:rPr>
          <w:rFonts w:cs="Times New Roman"/>
        </w:rPr>
        <w:t>), 256, accessed March 28, 2019, https://books.google.com/books/about/A_Vindication_of_the_Rights_of_Woman.html?id=tIo-AQAAMAAJ&amp;printsec=frontcover&amp;source=kp_read_button#v</w:t>
      </w:r>
      <w:r w:rsidRPr="00516B3E">
        <w:t>=onepage&amp;q&amp;f=false</w:t>
      </w:r>
      <w:r>
        <w:t>.</w:t>
      </w:r>
    </w:p>
  </w:footnote>
  <w:footnote w:id="13">
    <w:p w14:paraId="4D5BEEA0" w14:textId="5CF48FBF" w:rsidR="00795EA5" w:rsidRDefault="00795EA5">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8C47F" w14:textId="77777777" w:rsidR="00795EA5" w:rsidRDefault="00795EA5" w:rsidP="00BE42C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66F52E" w14:textId="77777777" w:rsidR="00795EA5" w:rsidRDefault="00795EA5" w:rsidP="009C1F8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37F73" w14:textId="77777777" w:rsidR="00795EA5" w:rsidRDefault="00795EA5" w:rsidP="00BE42C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F5C33">
      <w:rPr>
        <w:rStyle w:val="PageNumber"/>
        <w:noProof/>
      </w:rPr>
      <w:t>1</w:t>
    </w:r>
    <w:r>
      <w:rPr>
        <w:rStyle w:val="PageNumber"/>
      </w:rPr>
      <w:fldChar w:fldCharType="end"/>
    </w:r>
  </w:p>
  <w:p w14:paraId="116D2F8E" w14:textId="77777777" w:rsidR="00795EA5" w:rsidRDefault="00795EA5" w:rsidP="009C1F83">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en-US" w:vendorID="64" w:dllVersion="6" w:nlCheck="1" w:checkStyle="1"/>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F83"/>
    <w:rsid w:val="00034A3D"/>
    <w:rsid w:val="00041446"/>
    <w:rsid w:val="000B619F"/>
    <w:rsid w:val="000C499C"/>
    <w:rsid w:val="000E4E3F"/>
    <w:rsid w:val="001428FD"/>
    <w:rsid w:val="001511B9"/>
    <w:rsid w:val="001701E8"/>
    <w:rsid w:val="001F471B"/>
    <w:rsid w:val="00213E2F"/>
    <w:rsid w:val="00220505"/>
    <w:rsid w:val="002800F6"/>
    <w:rsid w:val="002844F7"/>
    <w:rsid w:val="002C0206"/>
    <w:rsid w:val="002E4F85"/>
    <w:rsid w:val="002E56D1"/>
    <w:rsid w:val="002E7C59"/>
    <w:rsid w:val="003258F3"/>
    <w:rsid w:val="00327E5C"/>
    <w:rsid w:val="0037201B"/>
    <w:rsid w:val="00387E95"/>
    <w:rsid w:val="003917A0"/>
    <w:rsid w:val="003B06F7"/>
    <w:rsid w:val="003B0A0F"/>
    <w:rsid w:val="00402A00"/>
    <w:rsid w:val="00406A67"/>
    <w:rsid w:val="00444744"/>
    <w:rsid w:val="00447FCB"/>
    <w:rsid w:val="00460571"/>
    <w:rsid w:val="0046612B"/>
    <w:rsid w:val="0049789E"/>
    <w:rsid w:val="004F74B4"/>
    <w:rsid w:val="00513A10"/>
    <w:rsid w:val="00516B3E"/>
    <w:rsid w:val="0055091E"/>
    <w:rsid w:val="00551930"/>
    <w:rsid w:val="00566D47"/>
    <w:rsid w:val="005B37BE"/>
    <w:rsid w:val="005D38D6"/>
    <w:rsid w:val="005F3E7A"/>
    <w:rsid w:val="005F40AD"/>
    <w:rsid w:val="00603B98"/>
    <w:rsid w:val="0063121D"/>
    <w:rsid w:val="0068766E"/>
    <w:rsid w:val="006A0189"/>
    <w:rsid w:val="006E6A0E"/>
    <w:rsid w:val="007434CC"/>
    <w:rsid w:val="007637B7"/>
    <w:rsid w:val="007664C9"/>
    <w:rsid w:val="00767E89"/>
    <w:rsid w:val="00795EA5"/>
    <w:rsid w:val="007B0D56"/>
    <w:rsid w:val="007C27AF"/>
    <w:rsid w:val="00806A7E"/>
    <w:rsid w:val="00814DE7"/>
    <w:rsid w:val="00857669"/>
    <w:rsid w:val="00862448"/>
    <w:rsid w:val="0086308C"/>
    <w:rsid w:val="00881F59"/>
    <w:rsid w:val="00885F38"/>
    <w:rsid w:val="008B6FAD"/>
    <w:rsid w:val="008D0EBB"/>
    <w:rsid w:val="008F3019"/>
    <w:rsid w:val="00917EE7"/>
    <w:rsid w:val="00945C4A"/>
    <w:rsid w:val="00962482"/>
    <w:rsid w:val="009672E0"/>
    <w:rsid w:val="009854F5"/>
    <w:rsid w:val="00992594"/>
    <w:rsid w:val="009C1F83"/>
    <w:rsid w:val="009F5C33"/>
    <w:rsid w:val="00A5318F"/>
    <w:rsid w:val="00A569E0"/>
    <w:rsid w:val="00AA5A56"/>
    <w:rsid w:val="00AB29E9"/>
    <w:rsid w:val="00AE5C45"/>
    <w:rsid w:val="00B30ED5"/>
    <w:rsid w:val="00B55F83"/>
    <w:rsid w:val="00B7266E"/>
    <w:rsid w:val="00B72886"/>
    <w:rsid w:val="00B91D2F"/>
    <w:rsid w:val="00BA415C"/>
    <w:rsid w:val="00BB42CF"/>
    <w:rsid w:val="00BC7451"/>
    <w:rsid w:val="00BD116D"/>
    <w:rsid w:val="00BE42CB"/>
    <w:rsid w:val="00BF6E90"/>
    <w:rsid w:val="00C33454"/>
    <w:rsid w:val="00C35FF0"/>
    <w:rsid w:val="00C70DE8"/>
    <w:rsid w:val="00CA51D6"/>
    <w:rsid w:val="00CB625A"/>
    <w:rsid w:val="00D53067"/>
    <w:rsid w:val="00D631F0"/>
    <w:rsid w:val="00D74069"/>
    <w:rsid w:val="00D87B70"/>
    <w:rsid w:val="00D91EE1"/>
    <w:rsid w:val="00D96FF6"/>
    <w:rsid w:val="00DE5CF0"/>
    <w:rsid w:val="00DF4C32"/>
    <w:rsid w:val="00E14084"/>
    <w:rsid w:val="00E23A35"/>
    <w:rsid w:val="00E57429"/>
    <w:rsid w:val="00E700CE"/>
    <w:rsid w:val="00E828D1"/>
    <w:rsid w:val="00EB43E4"/>
    <w:rsid w:val="00EB6E37"/>
    <w:rsid w:val="00F033AA"/>
    <w:rsid w:val="00F521B7"/>
    <w:rsid w:val="00F55885"/>
    <w:rsid w:val="00FB0B5C"/>
    <w:rsid w:val="00FB1B53"/>
    <w:rsid w:val="00FC2706"/>
    <w:rsid w:val="00FD2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D014E0A"/>
  <w14:defaultImageDpi w14:val="300"/>
  <w15:docId w15:val="{5B79B865-23FD-2F48-ADBD-E1EFB2291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F83"/>
    <w:pPr>
      <w:tabs>
        <w:tab w:val="center" w:pos="4320"/>
        <w:tab w:val="right" w:pos="8640"/>
      </w:tabs>
    </w:pPr>
  </w:style>
  <w:style w:type="character" w:customStyle="1" w:styleId="HeaderChar">
    <w:name w:val="Header Char"/>
    <w:basedOn w:val="DefaultParagraphFont"/>
    <w:link w:val="Header"/>
    <w:uiPriority w:val="99"/>
    <w:rsid w:val="009C1F83"/>
  </w:style>
  <w:style w:type="character" w:styleId="PageNumber">
    <w:name w:val="page number"/>
    <w:basedOn w:val="DefaultParagraphFont"/>
    <w:uiPriority w:val="99"/>
    <w:semiHidden/>
    <w:unhideWhenUsed/>
    <w:rsid w:val="009C1F83"/>
  </w:style>
  <w:style w:type="paragraph" w:styleId="EndnoteText">
    <w:name w:val="endnote text"/>
    <w:basedOn w:val="Normal"/>
    <w:link w:val="EndnoteTextChar"/>
    <w:uiPriority w:val="99"/>
    <w:unhideWhenUsed/>
    <w:rsid w:val="00E828D1"/>
  </w:style>
  <w:style w:type="character" w:customStyle="1" w:styleId="EndnoteTextChar">
    <w:name w:val="Endnote Text Char"/>
    <w:basedOn w:val="DefaultParagraphFont"/>
    <w:link w:val="EndnoteText"/>
    <w:uiPriority w:val="99"/>
    <w:rsid w:val="00E828D1"/>
  </w:style>
  <w:style w:type="character" w:styleId="EndnoteReference">
    <w:name w:val="endnote reference"/>
    <w:basedOn w:val="DefaultParagraphFont"/>
    <w:uiPriority w:val="99"/>
    <w:unhideWhenUsed/>
    <w:rsid w:val="00E828D1"/>
    <w:rPr>
      <w:vertAlign w:val="superscript"/>
    </w:rPr>
  </w:style>
  <w:style w:type="paragraph" w:styleId="FootnoteText">
    <w:name w:val="footnote text"/>
    <w:basedOn w:val="Normal"/>
    <w:link w:val="FootnoteTextChar"/>
    <w:uiPriority w:val="99"/>
    <w:unhideWhenUsed/>
    <w:rsid w:val="00E828D1"/>
  </w:style>
  <w:style w:type="character" w:customStyle="1" w:styleId="FootnoteTextChar">
    <w:name w:val="Footnote Text Char"/>
    <w:basedOn w:val="DefaultParagraphFont"/>
    <w:link w:val="FootnoteText"/>
    <w:uiPriority w:val="99"/>
    <w:rsid w:val="00E828D1"/>
  </w:style>
  <w:style w:type="character" w:styleId="FootnoteReference">
    <w:name w:val="footnote reference"/>
    <w:basedOn w:val="DefaultParagraphFont"/>
    <w:uiPriority w:val="99"/>
    <w:unhideWhenUsed/>
    <w:rsid w:val="00E828D1"/>
    <w:rPr>
      <w:vertAlign w:val="superscript"/>
    </w:rPr>
  </w:style>
  <w:style w:type="character" w:styleId="Hyperlink">
    <w:name w:val="Hyperlink"/>
    <w:basedOn w:val="DefaultParagraphFont"/>
    <w:uiPriority w:val="99"/>
    <w:unhideWhenUsed/>
    <w:rsid w:val="00BD11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0967">
      <w:bodyDiv w:val="1"/>
      <w:marLeft w:val="0"/>
      <w:marRight w:val="0"/>
      <w:marTop w:val="0"/>
      <w:marBottom w:val="0"/>
      <w:divBdr>
        <w:top w:val="none" w:sz="0" w:space="0" w:color="auto"/>
        <w:left w:val="none" w:sz="0" w:space="0" w:color="auto"/>
        <w:bottom w:val="none" w:sz="0" w:space="0" w:color="auto"/>
        <w:right w:val="none" w:sz="0" w:space="0" w:color="auto"/>
      </w:divBdr>
    </w:div>
    <w:div w:id="480469362">
      <w:bodyDiv w:val="1"/>
      <w:marLeft w:val="0"/>
      <w:marRight w:val="0"/>
      <w:marTop w:val="0"/>
      <w:marBottom w:val="0"/>
      <w:divBdr>
        <w:top w:val="none" w:sz="0" w:space="0" w:color="auto"/>
        <w:left w:val="none" w:sz="0" w:space="0" w:color="auto"/>
        <w:bottom w:val="none" w:sz="0" w:space="0" w:color="auto"/>
        <w:right w:val="none" w:sz="0" w:space="0" w:color="auto"/>
      </w:divBdr>
    </w:div>
    <w:div w:id="773597994">
      <w:bodyDiv w:val="1"/>
      <w:marLeft w:val="0"/>
      <w:marRight w:val="0"/>
      <w:marTop w:val="0"/>
      <w:marBottom w:val="0"/>
      <w:divBdr>
        <w:top w:val="none" w:sz="0" w:space="0" w:color="auto"/>
        <w:left w:val="none" w:sz="0" w:space="0" w:color="auto"/>
        <w:bottom w:val="none" w:sz="0" w:space="0" w:color="auto"/>
        <w:right w:val="none" w:sz="0" w:space="0" w:color="auto"/>
      </w:divBdr>
    </w:div>
    <w:div w:id="995690579">
      <w:bodyDiv w:val="1"/>
      <w:marLeft w:val="0"/>
      <w:marRight w:val="0"/>
      <w:marTop w:val="0"/>
      <w:marBottom w:val="0"/>
      <w:divBdr>
        <w:top w:val="none" w:sz="0" w:space="0" w:color="auto"/>
        <w:left w:val="none" w:sz="0" w:space="0" w:color="auto"/>
        <w:bottom w:val="none" w:sz="0" w:space="0" w:color="auto"/>
        <w:right w:val="none" w:sz="0" w:space="0" w:color="auto"/>
      </w:divBdr>
    </w:div>
    <w:div w:id="1697003526">
      <w:bodyDiv w:val="1"/>
      <w:marLeft w:val="0"/>
      <w:marRight w:val="0"/>
      <w:marTop w:val="0"/>
      <w:marBottom w:val="0"/>
      <w:divBdr>
        <w:top w:val="none" w:sz="0" w:space="0" w:color="auto"/>
        <w:left w:val="none" w:sz="0" w:space="0" w:color="auto"/>
        <w:bottom w:val="none" w:sz="0" w:space="0" w:color="auto"/>
        <w:right w:val="none" w:sz="0" w:space="0" w:color="auto"/>
      </w:divBdr>
    </w:div>
    <w:div w:id="17800233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342113E-DB99-164E-A313-54712641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1515</Words>
  <Characters>8637</Characters>
  <Application>Microsoft Office Word</Application>
  <DocSecurity>0</DocSecurity>
  <Lines>71</Lines>
  <Paragraphs>20</Paragraphs>
  <ScaleCrop>false</ScaleCrop>
  <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Tobin</dc:creator>
  <cp:keywords/>
  <dc:description/>
  <cp:lastModifiedBy>Scafe, Robert B.</cp:lastModifiedBy>
  <cp:revision>2</cp:revision>
  <dcterms:created xsi:type="dcterms:W3CDTF">2020-01-02T17:28:00Z</dcterms:created>
  <dcterms:modified xsi:type="dcterms:W3CDTF">2020-01-02T17:28:00Z</dcterms:modified>
</cp:coreProperties>
</file>