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sdt>
      <w:sdtPr>
        <w:rPr>
          <w:caps/>
        </w:rPr>
        <w:id w:val="30091833"/>
        <w:lock w:val="contentLocked"/>
        <w:placeholder>
          <w:docPart w:val="00C19CA95505480BB2CE5C80B2ED80FB"/>
        </w:placeholder>
        <w:group/>
      </w:sdtPr>
      <w:sdtContent>
        <w:p w:rsidR="001561E3" w:rsidRPr="0008176F" w:rsidRDefault="001561E3" w:rsidP="001561E3">
          <w:pPr>
            <w:pStyle w:val="NoSpacing"/>
            <w:jc w:val="center"/>
            <w:rPr>
              <w:caps/>
            </w:rPr>
          </w:pPr>
          <w:r w:rsidRPr="0008176F">
            <w:rPr>
              <w:caps/>
            </w:rPr>
            <w:t>University of Oklahoma</w:t>
          </w:r>
        </w:p>
        <w:p w:rsidR="001561E3" w:rsidRPr="0008176F" w:rsidRDefault="001561E3" w:rsidP="001561E3">
          <w:pPr>
            <w:pStyle w:val="NoSpacing"/>
            <w:jc w:val="center"/>
            <w:rPr>
              <w:caps/>
            </w:rPr>
          </w:pPr>
        </w:p>
        <w:p w:rsidR="001561E3" w:rsidRPr="0008176F" w:rsidRDefault="001561E3" w:rsidP="001561E3">
          <w:pPr>
            <w:pStyle w:val="NoSpacing"/>
            <w:jc w:val="center"/>
            <w:rPr>
              <w:caps/>
            </w:rPr>
          </w:pPr>
          <w:r w:rsidRPr="0008176F">
            <w:rPr>
              <w:caps/>
            </w:rPr>
            <w:t>Graduate College</w:t>
          </w:r>
        </w:p>
      </w:sdtContent>
    </w:sdt>
    <w:p w:rsidR="001561E3" w:rsidRPr="0008176F" w:rsidRDefault="001561E3" w:rsidP="001561E3">
      <w:pPr>
        <w:pStyle w:val="NoSpacing"/>
        <w:jc w:val="center"/>
        <w:rPr>
          <w:caps/>
        </w:rPr>
      </w:pPr>
    </w:p>
    <w:p w:rsidR="001561E3" w:rsidRPr="0008176F" w:rsidRDefault="001561E3" w:rsidP="001561E3">
      <w:pPr>
        <w:pStyle w:val="NoSpacing"/>
        <w:jc w:val="center"/>
        <w:rPr>
          <w:caps/>
        </w:rPr>
      </w:pPr>
    </w:p>
    <w:p w:rsidR="001561E3" w:rsidRPr="0008176F" w:rsidRDefault="001561E3" w:rsidP="001561E3">
      <w:pPr>
        <w:pStyle w:val="NoSpacing"/>
        <w:jc w:val="center"/>
        <w:rPr>
          <w:caps/>
        </w:rPr>
      </w:pPr>
    </w:p>
    <w:p w:rsidR="001561E3" w:rsidRPr="0008176F" w:rsidRDefault="001561E3" w:rsidP="001561E3">
      <w:pPr>
        <w:pStyle w:val="NoSpacing"/>
        <w:jc w:val="center"/>
        <w:rPr>
          <w:caps/>
        </w:rPr>
      </w:pPr>
    </w:p>
    <w:p w:rsidR="001561E3" w:rsidRPr="0008176F" w:rsidRDefault="001561E3" w:rsidP="001561E3">
      <w:pPr>
        <w:pStyle w:val="NoSpacing"/>
        <w:jc w:val="center"/>
        <w:rPr>
          <w:caps/>
        </w:rPr>
      </w:pPr>
    </w:p>
    <w:p w:rsidR="001561E3" w:rsidRPr="0008176F" w:rsidRDefault="001561E3" w:rsidP="001561E3">
      <w:pPr>
        <w:pStyle w:val="NoSpacing"/>
        <w:jc w:val="center"/>
        <w:rPr>
          <w:caps/>
        </w:rPr>
      </w:pPr>
    </w:p>
    <w:sdt>
      <w:sdtPr>
        <w:rPr>
          <w:caps/>
        </w:rPr>
        <w:alias w:val="Click to enter thesis title"/>
        <w:tag w:val="Click to enter thesis title"/>
        <w:id w:val="-1925646496"/>
        <w:placeholder>
          <w:docPart w:val="E09BB20517F04B5EAA18872BA17DF024"/>
        </w:placeholder>
      </w:sdtPr>
      <w:sdtContent>
        <w:p w:rsidR="004552AC" w:rsidRPr="0008176F" w:rsidRDefault="004552AC" w:rsidP="004552AC">
          <w:pPr>
            <w:pStyle w:val="NoSpacing"/>
            <w:spacing w:line="480" w:lineRule="auto"/>
            <w:jc w:val="center"/>
            <w:rPr>
              <w:caps/>
            </w:rPr>
          </w:pPr>
          <w:r w:rsidRPr="00876896">
            <w:rPr>
              <w:caps/>
            </w:rPr>
            <w:t>QUANTITATIVE CT IMAGE FEATURE ANALYSIS FOR PREDICTING TUMOR RESPONSE TO CHEMOTHERAPY AT EARLY STAGE</w:t>
          </w:r>
        </w:p>
        <w:p w:rsidR="001561E3" w:rsidRPr="0008176F" w:rsidRDefault="00D719F4" w:rsidP="001561E3">
          <w:pPr>
            <w:pStyle w:val="NoSpacing"/>
            <w:jc w:val="center"/>
            <w:rPr>
              <w:caps/>
            </w:rPr>
          </w:pPr>
        </w:p>
      </w:sdtContent>
    </w:sdt>
    <w:p w:rsidR="001561E3" w:rsidRPr="0008176F" w:rsidRDefault="001561E3" w:rsidP="001561E3">
      <w:pPr>
        <w:pStyle w:val="NoSpacing"/>
        <w:jc w:val="center"/>
        <w:rPr>
          <w:caps/>
        </w:rPr>
      </w:pPr>
    </w:p>
    <w:p w:rsidR="001561E3" w:rsidRPr="0008176F" w:rsidRDefault="001561E3" w:rsidP="001561E3">
      <w:pPr>
        <w:pStyle w:val="NoSpacing"/>
        <w:jc w:val="center"/>
        <w:rPr>
          <w:caps/>
        </w:rPr>
      </w:pPr>
    </w:p>
    <w:p w:rsidR="001561E3" w:rsidRPr="0008176F" w:rsidRDefault="001561E3" w:rsidP="001561E3">
      <w:pPr>
        <w:pStyle w:val="NoSpacing"/>
        <w:jc w:val="center"/>
        <w:rPr>
          <w:caps/>
        </w:rPr>
      </w:pPr>
    </w:p>
    <w:sdt>
      <w:sdtPr>
        <w:rPr>
          <w:caps/>
        </w:rPr>
        <w:id w:val="30091834"/>
        <w:lock w:val="contentLocked"/>
        <w:placeholder>
          <w:docPart w:val="00C19CA95505480BB2CE5C80B2ED80FB"/>
        </w:placeholder>
        <w:group/>
      </w:sdtPr>
      <w:sdtEndPr>
        <w:rPr>
          <w:caps w:val="0"/>
        </w:rPr>
      </w:sdtEndPr>
      <w:sdtContent>
        <w:p w:rsidR="001561E3" w:rsidRPr="0008176F" w:rsidRDefault="001561E3" w:rsidP="001561E3">
          <w:pPr>
            <w:pStyle w:val="NoSpacing"/>
            <w:jc w:val="center"/>
            <w:rPr>
              <w:caps/>
            </w:rPr>
          </w:pPr>
          <w:r w:rsidRPr="0008176F">
            <w:rPr>
              <w:caps/>
            </w:rPr>
            <w:t>A thesis</w:t>
          </w:r>
        </w:p>
        <w:p w:rsidR="001561E3" w:rsidRPr="0008176F" w:rsidRDefault="001561E3" w:rsidP="001561E3">
          <w:pPr>
            <w:pStyle w:val="NoSpacing"/>
            <w:jc w:val="center"/>
            <w:rPr>
              <w:caps/>
            </w:rPr>
          </w:pPr>
        </w:p>
        <w:p w:rsidR="001561E3" w:rsidRPr="0008176F" w:rsidRDefault="001561E3" w:rsidP="001561E3">
          <w:pPr>
            <w:pStyle w:val="NoSpacing"/>
            <w:jc w:val="center"/>
            <w:rPr>
              <w:caps/>
            </w:rPr>
          </w:pPr>
          <w:r w:rsidRPr="0008176F">
            <w:rPr>
              <w:caps/>
            </w:rPr>
            <w:t>submitted to the Graduate Faculty</w:t>
          </w:r>
        </w:p>
        <w:p w:rsidR="001561E3" w:rsidRDefault="001561E3" w:rsidP="001561E3">
          <w:pPr>
            <w:pStyle w:val="NoSpacing"/>
            <w:jc w:val="center"/>
          </w:pPr>
        </w:p>
        <w:p w:rsidR="001561E3" w:rsidRDefault="001561E3" w:rsidP="001561E3">
          <w:pPr>
            <w:pStyle w:val="NoSpacing"/>
            <w:jc w:val="center"/>
          </w:pPr>
          <w:r>
            <w:t>in partial fulfillment of the requirements for the</w:t>
          </w:r>
        </w:p>
        <w:p w:rsidR="001561E3" w:rsidRDefault="001561E3" w:rsidP="001561E3">
          <w:pPr>
            <w:pStyle w:val="NoSpacing"/>
            <w:jc w:val="center"/>
          </w:pPr>
        </w:p>
        <w:p w:rsidR="001561E3" w:rsidRDefault="001561E3" w:rsidP="001561E3">
          <w:pPr>
            <w:pStyle w:val="NoSpacing"/>
            <w:jc w:val="center"/>
          </w:pPr>
          <w:r>
            <w:t>Degree of</w:t>
          </w:r>
        </w:p>
      </w:sdtContent>
    </w:sdt>
    <w:p w:rsidR="001561E3" w:rsidRDefault="001561E3" w:rsidP="001561E3">
      <w:pPr>
        <w:pStyle w:val="NoSpacing"/>
        <w:jc w:val="center"/>
      </w:pPr>
    </w:p>
    <w:sdt>
      <w:sdtPr>
        <w:rPr>
          <w:caps/>
        </w:rPr>
        <w:alias w:val="Select the exact name of your degree"/>
        <w:tag w:val="Exact name of your degree in ALL CAPS"/>
        <w:id w:val="8173860"/>
        <w:placeholder>
          <w:docPart w:val="DE9E4CABC92546DFA6B0E31A3D4E6347"/>
        </w:placeholder>
        <w:dropDownList>
          <w:listItem w:displayText="[MASTER OF...]" w:value="[MASTER OF...]"/>
          <w:listItem w:displayText="Master of Arts" w:value="Master of Arts"/>
          <w:listItem w:displayText="Master of Arts in Administrative Leadership" w:value="Master of Arts in Administrative Leadership"/>
          <w:listItem w:displayText="Master of Arts in Applied Linguistic Anthropology" w:value="Master of Arts in Applied Linguistic Anthropology"/>
          <w:listItem w:displayText="Master of Arts in Art History" w:value="Master of Arts in Art History"/>
          <w:listItem w:displayText="Master of Arts in History of Science, Technology and Medicine" w:value="Master of Arts in History of Science, Technology and Medicine"/>
          <w:listItem w:displayText="Master of Arts in International Studies" w:value="Master of Arts in International Studies"/>
          <w:listItem w:displayText="Master of Education" w:value="Master of Education"/>
          <w:listItem w:displayText="Master of Environmental Science" w:value="Master of Environmental Science"/>
          <w:listItem w:displayText="Master of Fine Arts in Dance" w:value="Master of Fine Arts in Dance"/>
          <w:listItem w:displayText="Master of Human Relations" w:value="Master of Human Relations"/>
          <w:listItem w:displayText="Master of Library and Information Studies" w:value="Master of Library and Information Studies"/>
          <w:listItem w:displayText="Master of Music" w:value="Master of Music"/>
          <w:listItem w:displayText="Master of Music Education" w:value="Master of Music Education"/>
          <w:listItem w:displayText="Master of Regional and City Planning" w:value="Master of Regional and City Planning"/>
          <w:listItem w:displayText="Master of Science" w:value="Master of Science"/>
          <w:listItem w:displayText="Master of Science in Architectural Urban Studies" w:value="Master of Science in Architectural Urban Studies"/>
          <w:listItem w:displayText="Master of Science in Construction Administration" w:value="Master of Science in Construction Administration"/>
          <w:listItem w:displayText="Master of Science in Environmental Engineering" w:value="Master of Science in Environmental Engineering"/>
          <w:listItem w:displayText="Master of Science in Environmental Sustainability" w:value="Master of Science in Environmental Sustainability"/>
          <w:listItem w:displayText="Master of Science in Interior Design" w:value="Master of Science in Interior Design"/>
          <w:listItem w:displayText="Master of Science in Management of Information Technology" w:value="Master of Science in Management of Information Technology"/>
          <w:listItem w:displayText="Master of Science in Meteorology" w:value="Master of Science in Meteorology"/>
          <w:listItem w:displayText="Master of Science in Natural Gas Engineering and Management" w:value="Master of Science in Natural Gas Engineering and Management"/>
          <w:listItem w:displayText="Master of Science in Telecommunications Engineering" w:value="Master of Science in Telecommunications Engineering"/>
          <w:listItem w:displayText="Master of Social Work" w:value="Master of Social Work"/>
        </w:dropDownList>
      </w:sdtPr>
      <w:sdtContent>
        <w:p w:rsidR="001561E3" w:rsidRDefault="00546FA4" w:rsidP="001561E3">
          <w:pPr>
            <w:pStyle w:val="NoSpacing"/>
            <w:spacing w:line="480" w:lineRule="auto"/>
            <w:jc w:val="center"/>
            <w:rPr>
              <w:caps/>
            </w:rPr>
          </w:pPr>
          <w:r>
            <w:rPr>
              <w:caps/>
            </w:rPr>
            <w:t>Master of Science</w:t>
          </w:r>
        </w:p>
      </w:sdtContent>
    </w:sdt>
    <w:p w:rsidR="001561E3" w:rsidRDefault="001561E3" w:rsidP="001561E3">
      <w:pPr>
        <w:pStyle w:val="NoSpacing"/>
        <w:jc w:val="center"/>
      </w:pPr>
    </w:p>
    <w:p w:rsidR="001561E3" w:rsidRDefault="001561E3" w:rsidP="001561E3">
      <w:pPr>
        <w:pStyle w:val="NoSpacing"/>
        <w:jc w:val="center"/>
      </w:pPr>
    </w:p>
    <w:p w:rsidR="001561E3" w:rsidRDefault="001561E3" w:rsidP="001561E3">
      <w:pPr>
        <w:pStyle w:val="NoSpacing"/>
        <w:jc w:val="center"/>
      </w:pPr>
    </w:p>
    <w:p w:rsidR="001561E3" w:rsidRDefault="001561E3" w:rsidP="001561E3">
      <w:pPr>
        <w:pStyle w:val="NoSpacing"/>
        <w:jc w:val="center"/>
      </w:pPr>
    </w:p>
    <w:p w:rsidR="001561E3" w:rsidRDefault="001561E3" w:rsidP="001561E3">
      <w:pPr>
        <w:pStyle w:val="NoSpacing"/>
        <w:jc w:val="center"/>
      </w:pPr>
    </w:p>
    <w:p w:rsidR="001561E3" w:rsidRDefault="001561E3" w:rsidP="001561E3">
      <w:pPr>
        <w:pStyle w:val="NoSpacing"/>
        <w:jc w:val="center"/>
      </w:pPr>
    </w:p>
    <w:p w:rsidR="001561E3" w:rsidRDefault="001561E3" w:rsidP="001561E3">
      <w:pPr>
        <w:pStyle w:val="NoSpacing"/>
        <w:jc w:val="center"/>
      </w:pPr>
    </w:p>
    <w:p w:rsidR="001561E3" w:rsidRDefault="001561E3" w:rsidP="001561E3">
      <w:pPr>
        <w:pStyle w:val="NoSpacing"/>
        <w:jc w:val="center"/>
      </w:pPr>
    </w:p>
    <w:p w:rsidR="001561E3" w:rsidRDefault="001561E3" w:rsidP="001561E3">
      <w:pPr>
        <w:pStyle w:val="NoSpacing"/>
        <w:jc w:val="center"/>
      </w:pPr>
    </w:p>
    <w:p w:rsidR="001561E3" w:rsidRDefault="001561E3" w:rsidP="001561E3">
      <w:pPr>
        <w:pStyle w:val="NoSpacing"/>
        <w:jc w:val="center"/>
      </w:pPr>
      <w:r>
        <w:t>By</w:t>
      </w:r>
    </w:p>
    <w:p w:rsidR="001561E3" w:rsidRDefault="001561E3" w:rsidP="001561E3">
      <w:pPr>
        <w:pStyle w:val="NoSpacing"/>
        <w:jc w:val="center"/>
      </w:pPr>
    </w:p>
    <w:sdt>
      <w:sdtPr>
        <w:rPr>
          <w:caps/>
        </w:rPr>
        <w:alias w:val="Click to enter your name (must match University records)"/>
        <w:tag w:val="Click to enter your name (must match University records)"/>
        <w:id w:val="24310776"/>
        <w:placeholder>
          <w:docPart w:val="7C6AA975824747F2B17B06184321BCE7"/>
        </w:placeholder>
      </w:sdtPr>
      <w:sdtContent>
        <w:p w:rsidR="001561E3" w:rsidRDefault="00945C8C" w:rsidP="001561E3">
          <w:pPr>
            <w:pStyle w:val="NoSpacing"/>
            <w:jc w:val="center"/>
            <w:rPr>
              <w:caps/>
            </w:rPr>
          </w:pPr>
          <w:r>
            <w:rPr>
              <w:caps/>
            </w:rPr>
            <w:t>GOPICHANDH DANALA</w:t>
          </w:r>
        </w:p>
      </w:sdtContent>
    </w:sdt>
    <w:sdt>
      <w:sdtPr>
        <w:id w:val="30091838"/>
        <w:lock w:val="contentLocked"/>
        <w:placeholder>
          <w:docPart w:val="00C19CA95505480BB2CE5C80B2ED80FB"/>
        </w:placeholder>
        <w:group/>
      </w:sdtPr>
      <w:sdtContent>
        <w:p w:rsidR="001561E3" w:rsidRDefault="001561E3" w:rsidP="001561E3">
          <w:pPr>
            <w:pStyle w:val="NoSpacing"/>
            <w:jc w:val="center"/>
          </w:pPr>
          <w:r>
            <w:t xml:space="preserve"> Norman, Oklahoma</w:t>
          </w:r>
        </w:p>
      </w:sdtContent>
    </w:sdt>
    <w:p w:rsidR="001561E3" w:rsidRDefault="00D719F4" w:rsidP="00945C8C">
      <w:pPr>
        <w:pStyle w:val="NoSpacing"/>
        <w:jc w:val="center"/>
      </w:pPr>
      <w:sdt>
        <w:sdtPr>
          <w:alias w:val="Click to enter the year you are depositing the thesis"/>
          <w:tag w:val="Click to enter the year you are depositing the thesis"/>
          <w:id w:val="30091842"/>
          <w:placeholder>
            <w:docPart w:val="00C19CA95505480BB2CE5C80B2ED80FB"/>
          </w:placeholder>
        </w:sdtPr>
        <w:sdtContent>
          <w:r w:rsidR="00945C8C">
            <w:t>2016</w:t>
          </w:r>
        </w:sdtContent>
      </w:sdt>
      <w:r w:rsidR="001561E3">
        <w:br w:type="page"/>
      </w:r>
    </w:p>
    <w:p w:rsidR="001561E3" w:rsidRDefault="001561E3" w:rsidP="001561E3">
      <w:pPr>
        <w:pStyle w:val="NoSpacing"/>
        <w:jc w:val="center"/>
      </w:pPr>
    </w:p>
    <w:p w:rsidR="001561E3" w:rsidRDefault="001561E3" w:rsidP="001561E3">
      <w:pPr>
        <w:pStyle w:val="NoSpacing"/>
        <w:jc w:val="center"/>
      </w:pPr>
    </w:p>
    <w:p w:rsidR="001561E3" w:rsidRDefault="001561E3" w:rsidP="001561E3">
      <w:pPr>
        <w:pStyle w:val="NoSpacing"/>
        <w:jc w:val="center"/>
      </w:pPr>
    </w:p>
    <w:p w:rsidR="001561E3" w:rsidRDefault="001561E3" w:rsidP="001561E3">
      <w:pPr>
        <w:pStyle w:val="NoSpacing"/>
        <w:jc w:val="center"/>
      </w:pPr>
    </w:p>
    <w:p w:rsidR="001561E3" w:rsidRDefault="001561E3" w:rsidP="001561E3">
      <w:pPr>
        <w:pStyle w:val="NoSpacing"/>
        <w:jc w:val="center"/>
      </w:pPr>
    </w:p>
    <w:sdt>
      <w:sdtPr>
        <w:rPr>
          <w:caps/>
        </w:rPr>
        <w:alias w:val="Click to enter thesis title"/>
        <w:tag w:val="Click to enter thesis title"/>
        <w:id w:val="30091843"/>
        <w:placeholder>
          <w:docPart w:val="00C19CA95505480BB2CE5C80B2ED80FB"/>
        </w:placeholder>
      </w:sdtPr>
      <w:sdtContent>
        <w:sdt>
          <w:sdtPr>
            <w:rPr>
              <w:caps/>
            </w:rPr>
            <w:alias w:val="Click to enter thesis title"/>
            <w:tag w:val="Click to enter thesis title"/>
            <w:id w:val="278382680"/>
            <w:placeholder>
              <w:docPart w:val="85499C502D6F45C891617B86EB115163"/>
            </w:placeholder>
          </w:sdtPr>
          <w:sdtContent>
            <w:p w:rsidR="004552AC" w:rsidRDefault="004552AC" w:rsidP="004552AC">
              <w:pPr>
                <w:pStyle w:val="NoSpacing"/>
                <w:jc w:val="center"/>
                <w:rPr>
                  <w:caps/>
                </w:rPr>
              </w:pPr>
              <w:r w:rsidRPr="004552AC">
                <w:rPr>
                  <w:caps/>
                </w:rPr>
                <w:t>QUANTITATIVE CT IMAGE FEATURE ANALYSIS FOR PREDICTING TUMOR RESPONSE TO CHEMOTHERAPY AT EARLY STAGE</w:t>
              </w:r>
            </w:p>
            <w:p w:rsidR="001561E3" w:rsidRPr="00730F0A" w:rsidRDefault="00D719F4" w:rsidP="004552AC">
              <w:pPr>
                <w:pStyle w:val="NoSpacing"/>
                <w:jc w:val="center"/>
                <w:rPr>
                  <w:caps/>
                </w:rPr>
              </w:pPr>
            </w:p>
          </w:sdtContent>
        </w:sdt>
      </w:sdtContent>
    </w:sdt>
    <w:sdt>
      <w:sdtPr>
        <w:rPr>
          <w:caps/>
        </w:rPr>
        <w:id w:val="30091875"/>
        <w:lock w:val="contentLocked"/>
        <w:placeholder>
          <w:docPart w:val="00C19CA95505480BB2CE5C80B2ED80FB"/>
        </w:placeholder>
        <w:group/>
      </w:sdtPr>
      <w:sdtContent>
        <w:p w:rsidR="001561E3" w:rsidRPr="00730F0A" w:rsidRDefault="001561E3" w:rsidP="001561E3">
          <w:pPr>
            <w:pStyle w:val="NoSpacing"/>
            <w:jc w:val="center"/>
            <w:rPr>
              <w:caps/>
            </w:rPr>
          </w:pPr>
          <w:r w:rsidRPr="00730F0A">
            <w:rPr>
              <w:caps/>
            </w:rPr>
            <w:t>A thesis approved for the</w:t>
          </w:r>
        </w:p>
      </w:sdtContent>
    </w:sdt>
    <w:sdt>
      <w:sdtPr>
        <w:rPr>
          <w:caps/>
        </w:rPr>
        <w:alias w:val="Select the exact name of your academic unit"/>
        <w:tag w:val="Exact name of your academic unit in ALL CAPS"/>
        <w:id w:val="8173889"/>
        <w:placeholder>
          <w:docPart w:val="0C5663DF9FB04CE59FCD65AE36F68DC7"/>
        </w:placeholder>
        <w:dropDownList>
          <w:listItem w:value="[EXACT NAME OF YOUR ACADEMIC UNIT IN ALL CAPS]"/>
          <w:listItem w:displayText="School of Aerospace and Mechanical Engineering" w:value="School of Aerospace and Mechanical Engineering"/>
          <w:listItem w:displayText="Department of Anthropology" w:value="Department of Anthropology"/>
          <w:listItem w:displayText="College of Architecture" w:value="College of Architecture"/>
          <w:listItem w:displayText="Stephenson School of Biomedical Engineering" w:value="Stephenson School of Biomedical Engineering"/>
          <w:listItem w:displayText="Department of Biology" w:value="Department of Biology"/>
          <w:listItem w:displayText="Department of Chemistry and Biochemistry" w:value="Department of Chemistry and Biochemistry"/>
          <w:listItem w:displayText="School of Chemical, Biological and Materials Engineering" w:value="School of Chemical, Biological and Materials Engineering"/>
          <w:listItem w:displayText="School of Civil Engineering and Environmental Science" w:value="School of Civil Engineering and Environmental Science"/>
          <w:listItem w:displayText="Department of Communication" w:value="Department of Communication"/>
          <w:listItem w:displayText="School of Computer Science" w:value="School of Computer Science"/>
          <w:listItem w:displayText="School of Dance" w:value="School of Dance"/>
          <w:listItem w:displayText="Peggy Dow Helmerich School of Drama" w:value="Peggy Dow Helmerich School of Drama"/>
          <w:listItem w:displayText="Department of Educational Leadership and Policy Studies" w:value="Department of Educational Leadership and Policy Studies"/>
          <w:listItem w:displayText="Department of Educational Psychology" w:value="Department of Educational Psychology"/>
          <w:listItem w:displayText="School of Electrical and Computer Engineering" w:value="School of Electrical and Computer Engineering"/>
          <w:listItem w:displayText="Gallogly College of Engineering" w:value="Gallogly College of Engineering"/>
          <w:listItem w:displayText="Department of Engineering Physics" w:value="Department of Engineering Physics"/>
          <w:listItem w:displayText="Department of English" w:value="Department of English"/>
          <w:listItem w:displayText="Department of Geography and Environmental Sustainability" w:value="Department of Geography and Environmental Sustainability"/>
          <w:listItem w:displayText="ConocoPhillips School of Geology and Geophysics" w:value="ConocoPhillips School of Geology and Geophysics"/>
          <w:listItem w:displayText="Graduate College" w:value="Graduate College"/>
          <w:listItem w:displayText="Department of Health and Exercise Science" w:value="Department of Health and Exercise Science"/>
          <w:listItem w:displayText="Department of History" w:value="Department of History"/>
          <w:listItem w:displayText="Department of History of Science" w:value="Department of History of Science"/>
          <w:listItem w:displayText="Department of Human Relations" w:value="Department of Human Relations"/>
          <w:listItem w:displayText="School of Industrial and Systems Engineering" w:value="School of Industrial and Systems Engineering"/>
          <w:listItem w:displayText="Department of Instructional Leadership and Academic Curriculum" w:value="Department of Instructional Leadership and Academic Curriculum"/>
          <w:listItem w:displayText="College of International Studies" w:value="College of International Studies"/>
          <w:listItem w:displayText="Gaylord College of Journalism and Mass Communication" w:value="Gaylord College of Journalism and Mass Communication"/>
          <w:listItem w:displayText="College of Liberal Studies" w:value="College of Liberal Studies"/>
          <w:listItem w:displayText="School of Library and Information Studies" w:value="School of Library and Information Studies"/>
          <w:listItem w:displayText="Department of Mathematics" w:value="Department of Mathematics"/>
          <w:listItem w:displayText="School of Meteorology" w:value="School of Meteorology"/>
          <w:listItem w:displayText="Department of Microbiology and Plant Biology" w:value="Department of Microbiology and Plant Biology"/>
          <w:listItem w:displayText="Department of Modern Languages, Literatures, and Linguistics" w:value="Department of Modern Languages, Literatures, and Linguistics"/>
          <w:listItem w:displayText="School of Music" w:value="School of Music"/>
          <w:listItem w:displayText="Mewbourne School of Petroleum and Geological Engineering" w:value="Mewbourne School of Petroleum and Geological Engineering"/>
          <w:listItem w:displayText="Department of Native American Studies" w:value="Department of Native American Studies"/>
          <w:listItem w:displayText="Department of Philosophy" w:value="Department of Philosophy"/>
          <w:listItem w:displayText="Homer L. Dodge Department of Physics and Astronomy" w:value="Homer L. Dodge Department of Physics and Astronomy"/>
          <w:listItem w:displayText="Department of Political Science" w:value="Department of Political Science"/>
          <w:listItem w:displayText="Department of Psychology" w:value="Department of Psychology"/>
          <w:listItem w:displayText="Anne and Henry Zarrow School of Social Work" w:value="Anne and Henry Zarrow School of Social Work"/>
          <w:listItem w:displayText="Department of Sociology" w:value="Department of Sociology"/>
          <w:listItem w:displayText="School of Visual Arts" w:value="School of Visual Arts"/>
        </w:dropDownList>
      </w:sdtPr>
      <w:sdtContent>
        <w:p w:rsidR="001561E3" w:rsidRDefault="00546FA4" w:rsidP="001561E3">
          <w:pPr>
            <w:pStyle w:val="NoSpacing"/>
            <w:jc w:val="center"/>
            <w:rPr>
              <w:caps/>
            </w:rPr>
          </w:pPr>
          <w:r>
            <w:rPr>
              <w:caps/>
            </w:rPr>
            <w:t>School of Electrical and Computer Engineering</w:t>
          </w:r>
        </w:p>
      </w:sdtContent>
    </w:sdt>
    <w:p w:rsidR="001561E3" w:rsidRPr="00730F0A" w:rsidRDefault="001561E3" w:rsidP="001561E3">
      <w:pPr>
        <w:pStyle w:val="NoSpacing"/>
        <w:jc w:val="center"/>
        <w:rPr>
          <w:caps/>
        </w:rPr>
      </w:pPr>
    </w:p>
    <w:p w:rsidR="001561E3" w:rsidRPr="00730F0A" w:rsidRDefault="001561E3" w:rsidP="001561E3">
      <w:pPr>
        <w:pStyle w:val="NoSpacing"/>
        <w:jc w:val="center"/>
        <w:rPr>
          <w:caps/>
        </w:rPr>
      </w:pPr>
    </w:p>
    <w:p w:rsidR="001561E3" w:rsidRPr="00730F0A" w:rsidRDefault="001561E3" w:rsidP="001561E3">
      <w:pPr>
        <w:pStyle w:val="NoSpacing"/>
        <w:jc w:val="center"/>
        <w:rPr>
          <w:caps/>
        </w:rPr>
      </w:pPr>
    </w:p>
    <w:p w:rsidR="001561E3" w:rsidRDefault="001561E3" w:rsidP="001561E3">
      <w:pPr>
        <w:pStyle w:val="NoSpacing"/>
        <w:jc w:val="center"/>
        <w:rPr>
          <w:caps/>
        </w:rPr>
      </w:pPr>
    </w:p>
    <w:p w:rsidR="001561E3" w:rsidRPr="00730F0A" w:rsidRDefault="001561E3" w:rsidP="001561E3">
      <w:pPr>
        <w:pStyle w:val="NoSpacing"/>
        <w:jc w:val="center"/>
        <w:rPr>
          <w:caps/>
        </w:rPr>
      </w:pPr>
    </w:p>
    <w:p w:rsidR="001561E3" w:rsidRPr="00730F0A" w:rsidRDefault="001561E3" w:rsidP="001561E3">
      <w:pPr>
        <w:pStyle w:val="NoSpacing"/>
        <w:jc w:val="center"/>
        <w:rPr>
          <w:caps/>
        </w:rPr>
      </w:pPr>
    </w:p>
    <w:p w:rsidR="001561E3" w:rsidRPr="00730F0A" w:rsidRDefault="001561E3" w:rsidP="001561E3">
      <w:pPr>
        <w:pStyle w:val="NoSpacing"/>
        <w:jc w:val="center"/>
        <w:rPr>
          <w:caps/>
        </w:rPr>
      </w:pPr>
    </w:p>
    <w:p w:rsidR="001561E3" w:rsidRPr="00730F0A" w:rsidRDefault="001561E3" w:rsidP="001561E3">
      <w:pPr>
        <w:pStyle w:val="NoSpacing"/>
        <w:jc w:val="center"/>
        <w:rPr>
          <w:caps/>
        </w:rPr>
      </w:pPr>
    </w:p>
    <w:sdt>
      <w:sdtPr>
        <w:rPr>
          <w:caps/>
          <w:color w:val="808080"/>
        </w:rPr>
        <w:id w:val="30091876"/>
        <w:lock w:val="contentLocked"/>
        <w:placeholder>
          <w:docPart w:val="00C19CA95505480BB2CE5C80B2ED80FB"/>
        </w:placeholder>
        <w:group/>
      </w:sdtPr>
      <w:sdtContent>
        <w:p w:rsidR="001561E3" w:rsidRPr="00730F0A" w:rsidRDefault="001561E3" w:rsidP="001561E3">
          <w:pPr>
            <w:pStyle w:val="NoSpacing"/>
            <w:jc w:val="center"/>
            <w:rPr>
              <w:caps/>
            </w:rPr>
          </w:pPr>
          <w:r w:rsidRPr="00730F0A">
            <w:rPr>
              <w:caps/>
            </w:rPr>
            <w:t>By</w:t>
          </w:r>
        </w:p>
      </w:sdtContent>
    </w:sdt>
    <w:p w:rsidR="001561E3" w:rsidRDefault="001561E3" w:rsidP="001561E3">
      <w:pPr>
        <w:pStyle w:val="NoSpacing"/>
        <w:jc w:val="center"/>
      </w:pPr>
    </w:p>
    <w:p w:rsidR="001561E3" w:rsidRDefault="001561E3" w:rsidP="001561E3">
      <w:pPr>
        <w:pStyle w:val="NoSpacing"/>
        <w:jc w:val="center"/>
      </w:pPr>
    </w:p>
    <w:p w:rsidR="001561E3" w:rsidRDefault="001561E3" w:rsidP="001561E3">
      <w:pPr>
        <w:pStyle w:val="NoSpacing"/>
        <w:jc w:val="center"/>
      </w:pPr>
    </w:p>
    <w:p w:rsidR="001561E3" w:rsidRPr="003B763D" w:rsidRDefault="001561E3" w:rsidP="001561E3">
      <w:pPr>
        <w:pStyle w:val="NoSpacing"/>
        <w:jc w:val="right"/>
      </w:pPr>
      <w:r>
        <w:t>______________________________</w:t>
      </w:r>
    </w:p>
    <w:p w:rsidR="001561E3" w:rsidRDefault="00D719F4" w:rsidP="001561E3">
      <w:pPr>
        <w:pStyle w:val="NoSpacing"/>
        <w:jc w:val="right"/>
      </w:pPr>
      <w:sdt>
        <w:sdtPr>
          <w:alias w:val="Select the appropriate prefix"/>
          <w:tag w:val="Prefix"/>
          <w:id w:val="3768269"/>
          <w:placeholder>
            <w:docPart w:val="A6E47677958F4FACB9F2245E14F0F21A"/>
          </w:placeholder>
          <w:dropDownList>
            <w:listItem w:displayText="[Dr. / Mr. / Mrs. / Ms.]" w:value="[Dr. / Mr. / Mrs. / Ms.]"/>
            <w:listItem w:displayText="Dr." w:value="Dr."/>
            <w:listItem w:displayText="Mr." w:value="Mr."/>
            <w:listItem w:displayText="Mrs." w:value="Mrs."/>
            <w:listItem w:displayText="Ms." w:value="Ms."/>
          </w:dropDownList>
        </w:sdtPr>
        <w:sdtContent>
          <w:r w:rsidR="00546FA4">
            <w:t>Dr.</w:t>
          </w:r>
        </w:sdtContent>
      </w:sdt>
      <w:r w:rsidR="001561E3">
        <w:t xml:space="preserve"> </w:t>
      </w:r>
      <w:sdt>
        <w:sdtPr>
          <w:alias w:val="Click to enter committee chair name"/>
          <w:tag w:val="committee chair"/>
          <w:id w:val="30091849"/>
          <w:placeholder>
            <w:docPart w:val="00C19CA95505480BB2CE5C80B2ED80FB"/>
          </w:placeholder>
        </w:sdtPr>
        <w:sdtContent>
          <w:r w:rsidR="00945C8C">
            <w:t>Yuchen Qiu</w:t>
          </w:r>
        </w:sdtContent>
      </w:sdt>
      <w:r w:rsidR="001561E3">
        <w:t>, Chair</w:t>
      </w:r>
    </w:p>
    <w:p w:rsidR="001561E3" w:rsidRDefault="001561E3" w:rsidP="001561E3">
      <w:pPr>
        <w:pStyle w:val="NoSpacing"/>
        <w:jc w:val="right"/>
      </w:pPr>
    </w:p>
    <w:p w:rsidR="001561E3" w:rsidRDefault="001561E3" w:rsidP="001561E3">
      <w:pPr>
        <w:pStyle w:val="NoSpacing"/>
        <w:jc w:val="right"/>
      </w:pPr>
    </w:p>
    <w:p w:rsidR="001561E3" w:rsidRPr="003B763D" w:rsidRDefault="001561E3" w:rsidP="001561E3">
      <w:pPr>
        <w:pStyle w:val="NoSpacing"/>
        <w:jc w:val="right"/>
      </w:pPr>
      <w:r>
        <w:t>______________________________</w:t>
      </w:r>
    </w:p>
    <w:p w:rsidR="001561E3" w:rsidRDefault="00D719F4" w:rsidP="001561E3">
      <w:pPr>
        <w:pStyle w:val="NoSpacing"/>
        <w:jc w:val="right"/>
      </w:pPr>
      <w:sdt>
        <w:sdtPr>
          <w:alias w:val="Select the appropriate prefix"/>
          <w:tag w:val="Prefix"/>
          <w:id w:val="8173872"/>
          <w:placeholder>
            <w:docPart w:val="4DCD033772A14F708A2523E5174A81C3"/>
          </w:placeholder>
          <w:dropDownList>
            <w:listItem w:displayText="[Prefix]" w:value="[Prefix]"/>
            <w:listItem w:displayText="Dr." w:value="Dr."/>
            <w:listItem w:displayText="Mr." w:value="Mr."/>
            <w:listItem w:displayText="Mrs." w:value="Mrs."/>
            <w:listItem w:displayText="Ms." w:value="Ms."/>
          </w:dropDownList>
        </w:sdtPr>
        <w:sdtContent>
          <w:r w:rsidR="00546FA4">
            <w:t>Dr.</w:t>
          </w:r>
        </w:sdtContent>
      </w:sdt>
      <w:r w:rsidR="001561E3">
        <w:t xml:space="preserve"> </w:t>
      </w:r>
      <w:sdt>
        <w:sdtPr>
          <w:alias w:val="Click to enter 2nd member name"/>
          <w:tag w:val="2nd member"/>
          <w:id w:val="30091850"/>
          <w:placeholder>
            <w:docPart w:val="0FD6BA931D334C128A66FF07BC86ADEA"/>
          </w:placeholder>
        </w:sdtPr>
        <w:sdtContent>
          <w:r w:rsidR="00945C8C">
            <w:t>Bin Zheng</w:t>
          </w:r>
        </w:sdtContent>
      </w:sdt>
    </w:p>
    <w:p w:rsidR="001561E3" w:rsidRDefault="001561E3" w:rsidP="001561E3">
      <w:pPr>
        <w:pStyle w:val="NoSpacing"/>
        <w:jc w:val="right"/>
      </w:pPr>
    </w:p>
    <w:p w:rsidR="001561E3" w:rsidRDefault="001561E3" w:rsidP="001561E3">
      <w:pPr>
        <w:pStyle w:val="NoSpacing"/>
        <w:jc w:val="right"/>
      </w:pPr>
    </w:p>
    <w:p w:rsidR="001561E3" w:rsidRPr="003B763D" w:rsidRDefault="001561E3" w:rsidP="001561E3">
      <w:pPr>
        <w:pStyle w:val="NoSpacing"/>
        <w:jc w:val="right"/>
      </w:pPr>
      <w:r>
        <w:t>______________________________</w:t>
      </w:r>
    </w:p>
    <w:p w:rsidR="001561E3" w:rsidRDefault="00D719F4" w:rsidP="001561E3">
      <w:pPr>
        <w:pStyle w:val="NoSpacing"/>
        <w:jc w:val="right"/>
      </w:pPr>
      <w:sdt>
        <w:sdtPr>
          <w:alias w:val="Select the appropriate prefix"/>
          <w:tag w:val="Prefix"/>
          <w:id w:val="30091851"/>
          <w:placeholder>
            <w:docPart w:val="6A3935985DBE4222B4F4927B55141797"/>
          </w:placeholder>
          <w:dropDownList>
            <w:listItem w:displayText="[Prefix]" w:value="[Prefix]"/>
            <w:listItem w:displayText="Dr." w:value="Dr."/>
            <w:listItem w:displayText="Mr." w:value="Mr."/>
            <w:listItem w:displayText="Mrs." w:value="Mrs."/>
            <w:listItem w:displayText="Ms." w:value="Ms."/>
          </w:dropDownList>
        </w:sdtPr>
        <w:sdtContent>
          <w:r w:rsidR="00546FA4">
            <w:t>Dr.</w:t>
          </w:r>
        </w:sdtContent>
      </w:sdt>
      <w:r w:rsidR="00826505" w:rsidRPr="00826505">
        <w:t>Liangzhong Xiang</w:t>
      </w:r>
    </w:p>
    <w:p w:rsidR="001561E3" w:rsidRDefault="001561E3" w:rsidP="001561E3">
      <w:pPr>
        <w:pStyle w:val="NoSpacing"/>
        <w:jc w:val="right"/>
      </w:pPr>
    </w:p>
    <w:p w:rsidR="001561E3" w:rsidRDefault="001561E3" w:rsidP="001561E3">
      <w:pPr>
        <w:pStyle w:val="NoSpacing"/>
        <w:jc w:val="right"/>
      </w:pPr>
    </w:p>
    <w:p w:rsidR="001561E3" w:rsidRDefault="001561E3" w:rsidP="001561E3">
      <w:pPr>
        <w:pStyle w:val="NoSpacing"/>
        <w:jc w:val="right"/>
      </w:pPr>
    </w:p>
    <w:p w:rsidR="001561E3" w:rsidRDefault="001561E3" w:rsidP="001561E3">
      <w:pPr>
        <w:pStyle w:val="NoSpacing"/>
        <w:jc w:val="center"/>
      </w:pPr>
      <w:r>
        <w:br w:type="page"/>
      </w:r>
    </w:p>
    <w:p w:rsidR="001561E3" w:rsidRDefault="001561E3" w:rsidP="001561E3">
      <w:pPr>
        <w:pStyle w:val="NoSpacing"/>
        <w:jc w:val="center"/>
      </w:pPr>
    </w:p>
    <w:p w:rsidR="001561E3" w:rsidRDefault="001561E3" w:rsidP="001561E3">
      <w:pPr>
        <w:pStyle w:val="NoSpacing"/>
        <w:jc w:val="center"/>
      </w:pPr>
    </w:p>
    <w:p w:rsidR="001561E3" w:rsidRDefault="001561E3" w:rsidP="001561E3">
      <w:pPr>
        <w:pStyle w:val="NoSpacing"/>
        <w:jc w:val="center"/>
      </w:pPr>
    </w:p>
    <w:p w:rsidR="001561E3" w:rsidRDefault="001561E3" w:rsidP="001561E3">
      <w:pPr>
        <w:pStyle w:val="NoSpacing"/>
        <w:jc w:val="center"/>
      </w:pPr>
    </w:p>
    <w:p w:rsidR="001561E3" w:rsidRDefault="001561E3" w:rsidP="001561E3">
      <w:pPr>
        <w:pStyle w:val="NoSpacing"/>
        <w:jc w:val="center"/>
      </w:pPr>
    </w:p>
    <w:p w:rsidR="001561E3" w:rsidRDefault="001561E3" w:rsidP="001561E3">
      <w:pPr>
        <w:pStyle w:val="NoSpacing"/>
        <w:jc w:val="center"/>
      </w:pPr>
    </w:p>
    <w:p w:rsidR="001561E3" w:rsidRDefault="001561E3" w:rsidP="001561E3">
      <w:pPr>
        <w:pStyle w:val="NoSpacing"/>
        <w:jc w:val="center"/>
      </w:pPr>
    </w:p>
    <w:p w:rsidR="001561E3" w:rsidRDefault="001561E3" w:rsidP="001561E3">
      <w:pPr>
        <w:pStyle w:val="NoSpacing"/>
        <w:jc w:val="center"/>
      </w:pPr>
    </w:p>
    <w:p w:rsidR="001561E3" w:rsidRDefault="001561E3" w:rsidP="001561E3">
      <w:pPr>
        <w:pStyle w:val="NoSpacing"/>
        <w:jc w:val="center"/>
      </w:pPr>
    </w:p>
    <w:p w:rsidR="001561E3" w:rsidRDefault="001561E3" w:rsidP="001561E3">
      <w:pPr>
        <w:pStyle w:val="NoSpacing"/>
        <w:jc w:val="center"/>
      </w:pPr>
    </w:p>
    <w:p w:rsidR="001561E3" w:rsidRDefault="001561E3" w:rsidP="001561E3">
      <w:pPr>
        <w:pStyle w:val="NoSpacing"/>
        <w:jc w:val="center"/>
      </w:pPr>
    </w:p>
    <w:p w:rsidR="001561E3" w:rsidRDefault="001561E3" w:rsidP="001561E3">
      <w:pPr>
        <w:pStyle w:val="NoSpacing"/>
        <w:jc w:val="center"/>
      </w:pPr>
    </w:p>
    <w:p w:rsidR="001561E3" w:rsidRDefault="001561E3" w:rsidP="001561E3">
      <w:pPr>
        <w:pStyle w:val="NoSpacing"/>
        <w:jc w:val="center"/>
      </w:pPr>
    </w:p>
    <w:p w:rsidR="001561E3" w:rsidRDefault="001561E3" w:rsidP="001561E3">
      <w:pPr>
        <w:pStyle w:val="NoSpacing"/>
        <w:jc w:val="center"/>
      </w:pPr>
    </w:p>
    <w:p w:rsidR="001561E3" w:rsidRDefault="001561E3" w:rsidP="001561E3">
      <w:pPr>
        <w:pStyle w:val="NoSpacing"/>
        <w:jc w:val="center"/>
      </w:pPr>
    </w:p>
    <w:p w:rsidR="001561E3" w:rsidRDefault="001561E3" w:rsidP="001561E3">
      <w:pPr>
        <w:pStyle w:val="NoSpacing"/>
        <w:jc w:val="center"/>
      </w:pPr>
    </w:p>
    <w:p w:rsidR="001561E3" w:rsidRDefault="001561E3" w:rsidP="001561E3">
      <w:pPr>
        <w:pStyle w:val="NoSpacing"/>
        <w:jc w:val="center"/>
      </w:pPr>
    </w:p>
    <w:p w:rsidR="001561E3" w:rsidRDefault="001561E3" w:rsidP="001561E3">
      <w:pPr>
        <w:pStyle w:val="NoSpacing"/>
        <w:jc w:val="center"/>
      </w:pPr>
    </w:p>
    <w:p w:rsidR="001561E3" w:rsidRDefault="001561E3" w:rsidP="001561E3">
      <w:pPr>
        <w:pStyle w:val="NoSpacing"/>
        <w:jc w:val="center"/>
      </w:pPr>
    </w:p>
    <w:p w:rsidR="001561E3" w:rsidRDefault="001561E3" w:rsidP="001561E3">
      <w:pPr>
        <w:pStyle w:val="NoSpacing"/>
        <w:jc w:val="center"/>
      </w:pPr>
    </w:p>
    <w:p w:rsidR="001561E3" w:rsidRDefault="001561E3" w:rsidP="001561E3">
      <w:pPr>
        <w:pStyle w:val="NoSpacing"/>
        <w:jc w:val="center"/>
      </w:pPr>
    </w:p>
    <w:p w:rsidR="001561E3" w:rsidRDefault="001561E3" w:rsidP="001561E3">
      <w:pPr>
        <w:pStyle w:val="NoSpacing"/>
        <w:jc w:val="center"/>
      </w:pPr>
    </w:p>
    <w:p w:rsidR="001561E3" w:rsidRDefault="001561E3" w:rsidP="001561E3">
      <w:pPr>
        <w:pStyle w:val="NoSpacing"/>
        <w:jc w:val="center"/>
      </w:pPr>
    </w:p>
    <w:p w:rsidR="001561E3" w:rsidRDefault="001561E3" w:rsidP="001561E3">
      <w:pPr>
        <w:pStyle w:val="NoSpacing"/>
        <w:jc w:val="center"/>
      </w:pPr>
    </w:p>
    <w:p w:rsidR="001561E3" w:rsidRDefault="001561E3" w:rsidP="001561E3">
      <w:pPr>
        <w:pStyle w:val="NoSpacing"/>
        <w:jc w:val="center"/>
      </w:pPr>
    </w:p>
    <w:p w:rsidR="001561E3" w:rsidRDefault="001561E3" w:rsidP="001561E3">
      <w:pPr>
        <w:pStyle w:val="NoSpacing"/>
        <w:jc w:val="center"/>
      </w:pPr>
    </w:p>
    <w:p w:rsidR="001561E3" w:rsidRDefault="001561E3" w:rsidP="001561E3">
      <w:pPr>
        <w:pStyle w:val="NoSpacing"/>
        <w:jc w:val="center"/>
      </w:pPr>
    </w:p>
    <w:p w:rsidR="001561E3" w:rsidRDefault="001561E3" w:rsidP="001561E3">
      <w:pPr>
        <w:pStyle w:val="NoSpacing"/>
        <w:jc w:val="center"/>
      </w:pPr>
    </w:p>
    <w:p w:rsidR="001561E3" w:rsidRDefault="001561E3" w:rsidP="001561E3">
      <w:pPr>
        <w:pStyle w:val="NoSpacing"/>
        <w:jc w:val="center"/>
      </w:pPr>
    </w:p>
    <w:p w:rsidR="001561E3" w:rsidRDefault="001561E3" w:rsidP="001561E3">
      <w:pPr>
        <w:pStyle w:val="NoSpacing"/>
        <w:jc w:val="center"/>
      </w:pPr>
    </w:p>
    <w:p w:rsidR="001561E3" w:rsidRDefault="001561E3" w:rsidP="001561E3">
      <w:pPr>
        <w:pStyle w:val="NoSpacing"/>
        <w:jc w:val="center"/>
      </w:pPr>
    </w:p>
    <w:p w:rsidR="001561E3" w:rsidRDefault="001561E3" w:rsidP="001561E3">
      <w:pPr>
        <w:pStyle w:val="NoSpacing"/>
        <w:jc w:val="center"/>
      </w:pPr>
    </w:p>
    <w:p w:rsidR="001561E3" w:rsidRDefault="001561E3" w:rsidP="001561E3">
      <w:pPr>
        <w:pStyle w:val="NoSpacing"/>
        <w:jc w:val="center"/>
      </w:pPr>
    </w:p>
    <w:p w:rsidR="001561E3" w:rsidRDefault="001561E3" w:rsidP="001561E3">
      <w:pPr>
        <w:pStyle w:val="NoSpacing"/>
        <w:jc w:val="center"/>
      </w:pPr>
    </w:p>
    <w:p w:rsidR="001561E3" w:rsidRDefault="001561E3" w:rsidP="001561E3">
      <w:pPr>
        <w:pStyle w:val="NoSpacing"/>
        <w:jc w:val="center"/>
      </w:pPr>
    </w:p>
    <w:p w:rsidR="001561E3" w:rsidRDefault="001561E3" w:rsidP="001561E3">
      <w:pPr>
        <w:pStyle w:val="NoSpacing"/>
        <w:jc w:val="center"/>
      </w:pPr>
    </w:p>
    <w:p w:rsidR="001561E3" w:rsidRDefault="001561E3" w:rsidP="001561E3">
      <w:pPr>
        <w:pStyle w:val="NoSpacing"/>
        <w:jc w:val="center"/>
      </w:pPr>
    </w:p>
    <w:p w:rsidR="001561E3" w:rsidRDefault="001561E3" w:rsidP="001561E3">
      <w:pPr>
        <w:pStyle w:val="NoSpacing"/>
        <w:jc w:val="center"/>
      </w:pPr>
    </w:p>
    <w:p w:rsidR="001561E3" w:rsidRDefault="001561E3" w:rsidP="001561E3">
      <w:pPr>
        <w:pStyle w:val="NoSpacing"/>
        <w:jc w:val="center"/>
      </w:pPr>
    </w:p>
    <w:p w:rsidR="001561E3" w:rsidRDefault="001561E3" w:rsidP="001561E3">
      <w:pPr>
        <w:pStyle w:val="NoSpacing"/>
        <w:jc w:val="center"/>
      </w:pPr>
    </w:p>
    <w:p w:rsidR="001561E3" w:rsidRDefault="001561E3" w:rsidP="001561E3">
      <w:pPr>
        <w:pStyle w:val="NoSpacing"/>
        <w:jc w:val="center"/>
      </w:pPr>
    </w:p>
    <w:p w:rsidR="001561E3" w:rsidRDefault="001561E3" w:rsidP="001561E3">
      <w:pPr>
        <w:pStyle w:val="NoSpacing"/>
        <w:jc w:val="center"/>
      </w:pPr>
    </w:p>
    <w:p w:rsidR="001561E3" w:rsidRDefault="00D719F4" w:rsidP="001561E3">
      <w:pPr>
        <w:pStyle w:val="NoSpacing"/>
        <w:jc w:val="center"/>
      </w:pPr>
      <w:sdt>
        <w:sdtPr>
          <w:id w:val="30091877"/>
          <w:lock w:val="contentLocked"/>
          <w:placeholder>
            <w:docPart w:val="00C19CA95505480BB2CE5C80B2ED80FB"/>
          </w:placeholder>
          <w:group/>
        </w:sdtPr>
        <w:sdtContent>
          <w:r w:rsidR="001561E3">
            <w:t>© Copyright by</w:t>
          </w:r>
        </w:sdtContent>
      </w:sdt>
      <w:r w:rsidR="001561E3">
        <w:t xml:space="preserve"> </w:t>
      </w:r>
      <w:sdt>
        <w:sdtPr>
          <w:alias w:val="Click here to enter your name (must match University records)"/>
          <w:tag w:val="Click here to enter your name (must match University records)"/>
          <w:id w:val="2590303"/>
          <w:placeholder>
            <w:docPart w:val="00C19CA95505480BB2CE5C80B2ED80FB"/>
          </w:placeholder>
        </w:sdtPr>
        <w:sdtEndPr>
          <w:rPr>
            <w:caps/>
          </w:rPr>
        </w:sdtEndPr>
        <w:sdtContent>
          <w:r w:rsidR="00826505">
            <w:rPr>
              <w:caps/>
            </w:rPr>
            <w:t xml:space="preserve">Gopichandh danala </w:t>
          </w:r>
        </w:sdtContent>
      </w:sdt>
      <w:r w:rsidR="00826505">
        <w:t>2016</w:t>
      </w:r>
    </w:p>
    <w:p w:rsidR="001561E3" w:rsidRDefault="001561E3" w:rsidP="001561E3">
      <w:pPr>
        <w:pStyle w:val="NoSpacing"/>
        <w:jc w:val="center"/>
      </w:pPr>
      <w:r>
        <w:t>All Rights Reserved.</w:t>
      </w:r>
    </w:p>
    <w:p w:rsidR="001561E3" w:rsidRPr="001B17D6" w:rsidRDefault="001B17D6" w:rsidP="001B17D6">
      <w:pPr>
        <w:spacing w:line="240" w:lineRule="auto"/>
        <w:rPr>
          <w:rFonts w:asciiTheme="majorHAnsi" w:hAnsiTheme="majorHAnsi"/>
          <w:b/>
          <w:bCs/>
          <w:sz w:val="28"/>
          <w:szCs w:val="32"/>
        </w:rPr>
      </w:pPr>
      <w:r>
        <w:br w:type="page"/>
      </w:r>
    </w:p>
    <w:p w:rsidR="001B17D6" w:rsidRDefault="001B17D6" w:rsidP="0046190C">
      <w:pPr>
        <w:pStyle w:val="Heading1"/>
        <w:sectPr w:rsidR="001B17D6" w:rsidSect="00331ED2">
          <w:footerReference w:type="default" r:id="rId8"/>
          <w:footerReference w:type="first" r:id="rId9"/>
          <w:pgSz w:w="12240" w:h="15840"/>
          <w:pgMar w:top="1440" w:right="1440" w:bottom="1440" w:left="2304" w:header="720" w:footer="720" w:gutter="0"/>
          <w:pgNumType w:fmt="upperRoman" w:start="1"/>
          <w:cols w:space="720"/>
          <w:titlePg/>
          <w:docGrid w:linePitch="360"/>
        </w:sectPr>
      </w:pPr>
    </w:p>
    <w:p w:rsidR="00891E8C" w:rsidRPr="00C72545" w:rsidRDefault="00891E8C" w:rsidP="0046190C">
      <w:pPr>
        <w:pStyle w:val="Heading1"/>
      </w:pPr>
      <w:bookmarkStart w:id="0" w:name="_Toc468963685"/>
      <w:r w:rsidRPr="00C72545">
        <w:lastRenderedPageBreak/>
        <w:t>Acknowledgement</w:t>
      </w:r>
      <w:r>
        <w:t>s</w:t>
      </w:r>
      <w:bookmarkEnd w:id="0"/>
    </w:p>
    <w:p w:rsidR="001853CC" w:rsidRPr="001853CC" w:rsidRDefault="001853CC" w:rsidP="00355B6C">
      <w:pPr>
        <w:jc w:val="both"/>
        <w:rPr>
          <w:rFonts w:ascii="Times New Roman" w:hAnsi="Times New Roman"/>
        </w:rPr>
      </w:pPr>
      <w:r w:rsidRPr="001853CC">
        <w:rPr>
          <w:rFonts w:ascii="Times New Roman" w:hAnsi="Times New Roman"/>
        </w:rPr>
        <w:t xml:space="preserve">The author would like to gratefully acknowledge his thesis advisor Dr. Yuchen Qiu. Dr. Qiu offered the author this opportunity to perform his study, and mentored him to accomplish his master degree thesis. </w:t>
      </w:r>
    </w:p>
    <w:p w:rsidR="001853CC" w:rsidRPr="001853CC" w:rsidRDefault="001853CC" w:rsidP="00355B6C">
      <w:pPr>
        <w:spacing w:before="240"/>
        <w:jc w:val="both"/>
        <w:rPr>
          <w:rFonts w:ascii="Times New Roman" w:hAnsi="Times New Roman"/>
        </w:rPr>
      </w:pPr>
      <w:r w:rsidRPr="001853CC">
        <w:rPr>
          <w:rFonts w:ascii="Times New Roman" w:hAnsi="Times New Roman"/>
        </w:rPr>
        <w:t xml:space="preserve">The author would also like to express his gratitude to the radiologists and oncologists in Health Sciences Center, University of Oklahoma (OUHSC): Dr. Kathleen M. Moore, Dr.  Katherine M. Moxley, Dr. Camille C. Gunderson and Dr. Theresa C. Thai, for their clinical support on his study.  </w:t>
      </w:r>
    </w:p>
    <w:p w:rsidR="001853CC" w:rsidRPr="001853CC" w:rsidRDefault="001853CC" w:rsidP="00355B6C">
      <w:pPr>
        <w:spacing w:before="240"/>
        <w:jc w:val="both"/>
        <w:rPr>
          <w:rFonts w:ascii="Times New Roman" w:hAnsi="Times New Roman"/>
        </w:rPr>
      </w:pPr>
      <w:r w:rsidRPr="001853CC">
        <w:rPr>
          <w:rFonts w:ascii="Times New Roman" w:hAnsi="Times New Roman"/>
        </w:rPr>
        <w:t>The author would also like to thank all his committee members: Dr. Bin Zheng and Dr. Liangzhong Xiang, for their efforts of serving in the author's M.S. program committee.</w:t>
      </w:r>
    </w:p>
    <w:p w:rsidR="001853CC" w:rsidRPr="001853CC" w:rsidRDefault="001853CC" w:rsidP="00355B6C">
      <w:pPr>
        <w:spacing w:before="240"/>
        <w:jc w:val="both"/>
        <w:rPr>
          <w:rFonts w:ascii="Times New Roman" w:hAnsi="Times New Roman"/>
        </w:rPr>
      </w:pPr>
      <w:r w:rsidRPr="001853CC">
        <w:rPr>
          <w:rFonts w:ascii="Times New Roman" w:hAnsi="Times New Roman"/>
        </w:rPr>
        <w:t xml:space="preserve">Finally, author expresses </w:t>
      </w:r>
      <w:r w:rsidR="007C6B61">
        <w:rPr>
          <w:rFonts w:ascii="Times New Roman" w:hAnsi="Times New Roman" w:hint="eastAsia"/>
          <w:lang w:eastAsia="zh-CN"/>
        </w:rPr>
        <w:t xml:space="preserve">his </w:t>
      </w:r>
      <w:r w:rsidRPr="001853CC">
        <w:rPr>
          <w:rFonts w:ascii="Times New Roman" w:hAnsi="Times New Roman"/>
        </w:rPr>
        <w:t>deep gratitude to his family</w:t>
      </w:r>
      <w:r w:rsidR="007C6B61">
        <w:rPr>
          <w:rFonts w:ascii="Times New Roman" w:hAnsi="Times New Roman" w:hint="eastAsia"/>
          <w:lang w:eastAsia="zh-CN"/>
        </w:rPr>
        <w:t>, for their</w:t>
      </w:r>
      <w:r w:rsidRPr="001853CC">
        <w:rPr>
          <w:rFonts w:ascii="Times New Roman" w:hAnsi="Times New Roman"/>
        </w:rPr>
        <w:t xml:space="preserve"> endless support both inside and outside the research. </w:t>
      </w:r>
    </w:p>
    <w:p w:rsidR="00891E8C" w:rsidRDefault="00891E8C" w:rsidP="003D2B05"/>
    <w:p w:rsidR="001853CC" w:rsidRDefault="001853CC" w:rsidP="003D2B05"/>
    <w:p w:rsidR="001853CC" w:rsidRDefault="001853CC" w:rsidP="003D2B05"/>
    <w:p w:rsidR="001853CC" w:rsidRDefault="001853CC" w:rsidP="003D2B05"/>
    <w:p w:rsidR="001853CC" w:rsidRDefault="001853CC" w:rsidP="003D2B05"/>
    <w:p w:rsidR="001853CC" w:rsidRDefault="001853CC" w:rsidP="003D2B05"/>
    <w:p w:rsidR="001853CC" w:rsidRDefault="001853CC" w:rsidP="003D2B05"/>
    <w:p w:rsidR="001853CC" w:rsidRDefault="001853CC" w:rsidP="003D2B05"/>
    <w:p w:rsidR="001853CC" w:rsidRDefault="001853CC" w:rsidP="003D2B05"/>
    <w:p w:rsidR="001853CC" w:rsidRDefault="001853CC" w:rsidP="003D2B05"/>
    <w:sdt>
      <w:sdtPr>
        <w:rPr>
          <w:rFonts w:asciiTheme="minorHAnsi" w:hAnsiTheme="minorHAnsi"/>
          <w:b w:val="0"/>
          <w:bCs w:val="0"/>
          <w:sz w:val="24"/>
          <w:szCs w:val="24"/>
        </w:rPr>
        <w:id w:val="-1866673523"/>
        <w:docPartObj>
          <w:docPartGallery w:val="Table of Contents"/>
          <w:docPartUnique/>
        </w:docPartObj>
      </w:sdtPr>
      <w:sdtEndPr>
        <w:rPr>
          <w:noProof/>
        </w:rPr>
      </w:sdtEndPr>
      <w:sdtContent>
        <w:p w:rsidR="003F09B9" w:rsidRDefault="003F09B9" w:rsidP="0046190C">
          <w:pPr>
            <w:pStyle w:val="TOCHeading"/>
          </w:pPr>
          <w:r>
            <w:t>Table of Contents</w:t>
          </w:r>
        </w:p>
        <w:p w:rsidR="008740B0" w:rsidRDefault="009647D4">
          <w:pPr>
            <w:pStyle w:val="TOC1"/>
            <w:tabs>
              <w:tab w:val="right" w:leader="dot" w:pos="8486"/>
            </w:tabs>
            <w:rPr>
              <w:rFonts w:eastAsiaTheme="minorEastAsia" w:cstheme="minorBidi"/>
              <w:noProof/>
              <w:sz w:val="22"/>
              <w:szCs w:val="22"/>
              <w:lang w:bidi="ar-SA"/>
            </w:rPr>
          </w:pPr>
          <w:r>
            <w:fldChar w:fldCharType="begin"/>
          </w:r>
          <w:r w:rsidR="003F09B9">
            <w:instrText xml:space="preserve"> TOC \o "1-3" \h \z \u </w:instrText>
          </w:r>
          <w:r>
            <w:fldChar w:fldCharType="separate"/>
          </w:r>
          <w:hyperlink w:anchor="_Toc468963685" w:history="1">
            <w:r w:rsidR="008740B0" w:rsidRPr="00096D1B">
              <w:rPr>
                <w:rStyle w:val="Hyperlink"/>
                <w:noProof/>
              </w:rPr>
              <w:t>Acknowledgements</w:t>
            </w:r>
            <w:r w:rsidR="008740B0">
              <w:rPr>
                <w:noProof/>
                <w:webHidden/>
              </w:rPr>
              <w:tab/>
            </w:r>
            <w:r w:rsidR="008740B0">
              <w:rPr>
                <w:noProof/>
                <w:webHidden/>
              </w:rPr>
              <w:fldChar w:fldCharType="begin"/>
            </w:r>
            <w:r w:rsidR="008740B0">
              <w:rPr>
                <w:noProof/>
                <w:webHidden/>
              </w:rPr>
              <w:instrText xml:space="preserve"> PAGEREF _Toc468963685 \h </w:instrText>
            </w:r>
            <w:r w:rsidR="008740B0">
              <w:rPr>
                <w:noProof/>
                <w:webHidden/>
              </w:rPr>
            </w:r>
            <w:r w:rsidR="008740B0">
              <w:rPr>
                <w:noProof/>
                <w:webHidden/>
              </w:rPr>
              <w:fldChar w:fldCharType="separate"/>
            </w:r>
            <w:r w:rsidR="00D719F4">
              <w:rPr>
                <w:noProof/>
                <w:webHidden/>
              </w:rPr>
              <w:t>iv</w:t>
            </w:r>
            <w:r w:rsidR="008740B0">
              <w:rPr>
                <w:noProof/>
                <w:webHidden/>
              </w:rPr>
              <w:fldChar w:fldCharType="end"/>
            </w:r>
          </w:hyperlink>
        </w:p>
        <w:p w:rsidR="008740B0" w:rsidRDefault="00D719F4">
          <w:pPr>
            <w:pStyle w:val="TOC1"/>
            <w:tabs>
              <w:tab w:val="right" w:leader="dot" w:pos="8486"/>
            </w:tabs>
            <w:rPr>
              <w:rFonts w:eastAsiaTheme="minorEastAsia" w:cstheme="minorBidi"/>
              <w:noProof/>
              <w:sz w:val="22"/>
              <w:szCs w:val="22"/>
              <w:lang w:bidi="ar-SA"/>
            </w:rPr>
          </w:pPr>
          <w:hyperlink w:anchor="_Toc468963686" w:history="1">
            <w:r w:rsidR="008740B0" w:rsidRPr="00096D1B">
              <w:rPr>
                <w:rStyle w:val="Hyperlink"/>
                <w:noProof/>
              </w:rPr>
              <w:t>List of Tables</w:t>
            </w:r>
            <w:r w:rsidR="008740B0">
              <w:rPr>
                <w:noProof/>
                <w:webHidden/>
              </w:rPr>
              <w:tab/>
            </w:r>
            <w:r w:rsidR="008740B0">
              <w:rPr>
                <w:noProof/>
                <w:webHidden/>
              </w:rPr>
              <w:fldChar w:fldCharType="begin"/>
            </w:r>
            <w:r w:rsidR="008740B0">
              <w:rPr>
                <w:noProof/>
                <w:webHidden/>
              </w:rPr>
              <w:instrText xml:space="preserve"> PAGEREF _Toc468963686 \h </w:instrText>
            </w:r>
            <w:r w:rsidR="008740B0">
              <w:rPr>
                <w:noProof/>
                <w:webHidden/>
              </w:rPr>
            </w:r>
            <w:r w:rsidR="008740B0">
              <w:rPr>
                <w:noProof/>
                <w:webHidden/>
              </w:rPr>
              <w:fldChar w:fldCharType="separate"/>
            </w:r>
            <w:r>
              <w:rPr>
                <w:noProof/>
                <w:webHidden/>
              </w:rPr>
              <w:t>vii</w:t>
            </w:r>
            <w:r w:rsidR="008740B0">
              <w:rPr>
                <w:noProof/>
                <w:webHidden/>
              </w:rPr>
              <w:fldChar w:fldCharType="end"/>
            </w:r>
          </w:hyperlink>
        </w:p>
        <w:p w:rsidR="008740B0" w:rsidRDefault="00D719F4">
          <w:pPr>
            <w:pStyle w:val="TOC1"/>
            <w:tabs>
              <w:tab w:val="right" w:leader="dot" w:pos="8486"/>
            </w:tabs>
            <w:rPr>
              <w:rFonts w:eastAsiaTheme="minorEastAsia" w:cstheme="minorBidi"/>
              <w:noProof/>
              <w:sz w:val="22"/>
              <w:szCs w:val="22"/>
              <w:lang w:bidi="ar-SA"/>
            </w:rPr>
          </w:pPr>
          <w:hyperlink w:anchor="_Toc468963687" w:history="1">
            <w:r w:rsidR="008740B0" w:rsidRPr="00096D1B">
              <w:rPr>
                <w:rStyle w:val="Hyperlink"/>
                <w:noProof/>
              </w:rPr>
              <w:t>List of Figures</w:t>
            </w:r>
            <w:r w:rsidR="008740B0">
              <w:rPr>
                <w:noProof/>
                <w:webHidden/>
              </w:rPr>
              <w:tab/>
            </w:r>
            <w:r w:rsidR="008740B0">
              <w:rPr>
                <w:noProof/>
                <w:webHidden/>
              </w:rPr>
              <w:fldChar w:fldCharType="begin"/>
            </w:r>
            <w:r w:rsidR="008740B0">
              <w:rPr>
                <w:noProof/>
                <w:webHidden/>
              </w:rPr>
              <w:instrText xml:space="preserve"> PAGEREF _Toc468963687 \h </w:instrText>
            </w:r>
            <w:r w:rsidR="008740B0">
              <w:rPr>
                <w:noProof/>
                <w:webHidden/>
              </w:rPr>
            </w:r>
            <w:r w:rsidR="008740B0">
              <w:rPr>
                <w:noProof/>
                <w:webHidden/>
              </w:rPr>
              <w:fldChar w:fldCharType="separate"/>
            </w:r>
            <w:r>
              <w:rPr>
                <w:noProof/>
                <w:webHidden/>
              </w:rPr>
              <w:t>viii</w:t>
            </w:r>
            <w:r w:rsidR="008740B0">
              <w:rPr>
                <w:noProof/>
                <w:webHidden/>
              </w:rPr>
              <w:fldChar w:fldCharType="end"/>
            </w:r>
          </w:hyperlink>
        </w:p>
        <w:p w:rsidR="008740B0" w:rsidRDefault="00D719F4">
          <w:pPr>
            <w:pStyle w:val="TOC1"/>
            <w:tabs>
              <w:tab w:val="right" w:leader="dot" w:pos="8486"/>
            </w:tabs>
            <w:rPr>
              <w:rFonts w:eastAsiaTheme="minorEastAsia" w:cstheme="minorBidi"/>
              <w:noProof/>
              <w:sz w:val="22"/>
              <w:szCs w:val="22"/>
              <w:lang w:bidi="ar-SA"/>
            </w:rPr>
          </w:pPr>
          <w:hyperlink w:anchor="_Toc468963688" w:history="1">
            <w:r w:rsidR="008740B0" w:rsidRPr="00096D1B">
              <w:rPr>
                <w:rStyle w:val="Hyperlink"/>
                <w:noProof/>
              </w:rPr>
              <w:t>Abstract</w:t>
            </w:r>
            <w:r w:rsidR="008740B0">
              <w:rPr>
                <w:noProof/>
                <w:webHidden/>
              </w:rPr>
              <w:tab/>
            </w:r>
            <w:r w:rsidR="008740B0">
              <w:rPr>
                <w:noProof/>
                <w:webHidden/>
              </w:rPr>
              <w:fldChar w:fldCharType="begin"/>
            </w:r>
            <w:r w:rsidR="008740B0">
              <w:rPr>
                <w:noProof/>
                <w:webHidden/>
              </w:rPr>
              <w:instrText xml:space="preserve"> PAGEREF _Toc468963688 \h </w:instrText>
            </w:r>
            <w:r w:rsidR="008740B0">
              <w:rPr>
                <w:noProof/>
                <w:webHidden/>
              </w:rPr>
            </w:r>
            <w:r w:rsidR="008740B0">
              <w:rPr>
                <w:noProof/>
                <w:webHidden/>
              </w:rPr>
              <w:fldChar w:fldCharType="separate"/>
            </w:r>
            <w:r>
              <w:rPr>
                <w:noProof/>
                <w:webHidden/>
              </w:rPr>
              <w:t>ix</w:t>
            </w:r>
            <w:r w:rsidR="008740B0">
              <w:rPr>
                <w:noProof/>
                <w:webHidden/>
              </w:rPr>
              <w:fldChar w:fldCharType="end"/>
            </w:r>
          </w:hyperlink>
        </w:p>
        <w:p w:rsidR="008740B0" w:rsidRDefault="00D719F4">
          <w:pPr>
            <w:pStyle w:val="TOC1"/>
            <w:tabs>
              <w:tab w:val="right" w:leader="dot" w:pos="8486"/>
            </w:tabs>
            <w:rPr>
              <w:rFonts w:eastAsiaTheme="minorEastAsia" w:cstheme="minorBidi"/>
              <w:noProof/>
              <w:sz w:val="22"/>
              <w:szCs w:val="22"/>
              <w:lang w:bidi="ar-SA"/>
            </w:rPr>
          </w:pPr>
          <w:hyperlink w:anchor="_Toc468963689" w:history="1">
            <w:r w:rsidR="008740B0" w:rsidRPr="00096D1B">
              <w:rPr>
                <w:rStyle w:val="Hyperlink"/>
                <w:noProof/>
              </w:rPr>
              <w:t>Chapter 1: Introduction</w:t>
            </w:r>
            <w:r w:rsidR="008740B0">
              <w:rPr>
                <w:noProof/>
                <w:webHidden/>
              </w:rPr>
              <w:tab/>
            </w:r>
            <w:r w:rsidR="008740B0">
              <w:rPr>
                <w:noProof/>
                <w:webHidden/>
              </w:rPr>
              <w:fldChar w:fldCharType="begin"/>
            </w:r>
            <w:r w:rsidR="008740B0">
              <w:rPr>
                <w:noProof/>
                <w:webHidden/>
              </w:rPr>
              <w:instrText xml:space="preserve"> PAGEREF _Toc468963689 \h </w:instrText>
            </w:r>
            <w:r w:rsidR="008740B0">
              <w:rPr>
                <w:noProof/>
                <w:webHidden/>
              </w:rPr>
            </w:r>
            <w:r w:rsidR="008740B0">
              <w:rPr>
                <w:noProof/>
                <w:webHidden/>
              </w:rPr>
              <w:fldChar w:fldCharType="separate"/>
            </w:r>
            <w:r>
              <w:rPr>
                <w:noProof/>
                <w:webHidden/>
              </w:rPr>
              <w:t>1</w:t>
            </w:r>
            <w:r w:rsidR="008740B0">
              <w:rPr>
                <w:noProof/>
                <w:webHidden/>
              </w:rPr>
              <w:fldChar w:fldCharType="end"/>
            </w:r>
          </w:hyperlink>
        </w:p>
        <w:p w:rsidR="008740B0" w:rsidRDefault="00D719F4">
          <w:pPr>
            <w:pStyle w:val="TOC2"/>
            <w:tabs>
              <w:tab w:val="right" w:leader="dot" w:pos="8486"/>
            </w:tabs>
            <w:rPr>
              <w:rFonts w:eastAsiaTheme="minorEastAsia" w:cstheme="minorBidi"/>
              <w:noProof/>
              <w:sz w:val="22"/>
              <w:szCs w:val="22"/>
              <w:lang w:bidi="ar-SA"/>
            </w:rPr>
          </w:pPr>
          <w:hyperlink w:anchor="_Toc468963690" w:history="1">
            <w:r w:rsidR="008740B0" w:rsidRPr="00096D1B">
              <w:rPr>
                <w:rStyle w:val="Hyperlink"/>
                <w:noProof/>
              </w:rPr>
              <w:t>Ovarian Cancer</w:t>
            </w:r>
            <w:r w:rsidR="008740B0">
              <w:rPr>
                <w:noProof/>
                <w:webHidden/>
              </w:rPr>
              <w:tab/>
            </w:r>
            <w:r w:rsidR="008740B0">
              <w:rPr>
                <w:noProof/>
                <w:webHidden/>
              </w:rPr>
              <w:fldChar w:fldCharType="begin"/>
            </w:r>
            <w:r w:rsidR="008740B0">
              <w:rPr>
                <w:noProof/>
                <w:webHidden/>
              </w:rPr>
              <w:instrText xml:space="preserve"> PAGEREF _Toc468963690 \h </w:instrText>
            </w:r>
            <w:r w:rsidR="008740B0">
              <w:rPr>
                <w:noProof/>
                <w:webHidden/>
              </w:rPr>
            </w:r>
            <w:r w:rsidR="008740B0">
              <w:rPr>
                <w:noProof/>
                <w:webHidden/>
              </w:rPr>
              <w:fldChar w:fldCharType="separate"/>
            </w:r>
            <w:r>
              <w:rPr>
                <w:noProof/>
                <w:webHidden/>
              </w:rPr>
              <w:t>1</w:t>
            </w:r>
            <w:r w:rsidR="008740B0">
              <w:rPr>
                <w:noProof/>
                <w:webHidden/>
              </w:rPr>
              <w:fldChar w:fldCharType="end"/>
            </w:r>
          </w:hyperlink>
        </w:p>
        <w:p w:rsidR="008740B0" w:rsidRDefault="00D719F4">
          <w:pPr>
            <w:pStyle w:val="TOC2"/>
            <w:tabs>
              <w:tab w:val="right" w:leader="dot" w:pos="8486"/>
            </w:tabs>
            <w:rPr>
              <w:rFonts w:eastAsiaTheme="minorEastAsia" w:cstheme="minorBidi"/>
              <w:noProof/>
              <w:sz w:val="22"/>
              <w:szCs w:val="22"/>
              <w:lang w:bidi="ar-SA"/>
            </w:rPr>
          </w:pPr>
          <w:hyperlink w:anchor="_Toc468963691" w:history="1">
            <w:r w:rsidR="008740B0" w:rsidRPr="00096D1B">
              <w:rPr>
                <w:rStyle w:val="Hyperlink"/>
                <w:noProof/>
              </w:rPr>
              <w:t>Evaluating early response to chemotherapy drugs</w:t>
            </w:r>
            <w:r w:rsidR="008740B0">
              <w:rPr>
                <w:noProof/>
                <w:webHidden/>
              </w:rPr>
              <w:tab/>
            </w:r>
            <w:r w:rsidR="008740B0">
              <w:rPr>
                <w:noProof/>
                <w:webHidden/>
              </w:rPr>
              <w:fldChar w:fldCharType="begin"/>
            </w:r>
            <w:r w:rsidR="008740B0">
              <w:rPr>
                <w:noProof/>
                <w:webHidden/>
              </w:rPr>
              <w:instrText xml:space="preserve"> PAGEREF _Toc468963691 \h </w:instrText>
            </w:r>
            <w:r w:rsidR="008740B0">
              <w:rPr>
                <w:noProof/>
                <w:webHidden/>
              </w:rPr>
            </w:r>
            <w:r w:rsidR="008740B0">
              <w:rPr>
                <w:noProof/>
                <w:webHidden/>
              </w:rPr>
              <w:fldChar w:fldCharType="separate"/>
            </w:r>
            <w:r>
              <w:rPr>
                <w:noProof/>
                <w:webHidden/>
              </w:rPr>
              <w:t>2</w:t>
            </w:r>
            <w:r w:rsidR="008740B0">
              <w:rPr>
                <w:noProof/>
                <w:webHidden/>
              </w:rPr>
              <w:fldChar w:fldCharType="end"/>
            </w:r>
          </w:hyperlink>
        </w:p>
        <w:p w:rsidR="008740B0" w:rsidRDefault="00D719F4">
          <w:pPr>
            <w:pStyle w:val="TOC2"/>
            <w:tabs>
              <w:tab w:val="right" w:leader="dot" w:pos="8486"/>
            </w:tabs>
            <w:rPr>
              <w:rFonts w:eastAsiaTheme="minorEastAsia" w:cstheme="minorBidi"/>
              <w:noProof/>
              <w:sz w:val="22"/>
              <w:szCs w:val="22"/>
              <w:lang w:bidi="ar-SA"/>
            </w:rPr>
          </w:pPr>
          <w:hyperlink w:anchor="_Toc468963692" w:history="1">
            <w:r w:rsidR="008740B0" w:rsidRPr="00096D1B">
              <w:rPr>
                <w:rStyle w:val="Hyperlink"/>
                <w:noProof/>
              </w:rPr>
              <w:t>Radiographic imaging</w:t>
            </w:r>
            <w:r w:rsidR="008740B0">
              <w:rPr>
                <w:noProof/>
                <w:webHidden/>
              </w:rPr>
              <w:tab/>
            </w:r>
            <w:r w:rsidR="008740B0">
              <w:rPr>
                <w:noProof/>
                <w:webHidden/>
              </w:rPr>
              <w:fldChar w:fldCharType="begin"/>
            </w:r>
            <w:r w:rsidR="008740B0">
              <w:rPr>
                <w:noProof/>
                <w:webHidden/>
              </w:rPr>
              <w:instrText xml:space="preserve"> PAGEREF _Toc468963692 \h </w:instrText>
            </w:r>
            <w:r w:rsidR="008740B0">
              <w:rPr>
                <w:noProof/>
                <w:webHidden/>
              </w:rPr>
            </w:r>
            <w:r w:rsidR="008740B0">
              <w:rPr>
                <w:noProof/>
                <w:webHidden/>
              </w:rPr>
              <w:fldChar w:fldCharType="separate"/>
            </w:r>
            <w:r>
              <w:rPr>
                <w:noProof/>
                <w:webHidden/>
              </w:rPr>
              <w:t>3</w:t>
            </w:r>
            <w:r w:rsidR="008740B0">
              <w:rPr>
                <w:noProof/>
                <w:webHidden/>
              </w:rPr>
              <w:fldChar w:fldCharType="end"/>
            </w:r>
          </w:hyperlink>
        </w:p>
        <w:p w:rsidR="008740B0" w:rsidRDefault="00D719F4">
          <w:pPr>
            <w:pStyle w:val="TOC2"/>
            <w:tabs>
              <w:tab w:val="right" w:leader="dot" w:pos="8486"/>
            </w:tabs>
            <w:rPr>
              <w:rFonts w:eastAsiaTheme="minorEastAsia" w:cstheme="minorBidi"/>
              <w:noProof/>
              <w:sz w:val="22"/>
              <w:szCs w:val="22"/>
              <w:lang w:bidi="ar-SA"/>
            </w:rPr>
          </w:pPr>
          <w:hyperlink w:anchor="_Toc468963693" w:history="1">
            <w:r w:rsidR="008740B0" w:rsidRPr="00096D1B">
              <w:rPr>
                <w:rStyle w:val="Hyperlink"/>
                <w:noProof/>
              </w:rPr>
              <w:t>RECIST guidelines</w:t>
            </w:r>
            <w:r w:rsidR="008740B0">
              <w:rPr>
                <w:noProof/>
                <w:webHidden/>
              </w:rPr>
              <w:tab/>
            </w:r>
            <w:r w:rsidR="008740B0">
              <w:rPr>
                <w:noProof/>
                <w:webHidden/>
              </w:rPr>
              <w:fldChar w:fldCharType="begin"/>
            </w:r>
            <w:r w:rsidR="008740B0">
              <w:rPr>
                <w:noProof/>
                <w:webHidden/>
              </w:rPr>
              <w:instrText xml:space="preserve"> PAGEREF _Toc468963693 \h </w:instrText>
            </w:r>
            <w:r w:rsidR="008740B0">
              <w:rPr>
                <w:noProof/>
                <w:webHidden/>
              </w:rPr>
            </w:r>
            <w:r w:rsidR="008740B0">
              <w:rPr>
                <w:noProof/>
                <w:webHidden/>
              </w:rPr>
              <w:fldChar w:fldCharType="separate"/>
            </w:r>
            <w:r>
              <w:rPr>
                <w:noProof/>
                <w:webHidden/>
              </w:rPr>
              <w:t>3</w:t>
            </w:r>
            <w:r w:rsidR="008740B0">
              <w:rPr>
                <w:noProof/>
                <w:webHidden/>
              </w:rPr>
              <w:fldChar w:fldCharType="end"/>
            </w:r>
          </w:hyperlink>
        </w:p>
        <w:p w:rsidR="008740B0" w:rsidRDefault="00D719F4">
          <w:pPr>
            <w:pStyle w:val="TOC2"/>
            <w:tabs>
              <w:tab w:val="right" w:leader="dot" w:pos="8486"/>
            </w:tabs>
            <w:rPr>
              <w:rFonts w:eastAsiaTheme="minorEastAsia" w:cstheme="minorBidi"/>
              <w:noProof/>
              <w:sz w:val="22"/>
              <w:szCs w:val="22"/>
              <w:lang w:bidi="ar-SA"/>
            </w:rPr>
          </w:pPr>
          <w:hyperlink w:anchor="_Toc468963694" w:history="1">
            <w:r w:rsidR="008740B0" w:rsidRPr="00096D1B">
              <w:rPr>
                <w:rStyle w:val="Hyperlink"/>
                <w:noProof/>
              </w:rPr>
              <w:t>Radiologist assessment</w:t>
            </w:r>
            <w:r w:rsidR="008740B0">
              <w:rPr>
                <w:noProof/>
                <w:webHidden/>
              </w:rPr>
              <w:tab/>
            </w:r>
            <w:r w:rsidR="008740B0">
              <w:rPr>
                <w:noProof/>
                <w:webHidden/>
              </w:rPr>
              <w:fldChar w:fldCharType="begin"/>
            </w:r>
            <w:r w:rsidR="008740B0">
              <w:rPr>
                <w:noProof/>
                <w:webHidden/>
              </w:rPr>
              <w:instrText xml:space="preserve"> PAGEREF _Toc468963694 \h </w:instrText>
            </w:r>
            <w:r w:rsidR="008740B0">
              <w:rPr>
                <w:noProof/>
                <w:webHidden/>
              </w:rPr>
            </w:r>
            <w:r w:rsidR="008740B0">
              <w:rPr>
                <w:noProof/>
                <w:webHidden/>
              </w:rPr>
              <w:fldChar w:fldCharType="separate"/>
            </w:r>
            <w:r>
              <w:rPr>
                <w:noProof/>
                <w:webHidden/>
              </w:rPr>
              <w:t>4</w:t>
            </w:r>
            <w:r w:rsidR="008740B0">
              <w:rPr>
                <w:noProof/>
                <w:webHidden/>
              </w:rPr>
              <w:fldChar w:fldCharType="end"/>
            </w:r>
          </w:hyperlink>
        </w:p>
        <w:p w:rsidR="008740B0" w:rsidRDefault="00D719F4">
          <w:pPr>
            <w:pStyle w:val="TOC2"/>
            <w:tabs>
              <w:tab w:val="right" w:leader="dot" w:pos="8486"/>
            </w:tabs>
            <w:rPr>
              <w:rFonts w:eastAsiaTheme="minorEastAsia" w:cstheme="minorBidi"/>
              <w:noProof/>
              <w:sz w:val="22"/>
              <w:szCs w:val="22"/>
              <w:lang w:bidi="ar-SA"/>
            </w:rPr>
          </w:pPr>
          <w:hyperlink w:anchor="_Toc468963695" w:history="1">
            <w:r w:rsidR="008740B0" w:rsidRPr="00096D1B">
              <w:rPr>
                <w:rStyle w:val="Hyperlink"/>
                <w:noProof/>
              </w:rPr>
              <w:t>Computer Aided Detection (CAD) scheme</w:t>
            </w:r>
            <w:r w:rsidR="008740B0">
              <w:rPr>
                <w:noProof/>
                <w:webHidden/>
              </w:rPr>
              <w:tab/>
            </w:r>
            <w:r w:rsidR="008740B0">
              <w:rPr>
                <w:noProof/>
                <w:webHidden/>
              </w:rPr>
              <w:fldChar w:fldCharType="begin"/>
            </w:r>
            <w:r w:rsidR="008740B0">
              <w:rPr>
                <w:noProof/>
                <w:webHidden/>
              </w:rPr>
              <w:instrText xml:space="preserve"> PAGEREF _Toc468963695 \h </w:instrText>
            </w:r>
            <w:r w:rsidR="008740B0">
              <w:rPr>
                <w:noProof/>
                <w:webHidden/>
              </w:rPr>
            </w:r>
            <w:r w:rsidR="008740B0">
              <w:rPr>
                <w:noProof/>
                <w:webHidden/>
              </w:rPr>
              <w:fldChar w:fldCharType="separate"/>
            </w:r>
            <w:r>
              <w:rPr>
                <w:noProof/>
                <w:webHidden/>
              </w:rPr>
              <w:t>4</w:t>
            </w:r>
            <w:r w:rsidR="008740B0">
              <w:rPr>
                <w:noProof/>
                <w:webHidden/>
              </w:rPr>
              <w:fldChar w:fldCharType="end"/>
            </w:r>
          </w:hyperlink>
        </w:p>
        <w:p w:rsidR="008740B0" w:rsidRDefault="00D719F4">
          <w:pPr>
            <w:pStyle w:val="TOC1"/>
            <w:tabs>
              <w:tab w:val="right" w:leader="dot" w:pos="8486"/>
            </w:tabs>
            <w:rPr>
              <w:rFonts w:eastAsiaTheme="minorEastAsia" w:cstheme="minorBidi"/>
              <w:noProof/>
              <w:sz w:val="22"/>
              <w:szCs w:val="22"/>
              <w:lang w:bidi="ar-SA"/>
            </w:rPr>
          </w:pPr>
          <w:hyperlink w:anchor="_Toc468963696" w:history="1">
            <w:r w:rsidR="008740B0" w:rsidRPr="00096D1B">
              <w:rPr>
                <w:rStyle w:val="Hyperlink"/>
                <w:noProof/>
              </w:rPr>
              <w:t>Chapter 2: Materials</w:t>
            </w:r>
            <w:r w:rsidR="008740B0">
              <w:rPr>
                <w:noProof/>
                <w:webHidden/>
              </w:rPr>
              <w:tab/>
            </w:r>
            <w:r w:rsidR="008740B0">
              <w:rPr>
                <w:noProof/>
                <w:webHidden/>
              </w:rPr>
              <w:fldChar w:fldCharType="begin"/>
            </w:r>
            <w:r w:rsidR="008740B0">
              <w:rPr>
                <w:noProof/>
                <w:webHidden/>
              </w:rPr>
              <w:instrText xml:space="preserve"> PAGEREF _Toc468963696 \h </w:instrText>
            </w:r>
            <w:r w:rsidR="008740B0">
              <w:rPr>
                <w:noProof/>
                <w:webHidden/>
              </w:rPr>
            </w:r>
            <w:r w:rsidR="008740B0">
              <w:rPr>
                <w:noProof/>
                <w:webHidden/>
              </w:rPr>
              <w:fldChar w:fldCharType="separate"/>
            </w:r>
            <w:r>
              <w:rPr>
                <w:noProof/>
                <w:webHidden/>
              </w:rPr>
              <w:t>6</w:t>
            </w:r>
            <w:r w:rsidR="008740B0">
              <w:rPr>
                <w:noProof/>
                <w:webHidden/>
              </w:rPr>
              <w:fldChar w:fldCharType="end"/>
            </w:r>
          </w:hyperlink>
        </w:p>
        <w:p w:rsidR="008740B0" w:rsidRDefault="00D719F4">
          <w:pPr>
            <w:pStyle w:val="TOC2"/>
            <w:tabs>
              <w:tab w:val="right" w:leader="dot" w:pos="8486"/>
            </w:tabs>
            <w:rPr>
              <w:rFonts w:eastAsiaTheme="minorEastAsia" w:cstheme="minorBidi"/>
              <w:noProof/>
              <w:sz w:val="22"/>
              <w:szCs w:val="22"/>
              <w:lang w:bidi="ar-SA"/>
            </w:rPr>
          </w:pPr>
          <w:hyperlink w:anchor="_Toc468963697" w:history="1">
            <w:r w:rsidR="008740B0" w:rsidRPr="00096D1B">
              <w:rPr>
                <w:rStyle w:val="Hyperlink"/>
                <w:noProof/>
              </w:rPr>
              <w:t>Image dataset</w:t>
            </w:r>
            <w:r w:rsidR="008740B0">
              <w:rPr>
                <w:noProof/>
                <w:webHidden/>
              </w:rPr>
              <w:tab/>
            </w:r>
            <w:r w:rsidR="008740B0">
              <w:rPr>
                <w:noProof/>
                <w:webHidden/>
              </w:rPr>
              <w:fldChar w:fldCharType="begin"/>
            </w:r>
            <w:r w:rsidR="008740B0">
              <w:rPr>
                <w:noProof/>
                <w:webHidden/>
              </w:rPr>
              <w:instrText xml:space="preserve"> PAGEREF _Toc468963697 \h </w:instrText>
            </w:r>
            <w:r w:rsidR="008740B0">
              <w:rPr>
                <w:noProof/>
                <w:webHidden/>
              </w:rPr>
            </w:r>
            <w:r w:rsidR="008740B0">
              <w:rPr>
                <w:noProof/>
                <w:webHidden/>
              </w:rPr>
              <w:fldChar w:fldCharType="separate"/>
            </w:r>
            <w:r>
              <w:rPr>
                <w:noProof/>
                <w:webHidden/>
              </w:rPr>
              <w:t>6</w:t>
            </w:r>
            <w:r w:rsidR="008740B0">
              <w:rPr>
                <w:noProof/>
                <w:webHidden/>
              </w:rPr>
              <w:fldChar w:fldCharType="end"/>
            </w:r>
          </w:hyperlink>
        </w:p>
        <w:p w:rsidR="008740B0" w:rsidRDefault="00D719F4">
          <w:pPr>
            <w:pStyle w:val="TOC1"/>
            <w:tabs>
              <w:tab w:val="right" w:leader="dot" w:pos="8486"/>
            </w:tabs>
            <w:rPr>
              <w:rFonts w:eastAsiaTheme="minorEastAsia" w:cstheme="minorBidi"/>
              <w:noProof/>
              <w:sz w:val="22"/>
              <w:szCs w:val="22"/>
              <w:lang w:bidi="ar-SA"/>
            </w:rPr>
          </w:pPr>
          <w:hyperlink w:anchor="_Toc468963698" w:history="1">
            <w:r w:rsidR="008740B0" w:rsidRPr="00096D1B">
              <w:rPr>
                <w:rStyle w:val="Hyperlink"/>
                <w:noProof/>
              </w:rPr>
              <w:t>Chapter 3: Quantitative image features analysis</w:t>
            </w:r>
            <w:r w:rsidR="008740B0">
              <w:rPr>
                <w:noProof/>
                <w:webHidden/>
              </w:rPr>
              <w:tab/>
            </w:r>
            <w:r w:rsidR="008740B0">
              <w:rPr>
                <w:noProof/>
                <w:webHidden/>
              </w:rPr>
              <w:fldChar w:fldCharType="begin"/>
            </w:r>
            <w:r w:rsidR="008740B0">
              <w:rPr>
                <w:noProof/>
                <w:webHidden/>
              </w:rPr>
              <w:instrText xml:space="preserve"> PAGEREF _Toc468963698 \h </w:instrText>
            </w:r>
            <w:r w:rsidR="008740B0">
              <w:rPr>
                <w:noProof/>
                <w:webHidden/>
              </w:rPr>
            </w:r>
            <w:r w:rsidR="008740B0">
              <w:rPr>
                <w:noProof/>
                <w:webHidden/>
              </w:rPr>
              <w:fldChar w:fldCharType="separate"/>
            </w:r>
            <w:r>
              <w:rPr>
                <w:noProof/>
                <w:webHidden/>
              </w:rPr>
              <w:t>8</w:t>
            </w:r>
            <w:r w:rsidR="008740B0">
              <w:rPr>
                <w:noProof/>
                <w:webHidden/>
              </w:rPr>
              <w:fldChar w:fldCharType="end"/>
            </w:r>
          </w:hyperlink>
        </w:p>
        <w:p w:rsidR="008740B0" w:rsidRDefault="00D719F4">
          <w:pPr>
            <w:pStyle w:val="TOC2"/>
            <w:tabs>
              <w:tab w:val="right" w:leader="dot" w:pos="8486"/>
            </w:tabs>
            <w:rPr>
              <w:rFonts w:eastAsiaTheme="minorEastAsia" w:cstheme="minorBidi"/>
              <w:noProof/>
              <w:sz w:val="22"/>
              <w:szCs w:val="22"/>
              <w:lang w:bidi="ar-SA"/>
            </w:rPr>
          </w:pPr>
          <w:hyperlink w:anchor="_Toc468963699" w:history="1">
            <w:r w:rsidR="008740B0" w:rsidRPr="00096D1B">
              <w:rPr>
                <w:rStyle w:val="Hyperlink"/>
                <w:noProof/>
              </w:rPr>
              <w:t>Segmentation methods</w:t>
            </w:r>
            <w:r w:rsidR="008740B0">
              <w:rPr>
                <w:noProof/>
                <w:webHidden/>
              </w:rPr>
              <w:tab/>
            </w:r>
            <w:r w:rsidR="008740B0">
              <w:rPr>
                <w:noProof/>
                <w:webHidden/>
              </w:rPr>
              <w:fldChar w:fldCharType="begin"/>
            </w:r>
            <w:r w:rsidR="008740B0">
              <w:rPr>
                <w:noProof/>
                <w:webHidden/>
              </w:rPr>
              <w:instrText xml:space="preserve"> PAGEREF _Toc468963699 \h </w:instrText>
            </w:r>
            <w:r w:rsidR="008740B0">
              <w:rPr>
                <w:noProof/>
                <w:webHidden/>
              </w:rPr>
            </w:r>
            <w:r w:rsidR="008740B0">
              <w:rPr>
                <w:noProof/>
                <w:webHidden/>
              </w:rPr>
              <w:fldChar w:fldCharType="separate"/>
            </w:r>
            <w:r>
              <w:rPr>
                <w:noProof/>
                <w:webHidden/>
              </w:rPr>
              <w:t>8</w:t>
            </w:r>
            <w:r w:rsidR="008740B0">
              <w:rPr>
                <w:noProof/>
                <w:webHidden/>
              </w:rPr>
              <w:fldChar w:fldCharType="end"/>
            </w:r>
          </w:hyperlink>
        </w:p>
        <w:p w:rsidR="008740B0" w:rsidRDefault="00D719F4">
          <w:pPr>
            <w:pStyle w:val="TOC3"/>
            <w:tabs>
              <w:tab w:val="right" w:leader="dot" w:pos="8486"/>
            </w:tabs>
            <w:rPr>
              <w:noProof/>
              <w:lang w:eastAsia="en-US"/>
            </w:rPr>
          </w:pPr>
          <w:hyperlink w:anchor="_Toc468963700" w:history="1">
            <w:r w:rsidR="008740B0" w:rsidRPr="00096D1B">
              <w:rPr>
                <w:rStyle w:val="Hyperlink"/>
                <w:noProof/>
                <w:lang w:bidi="en-US"/>
              </w:rPr>
              <w:t>Region growing methods</w:t>
            </w:r>
            <w:r w:rsidR="008740B0">
              <w:rPr>
                <w:noProof/>
                <w:webHidden/>
              </w:rPr>
              <w:tab/>
            </w:r>
            <w:r w:rsidR="008740B0">
              <w:rPr>
                <w:noProof/>
                <w:webHidden/>
              </w:rPr>
              <w:fldChar w:fldCharType="begin"/>
            </w:r>
            <w:r w:rsidR="008740B0">
              <w:rPr>
                <w:noProof/>
                <w:webHidden/>
              </w:rPr>
              <w:instrText xml:space="preserve"> PAGEREF _Toc468963700 \h </w:instrText>
            </w:r>
            <w:r w:rsidR="008740B0">
              <w:rPr>
                <w:noProof/>
                <w:webHidden/>
              </w:rPr>
            </w:r>
            <w:r w:rsidR="008740B0">
              <w:rPr>
                <w:noProof/>
                <w:webHidden/>
              </w:rPr>
              <w:fldChar w:fldCharType="separate"/>
            </w:r>
            <w:r>
              <w:rPr>
                <w:noProof/>
                <w:webHidden/>
              </w:rPr>
              <w:t>9</w:t>
            </w:r>
            <w:r w:rsidR="008740B0">
              <w:rPr>
                <w:noProof/>
                <w:webHidden/>
              </w:rPr>
              <w:fldChar w:fldCharType="end"/>
            </w:r>
          </w:hyperlink>
        </w:p>
        <w:p w:rsidR="008740B0" w:rsidRDefault="00D719F4">
          <w:pPr>
            <w:pStyle w:val="TOC3"/>
            <w:tabs>
              <w:tab w:val="right" w:leader="dot" w:pos="8486"/>
            </w:tabs>
            <w:rPr>
              <w:noProof/>
              <w:lang w:eastAsia="en-US"/>
            </w:rPr>
          </w:pPr>
          <w:hyperlink w:anchor="_Toc468963701" w:history="1">
            <w:r w:rsidR="008740B0" w:rsidRPr="00096D1B">
              <w:rPr>
                <w:rStyle w:val="Hyperlink"/>
                <w:noProof/>
                <w:lang w:bidi="en-US"/>
              </w:rPr>
              <w:t>Canny operator methods</w:t>
            </w:r>
            <w:r w:rsidR="008740B0">
              <w:rPr>
                <w:noProof/>
                <w:webHidden/>
              </w:rPr>
              <w:tab/>
            </w:r>
            <w:r w:rsidR="008740B0">
              <w:rPr>
                <w:noProof/>
                <w:webHidden/>
              </w:rPr>
              <w:fldChar w:fldCharType="begin"/>
            </w:r>
            <w:r w:rsidR="008740B0">
              <w:rPr>
                <w:noProof/>
                <w:webHidden/>
              </w:rPr>
              <w:instrText xml:space="preserve"> PAGEREF _Toc468963701 \h </w:instrText>
            </w:r>
            <w:r w:rsidR="008740B0">
              <w:rPr>
                <w:noProof/>
                <w:webHidden/>
              </w:rPr>
            </w:r>
            <w:r w:rsidR="008740B0">
              <w:rPr>
                <w:noProof/>
                <w:webHidden/>
              </w:rPr>
              <w:fldChar w:fldCharType="separate"/>
            </w:r>
            <w:r>
              <w:rPr>
                <w:noProof/>
                <w:webHidden/>
              </w:rPr>
              <w:t>9</w:t>
            </w:r>
            <w:r w:rsidR="008740B0">
              <w:rPr>
                <w:noProof/>
                <w:webHidden/>
              </w:rPr>
              <w:fldChar w:fldCharType="end"/>
            </w:r>
          </w:hyperlink>
        </w:p>
        <w:p w:rsidR="008740B0" w:rsidRDefault="00D719F4">
          <w:pPr>
            <w:pStyle w:val="TOC3"/>
            <w:tabs>
              <w:tab w:val="right" w:leader="dot" w:pos="8486"/>
            </w:tabs>
            <w:rPr>
              <w:noProof/>
              <w:lang w:eastAsia="en-US"/>
            </w:rPr>
          </w:pPr>
          <w:hyperlink w:anchor="_Toc468963702" w:history="1">
            <w:r w:rsidR="008740B0" w:rsidRPr="00096D1B">
              <w:rPr>
                <w:rStyle w:val="Hyperlink"/>
                <w:noProof/>
                <w:lang w:bidi="en-US"/>
              </w:rPr>
              <w:t>Partial differential equation methods</w:t>
            </w:r>
            <w:r w:rsidR="008740B0">
              <w:rPr>
                <w:noProof/>
                <w:webHidden/>
              </w:rPr>
              <w:tab/>
            </w:r>
            <w:r w:rsidR="008740B0">
              <w:rPr>
                <w:noProof/>
                <w:webHidden/>
              </w:rPr>
              <w:fldChar w:fldCharType="begin"/>
            </w:r>
            <w:r w:rsidR="008740B0">
              <w:rPr>
                <w:noProof/>
                <w:webHidden/>
              </w:rPr>
              <w:instrText xml:space="preserve"> PAGEREF _Toc468963702 \h </w:instrText>
            </w:r>
            <w:r w:rsidR="008740B0">
              <w:rPr>
                <w:noProof/>
                <w:webHidden/>
              </w:rPr>
            </w:r>
            <w:r w:rsidR="008740B0">
              <w:rPr>
                <w:noProof/>
                <w:webHidden/>
              </w:rPr>
              <w:fldChar w:fldCharType="separate"/>
            </w:r>
            <w:r>
              <w:rPr>
                <w:noProof/>
                <w:webHidden/>
              </w:rPr>
              <w:t>11</w:t>
            </w:r>
            <w:r w:rsidR="008740B0">
              <w:rPr>
                <w:noProof/>
                <w:webHidden/>
              </w:rPr>
              <w:fldChar w:fldCharType="end"/>
            </w:r>
          </w:hyperlink>
        </w:p>
        <w:p w:rsidR="008740B0" w:rsidRDefault="00D719F4">
          <w:pPr>
            <w:pStyle w:val="TOC2"/>
            <w:tabs>
              <w:tab w:val="right" w:leader="dot" w:pos="8486"/>
            </w:tabs>
            <w:rPr>
              <w:rFonts w:eastAsiaTheme="minorEastAsia" w:cstheme="minorBidi"/>
              <w:noProof/>
              <w:sz w:val="22"/>
              <w:szCs w:val="22"/>
              <w:lang w:bidi="ar-SA"/>
            </w:rPr>
          </w:pPr>
          <w:hyperlink w:anchor="_Toc468963703" w:history="1">
            <w:r w:rsidR="008740B0" w:rsidRPr="00096D1B">
              <w:rPr>
                <w:rStyle w:val="Hyperlink"/>
                <w:noProof/>
              </w:rPr>
              <w:t>Shape/volume based features</w:t>
            </w:r>
            <w:r w:rsidR="008740B0">
              <w:rPr>
                <w:noProof/>
                <w:webHidden/>
              </w:rPr>
              <w:tab/>
            </w:r>
            <w:r w:rsidR="008740B0">
              <w:rPr>
                <w:noProof/>
                <w:webHidden/>
              </w:rPr>
              <w:fldChar w:fldCharType="begin"/>
            </w:r>
            <w:r w:rsidR="008740B0">
              <w:rPr>
                <w:noProof/>
                <w:webHidden/>
              </w:rPr>
              <w:instrText xml:space="preserve"> PAGEREF _Toc468963703 \h </w:instrText>
            </w:r>
            <w:r w:rsidR="008740B0">
              <w:rPr>
                <w:noProof/>
                <w:webHidden/>
              </w:rPr>
            </w:r>
            <w:r w:rsidR="008740B0">
              <w:rPr>
                <w:noProof/>
                <w:webHidden/>
              </w:rPr>
              <w:fldChar w:fldCharType="separate"/>
            </w:r>
            <w:r>
              <w:rPr>
                <w:noProof/>
                <w:webHidden/>
              </w:rPr>
              <w:t>13</w:t>
            </w:r>
            <w:r w:rsidR="008740B0">
              <w:rPr>
                <w:noProof/>
                <w:webHidden/>
              </w:rPr>
              <w:fldChar w:fldCharType="end"/>
            </w:r>
          </w:hyperlink>
        </w:p>
        <w:p w:rsidR="008740B0" w:rsidRDefault="00D719F4">
          <w:pPr>
            <w:pStyle w:val="TOC2"/>
            <w:tabs>
              <w:tab w:val="right" w:leader="dot" w:pos="8486"/>
            </w:tabs>
            <w:rPr>
              <w:rFonts w:eastAsiaTheme="minorEastAsia" w:cstheme="minorBidi"/>
              <w:noProof/>
              <w:sz w:val="22"/>
              <w:szCs w:val="22"/>
              <w:lang w:bidi="ar-SA"/>
            </w:rPr>
          </w:pPr>
          <w:hyperlink w:anchor="_Toc468963704" w:history="1">
            <w:r w:rsidR="008740B0" w:rsidRPr="00096D1B">
              <w:rPr>
                <w:rStyle w:val="Hyperlink"/>
                <w:noProof/>
              </w:rPr>
              <w:t>Density features</w:t>
            </w:r>
            <w:r w:rsidR="008740B0">
              <w:rPr>
                <w:noProof/>
                <w:webHidden/>
              </w:rPr>
              <w:tab/>
            </w:r>
            <w:r w:rsidR="008740B0">
              <w:rPr>
                <w:noProof/>
                <w:webHidden/>
              </w:rPr>
              <w:fldChar w:fldCharType="begin"/>
            </w:r>
            <w:r w:rsidR="008740B0">
              <w:rPr>
                <w:noProof/>
                <w:webHidden/>
              </w:rPr>
              <w:instrText xml:space="preserve"> PAGEREF _Toc468963704 \h </w:instrText>
            </w:r>
            <w:r w:rsidR="008740B0">
              <w:rPr>
                <w:noProof/>
                <w:webHidden/>
              </w:rPr>
            </w:r>
            <w:r w:rsidR="008740B0">
              <w:rPr>
                <w:noProof/>
                <w:webHidden/>
              </w:rPr>
              <w:fldChar w:fldCharType="separate"/>
            </w:r>
            <w:r>
              <w:rPr>
                <w:noProof/>
                <w:webHidden/>
              </w:rPr>
              <w:t>15</w:t>
            </w:r>
            <w:r w:rsidR="008740B0">
              <w:rPr>
                <w:noProof/>
                <w:webHidden/>
              </w:rPr>
              <w:fldChar w:fldCharType="end"/>
            </w:r>
          </w:hyperlink>
        </w:p>
        <w:p w:rsidR="008740B0" w:rsidRDefault="00D719F4">
          <w:pPr>
            <w:pStyle w:val="TOC2"/>
            <w:tabs>
              <w:tab w:val="right" w:leader="dot" w:pos="8486"/>
            </w:tabs>
            <w:rPr>
              <w:rFonts w:eastAsiaTheme="minorEastAsia" w:cstheme="minorBidi"/>
              <w:noProof/>
              <w:sz w:val="22"/>
              <w:szCs w:val="22"/>
              <w:lang w:bidi="ar-SA"/>
            </w:rPr>
          </w:pPr>
          <w:hyperlink w:anchor="_Toc468963705" w:history="1">
            <w:r w:rsidR="008740B0" w:rsidRPr="00096D1B">
              <w:rPr>
                <w:rStyle w:val="Hyperlink"/>
                <w:noProof/>
              </w:rPr>
              <w:t>Texture based features</w:t>
            </w:r>
            <w:r w:rsidR="008740B0">
              <w:rPr>
                <w:noProof/>
                <w:webHidden/>
              </w:rPr>
              <w:tab/>
            </w:r>
            <w:r w:rsidR="008740B0">
              <w:rPr>
                <w:noProof/>
                <w:webHidden/>
              </w:rPr>
              <w:fldChar w:fldCharType="begin"/>
            </w:r>
            <w:r w:rsidR="008740B0">
              <w:rPr>
                <w:noProof/>
                <w:webHidden/>
              </w:rPr>
              <w:instrText xml:space="preserve"> PAGEREF _Toc468963705 \h </w:instrText>
            </w:r>
            <w:r w:rsidR="008740B0">
              <w:rPr>
                <w:noProof/>
                <w:webHidden/>
              </w:rPr>
            </w:r>
            <w:r w:rsidR="008740B0">
              <w:rPr>
                <w:noProof/>
                <w:webHidden/>
              </w:rPr>
              <w:fldChar w:fldCharType="separate"/>
            </w:r>
            <w:r>
              <w:rPr>
                <w:noProof/>
                <w:webHidden/>
              </w:rPr>
              <w:t>17</w:t>
            </w:r>
            <w:r w:rsidR="008740B0">
              <w:rPr>
                <w:noProof/>
                <w:webHidden/>
              </w:rPr>
              <w:fldChar w:fldCharType="end"/>
            </w:r>
          </w:hyperlink>
        </w:p>
        <w:p w:rsidR="008740B0" w:rsidRDefault="00D719F4">
          <w:pPr>
            <w:pStyle w:val="TOC2"/>
            <w:tabs>
              <w:tab w:val="right" w:leader="dot" w:pos="8486"/>
            </w:tabs>
            <w:rPr>
              <w:rFonts w:eastAsiaTheme="minorEastAsia" w:cstheme="minorBidi"/>
              <w:noProof/>
              <w:sz w:val="22"/>
              <w:szCs w:val="22"/>
              <w:lang w:bidi="ar-SA"/>
            </w:rPr>
          </w:pPr>
          <w:hyperlink w:anchor="_Toc468963706" w:history="1">
            <w:r w:rsidR="008740B0" w:rsidRPr="00096D1B">
              <w:rPr>
                <w:rStyle w:val="Hyperlink"/>
                <w:noProof/>
              </w:rPr>
              <w:t>Wavelet features</w:t>
            </w:r>
            <w:r w:rsidR="008740B0">
              <w:rPr>
                <w:noProof/>
                <w:webHidden/>
              </w:rPr>
              <w:tab/>
            </w:r>
            <w:r w:rsidR="008740B0">
              <w:rPr>
                <w:noProof/>
                <w:webHidden/>
              </w:rPr>
              <w:fldChar w:fldCharType="begin"/>
            </w:r>
            <w:r w:rsidR="008740B0">
              <w:rPr>
                <w:noProof/>
                <w:webHidden/>
              </w:rPr>
              <w:instrText xml:space="preserve"> PAGEREF _Toc468963706 \h </w:instrText>
            </w:r>
            <w:r w:rsidR="008740B0">
              <w:rPr>
                <w:noProof/>
                <w:webHidden/>
              </w:rPr>
            </w:r>
            <w:r w:rsidR="008740B0">
              <w:rPr>
                <w:noProof/>
                <w:webHidden/>
              </w:rPr>
              <w:fldChar w:fldCharType="separate"/>
            </w:r>
            <w:r>
              <w:rPr>
                <w:noProof/>
                <w:webHidden/>
              </w:rPr>
              <w:t>19</w:t>
            </w:r>
            <w:r w:rsidR="008740B0">
              <w:rPr>
                <w:noProof/>
                <w:webHidden/>
              </w:rPr>
              <w:fldChar w:fldCharType="end"/>
            </w:r>
          </w:hyperlink>
        </w:p>
        <w:p w:rsidR="008740B0" w:rsidRDefault="00D719F4">
          <w:pPr>
            <w:pStyle w:val="TOC1"/>
            <w:tabs>
              <w:tab w:val="right" w:leader="dot" w:pos="8486"/>
            </w:tabs>
            <w:rPr>
              <w:rFonts w:eastAsiaTheme="minorEastAsia" w:cstheme="minorBidi"/>
              <w:noProof/>
              <w:sz w:val="22"/>
              <w:szCs w:val="22"/>
              <w:lang w:bidi="ar-SA"/>
            </w:rPr>
          </w:pPr>
          <w:hyperlink w:anchor="_Toc468963707" w:history="1">
            <w:r w:rsidR="008740B0" w:rsidRPr="00096D1B">
              <w:rPr>
                <w:rStyle w:val="Hyperlink"/>
                <w:noProof/>
              </w:rPr>
              <w:t>Chapter 4: Results</w:t>
            </w:r>
            <w:r w:rsidR="008740B0">
              <w:rPr>
                <w:noProof/>
                <w:webHidden/>
              </w:rPr>
              <w:tab/>
            </w:r>
            <w:r w:rsidR="008740B0">
              <w:rPr>
                <w:noProof/>
                <w:webHidden/>
              </w:rPr>
              <w:fldChar w:fldCharType="begin"/>
            </w:r>
            <w:r w:rsidR="008740B0">
              <w:rPr>
                <w:noProof/>
                <w:webHidden/>
              </w:rPr>
              <w:instrText xml:space="preserve"> PAGEREF _Toc468963707 \h </w:instrText>
            </w:r>
            <w:r w:rsidR="008740B0">
              <w:rPr>
                <w:noProof/>
                <w:webHidden/>
              </w:rPr>
            </w:r>
            <w:r w:rsidR="008740B0">
              <w:rPr>
                <w:noProof/>
                <w:webHidden/>
              </w:rPr>
              <w:fldChar w:fldCharType="separate"/>
            </w:r>
            <w:r>
              <w:rPr>
                <w:noProof/>
                <w:webHidden/>
              </w:rPr>
              <w:t>22</w:t>
            </w:r>
            <w:r w:rsidR="008740B0">
              <w:rPr>
                <w:noProof/>
                <w:webHidden/>
              </w:rPr>
              <w:fldChar w:fldCharType="end"/>
            </w:r>
          </w:hyperlink>
        </w:p>
        <w:p w:rsidR="008740B0" w:rsidRDefault="00D719F4">
          <w:pPr>
            <w:pStyle w:val="TOC2"/>
            <w:tabs>
              <w:tab w:val="right" w:leader="dot" w:pos="8486"/>
            </w:tabs>
            <w:rPr>
              <w:rFonts w:eastAsiaTheme="minorEastAsia" w:cstheme="minorBidi"/>
              <w:noProof/>
              <w:sz w:val="22"/>
              <w:szCs w:val="22"/>
              <w:lang w:bidi="ar-SA"/>
            </w:rPr>
          </w:pPr>
          <w:hyperlink w:anchor="_Toc468963708" w:history="1">
            <w:r w:rsidR="008740B0" w:rsidRPr="00096D1B">
              <w:rPr>
                <w:rStyle w:val="Hyperlink"/>
                <w:noProof/>
              </w:rPr>
              <w:t>Tumor segmentation results</w:t>
            </w:r>
            <w:r w:rsidR="008740B0">
              <w:rPr>
                <w:noProof/>
                <w:webHidden/>
              </w:rPr>
              <w:tab/>
            </w:r>
            <w:r w:rsidR="008740B0">
              <w:rPr>
                <w:noProof/>
                <w:webHidden/>
              </w:rPr>
              <w:fldChar w:fldCharType="begin"/>
            </w:r>
            <w:r w:rsidR="008740B0">
              <w:rPr>
                <w:noProof/>
                <w:webHidden/>
              </w:rPr>
              <w:instrText xml:space="preserve"> PAGEREF _Toc468963708 \h </w:instrText>
            </w:r>
            <w:r w:rsidR="008740B0">
              <w:rPr>
                <w:noProof/>
                <w:webHidden/>
              </w:rPr>
            </w:r>
            <w:r w:rsidR="008740B0">
              <w:rPr>
                <w:noProof/>
                <w:webHidden/>
              </w:rPr>
              <w:fldChar w:fldCharType="separate"/>
            </w:r>
            <w:r>
              <w:rPr>
                <w:noProof/>
                <w:webHidden/>
              </w:rPr>
              <w:t>22</w:t>
            </w:r>
            <w:r w:rsidR="008740B0">
              <w:rPr>
                <w:noProof/>
                <w:webHidden/>
              </w:rPr>
              <w:fldChar w:fldCharType="end"/>
            </w:r>
          </w:hyperlink>
        </w:p>
        <w:p w:rsidR="008740B0" w:rsidRDefault="00D719F4">
          <w:pPr>
            <w:pStyle w:val="TOC2"/>
            <w:tabs>
              <w:tab w:val="right" w:leader="dot" w:pos="8486"/>
            </w:tabs>
            <w:rPr>
              <w:rFonts w:eastAsiaTheme="minorEastAsia" w:cstheme="minorBidi"/>
              <w:noProof/>
              <w:sz w:val="22"/>
              <w:szCs w:val="22"/>
              <w:lang w:bidi="ar-SA"/>
            </w:rPr>
          </w:pPr>
          <w:hyperlink w:anchor="_Toc468963709" w:history="1">
            <w:r w:rsidR="008740B0" w:rsidRPr="00096D1B">
              <w:rPr>
                <w:rStyle w:val="Hyperlink"/>
                <w:noProof/>
              </w:rPr>
              <w:t>Quantitative image feature analysis results</w:t>
            </w:r>
            <w:r w:rsidR="008740B0">
              <w:rPr>
                <w:noProof/>
                <w:webHidden/>
              </w:rPr>
              <w:tab/>
            </w:r>
            <w:r w:rsidR="008740B0">
              <w:rPr>
                <w:noProof/>
                <w:webHidden/>
              </w:rPr>
              <w:fldChar w:fldCharType="begin"/>
            </w:r>
            <w:r w:rsidR="008740B0">
              <w:rPr>
                <w:noProof/>
                <w:webHidden/>
              </w:rPr>
              <w:instrText xml:space="preserve"> PAGEREF _Toc468963709 \h </w:instrText>
            </w:r>
            <w:r w:rsidR="008740B0">
              <w:rPr>
                <w:noProof/>
                <w:webHidden/>
              </w:rPr>
            </w:r>
            <w:r w:rsidR="008740B0">
              <w:rPr>
                <w:noProof/>
                <w:webHidden/>
              </w:rPr>
              <w:fldChar w:fldCharType="separate"/>
            </w:r>
            <w:r>
              <w:rPr>
                <w:noProof/>
                <w:webHidden/>
              </w:rPr>
              <w:t>23</w:t>
            </w:r>
            <w:r w:rsidR="008740B0">
              <w:rPr>
                <w:noProof/>
                <w:webHidden/>
              </w:rPr>
              <w:fldChar w:fldCharType="end"/>
            </w:r>
          </w:hyperlink>
        </w:p>
        <w:p w:rsidR="008740B0" w:rsidRDefault="00D719F4">
          <w:pPr>
            <w:pStyle w:val="TOC1"/>
            <w:tabs>
              <w:tab w:val="right" w:leader="dot" w:pos="8486"/>
            </w:tabs>
            <w:rPr>
              <w:rFonts w:eastAsiaTheme="minorEastAsia" w:cstheme="minorBidi"/>
              <w:noProof/>
              <w:sz w:val="22"/>
              <w:szCs w:val="22"/>
              <w:lang w:bidi="ar-SA"/>
            </w:rPr>
          </w:pPr>
          <w:hyperlink w:anchor="_Toc468963710" w:history="1">
            <w:r w:rsidR="008740B0" w:rsidRPr="00096D1B">
              <w:rPr>
                <w:rStyle w:val="Hyperlink"/>
                <w:noProof/>
              </w:rPr>
              <w:t>Chapter 5: Discussion</w:t>
            </w:r>
            <w:r w:rsidR="008740B0">
              <w:rPr>
                <w:noProof/>
                <w:webHidden/>
              </w:rPr>
              <w:tab/>
            </w:r>
            <w:r w:rsidR="008740B0">
              <w:rPr>
                <w:noProof/>
                <w:webHidden/>
              </w:rPr>
              <w:fldChar w:fldCharType="begin"/>
            </w:r>
            <w:r w:rsidR="008740B0">
              <w:rPr>
                <w:noProof/>
                <w:webHidden/>
              </w:rPr>
              <w:instrText xml:space="preserve"> PAGEREF _Toc468963710 \h </w:instrText>
            </w:r>
            <w:r w:rsidR="008740B0">
              <w:rPr>
                <w:noProof/>
                <w:webHidden/>
              </w:rPr>
            </w:r>
            <w:r w:rsidR="008740B0">
              <w:rPr>
                <w:noProof/>
                <w:webHidden/>
              </w:rPr>
              <w:fldChar w:fldCharType="separate"/>
            </w:r>
            <w:r>
              <w:rPr>
                <w:noProof/>
                <w:webHidden/>
              </w:rPr>
              <w:t>29</w:t>
            </w:r>
            <w:r w:rsidR="008740B0">
              <w:rPr>
                <w:noProof/>
                <w:webHidden/>
              </w:rPr>
              <w:fldChar w:fldCharType="end"/>
            </w:r>
          </w:hyperlink>
        </w:p>
        <w:p w:rsidR="008740B0" w:rsidRDefault="00D719F4">
          <w:pPr>
            <w:pStyle w:val="TOC1"/>
            <w:tabs>
              <w:tab w:val="right" w:leader="dot" w:pos="8486"/>
            </w:tabs>
            <w:rPr>
              <w:rFonts w:eastAsiaTheme="minorEastAsia" w:cstheme="minorBidi"/>
              <w:noProof/>
              <w:sz w:val="22"/>
              <w:szCs w:val="22"/>
              <w:lang w:bidi="ar-SA"/>
            </w:rPr>
          </w:pPr>
          <w:hyperlink w:anchor="_Toc468963711" w:history="1">
            <w:r w:rsidR="008740B0" w:rsidRPr="00096D1B">
              <w:rPr>
                <w:rStyle w:val="Hyperlink"/>
                <w:noProof/>
              </w:rPr>
              <w:t>References</w:t>
            </w:r>
            <w:r w:rsidR="008740B0">
              <w:rPr>
                <w:noProof/>
                <w:webHidden/>
              </w:rPr>
              <w:tab/>
            </w:r>
            <w:r w:rsidR="008740B0">
              <w:rPr>
                <w:noProof/>
                <w:webHidden/>
              </w:rPr>
              <w:fldChar w:fldCharType="begin"/>
            </w:r>
            <w:r w:rsidR="008740B0">
              <w:rPr>
                <w:noProof/>
                <w:webHidden/>
              </w:rPr>
              <w:instrText xml:space="preserve"> PAGEREF _Toc468963711 \h </w:instrText>
            </w:r>
            <w:r w:rsidR="008740B0">
              <w:rPr>
                <w:noProof/>
                <w:webHidden/>
              </w:rPr>
            </w:r>
            <w:r w:rsidR="008740B0">
              <w:rPr>
                <w:noProof/>
                <w:webHidden/>
              </w:rPr>
              <w:fldChar w:fldCharType="separate"/>
            </w:r>
            <w:r>
              <w:rPr>
                <w:noProof/>
                <w:webHidden/>
              </w:rPr>
              <w:t>34</w:t>
            </w:r>
            <w:r w:rsidR="008740B0">
              <w:rPr>
                <w:noProof/>
                <w:webHidden/>
              </w:rPr>
              <w:fldChar w:fldCharType="end"/>
            </w:r>
          </w:hyperlink>
        </w:p>
        <w:p w:rsidR="003F09B9" w:rsidRDefault="009647D4">
          <w:r>
            <w:rPr>
              <w:b/>
              <w:bCs/>
              <w:noProof/>
            </w:rPr>
            <w:fldChar w:fldCharType="end"/>
          </w:r>
        </w:p>
      </w:sdtContent>
    </w:sdt>
    <w:p w:rsidR="00445740" w:rsidRPr="00445740" w:rsidRDefault="00445740" w:rsidP="00445740"/>
    <w:p w:rsidR="00E80949" w:rsidRPr="00E80949" w:rsidRDefault="00E80949" w:rsidP="00E80949"/>
    <w:p w:rsidR="00E12FFD" w:rsidRDefault="00E12FFD" w:rsidP="0046190C">
      <w:pPr>
        <w:pStyle w:val="Heading1"/>
      </w:pPr>
    </w:p>
    <w:p w:rsidR="00E12FFD" w:rsidRDefault="00CA06EF" w:rsidP="00CA06EF">
      <w:pPr>
        <w:pStyle w:val="Heading1"/>
        <w:tabs>
          <w:tab w:val="clear" w:pos="720"/>
          <w:tab w:val="clear" w:pos="9540"/>
          <w:tab w:val="clear" w:pos="9900"/>
          <w:tab w:val="left" w:pos="3330"/>
        </w:tabs>
      </w:pPr>
      <w:r>
        <w:tab/>
      </w:r>
    </w:p>
    <w:p w:rsidR="00E12FFD" w:rsidRDefault="00E12FFD" w:rsidP="0046190C">
      <w:pPr>
        <w:pStyle w:val="Heading1"/>
      </w:pPr>
    </w:p>
    <w:p w:rsidR="00E12FFD" w:rsidRDefault="0001779B" w:rsidP="0001779B">
      <w:pPr>
        <w:pStyle w:val="Heading1"/>
        <w:tabs>
          <w:tab w:val="clear" w:pos="720"/>
          <w:tab w:val="clear" w:pos="9540"/>
          <w:tab w:val="clear" w:pos="9900"/>
          <w:tab w:val="left" w:pos="7481"/>
        </w:tabs>
      </w:pPr>
      <w:r>
        <w:tab/>
      </w:r>
    </w:p>
    <w:p w:rsidR="00E12FFD" w:rsidRDefault="00E12FFD" w:rsidP="0046190C">
      <w:pPr>
        <w:pStyle w:val="Heading1"/>
      </w:pPr>
    </w:p>
    <w:p w:rsidR="00E12FFD" w:rsidRDefault="00E12FFD" w:rsidP="0046190C">
      <w:pPr>
        <w:pStyle w:val="Heading1"/>
      </w:pPr>
    </w:p>
    <w:p w:rsidR="00E12FFD" w:rsidRDefault="00E12FFD" w:rsidP="0046190C">
      <w:pPr>
        <w:pStyle w:val="Heading1"/>
      </w:pPr>
    </w:p>
    <w:p w:rsidR="00E12FFD" w:rsidRDefault="00E12FFD" w:rsidP="0046190C">
      <w:pPr>
        <w:pStyle w:val="Heading1"/>
      </w:pPr>
    </w:p>
    <w:p w:rsidR="00E12FFD" w:rsidRDefault="00E12FFD" w:rsidP="0046190C">
      <w:pPr>
        <w:pStyle w:val="Heading1"/>
      </w:pPr>
    </w:p>
    <w:p w:rsidR="00DD75D6" w:rsidRDefault="00DD75D6" w:rsidP="00DD75D6"/>
    <w:p w:rsidR="008740B0" w:rsidRPr="00DD75D6" w:rsidRDefault="008740B0" w:rsidP="00DD75D6"/>
    <w:p w:rsidR="0059615F" w:rsidRDefault="0059615F" w:rsidP="0046190C">
      <w:pPr>
        <w:pStyle w:val="Heading1"/>
      </w:pPr>
      <w:bookmarkStart w:id="1" w:name="_Toc468963686"/>
      <w:r>
        <w:lastRenderedPageBreak/>
        <w:t>List of Tables</w:t>
      </w:r>
      <w:bookmarkEnd w:id="1"/>
    </w:p>
    <w:p w:rsidR="00CF2AB3" w:rsidRDefault="009647D4">
      <w:pPr>
        <w:pStyle w:val="TableofFigures"/>
        <w:tabs>
          <w:tab w:val="right" w:leader="dot" w:pos="8486"/>
        </w:tabs>
        <w:rPr>
          <w:rFonts w:cstheme="minorBidi"/>
          <w:noProof/>
          <w:sz w:val="22"/>
          <w:szCs w:val="22"/>
          <w:lang w:bidi="ar-SA"/>
        </w:rPr>
      </w:pPr>
      <w:r>
        <w:fldChar w:fldCharType="begin"/>
      </w:r>
      <w:r w:rsidR="004D2D4B">
        <w:instrText xml:space="preserve"> TOC \h \z \c "Table" </w:instrText>
      </w:r>
      <w:r>
        <w:fldChar w:fldCharType="separate"/>
      </w:r>
      <w:hyperlink w:anchor="_Toc467168344" w:history="1">
        <w:r w:rsidR="00CF2AB3" w:rsidRPr="00562191">
          <w:rPr>
            <w:rStyle w:val="Hyperlink"/>
            <w:noProof/>
          </w:rPr>
          <w:t>Table 1: Detailed information about patients separated by PFS</w:t>
        </w:r>
        <w:r w:rsidR="00CF2AB3">
          <w:rPr>
            <w:noProof/>
            <w:webHidden/>
          </w:rPr>
          <w:tab/>
        </w:r>
        <w:r>
          <w:rPr>
            <w:noProof/>
            <w:webHidden/>
          </w:rPr>
          <w:fldChar w:fldCharType="begin"/>
        </w:r>
        <w:r w:rsidR="00CF2AB3">
          <w:rPr>
            <w:noProof/>
            <w:webHidden/>
          </w:rPr>
          <w:instrText xml:space="preserve"> PAGEREF _Toc467168344 \h </w:instrText>
        </w:r>
        <w:r>
          <w:rPr>
            <w:noProof/>
            <w:webHidden/>
          </w:rPr>
        </w:r>
        <w:r>
          <w:rPr>
            <w:noProof/>
            <w:webHidden/>
          </w:rPr>
          <w:fldChar w:fldCharType="separate"/>
        </w:r>
        <w:r w:rsidR="00D719F4">
          <w:rPr>
            <w:noProof/>
            <w:webHidden/>
          </w:rPr>
          <w:t>7</w:t>
        </w:r>
        <w:r>
          <w:rPr>
            <w:noProof/>
            <w:webHidden/>
          </w:rPr>
          <w:fldChar w:fldCharType="end"/>
        </w:r>
      </w:hyperlink>
    </w:p>
    <w:p w:rsidR="00CF2AB3" w:rsidRDefault="00D719F4">
      <w:pPr>
        <w:pStyle w:val="TableofFigures"/>
        <w:tabs>
          <w:tab w:val="right" w:leader="dot" w:pos="8486"/>
        </w:tabs>
        <w:rPr>
          <w:rFonts w:cstheme="minorBidi"/>
          <w:noProof/>
          <w:sz w:val="22"/>
          <w:szCs w:val="22"/>
          <w:lang w:bidi="ar-SA"/>
        </w:rPr>
      </w:pPr>
      <w:hyperlink w:anchor="_Toc467168345" w:history="1">
        <w:r w:rsidR="00CF2AB3" w:rsidRPr="00562191">
          <w:rPr>
            <w:rStyle w:val="Hyperlink"/>
            <w:noProof/>
          </w:rPr>
          <w:t>Table 2: Summary of all the 159 features separated by their feature class</w:t>
        </w:r>
        <w:r w:rsidR="00CF2AB3">
          <w:rPr>
            <w:noProof/>
            <w:webHidden/>
          </w:rPr>
          <w:tab/>
        </w:r>
        <w:r w:rsidR="009647D4">
          <w:rPr>
            <w:noProof/>
            <w:webHidden/>
          </w:rPr>
          <w:fldChar w:fldCharType="begin"/>
        </w:r>
        <w:r w:rsidR="00CF2AB3">
          <w:rPr>
            <w:noProof/>
            <w:webHidden/>
          </w:rPr>
          <w:instrText xml:space="preserve"> PAGEREF _Toc467168345 \h </w:instrText>
        </w:r>
        <w:r w:rsidR="009647D4">
          <w:rPr>
            <w:noProof/>
            <w:webHidden/>
          </w:rPr>
        </w:r>
        <w:r w:rsidR="009647D4">
          <w:rPr>
            <w:noProof/>
            <w:webHidden/>
          </w:rPr>
          <w:fldChar w:fldCharType="separate"/>
        </w:r>
        <w:r>
          <w:rPr>
            <w:noProof/>
            <w:webHidden/>
          </w:rPr>
          <w:t>20</w:t>
        </w:r>
        <w:r w:rsidR="009647D4">
          <w:rPr>
            <w:noProof/>
            <w:webHidden/>
          </w:rPr>
          <w:fldChar w:fldCharType="end"/>
        </w:r>
      </w:hyperlink>
    </w:p>
    <w:p w:rsidR="00CF2AB3" w:rsidRDefault="00D719F4">
      <w:pPr>
        <w:pStyle w:val="TableofFigures"/>
        <w:tabs>
          <w:tab w:val="right" w:leader="dot" w:pos="8486"/>
        </w:tabs>
        <w:rPr>
          <w:rFonts w:cstheme="minorBidi"/>
          <w:noProof/>
          <w:sz w:val="22"/>
          <w:szCs w:val="22"/>
          <w:lang w:bidi="ar-SA"/>
        </w:rPr>
      </w:pPr>
      <w:hyperlink w:anchor="_Toc467168346" w:history="1">
        <w:r w:rsidR="00CF2AB3" w:rsidRPr="00562191">
          <w:rPr>
            <w:rStyle w:val="Hyperlink"/>
            <w:noProof/>
          </w:rPr>
          <w:t>Table 3: Summary of the eight segmenting result of the 138 metastatic tumors for the advanced stage ovarian cancer patients</w:t>
        </w:r>
        <w:r w:rsidR="00CF2AB3">
          <w:rPr>
            <w:noProof/>
            <w:webHidden/>
          </w:rPr>
          <w:tab/>
        </w:r>
        <w:r w:rsidR="009647D4">
          <w:rPr>
            <w:noProof/>
            <w:webHidden/>
          </w:rPr>
          <w:fldChar w:fldCharType="begin"/>
        </w:r>
        <w:r w:rsidR="00CF2AB3">
          <w:rPr>
            <w:noProof/>
            <w:webHidden/>
          </w:rPr>
          <w:instrText xml:space="preserve"> PAGEREF _Toc467168346 \h </w:instrText>
        </w:r>
        <w:r w:rsidR="009647D4">
          <w:rPr>
            <w:noProof/>
            <w:webHidden/>
          </w:rPr>
        </w:r>
        <w:r w:rsidR="009647D4">
          <w:rPr>
            <w:noProof/>
            <w:webHidden/>
          </w:rPr>
          <w:fldChar w:fldCharType="separate"/>
        </w:r>
        <w:r>
          <w:rPr>
            <w:noProof/>
            <w:webHidden/>
          </w:rPr>
          <w:t>22</w:t>
        </w:r>
        <w:r w:rsidR="009647D4">
          <w:rPr>
            <w:noProof/>
            <w:webHidden/>
          </w:rPr>
          <w:fldChar w:fldCharType="end"/>
        </w:r>
      </w:hyperlink>
    </w:p>
    <w:p w:rsidR="00CF2AB3" w:rsidRDefault="00D719F4">
      <w:pPr>
        <w:pStyle w:val="TableofFigures"/>
        <w:tabs>
          <w:tab w:val="right" w:leader="dot" w:pos="8486"/>
        </w:tabs>
        <w:rPr>
          <w:rFonts w:cstheme="minorBidi"/>
          <w:noProof/>
          <w:sz w:val="22"/>
          <w:szCs w:val="22"/>
          <w:lang w:bidi="ar-SA"/>
        </w:rPr>
      </w:pPr>
      <w:hyperlink w:anchor="_Toc467168347" w:history="1">
        <w:r w:rsidR="00CF2AB3" w:rsidRPr="00562191">
          <w:rPr>
            <w:rStyle w:val="Hyperlink"/>
            <w:noProof/>
          </w:rPr>
          <w:t>Table 4: Summary of top 20 features obtained using pretreatment CT images</w:t>
        </w:r>
        <w:r w:rsidR="00CF2AB3">
          <w:rPr>
            <w:noProof/>
            <w:webHidden/>
          </w:rPr>
          <w:tab/>
        </w:r>
        <w:r w:rsidR="009647D4">
          <w:rPr>
            <w:noProof/>
            <w:webHidden/>
          </w:rPr>
          <w:fldChar w:fldCharType="begin"/>
        </w:r>
        <w:r w:rsidR="00CF2AB3">
          <w:rPr>
            <w:noProof/>
            <w:webHidden/>
          </w:rPr>
          <w:instrText xml:space="preserve"> PAGEREF _Toc467168347 \h </w:instrText>
        </w:r>
        <w:r w:rsidR="009647D4">
          <w:rPr>
            <w:noProof/>
            <w:webHidden/>
          </w:rPr>
        </w:r>
        <w:r w:rsidR="009647D4">
          <w:rPr>
            <w:noProof/>
            <w:webHidden/>
          </w:rPr>
          <w:fldChar w:fldCharType="separate"/>
        </w:r>
        <w:r>
          <w:rPr>
            <w:noProof/>
            <w:webHidden/>
          </w:rPr>
          <w:t>25</w:t>
        </w:r>
        <w:r w:rsidR="009647D4">
          <w:rPr>
            <w:noProof/>
            <w:webHidden/>
          </w:rPr>
          <w:fldChar w:fldCharType="end"/>
        </w:r>
      </w:hyperlink>
    </w:p>
    <w:p w:rsidR="00CF2AB3" w:rsidRDefault="00D719F4">
      <w:pPr>
        <w:pStyle w:val="TableofFigures"/>
        <w:tabs>
          <w:tab w:val="right" w:leader="dot" w:pos="8486"/>
        </w:tabs>
        <w:rPr>
          <w:rFonts w:cstheme="minorBidi"/>
          <w:noProof/>
          <w:sz w:val="22"/>
          <w:szCs w:val="22"/>
          <w:lang w:bidi="ar-SA"/>
        </w:rPr>
      </w:pPr>
      <w:hyperlink w:anchor="_Toc467168348" w:history="1">
        <w:r w:rsidR="00CF2AB3" w:rsidRPr="00562191">
          <w:rPr>
            <w:rStyle w:val="Hyperlink"/>
            <w:noProof/>
          </w:rPr>
          <w:t>Table 5: Summary of top 20 features obtained using both pre and posttreatment CT images</w:t>
        </w:r>
        <w:r w:rsidR="00CF2AB3">
          <w:rPr>
            <w:noProof/>
            <w:webHidden/>
          </w:rPr>
          <w:tab/>
        </w:r>
        <w:r w:rsidR="009647D4">
          <w:rPr>
            <w:noProof/>
            <w:webHidden/>
          </w:rPr>
          <w:fldChar w:fldCharType="begin"/>
        </w:r>
        <w:r w:rsidR="00CF2AB3">
          <w:rPr>
            <w:noProof/>
            <w:webHidden/>
          </w:rPr>
          <w:instrText xml:space="preserve"> PAGEREF _Toc467168348 \h </w:instrText>
        </w:r>
        <w:r w:rsidR="009647D4">
          <w:rPr>
            <w:noProof/>
            <w:webHidden/>
          </w:rPr>
        </w:r>
        <w:r w:rsidR="009647D4">
          <w:rPr>
            <w:noProof/>
            <w:webHidden/>
          </w:rPr>
          <w:fldChar w:fldCharType="separate"/>
        </w:r>
        <w:r>
          <w:rPr>
            <w:noProof/>
            <w:webHidden/>
          </w:rPr>
          <w:t>25</w:t>
        </w:r>
        <w:r w:rsidR="009647D4">
          <w:rPr>
            <w:noProof/>
            <w:webHidden/>
          </w:rPr>
          <w:fldChar w:fldCharType="end"/>
        </w:r>
      </w:hyperlink>
    </w:p>
    <w:p w:rsidR="00CF2AB3" w:rsidRDefault="00D719F4">
      <w:pPr>
        <w:pStyle w:val="TableofFigures"/>
        <w:tabs>
          <w:tab w:val="right" w:leader="dot" w:pos="8486"/>
        </w:tabs>
        <w:rPr>
          <w:rFonts w:cstheme="minorBidi"/>
          <w:noProof/>
          <w:sz w:val="22"/>
          <w:szCs w:val="22"/>
          <w:lang w:bidi="ar-SA"/>
        </w:rPr>
      </w:pPr>
      <w:hyperlink w:anchor="_Toc467168349" w:history="1">
        <w:r w:rsidR="00CF2AB3" w:rsidRPr="00562191">
          <w:rPr>
            <w:rStyle w:val="Hyperlink"/>
            <w:noProof/>
          </w:rPr>
          <w:t>Table 6: A confusion matrix predicting 6-month PFS when fusing features obtained from pre-treatment CT images</w:t>
        </w:r>
        <w:r w:rsidR="00CF2AB3">
          <w:rPr>
            <w:noProof/>
            <w:webHidden/>
          </w:rPr>
          <w:tab/>
        </w:r>
        <w:r w:rsidR="009647D4">
          <w:rPr>
            <w:noProof/>
            <w:webHidden/>
          </w:rPr>
          <w:fldChar w:fldCharType="begin"/>
        </w:r>
        <w:r w:rsidR="00CF2AB3">
          <w:rPr>
            <w:noProof/>
            <w:webHidden/>
          </w:rPr>
          <w:instrText xml:space="preserve"> PAGEREF _Toc467168349 \h </w:instrText>
        </w:r>
        <w:r w:rsidR="009647D4">
          <w:rPr>
            <w:noProof/>
            <w:webHidden/>
          </w:rPr>
        </w:r>
        <w:r w:rsidR="009647D4">
          <w:rPr>
            <w:noProof/>
            <w:webHidden/>
          </w:rPr>
          <w:fldChar w:fldCharType="separate"/>
        </w:r>
        <w:r>
          <w:rPr>
            <w:noProof/>
            <w:webHidden/>
          </w:rPr>
          <w:t>28</w:t>
        </w:r>
        <w:r w:rsidR="009647D4">
          <w:rPr>
            <w:noProof/>
            <w:webHidden/>
          </w:rPr>
          <w:fldChar w:fldCharType="end"/>
        </w:r>
      </w:hyperlink>
    </w:p>
    <w:p w:rsidR="00CF2AB3" w:rsidRDefault="00D719F4">
      <w:pPr>
        <w:pStyle w:val="TableofFigures"/>
        <w:tabs>
          <w:tab w:val="right" w:leader="dot" w:pos="8486"/>
        </w:tabs>
        <w:rPr>
          <w:rFonts w:cstheme="minorBidi"/>
          <w:noProof/>
          <w:sz w:val="22"/>
          <w:szCs w:val="22"/>
          <w:lang w:bidi="ar-SA"/>
        </w:rPr>
      </w:pPr>
      <w:hyperlink w:anchor="_Toc467168350" w:history="1">
        <w:r w:rsidR="00CF2AB3" w:rsidRPr="00562191">
          <w:rPr>
            <w:rStyle w:val="Hyperlink"/>
            <w:noProof/>
          </w:rPr>
          <w:t>Table 7: A confusion matrix predicting 6-month PFS when fusing features obtained from both pre- and post-treatment CT images</w:t>
        </w:r>
        <w:r w:rsidR="00CF2AB3">
          <w:rPr>
            <w:noProof/>
            <w:webHidden/>
          </w:rPr>
          <w:tab/>
        </w:r>
        <w:r w:rsidR="009647D4">
          <w:rPr>
            <w:noProof/>
            <w:webHidden/>
          </w:rPr>
          <w:fldChar w:fldCharType="begin"/>
        </w:r>
        <w:r w:rsidR="00CF2AB3">
          <w:rPr>
            <w:noProof/>
            <w:webHidden/>
          </w:rPr>
          <w:instrText xml:space="preserve"> PAGEREF _Toc467168350 \h </w:instrText>
        </w:r>
        <w:r w:rsidR="009647D4">
          <w:rPr>
            <w:noProof/>
            <w:webHidden/>
          </w:rPr>
        </w:r>
        <w:r w:rsidR="009647D4">
          <w:rPr>
            <w:noProof/>
            <w:webHidden/>
          </w:rPr>
          <w:fldChar w:fldCharType="separate"/>
        </w:r>
        <w:r>
          <w:rPr>
            <w:noProof/>
            <w:webHidden/>
          </w:rPr>
          <w:t>28</w:t>
        </w:r>
        <w:r w:rsidR="009647D4">
          <w:rPr>
            <w:noProof/>
            <w:webHidden/>
          </w:rPr>
          <w:fldChar w:fldCharType="end"/>
        </w:r>
      </w:hyperlink>
    </w:p>
    <w:p w:rsidR="00CF2AB3" w:rsidRDefault="00D719F4">
      <w:pPr>
        <w:pStyle w:val="TableofFigures"/>
        <w:tabs>
          <w:tab w:val="right" w:leader="dot" w:pos="8486"/>
        </w:tabs>
        <w:rPr>
          <w:rFonts w:cstheme="minorBidi"/>
          <w:noProof/>
          <w:sz w:val="22"/>
          <w:szCs w:val="22"/>
          <w:lang w:bidi="ar-SA"/>
        </w:rPr>
      </w:pPr>
      <w:hyperlink w:anchor="_Toc467168351" w:history="1">
        <w:r w:rsidR="00CF2AB3" w:rsidRPr="00562191">
          <w:rPr>
            <w:rStyle w:val="Hyperlink"/>
            <w:noProof/>
          </w:rPr>
          <w:t>Table 8: A confusion matrix predicting 6-month PFS when using RECIST criteria</w:t>
        </w:r>
        <w:r w:rsidR="00CF2AB3">
          <w:rPr>
            <w:noProof/>
            <w:webHidden/>
          </w:rPr>
          <w:tab/>
        </w:r>
        <w:r w:rsidR="009647D4">
          <w:rPr>
            <w:noProof/>
            <w:webHidden/>
          </w:rPr>
          <w:fldChar w:fldCharType="begin"/>
        </w:r>
        <w:r w:rsidR="00CF2AB3">
          <w:rPr>
            <w:noProof/>
            <w:webHidden/>
          </w:rPr>
          <w:instrText xml:space="preserve"> PAGEREF _Toc467168351 \h </w:instrText>
        </w:r>
        <w:r w:rsidR="009647D4">
          <w:rPr>
            <w:noProof/>
            <w:webHidden/>
          </w:rPr>
        </w:r>
        <w:r w:rsidR="009647D4">
          <w:rPr>
            <w:noProof/>
            <w:webHidden/>
          </w:rPr>
          <w:fldChar w:fldCharType="separate"/>
        </w:r>
        <w:r>
          <w:rPr>
            <w:noProof/>
            <w:webHidden/>
          </w:rPr>
          <w:t>28</w:t>
        </w:r>
        <w:r w:rsidR="009647D4">
          <w:rPr>
            <w:noProof/>
            <w:webHidden/>
          </w:rPr>
          <w:fldChar w:fldCharType="end"/>
        </w:r>
      </w:hyperlink>
    </w:p>
    <w:p w:rsidR="004D2D4B" w:rsidRDefault="009647D4" w:rsidP="003A7EB0">
      <w:r>
        <w:fldChar w:fldCharType="end"/>
      </w:r>
    </w:p>
    <w:p w:rsidR="004D2D4B" w:rsidRDefault="004D2D4B" w:rsidP="003A7EB0"/>
    <w:p w:rsidR="004D2D4B" w:rsidRDefault="004D2D4B" w:rsidP="003A7EB0"/>
    <w:p w:rsidR="004D2D4B" w:rsidRDefault="004D2D4B" w:rsidP="003A7EB0"/>
    <w:p w:rsidR="004D2D4B" w:rsidRDefault="004D2D4B" w:rsidP="003A7EB0"/>
    <w:p w:rsidR="004D2D4B" w:rsidRDefault="004D2D4B" w:rsidP="003A7EB0"/>
    <w:p w:rsidR="004D2D4B" w:rsidRDefault="004D2D4B" w:rsidP="003A7EB0"/>
    <w:p w:rsidR="004D2D4B" w:rsidRDefault="004D2D4B" w:rsidP="003A7EB0"/>
    <w:p w:rsidR="003A7EB0" w:rsidRDefault="003A7EB0" w:rsidP="003A7EB0"/>
    <w:p w:rsidR="00CF6E5D" w:rsidRDefault="00CF6E5D" w:rsidP="003A7EB0"/>
    <w:p w:rsidR="004D2D4B" w:rsidRDefault="004D2D4B" w:rsidP="0046190C">
      <w:pPr>
        <w:pStyle w:val="Heading1"/>
      </w:pPr>
      <w:bookmarkStart w:id="2" w:name="_Toc468963687"/>
      <w:r>
        <w:lastRenderedPageBreak/>
        <w:t>List of Figures</w:t>
      </w:r>
      <w:bookmarkEnd w:id="2"/>
    </w:p>
    <w:p w:rsidR="00CF2AB3" w:rsidRDefault="009647D4">
      <w:pPr>
        <w:pStyle w:val="TableofFigures"/>
        <w:tabs>
          <w:tab w:val="right" w:leader="dot" w:pos="8486"/>
        </w:tabs>
        <w:rPr>
          <w:rFonts w:cstheme="minorBidi"/>
          <w:noProof/>
          <w:sz w:val="22"/>
          <w:szCs w:val="22"/>
          <w:lang w:bidi="ar-SA"/>
        </w:rPr>
      </w:pPr>
      <w:r>
        <w:fldChar w:fldCharType="begin"/>
      </w:r>
      <w:r w:rsidR="004D2D4B">
        <w:instrText xml:space="preserve"> TOC \h \z \c "Figure" </w:instrText>
      </w:r>
      <w:r>
        <w:fldChar w:fldCharType="separate"/>
      </w:r>
      <w:hyperlink w:anchor="_Toc467168359" w:history="1">
        <w:r w:rsidR="00CF2AB3" w:rsidRPr="00BB3F4D">
          <w:rPr>
            <w:rStyle w:val="Hyperlink"/>
            <w:noProof/>
          </w:rPr>
          <w:t>Figure 1: Five-year survival rate of epithelial ovarian cancer patients according to National Cancer Institute, SEER Data Base for the patients diagnosed from 1995 to 2007 [3]</w:t>
        </w:r>
        <w:r w:rsidR="00CF2AB3">
          <w:rPr>
            <w:noProof/>
            <w:webHidden/>
          </w:rPr>
          <w:tab/>
        </w:r>
        <w:r>
          <w:rPr>
            <w:noProof/>
            <w:webHidden/>
          </w:rPr>
          <w:fldChar w:fldCharType="begin"/>
        </w:r>
        <w:r w:rsidR="00CF2AB3">
          <w:rPr>
            <w:noProof/>
            <w:webHidden/>
          </w:rPr>
          <w:instrText xml:space="preserve"> PAGEREF _Toc467168359 \h </w:instrText>
        </w:r>
        <w:r>
          <w:rPr>
            <w:noProof/>
            <w:webHidden/>
          </w:rPr>
        </w:r>
        <w:r>
          <w:rPr>
            <w:noProof/>
            <w:webHidden/>
          </w:rPr>
          <w:fldChar w:fldCharType="separate"/>
        </w:r>
        <w:r w:rsidR="00D719F4">
          <w:rPr>
            <w:noProof/>
            <w:webHidden/>
          </w:rPr>
          <w:t>2</w:t>
        </w:r>
        <w:r>
          <w:rPr>
            <w:noProof/>
            <w:webHidden/>
          </w:rPr>
          <w:fldChar w:fldCharType="end"/>
        </w:r>
      </w:hyperlink>
    </w:p>
    <w:p w:rsidR="00CF2AB3" w:rsidRDefault="00D719F4">
      <w:pPr>
        <w:pStyle w:val="TableofFigures"/>
        <w:tabs>
          <w:tab w:val="right" w:leader="dot" w:pos="8486"/>
        </w:tabs>
        <w:rPr>
          <w:rFonts w:cstheme="minorBidi"/>
          <w:noProof/>
          <w:sz w:val="22"/>
          <w:szCs w:val="22"/>
          <w:lang w:bidi="ar-SA"/>
        </w:rPr>
      </w:pPr>
      <w:hyperlink w:anchor="_Toc467168360" w:history="1">
        <w:r w:rsidR="00CF2AB3" w:rsidRPr="00BB3F4D">
          <w:rPr>
            <w:rStyle w:val="Hyperlink"/>
            <w:noProof/>
          </w:rPr>
          <w:t>Figure 2: Flow chart of (a) region growing, (b) canny operator and (c) partial differential equation based segmentation algorithms</w:t>
        </w:r>
        <w:r w:rsidR="00CF2AB3">
          <w:rPr>
            <w:noProof/>
            <w:webHidden/>
          </w:rPr>
          <w:tab/>
        </w:r>
        <w:r w:rsidR="009647D4">
          <w:rPr>
            <w:noProof/>
            <w:webHidden/>
          </w:rPr>
          <w:fldChar w:fldCharType="begin"/>
        </w:r>
        <w:r w:rsidR="00CF2AB3">
          <w:rPr>
            <w:noProof/>
            <w:webHidden/>
          </w:rPr>
          <w:instrText xml:space="preserve"> PAGEREF _Toc467168360 \h </w:instrText>
        </w:r>
        <w:r w:rsidR="009647D4">
          <w:rPr>
            <w:noProof/>
            <w:webHidden/>
          </w:rPr>
        </w:r>
        <w:r w:rsidR="009647D4">
          <w:rPr>
            <w:noProof/>
            <w:webHidden/>
          </w:rPr>
          <w:fldChar w:fldCharType="separate"/>
        </w:r>
        <w:r>
          <w:rPr>
            <w:noProof/>
            <w:webHidden/>
          </w:rPr>
          <w:t>8</w:t>
        </w:r>
        <w:r w:rsidR="009647D4">
          <w:rPr>
            <w:noProof/>
            <w:webHidden/>
          </w:rPr>
          <w:fldChar w:fldCharType="end"/>
        </w:r>
      </w:hyperlink>
    </w:p>
    <w:p w:rsidR="00CF2AB3" w:rsidRDefault="00D719F4">
      <w:pPr>
        <w:pStyle w:val="TableofFigures"/>
        <w:tabs>
          <w:tab w:val="right" w:leader="dot" w:pos="8486"/>
        </w:tabs>
        <w:rPr>
          <w:rFonts w:cstheme="minorBidi"/>
          <w:noProof/>
          <w:sz w:val="22"/>
          <w:szCs w:val="22"/>
          <w:lang w:bidi="ar-SA"/>
        </w:rPr>
      </w:pPr>
      <w:hyperlink w:anchor="_Toc467168361" w:history="1">
        <w:r w:rsidR="00CF2AB3" w:rsidRPr="00BB3F4D">
          <w:rPr>
            <w:rStyle w:val="Hyperlink"/>
            <w:noProof/>
          </w:rPr>
          <w:t>Figure 3: Segmentation samples of (a) connected (b) neighborhood (c) canny (d) multi-canny (e) fast marching (f) shape detection (g) geometric (h) threshold segmentation algorithms</w:t>
        </w:r>
        <w:r w:rsidR="00CF2AB3">
          <w:rPr>
            <w:noProof/>
            <w:webHidden/>
          </w:rPr>
          <w:tab/>
        </w:r>
        <w:r w:rsidR="009647D4">
          <w:rPr>
            <w:noProof/>
            <w:webHidden/>
          </w:rPr>
          <w:fldChar w:fldCharType="begin"/>
        </w:r>
        <w:r w:rsidR="00CF2AB3">
          <w:rPr>
            <w:noProof/>
            <w:webHidden/>
          </w:rPr>
          <w:instrText xml:space="preserve"> PAGEREF _Toc467168361 \h </w:instrText>
        </w:r>
        <w:r w:rsidR="009647D4">
          <w:rPr>
            <w:noProof/>
            <w:webHidden/>
          </w:rPr>
        </w:r>
        <w:r w:rsidR="009647D4">
          <w:rPr>
            <w:noProof/>
            <w:webHidden/>
          </w:rPr>
          <w:fldChar w:fldCharType="separate"/>
        </w:r>
        <w:r>
          <w:rPr>
            <w:noProof/>
            <w:webHidden/>
          </w:rPr>
          <w:t>13</w:t>
        </w:r>
        <w:r w:rsidR="009647D4">
          <w:rPr>
            <w:noProof/>
            <w:webHidden/>
          </w:rPr>
          <w:fldChar w:fldCharType="end"/>
        </w:r>
      </w:hyperlink>
    </w:p>
    <w:p w:rsidR="00CF2AB3" w:rsidRDefault="00D719F4">
      <w:pPr>
        <w:pStyle w:val="TableofFigures"/>
        <w:tabs>
          <w:tab w:val="right" w:leader="dot" w:pos="8486"/>
        </w:tabs>
        <w:rPr>
          <w:rFonts w:cstheme="minorBidi"/>
          <w:noProof/>
          <w:sz w:val="22"/>
          <w:szCs w:val="22"/>
          <w:lang w:bidi="ar-SA"/>
        </w:rPr>
      </w:pPr>
      <w:hyperlink w:anchor="_Toc467168362" w:history="1">
        <w:r w:rsidR="00CF2AB3" w:rsidRPr="00BB3F4D">
          <w:rPr>
            <w:rStyle w:val="Hyperlink"/>
            <w:noProof/>
          </w:rPr>
          <w:t>Figure 4: Wavelet decomposition of target CT slice using wavelet transforms (one-level and un-decimated two-dimensional wavelet transforms using "Coiflet 1" filter)</w:t>
        </w:r>
        <w:r w:rsidR="00CF2AB3">
          <w:rPr>
            <w:noProof/>
            <w:webHidden/>
          </w:rPr>
          <w:tab/>
        </w:r>
        <w:r w:rsidR="009647D4">
          <w:rPr>
            <w:noProof/>
            <w:webHidden/>
          </w:rPr>
          <w:fldChar w:fldCharType="begin"/>
        </w:r>
        <w:r w:rsidR="00CF2AB3">
          <w:rPr>
            <w:noProof/>
            <w:webHidden/>
          </w:rPr>
          <w:instrText xml:space="preserve"> PAGEREF _Toc467168362 \h </w:instrText>
        </w:r>
        <w:r w:rsidR="009647D4">
          <w:rPr>
            <w:noProof/>
            <w:webHidden/>
          </w:rPr>
        </w:r>
        <w:r w:rsidR="009647D4">
          <w:rPr>
            <w:noProof/>
            <w:webHidden/>
          </w:rPr>
          <w:fldChar w:fldCharType="separate"/>
        </w:r>
        <w:r>
          <w:rPr>
            <w:noProof/>
            <w:webHidden/>
          </w:rPr>
          <w:t>20</w:t>
        </w:r>
        <w:r w:rsidR="009647D4">
          <w:rPr>
            <w:noProof/>
            <w:webHidden/>
          </w:rPr>
          <w:fldChar w:fldCharType="end"/>
        </w:r>
      </w:hyperlink>
    </w:p>
    <w:p w:rsidR="00CF2AB3" w:rsidRDefault="00D719F4">
      <w:pPr>
        <w:pStyle w:val="TableofFigures"/>
        <w:tabs>
          <w:tab w:val="right" w:leader="dot" w:pos="8486"/>
        </w:tabs>
        <w:rPr>
          <w:rFonts w:cstheme="minorBidi"/>
          <w:noProof/>
          <w:sz w:val="22"/>
          <w:szCs w:val="22"/>
          <w:lang w:bidi="ar-SA"/>
        </w:rPr>
      </w:pPr>
      <w:hyperlink w:anchor="_Toc467168363" w:history="1">
        <w:r w:rsidR="00CF2AB3" w:rsidRPr="00BB3F4D">
          <w:rPr>
            <w:rStyle w:val="Hyperlink"/>
            <w:noProof/>
          </w:rPr>
          <w:t>Figure 5: An aortic tumor segmented by our hybrid segmenting scheme from the (a) 2nd upper adjacent slice (b) 1st upper adjacent slice (c) central slice selected by the radiologist (d) 1st lower adjacent slice (e) 2nd lower adjacent slice</w:t>
        </w:r>
        <w:r w:rsidR="00CF2AB3">
          <w:rPr>
            <w:noProof/>
            <w:webHidden/>
          </w:rPr>
          <w:tab/>
        </w:r>
        <w:r w:rsidR="009647D4">
          <w:rPr>
            <w:noProof/>
            <w:webHidden/>
          </w:rPr>
          <w:fldChar w:fldCharType="begin"/>
        </w:r>
        <w:r w:rsidR="00CF2AB3">
          <w:rPr>
            <w:noProof/>
            <w:webHidden/>
          </w:rPr>
          <w:instrText xml:space="preserve"> PAGEREF _Toc467168363 \h </w:instrText>
        </w:r>
        <w:r w:rsidR="009647D4">
          <w:rPr>
            <w:noProof/>
            <w:webHidden/>
          </w:rPr>
        </w:r>
        <w:r w:rsidR="009647D4">
          <w:rPr>
            <w:noProof/>
            <w:webHidden/>
          </w:rPr>
          <w:fldChar w:fldCharType="separate"/>
        </w:r>
        <w:r>
          <w:rPr>
            <w:noProof/>
            <w:webHidden/>
          </w:rPr>
          <w:t>23</w:t>
        </w:r>
        <w:r w:rsidR="009647D4">
          <w:rPr>
            <w:noProof/>
            <w:webHidden/>
          </w:rPr>
          <w:fldChar w:fldCharType="end"/>
        </w:r>
      </w:hyperlink>
    </w:p>
    <w:p w:rsidR="00CF2AB3" w:rsidRDefault="00D719F4">
      <w:pPr>
        <w:pStyle w:val="TableofFigures"/>
        <w:tabs>
          <w:tab w:val="right" w:leader="dot" w:pos="8486"/>
        </w:tabs>
        <w:rPr>
          <w:rFonts w:cstheme="minorBidi"/>
          <w:noProof/>
          <w:sz w:val="22"/>
          <w:szCs w:val="22"/>
          <w:lang w:bidi="ar-SA"/>
        </w:rPr>
      </w:pPr>
      <w:hyperlink w:anchor="_Toc467168364" w:history="1">
        <w:r w:rsidR="00CF2AB3" w:rsidRPr="00BB3F4D">
          <w:rPr>
            <w:rStyle w:val="Hyperlink"/>
            <w:noProof/>
          </w:rPr>
          <w:t>Figure 6: ROC curves of the best individual feature and the final fusion image marker for pre-treatment features</w:t>
        </w:r>
        <w:r w:rsidR="00CF2AB3">
          <w:rPr>
            <w:noProof/>
            <w:webHidden/>
          </w:rPr>
          <w:tab/>
        </w:r>
        <w:r w:rsidR="009647D4">
          <w:rPr>
            <w:noProof/>
            <w:webHidden/>
          </w:rPr>
          <w:fldChar w:fldCharType="begin"/>
        </w:r>
        <w:r w:rsidR="00CF2AB3">
          <w:rPr>
            <w:noProof/>
            <w:webHidden/>
          </w:rPr>
          <w:instrText xml:space="preserve"> PAGEREF _Toc467168364 \h </w:instrText>
        </w:r>
        <w:r w:rsidR="009647D4">
          <w:rPr>
            <w:noProof/>
            <w:webHidden/>
          </w:rPr>
        </w:r>
        <w:r w:rsidR="009647D4">
          <w:rPr>
            <w:noProof/>
            <w:webHidden/>
          </w:rPr>
          <w:fldChar w:fldCharType="separate"/>
        </w:r>
        <w:r>
          <w:rPr>
            <w:noProof/>
            <w:webHidden/>
          </w:rPr>
          <w:t>26</w:t>
        </w:r>
        <w:r w:rsidR="009647D4">
          <w:rPr>
            <w:noProof/>
            <w:webHidden/>
          </w:rPr>
          <w:fldChar w:fldCharType="end"/>
        </w:r>
      </w:hyperlink>
    </w:p>
    <w:p w:rsidR="00CF2AB3" w:rsidRDefault="00D719F4">
      <w:pPr>
        <w:pStyle w:val="TableofFigures"/>
        <w:tabs>
          <w:tab w:val="right" w:leader="dot" w:pos="8486"/>
        </w:tabs>
        <w:rPr>
          <w:rFonts w:cstheme="minorBidi"/>
          <w:noProof/>
          <w:sz w:val="22"/>
          <w:szCs w:val="22"/>
          <w:lang w:bidi="ar-SA"/>
        </w:rPr>
      </w:pPr>
      <w:hyperlink w:anchor="_Toc467168365" w:history="1">
        <w:r w:rsidR="00CF2AB3" w:rsidRPr="00BB3F4D">
          <w:rPr>
            <w:rStyle w:val="Hyperlink"/>
            <w:noProof/>
          </w:rPr>
          <w:t>Figure 7: ROC curves of the best individual feature and the final fusion image marker for pre-posttreatment features</w:t>
        </w:r>
        <w:r w:rsidR="00CF2AB3">
          <w:rPr>
            <w:noProof/>
            <w:webHidden/>
          </w:rPr>
          <w:tab/>
        </w:r>
        <w:r w:rsidR="009647D4">
          <w:rPr>
            <w:noProof/>
            <w:webHidden/>
          </w:rPr>
          <w:fldChar w:fldCharType="begin"/>
        </w:r>
        <w:r w:rsidR="00CF2AB3">
          <w:rPr>
            <w:noProof/>
            <w:webHidden/>
          </w:rPr>
          <w:instrText xml:space="preserve"> PAGEREF _Toc467168365 \h </w:instrText>
        </w:r>
        <w:r w:rsidR="009647D4">
          <w:rPr>
            <w:noProof/>
            <w:webHidden/>
          </w:rPr>
        </w:r>
        <w:r w:rsidR="009647D4">
          <w:rPr>
            <w:noProof/>
            <w:webHidden/>
          </w:rPr>
          <w:fldChar w:fldCharType="separate"/>
        </w:r>
        <w:r>
          <w:rPr>
            <w:noProof/>
            <w:webHidden/>
          </w:rPr>
          <w:t>27</w:t>
        </w:r>
        <w:r w:rsidR="009647D4">
          <w:rPr>
            <w:noProof/>
            <w:webHidden/>
          </w:rPr>
          <w:fldChar w:fldCharType="end"/>
        </w:r>
      </w:hyperlink>
    </w:p>
    <w:p w:rsidR="004D2D4B" w:rsidRPr="004D2D4B" w:rsidRDefault="009647D4" w:rsidP="003A7EB0">
      <w:r>
        <w:fldChar w:fldCharType="end"/>
      </w:r>
    </w:p>
    <w:p w:rsidR="00BB6A37" w:rsidRPr="0059615F" w:rsidRDefault="0059615F" w:rsidP="003A7EB0">
      <w:r>
        <w:br w:type="page"/>
      </w:r>
    </w:p>
    <w:p w:rsidR="00BB6A37" w:rsidRDefault="00BB6A37" w:rsidP="0046190C">
      <w:pPr>
        <w:pStyle w:val="Heading1"/>
      </w:pPr>
      <w:bookmarkStart w:id="3" w:name="_Toc468963688"/>
      <w:r w:rsidRPr="00BB6A37">
        <w:lastRenderedPageBreak/>
        <w:t>Abstract</w:t>
      </w:r>
      <w:bookmarkEnd w:id="3"/>
    </w:p>
    <w:p w:rsidR="00C56400" w:rsidRDefault="00C56400" w:rsidP="00C56400">
      <w:pPr>
        <w:spacing w:after="240"/>
        <w:jc w:val="both"/>
        <w:rPr>
          <w:rFonts w:ascii="Times New Roman" w:hAnsi="Times New Roman"/>
        </w:rPr>
      </w:pPr>
      <w:r>
        <w:rPr>
          <w:noProof/>
        </w:rPr>
        <w:t>In gynecologic oncology, ovarian cancer is the second leading can</w:t>
      </w:r>
      <w:r w:rsidR="00FF14DC">
        <w:rPr>
          <w:noProof/>
        </w:rPr>
        <w:t>c</w:t>
      </w:r>
      <w:r>
        <w:rPr>
          <w:noProof/>
        </w:rPr>
        <w:t xml:space="preserve">er with highest mortality rate. Since most of </w:t>
      </w:r>
      <w:r>
        <w:t xml:space="preserve">ovarian cancer patients are diagnosed at advanced stage occurred with metastatic tumors, chemotherapy is a necessary treating procedure after the aggressive surgery which removes the patient’s primary ovary tumor (Primary cytoreduction). However, currently, no method is able to effectively and efficiently predict the tumor response to the chemotherapy at early stage (i.e. 4-6 weeks after the treatment). This study aims to </w:t>
      </w:r>
      <w:r>
        <w:rPr>
          <w:rFonts w:ascii="Times New Roman" w:hAnsi="Times New Roman"/>
        </w:rPr>
        <w:t xml:space="preserve">investigate whether using quantitative image features computed from CT images enables to more accurately predict response of ovarian cancer patients to chemotherapy. During the experiment, we retrospectively assembled a dataset involving 91 patients. Each patient had two sets of pre-and post-therapy (4-6 weeks follow up) CT images. A computer-aided detection scheme was then developed, which is able segment the metastatic tumors and computed image features. Next, we built two initial feature pools using image features computed from pre-therapy CT images only and image feature difference computed from both pre- and post-therapy images. The predicting performance of each feature was evaluated using the area under ROC curve, which is based on the criteria 6-month progression-free survival (PFS).  Among these features, the optimal feature cluster was determined and an equal-weighted fusion method was used to generate a new image marker to predict PFS of the patients. </w:t>
      </w:r>
      <w:r>
        <w:t xml:space="preserve"> The results indicate that </w:t>
      </w:r>
      <w:r>
        <w:rPr>
          <w:rFonts w:ascii="Times New Roman" w:hAnsi="Times New Roman"/>
        </w:rPr>
        <w:t xml:space="preserve">the highest single feature AUC values are achieved as </w:t>
      </w:r>
      <w:r w:rsidR="008316E1">
        <w:rPr>
          <w:shd w:val="clear" w:color="auto" w:fill="FFFFFF" w:themeFill="background1"/>
        </w:rPr>
        <w:t>0.6842 ± 0.0557 and 0.7705 ± 0.0495</w:t>
      </w:r>
      <w:r>
        <w:rPr>
          <w:rFonts w:ascii="Times New Roman" w:hAnsi="Times New Roman"/>
        </w:rPr>
        <w:t xml:space="preserve"> respectively, which are computed from pre-therapy CT images only and both pre- and post-therapy CT images. When applying fusion-based image markers, AUC values significantly increased to </w:t>
      </w:r>
      <w:r w:rsidR="008316E1">
        <w:rPr>
          <w:shd w:val="clear" w:color="auto" w:fill="FFFFFF" w:themeFill="background1"/>
        </w:rPr>
        <w:t>0.8103 ± 0.0447 and 0.8292 ±0.0431</w:t>
      </w:r>
      <w:r>
        <w:rPr>
          <w:rFonts w:ascii="Times New Roman" w:hAnsi="Times New Roman"/>
        </w:rPr>
        <w:t xml:space="preserve"> (</w:t>
      </w:r>
      <w:r>
        <w:rPr>
          <w:rFonts w:ascii="Times New Roman" w:hAnsi="Times New Roman"/>
          <w:i/>
        </w:rPr>
        <w:t xml:space="preserve">p &lt; </w:t>
      </w:r>
      <w:r>
        <w:rPr>
          <w:rFonts w:ascii="Times New Roman" w:hAnsi="Times New Roman"/>
        </w:rPr>
        <w:t xml:space="preserve">0.05), </w:t>
      </w:r>
      <w:r>
        <w:rPr>
          <w:rFonts w:ascii="Times New Roman" w:hAnsi="Times New Roman"/>
        </w:rPr>
        <w:lastRenderedPageBreak/>
        <w:t xml:space="preserve">respectively. This study demonstrated that it is feasible </w:t>
      </w:r>
      <w:r w:rsidR="00DA0256">
        <w:rPr>
          <w:rFonts w:ascii="Times New Roman" w:hAnsi="Times New Roman"/>
        </w:rPr>
        <w:t xml:space="preserve">to </w:t>
      </w:r>
      <w:r>
        <w:rPr>
          <w:rFonts w:ascii="Times New Roman" w:hAnsi="Times New Roman"/>
        </w:rPr>
        <w:t xml:space="preserve">predict patients’ early stage response to chemotherapy using quantitative image features computed from pre-therapy CT images. However, we can significantly improve the prediction performance when adding information from the 4-6 week follow up CT images.  </w:t>
      </w:r>
    </w:p>
    <w:p w:rsidR="001647AA" w:rsidRDefault="001647AA" w:rsidP="003A7EB0"/>
    <w:p w:rsidR="00B54C5E" w:rsidRDefault="00B54C5E" w:rsidP="003A7EB0"/>
    <w:p w:rsidR="00B54C5E" w:rsidRDefault="00B54C5E" w:rsidP="003A7EB0"/>
    <w:p w:rsidR="00B54C5E" w:rsidRDefault="00B54C5E" w:rsidP="003A7EB0"/>
    <w:p w:rsidR="00B54C5E" w:rsidRDefault="00B54C5E" w:rsidP="003A7EB0"/>
    <w:p w:rsidR="00B54C5E" w:rsidRDefault="00B54C5E" w:rsidP="003A7EB0"/>
    <w:p w:rsidR="00B54C5E" w:rsidRDefault="00B54C5E" w:rsidP="003A7EB0"/>
    <w:p w:rsidR="00B54C5E" w:rsidRDefault="00B54C5E" w:rsidP="003A7EB0"/>
    <w:p w:rsidR="00B54C5E" w:rsidRDefault="00B54C5E" w:rsidP="003A7EB0"/>
    <w:p w:rsidR="00B54C5E" w:rsidRDefault="00B54C5E" w:rsidP="003A7EB0"/>
    <w:p w:rsidR="00B54C5E" w:rsidRDefault="00B54C5E" w:rsidP="003A7EB0"/>
    <w:p w:rsidR="00B54C5E" w:rsidRDefault="00B54C5E" w:rsidP="003A7EB0"/>
    <w:p w:rsidR="00B54C5E" w:rsidRDefault="00B54C5E" w:rsidP="003A7EB0"/>
    <w:p w:rsidR="00B54C5E" w:rsidRDefault="00B54C5E" w:rsidP="003A7EB0"/>
    <w:p w:rsidR="00B54C5E" w:rsidRDefault="00B54C5E" w:rsidP="003A7EB0"/>
    <w:p w:rsidR="00B54C5E" w:rsidRDefault="00B54C5E" w:rsidP="003A7EB0">
      <w:pPr>
        <w:sectPr w:rsidR="00B54C5E" w:rsidSect="008740B0">
          <w:footerReference w:type="default" r:id="rId10"/>
          <w:pgSz w:w="12240" w:h="15840" w:code="1"/>
          <w:pgMar w:top="1440" w:right="1440" w:bottom="1440" w:left="2304" w:header="720" w:footer="720" w:gutter="0"/>
          <w:pgNumType w:fmt="lowerRoman" w:start="4"/>
          <w:cols w:space="720"/>
          <w:docGrid w:linePitch="360"/>
        </w:sectPr>
      </w:pPr>
    </w:p>
    <w:p w:rsidR="00E45AA1" w:rsidRDefault="00E45AA1" w:rsidP="00E45AA1">
      <w:pPr>
        <w:pStyle w:val="Heading1"/>
      </w:pPr>
      <w:bookmarkStart w:id="4" w:name="_Toc468963689"/>
      <w:r w:rsidRPr="005109FA">
        <w:lastRenderedPageBreak/>
        <w:t xml:space="preserve">Chapter 1: </w:t>
      </w:r>
      <w:r w:rsidRPr="00EB4C0E">
        <w:t>Introduction</w:t>
      </w:r>
      <w:bookmarkEnd w:id="4"/>
    </w:p>
    <w:p w:rsidR="00E45AA1" w:rsidRPr="0032082A" w:rsidRDefault="00E45AA1" w:rsidP="00FB7A07">
      <w:pPr>
        <w:pStyle w:val="Heading2"/>
      </w:pPr>
      <w:bookmarkStart w:id="5" w:name="_Toc468963690"/>
      <w:r>
        <w:t xml:space="preserve">Ovarian </w:t>
      </w:r>
      <w:r w:rsidRPr="00037EEB">
        <w:t>Cancer</w:t>
      </w:r>
      <w:bookmarkEnd w:id="5"/>
    </w:p>
    <w:p w:rsidR="00E45AA1" w:rsidRPr="00A64392" w:rsidRDefault="00E45AA1" w:rsidP="00E45AA1">
      <w:pPr>
        <w:ind w:firstLine="720"/>
        <w:jc w:val="both"/>
      </w:pPr>
      <w:r>
        <w:t>Ovarian cancer is the second most common cancer in gynecologic oncology. In 201</w:t>
      </w:r>
      <w:r w:rsidR="00535701">
        <w:t>6</w:t>
      </w:r>
      <w:r>
        <w:t xml:space="preserve">, approximately </w:t>
      </w:r>
      <w:r w:rsidR="00535701">
        <w:t>22,280 newly diagnosed cases and 14,24</w:t>
      </w:r>
      <w:r>
        <w:t>0 deaths</w:t>
      </w:r>
      <w:r w:rsidR="00535701">
        <w:t xml:space="preserve"> are estimated in United States</w:t>
      </w:r>
      <w:r w:rsidR="00FD6069">
        <w:t xml:space="preserve"> </w:t>
      </w:r>
      <w:r w:rsidR="009647D4">
        <w:fldChar w:fldCharType="begin" w:fldLock="1"/>
      </w:r>
      <w:r w:rsidR="00950782">
        <w:instrText>ADDIN CSL_CITATION { "citationItems" : [ { "id" : "ITEM-1", "itemData" : { "DOI" : "10.3322/caac.21332", "ISBN" : "1542-4863 (Electronic)\\r0007-9235 (Linking)", "ISSN" : "1542-4863", "PMID" : "26742998", "abstract" : "Each year, the American Cancer Society estimates the numbers of new cancer cases and deaths that will occur in the United States in the current year and compiles the most recent data on cancer incidence, mortality, and survival. Incidence data were collected by the National Cancer Institute (Surveillance, Epidemiology, and End Results [SEER] Program), the Centers for Disease Control and Prevention (National Program of Cancer Registries), and the North American Association of Central Cancer Registries. Mortality data were collected by the National Center for Health Statistics. In 2016, 1,685,210 new cancer cases and 595,690 cancer deaths are projected to occur in the United States. Overall cancer incidence trends (13 oldest SEER registries) are stable in women, but declining by 3.1% per year in men (from 2009-2012), much of which is because of recent rapid declines in prostate cancer diagnoses. The cancer death rate has dropped by 23% since 1991, translating to more than 1.7 million deaths averted through 2012. Despite this progress, death rates are increasing for cancers of the liver, pancreas, and uterine corpus, and cancer is now the leading cause of death in 21 states, primarily due to exceptionally large reductions in death from heart disease. Among children and adolescents (aged birth-19 years), brain cancer has surpassed leukemia as the leading cause of cancer death because of the dramatic therapeutic advances against leukemia. Accelerating progress against cancer requires both increased national investment in cancer research and the application of existing cancer control knowledge across all segments of the population.", "author" : [ { "dropping-particle" : "", "family" : "Siegel", "given" : "R L", "non-dropping-particle" : "", "parse-names" : false, "suffix" : "" }, { "dropping-particle" : "", "family" : "Miller", "given" : "K D", "non-dropping-particle" : "", "parse-names" : false, "suffix" : "" }, { "dropping-particle" : "", "family" : "Jemal", "given" : "A", "non-dropping-particle" : "", "parse-names" : false, "suffix" : "" } ], "container-title" : "CA Cancer J Clin", "id" : "ITEM-1", "issue" : "1", "issued" : { "date-parts" : [ [ "2016" ] ] }, "page" : "7-30", "title" : "Cancer statistics, 2016", "type" : "article-journal", "volume" : "66" }, "uris" : [ "http://www.mendeley.com/documents/?uuid=bfab0508-a1e4-40a0-8286-4951c5efe9bf" ] } ], "mendeley" : { "formattedCitation" : "[1]", "plainTextFormattedCitation" : "[1]", "previouslyFormattedCitation" : "[1]" }, "properties" : { "noteIndex" : 0 }, "schema" : "https://github.com/citation-style-language/schema/raw/master/csl-citation.json" }</w:instrText>
      </w:r>
      <w:r w:rsidR="009647D4">
        <w:fldChar w:fldCharType="separate"/>
      </w:r>
      <w:r w:rsidR="00535701" w:rsidRPr="00535701">
        <w:rPr>
          <w:noProof/>
        </w:rPr>
        <w:t>[1]</w:t>
      </w:r>
      <w:r w:rsidR="009647D4">
        <w:fldChar w:fldCharType="end"/>
      </w:r>
      <w:r>
        <w:t xml:space="preserve">. Given that early symptoms originating from ovaries are hard to be detected and even more likely to be confused for something far less serious, </w:t>
      </w:r>
      <w:r w:rsidRPr="008A4473">
        <w:t xml:space="preserve">routine pelvic examinations are </w:t>
      </w:r>
      <w:r>
        <w:t>not able</w:t>
      </w:r>
      <w:r w:rsidRPr="008A4473">
        <w:t xml:space="preserve"> to </w:t>
      </w:r>
      <w:r>
        <w:t xml:space="preserve">effectively </w:t>
      </w:r>
      <w:r w:rsidRPr="008A4473">
        <w:t>detect ovarian cancer</w:t>
      </w:r>
      <w:r>
        <w:t xml:space="preserve">. As a result, </w:t>
      </w:r>
      <w:r w:rsidR="00C74BBE" w:rsidRPr="00C74BBE">
        <w:t>approximately</w:t>
      </w:r>
      <w:r>
        <w:t xml:space="preserve"> 70</w:t>
      </w:r>
      <w:r w:rsidRPr="006369FE">
        <w:t>% of ovarian cancer patients’ are diagnosed at an advanced stage</w:t>
      </w:r>
      <w:r>
        <w:t xml:space="preserve"> </w:t>
      </w:r>
      <w:r w:rsidR="009647D4">
        <w:fldChar w:fldCharType="begin" w:fldLock="1"/>
      </w:r>
      <w:r>
        <w:instrText>ADDIN CSL_CITATION { "citationItems" : [ { "id" : "ITEM-1", "itemData" : { "DOI" : "10.1177/1758834014544891", "ISSN" : "1758-8340", "PMID" : "25364394", "abstract" : "Approximately 70% of women with epithelial ovarian cancer (EOC) are diagnosed with advanced stage disease, which is associated with high morbidity and mortality. The standard approach to treating patients with advanced EOC remains primary debulking surgery (PDS) followed by chemotherapy. EOC is one of the most sensitive of all solid tumors to cytotoxic drugs, with over 80% of women showing a response to standard chemotherapy combined with taxane and platinum. Furthermore, residual disease is a major prognostic factor for survival. On the basis of the clinical features, neoadjuvant chemotherapy (NACT) followed by interval debulking surgery (IDS) is considered to be an alternative treatment option to standard treatment in patients unable to undergo complete resection during PDS. Noninferiority of NACT-IDS to PDS has been demonstrated in some randomized controlled trials and meta-analyses. NACT would also lead to improved quality of life (QOL) of patients, however there are still problems to be solved in the treatment strategy. The uncertainty of perioperative visual assessment of tumor dissemination after NACT has been reported. In addition, several papers have shown the possibility that NACT induces platinum resistance. Furthermore, a notable risk associated with NACT is that patients with significant side effects and refractory disease will lose the opportunity for debulking surgery. Appropriate selection of the patient cohort for NACT is an important issue. Bevacizumab (Bev) is active in patients with advanced EOC. However, the use of Bev is not recommended in the neoadjuvant setting. Bev has a specific adverse event profile that needs to be considered, especially for surgical management, such as gastrointestinal perforation, hemorrhage, and thromboembolic events. NACT could be an alternative treatment option in patients with stage III or IV EOC. However, further studies are needed to clarify the precise role of NACT in the management of advanced EOC.", "author" : [ { "dropping-particle" : "", "family" : "Sato", "given" : "Seiya", "non-dropping-particle" : "", "parse-names" : false, "suffix" : "" }, { "dropping-particle" : "", "family" : "Itamochi", "given" : "Hiroaki", "non-dropping-particle" : "", "parse-names" : false, "suffix" : "" } ], "container-title" : "Therapeutic advances in medical oncology", "id" : "ITEM-1", "issue" : "6", "issued" : { "date-parts" : [ [ "2014" ] ] }, "page" : "293-304", "title" : "Neoadjuvant chemotherapy in advanced ovarian cancer: latest results and place in therapy.", "type" : "article-journal", "volume" : "6" }, "uris" : [ "http://www.mendeley.com/documents/?uuid=cb67735e-9959-4ddb-8272-52d64decdbdd" ] } ], "mendeley" : { "formattedCitation" : "[2]", "plainTextFormattedCitation" : "[2]", "previouslyFormattedCitation" : "[2]" }, "properties" : { "noteIndex" : 0 }, "schema" : "https://github.com/citation-style-language/schema/raw/master/csl-citation.json" }</w:instrText>
      </w:r>
      <w:r w:rsidR="009647D4">
        <w:fldChar w:fldCharType="separate"/>
      </w:r>
      <w:r w:rsidRPr="005C437E">
        <w:rPr>
          <w:noProof/>
        </w:rPr>
        <w:t>[2]</w:t>
      </w:r>
      <w:r w:rsidR="009647D4">
        <w:fldChar w:fldCharType="end"/>
      </w:r>
      <w:r w:rsidRPr="006369FE">
        <w:t xml:space="preserve"> </w:t>
      </w:r>
      <w:r>
        <w:t>with metastatic tumors, and ovarian cancer is the leading cause of death among all the gynecologic cancers. As indicated in</w:t>
      </w:r>
      <w:r w:rsidR="004E2C38">
        <w:t xml:space="preserve"> </w:t>
      </w:r>
      <w:r w:rsidR="009647D4" w:rsidRPr="00F76327">
        <w:fldChar w:fldCharType="begin"/>
      </w:r>
      <w:r w:rsidR="00C57AD6" w:rsidRPr="00F76327">
        <w:instrText xml:space="preserve"> REF _Ref466563610 \h </w:instrText>
      </w:r>
      <w:r w:rsidR="009647D4" w:rsidRPr="00F76327">
        <w:fldChar w:fldCharType="separate"/>
      </w:r>
      <w:r w:rsidR="00D719F4" w:rsidRPr="001A727F">
        <w:t xml:space="preserve">Figure </w:t>
      </w:r>
      <w:r w:rsidR="00D719F4">
        <w:rPr>
          <w:noProof/>
        </w:rPr>
        <w:t>1</w:t>
      </w:r>
      <w:r w:rsidR="009647D4" w:rsidRPr="00F76327">
        <w:fldChar w:fldCharType="end"/>
      </w:r>
      <w:r>
        <w:t>,</w:t>
      </w:r>
      <w:r w:rsidRPr="004E2A22">
        <w:t xml:space="preserve"> the five-year survival rate</w:t>
      </w:r>
      <w:r>
        <w:t>s</w:t>
      </w:r>
      <w:r w:rsidRPr="004E2A22">
        <w:t xml:space="preserve"> for </w:t>
      </w:r>
      <w:r>
        <w:t xml:space="preserve">stage III and IV </w:t>
      </w:r>
      <w:r w:rsidRPr="004E2A22">
        <w:t xml:space="preserve">epithelial ovarian cancer patients </w:t>
      </w:r>
      <w:r>
        <w:t>are only</w:t>
      </w:r>
      <w:r w:rsidRPr="004E2A22">
        <w:t xml:space="preserve"> 36% and 17% respectively</w:t>
      </w:r>
      <w:r>
        <w:t xml:space="preserve"> </w:t>
      </w:r>
      <w:r w:rsidR="009647D4">
        <w:fldChar w:fldCharType="begin" w:fldLock="1"/>
      </w:r>
      <w:r>
        <w:instrText>ADDIN CSL_CITATION { "citationItems" : [ { "id" : "ITEM-1", "itemData" : { "DOI" : "10.1097/AOG.0b013e318264f794", "ISBN" : "1873-233X (Electronic) 0029-7844 (Linking)", "PMID" : "22914471", "abstract" : "OBJECTIVE:: Most patients with epithelial ovarian cancer who are alive at 5 years have active disease. Thus, 10-year survival rather than 5-year survival may be a more appropriate endpoint. Relative survival adjusts for the general survival of the United States population for that race, sex, age, and date at which the diagnosis was coded. Our objective was to estimate relative survival in epithelial ovarian cancer over the course of 10 years. METHODS:: Using the Surveillance, Epidemiology and End Results 1995-2007 database, epithelial ovarian cancer cases were identified. Using the actuarial life table method, relative survival over the course of 10 years was calculated, stratified by stage, classification of residence, surgery as the first course of treatment, race, and age. RESULTS:: There were 40,692 patients who met inclusion criteria. The overall relative survival was 65%, 44%, and 36% at 2, 5, and 10 years, respectively. The slope of decline in relative survival was reduced for years 5-10 as compared with years 1-5 after diagnosis. Relative survival at 5 years was 89%, 70%, 36%, and 17%, and at 10 years relative survival was 84%, 59%, 23%, and 8% for stages I, II III, and IV, respectively. At all stages, patients with nonsurgical primary treatment and those with advanced age had reduced relative survival. CONCLUSIONS:: The 10-year relative survival for stage III is higher than expected. This information provides the physician and the patient with more accurate prognostic information. LEVEL OF EVIDENCE:: III.", "author" : [ { "dropping-particle" : "", "family" : "Baldwin", "given" : "L A", "non-dropping-particle" : "", "parse-names" : false, "suffix" : "" }, { "dropping-particle" : "", "family" : "Huang", "given" : "B", "non-dropping-particle" : "", "parse-names" : false, "suffix" : "" }, { "dropping-particle" : "", "family" : "Miller", "given" : "R W", "non-dropping-particle" : "", "parse-names" : false, "suffix" : "" }, { "dropping-particle" : "", "family" : "Tucker", "given" : "T", "non-dropping-particle" : "", "parse-names" : false, "suffix" : "" }, { "dropping-particle" : "", "family" : "Goodrich", "given" : "S T", "non-dropping-particle" : "", "parse-names" : false, "suffix" : "" }, { "dropping-particle" : "", "family" : "Podzielinski", "given" : "I", "non-dropping-particle" : "", "parse-names" : false, "suffix" : "" }, { "dropping-particle" : "", "family" : "Desimone", "given" : "C P", "non-dropping-particle" : "", "parse-names" : false, "suffix" : "" }, { "dropping-particle" : "", "family" : "Ueland", "given" : "F R", "non-dropping-particle" : "", "parse-names" : false, "suffix" : "" }, { "dropping-particle" : "", "family" : "Nagell", "given" : "J R", "non-dropping-particle" : "van", "parse-names" : false, "suffix" : "" }, { "dropping-particle" : "", "family" : "Seamon", "given" : "L G", "non-dropping-particle" : "", "parse-names" : false, "suffix" : "" } ], "container-title" : "Obstet Gynecol", "id" : "ITEM-1", "issued" : { "date-parts" : [ [ "2012" ] ] }, "page" : "612-618", "title" : "Ten-Year Relative Survival for Epithelial Ovarian Cancer", "type" : "chapter", "volume" : "120" }, "uris" : [ "http://www.mendeley.com/documents/?uuid=6a1ed0e5-29b4-4873-92e9-03a11b164a49" ] } ], "mendeley" : { "formattedCitation" : "[3]", "plainTextFormattedCitation" : "[3]", "previouslyFormattedCitation" : "[3]" }, "properties" : { "noteIndex" : 0 }, "schema" : "https://github.com/citation-style-language/schema/raw/master/csl-citation.json" }</w:instrText>
      </w:r>
      <w:r w:rsidR="009647D4">
        <w:fldChar w:fldCharType="separate"/>
      </w:r>
      <w:r w:rsidRPr="005C437E">
        <w:rPr>
          <w:noProof/>
        </w:rPr>
        <w:t>[3]</w:t>
      </w:r>
      <w:r w:rsidR="009647D4">
        <w:fldChar w:fldCharType="end"/>
      </w:r>
      <w:r>
        <w:t>. For the advanced stage</w:t>
      </w:r>
      <w:r w:rsidRPr="004E2A22">
        <w:t xml:space="preserve"> ovarian cancer </w:t>
      </w:r>
      <w:r>
        <w:t>patients,</w:t>
      </w:r>
      <w:r w:rsidRPr="004E2A22">
        <w:t xml:space="preserve"> an</w:t>
      </w:r>
      <w:r>
        <w:t xml:space="preserve"> aggressive surgery is first operated to remove the primary ovarian tumors (Primary cytoreduction) and </w:t>
      </w:r>
      <w:r w:rsidRPr="004E2A22">
        <w:t>chemotherapy</w:t>
      </w:r>
      <w:r>
        <w:t xml:space="preserve"> is then followed to control the metastatic tumors. </w:t>
      </w:r>
      <w:r w:rsidRPr="00B779FA">
        <w:t xml:space="preserve">Since ovarian cancer is highly heterogeneous, </w:t>
      </w:r>
      <w:r>
        <w:t xml:space="preserve">and </w:t>
      </w:r>
      <w:r w:rsidRPr="00B779FA">
        <w:t>the metastasized tumors are typically P53 driven and genetically instable</w:t>
      </w:r>
      <w:r>
        <w:t xml:space="preserve"> </w:t>
      </w:r>
      <w:r w:rsidR="009647D4">
        <w:fldChar w:fldCharType="begin" w:fldLock="1"/>
      </w:r>
      <w:r>
        <w:instrText>ADDIN CSL_CITATION { "citationItems" : [ { "id" : "ITEM-1", "itemData" : { "DOI" : "10.1038/nature10166", "ISBN" : "1476-4687 (Electronic)\\n0028-0836 (Linking)", "ISSN" : "0028-0836", "PMID" : "21720365", "abstract" : "A catalogue of molecular aberrations that cause ovarian cancer is critical for developing and deploying therapies that will improve patients' lives. The Cancer Genome Atlas project has analysed messenger RNA expression, microRNA expression, promoter methylation and DNA copy number in 489 high-grade serous ovarian adenocarcinomas and the DNA sequences of exons from coding genes in 316 of these tumours. Here we report that high-grade serous ovarian cancer is characterized by TP53 mutations in almost all tumours (96%); low prevalence but statistically recurrent somatic mutations in nine further genes including NF1, BRCA1, BRCA2, RB1 and CDK12; 113 significant focal DNA copy number aberrations; and promoter methylation events involving 168 genes. Analyses delineated four ovarian cancer transcriptional subtypes, three microRNA subtypes, four promoter methylation subtypes and a transcriptional signature associated with survival duration, and shed new light on the impact that tumours with BRCA1/2 (BRCA1 or BRCA2) and CCNE1 aberrations have on survival. Pathway analyses suggested that homologous recombination is defective in about half of the tumours analysed, and that NOTCH and FOXM1 signalling are involved in serous ovarian cancer pathophysiology.", "author" : [ { "dropping-particle" : "", "family" : "Bell", "given" : "D.", "non-dropping-particle" : "", "parse-names" : false, "suffix" : "" }, { "dropping-particle" : "", "family" : "Berchuck", "given" : "A.", "non-dropping-particle" : "", "parse-names" : false, "suffix" : "" }, { "dropping-particle" : "", "family" : "Birrer", "given" : "M.", "non-dropping-particle" : "", "parse-names" : false, "suffix" : "" }, { "dropping-particle" : "", "family" : "Chien", "given" : "J.", "non-dropping-particle" : "", "parse-names" : false, "suffix" : "" }, { "dropping-particle" : "", "family" : "Cramer", "given" : "D. W.", "non-dropping-particle" : "", "parse-names" : false, "suffix" : "" }, { "dropping-particle" : "", "family" : "Dao", "given" : "F.", "non-dropping-particle" : "", "parse-names" : false, "suffix" : "" }, { "dropping-particle" : "", "family" : "Dhir", "given" : "R.", "non-dropping-particle" : "", "parse-names" : false, "suffix" : "" }, { "dropping-particle" : "", "family" : "DiSaia", "given" : "P.", "non-dropping-particle" : "", "parse-names" : false, "suffix" : "" }, { "dropping-particle" : "", "family" : "Gabra", "given" : "H.", "non-dropping-particle" : "", "parse-names" : false, "suffix" : "" }, { "dropping-particle" : "", "family" : "Glenn", "given" : "P.", "non-dropping-particle" : "", "parse-names" : false, "suffix" : "" }, { "dropping-particle" : "", "family" : "Godwin", "given" : "A. K.", "non-dropping-particle" : "", "parse-names" : false, "suffix" : "" }, { "dropping-particle" : "", "family" : "Gross", "given" : "J.", "non-dropping-particle" : "", "parse-names" : false, "suffix" : "" }, { "dropping-particle" : "", "family" : "Hartmann", "given" : "L.", "non-dropping-particle" : "", "parse-names" : false, "suffix" : "" }, { "dropping-particle" : "", "family" : "Huang", "given" : "M.", "non-dropping-particle" : "", "parse-names" : false, "suffix" : "" }, { "dropping-particle" : "", "family" : "Huntsman", "given" : "D. G.", "non-dropping-particle" : "", "parse-names" : false, "suffix" : "" }, { "dropping-particle" : "", "family" : "Iacocca", "given" : "M.", "non-dropping-particle" : "", "parse-names" : false, "suffix" : "" }, { "dropping-particle" : "", "family" : "Imielinski", "given" : "M.", "non-dropping-particle" : "", "parse-names" : false, "suffix" : "" }, { "dropping-particle" : "", "family" : "Kalloger", "given" : "S.", "non-dropping-particle" : "", "parse-names" : false, "suffix" : "" }, { "dropping-particle" : "", "family" : "Karlan", "given" : "B. Y.", "non-dropping-particle" : "", "parse-names" : false, "suffix" : "" }, { "dropping-particle" : "", "family" : "Levine", "given" : "D. A.", "non-dropping-particle" : "", "parse-names" : false, "suffix" : "" }, { "dropping-particle" : "", "family" : "Mills", "given" : "G. B.", "non-dropping-particle" : "", "parse-names" : false, "suffix" : "" }, { "dropping-particle" : "", "family" : "Morrison", "given" : "C.", "non-dropping-particle" : "", "parse-names" : false, "suffix" : "" }, { "dropping-particle" : "", "family" : "Mutch", "given" : "D.", "non-dropping-particle" : "", "parse-names" : false, "suffix" : "" }, { "dropping-particle" : "", "family" : "Olvera", "given" : "N.", "non-dropping-particle" : "", "parse-names" : false, "suffix" : "" }, { "dropping-particle" : "", "family" : "Orsulic", "given" : "S.", "non-dropping-particle" : "", "parse-names" : false, "suffix" : "" }, { "dropping-particle" : "", "family" : "Park", "given" : "K.", "non-dropping-particle" : "", "parse-names" : false, "suffix" : "" }, { "dropping-particle" : "", "family" : "Petrelli", "given" : "N.", "non-dropping-particle" : "", "parse-names" : false, "suffix" : "" }, { "dropping-particle" : "", "family" : "Rabeno", "given" : "B.", "non-dropping-particle" : "", "parse-names" : false, "suffix" : "" }, { "dropping-particle" : "", "family" : "Rader", "given" : "J. S.", "non-dropping-particle" : "", "parse-names" : false, "suffix" : "" }, { "dropping-particle" : "", "family" : "Sikic", "given" : "B. I.", "non-dropping-particle" : "", "parse-names" : false, "suffix" : "" }, { "dropping-particle" : "", "family" : "Smith-McCune", "given" : "K.", "non-dropping-particle" : "", "parse-names" : false, "suffix" : "" }, { "dropping-particle" : "", "family" : "Sood", "given" : "A. K.", "non-dropping-particle" : "", "parse-names" : false, "suffix" : "" }, { "dropping-particle" : "", "family" : "Bowtell", "given" : "D.", "non-dropping-particle" : "", "parse-names" : false, "suffix" : "" }, { "dropping-particle" : "", "family" : "Penny", "given" : "R.", "non-dropping-particle" : "", "parse-names" : false, "suffix" : "" }, { "dropping-particle" : "", "family" : "Testa", "given" : "J. R.", "non-dropping-particle" : "", "parse-names" : false, "suffix" : "" }, { "dropping-particle" : "", "family" : "Chang", "given" : "K.", "non-dropping-particle" : "", "parse-names" : false, "suffix" : "" }, { "dropping-particle" : "", "family" : "Dinh", "given" : "H. H.", "non-dropping-particle" : "", "parse-names" : false, "suffix" : "" }, { "dropping-particle" : "", "family" : "Drummond", "given" : "J. A.", "non-dropping-particle" : "", "parse-names" : false, "suffix" : "" }, { "dropping-particle" : "", "family" : "Fowler", "given" : "G.", "non-dropping-particle" : "", "parse-names" : false, "suffix" : "" }, { "dropping-particle" : "", "family" : "Gunaratne", "given" : "P.", "non-dropping-particle" : "", "parse-names" : false, "suffix" : "" }, { "dropping-particle" : "", "family" : "Hawes", "given" : "A. C.", "non-dropping-particle" : "", "parse-names" : false, "suffix" : "" }, { "dropping-particle" : "", "family" : "Kovar", "given" : "C. L.", "non-dropping-particle" : "", "parse-names" : false, "suffix" : "" }, { "dropping-particle" : "", "family" : "Lewis", "given" : "L. R.", "non-dropping-particle" : "", "parse-names" : false, "suffix" : "" }, { "dropping-particle" : "", "family" : "Morgan", "given" : "M. B.", "non-dropping-particle" : "", "parse-names" : false, "suffix" : "" }, { "dropping-particle" : "", "family" : "Newsham", "given" : "I. F.", "non-dropping-particle" : "", "parse-names" : false, "suffix" : "" }, { "dropping-particle" : "", "family" : "Santibanez", "given" : "J.", "non-dropping-particle" : "", "parse-names" : false, "suffix" : "" }, { "dropping-particle" : "", "family" : "Reid", "given" : "J. G.", "non-dropping-particle" : "", "parse-names" : false, "suffix" : "" }, { "dropping-particle" : "", "family" : "Trevino", "given" : "L. R.", "non-dropping-particle" : "", "parse-names" : false, "suffix" : "" }, { "dropping-particle" : "", "family" : "Wu", "given" : "Y.-Q.", "non-dropping-particle" : "", "parse-names" : false, "suffix" : "" }, { "dropping-particle" : "", "family" : "Wang", "given" : "M.", "non-dropping-particle" : "", "parse-names" : false, "suffix" : "" }, { "dropping-particle" : "", "family" : "Muzny", "given" : "D. M.", "non-dropping-particle" : "", "parse-names" : false, "suffix" : "" }, { "dropping-particle" : "", "family" : "Wheeler", "given" : "D. A.", "non-dropping-particle" : "", "parse-names" : false, "suffix" : "" }, { "dropping-particle" : "", "family" : "Gibbs", "given" : "R. A.", "non-dropping-particle" : "", "parse-names" : false, "suffix" : "" }, { "dropping-particle" : "", "family" : "Getz", "given" : "G.", "non-dropping-particle" : "", "parse-names" : false, "suffix" : "" }, { "dropping-particle" : "", "family" : "Lawrence", "given" : "M. S.", "non-dropping-particle" : "", "parse-names" : false, "suffix" : "" }, { "dropping-particle" : "", "family" : "Cibulskis", "given" : "K.", "non-dropping-particle" : "", "parse-names" : false, "suffix" : "" }, { "dropping-particle" : "", "family" : "Sivachenko", "given" : "A. Y.", "non-dropping-particle" : "", "parse-names" : false, "suffix" : "" }, { "dropping-particle" : "", "family" : "Sougnez", "given" : "C.", "non-dropping-particle" : "", "parse-names" : false, "suffix" : "" }, { "dropping-particle" : "", "family" : "Voet", "given" : "D.", "non-dropping-particle" : "", "parse-names" : false, "suffix" : "" }, { "dropping-particle" : "", "family" : "Wilkinson", "given" : "J.", "non-dropping-particle" : "", "parse-names" : false, "suffix" : "" }, { "dropping-particle" : "", "family" : "Bloom", "given" : "T.", "non-dropping-particle" : "", "parse-names" : false, "suffix" : "" }, { "dropping-particle" : "", "family" : "Ardlie", "given" : "K.", "non-dropping-particle" : "", "parse-names" : false, "suffix" : "" }, { "dropping-particle" : "", "family" : "Fennell", "given" : "T.", "non-dropping-particle" : "", "parse-names" : false, "suffix" : "" }, { "dropping-particle" : "", "family" : "Baldwin", "given" : "J.", "non-dropping-particle" : "", "parse-names" : false, "suffix" : "" }, { "dropping-particle" : "", "family" : "Gabriel", "given" : "S.", "non-dropping-particle" : "", "parse-names" : false, "suffix" : "" }, { "dropping-particle" : "", "family" : "Lander", "given" : "E. S.", "non-dropping-particle" : "", "parse-names" : false, "suffix" : "" }, { "dropping-particle" : "", "family" : "Ding", "given" : "L.", "non-dropping-particle" : "", "parse-names" : false, "suffix" : "" }, { "dropping-particle" : "", "family" : "Fulton", "given" : "R. S.", "non-dropping-particle" : "", "parse-names" : false, "suffix" : "" }, { "dropping-particle" : "", "family" : "Koboldt", "given" : "D. C.", "non-dropping-particle" : "", "parse-names" : false, "suffix" : "" }, { "dropping-particle" : "", "family" : "McLellan", "given" : "M. D.", "non-dropping-particle" : "", "parse-names" : false, "suffix" : "" }, { "dropping-particle" : "", "family" : "Wylie", "given" : "T.", "non-dropping-particle" : "", "parse-names" : false, "suffix" : "" }, { "dropping-particle" : "", "family" : "Walker", "given" : "J.", "non-dropping-particle" : "", "parse-names" : false, "suffix" : "" }, { "dropping-particle" : "", "family" : "O\u2019Laughlin", "given" : "M.", "non-dropping-particle" : "", "parse-names" : false, "suffix" : "" }, { "dropping-particle" : "", "family" : "Dooling", "given" : "D. J.", "non-dropping-particle" : "", "parse-names" : false, "suffix" : "" }, { "dropping-particle" : "", "family" : "Fulton", "given" : "L.", "non-dropping-particle" : "", "parse-names" : false, "suffix" : "" }, { "dropping-particle" : "", "family" : "Abbott", "given" : "R.", "non-dropping-particle" : "", "parse-names" : false, "suffix" : "" }, { "dropping-particle" : "", "family" : "Dees", "given" : "N. D.", "non-dropping-particle" : "", "parse-names" : false, "suffix" : "" }, { "dropping-particle" : "", "family" : "Zhang", "given" : "Q.", "non-dropping-particle" : "", "parse-names" : false, "suffix" : "" }, { "dropping-particle" : "", "family" : "Kandoth", "given" : "C.", "non-dropping-particle" : "", "parse-names" : false, "suffix" : "" }, { "dropping-particle" : "", "family" : "Wendl", "given" : "M.", "non-dropping-particle" : "", "parse-names" : false, "suffix" : "" }, { "dropping-particle" : "", "family" : "Schierding", "given" : "W.", "non-dropping-particle" : "", "parse-names" : false, "suffix" : "" }, { "dropping-particle" : "", "family" : "Shen", "given" : "D.", "non-dropping-particle" : "", "parse-names" : false, "suffix" : "" }, { "dropping-particle" : "", "family" : "Harris", "given" : "C. C.", "non-dropping-particle" : "", "parse-names" : false, "suffix" : "" }, { "dropping-particle" : "", "family" : "Schmidt", "given" : "H.", "non-dropping-particle" : "", "parse-names" : false, "suffix" : "" }, { "dropping-particle" : "", "family" : "Kalicki", "given" : "J.", "non-dropping-particle" : "", "parse-names" : false, "suffix" : "" }, { "dropping-particle" : "", "family" : "Delehaunty", "given" : "K. D.", "non-dropping-particle" : "", "parse-names" : false, "suffix" : "" }, { "dropping-particle" : "", "family" : "Fronick", "given" : "C. C.", "non-dropping-particle" : "", "parse-names" : false, "suffix" : "" }, { "dropping-particle" : "", "family" : "Demeter", "given" : "R.", "non-dropping-particle" : "", "parse-names" : false, "suffix" : "" }, { "dropping-particle" : "", "family" : "Cook", "given" : "L.", "non-dropping-particle" : "", "parse-names" : false, "suffix" : "" }, { "dropping-particle" : "", "family" : "Wallis", "given" : "J. W.", "non-dropping-particle" : "", "parse-names" : false, "suffix" : "" }, { "dropping-particle" : "", "family" : "Lin", "given" : "L.", "non-dropping-particle" : "", "parse-names" : false, "suffix" : "" }, { "dropping-particle" : "", "family" : "Magrini", "given" : "V. J.", "non-dropping-particle" : "", "parse-names" : false, "suffix" : "" }, { "dropping-particle" : "", "family" : "Hodges", "given" : "J. S.", "non-dropping-particle" : "", "parse-names" : false, "suffix" : "" }, { "dropping-particle" : "", "family" : "Eldred", "given" : "J. M.", "non-dropping-particle" : "", "parse-names" : false, "suffix" : "" }, { "dropping-particle" : "", "family" : "Smith", "given" : "S. M.", "non-dropping-particle" : "", "parse-names" : false, "suffix" : "" }, { "dropping-particle" : "", "family" : "Pohl", "given" : "C. S.", "non-dropping-particle" : "", "parse-names" : false, "suffix" : "" }, { "dropping-particle" : "", "family" : "Vandin", "given" : "F.", "non-dropping-particle" : "", "parse-names" : false, "suffix" : "" }, { "dropping-particle" : "", "family" : "Raphael", "given" : "B. J.", "non-dropping-particle" : "", "parse-names" : false, "suffix" : "" }, { "dropping-particle" : "", "family" : "Weinstock", "given" : "G. M.", "non-dropping-particle" : "", "parse-names" : false, "suffix" : "" }, { "dropping-particle" : "", "family" : "Mardis", "given" : "E. R.", "non-dropping-particle" : "", "parse-names" : false, "suffix" : "" }, { "dropping-particle" : "", "family" : "Wilson", "given" : "R. K.", "non-dropping-particle" : "", "parse-names" : false, "suffix" : "" }, { "dropping-particle" : "", "family" : "Meyerson", "given" : "M.", "non-dropping-particle" : "", "parse-names" : false, "suffix" : "" }, { "dropping-particle" : "", "family" : "Winckler", "given" : "W.", "non-dropping-particle" : "", "parse-names" : false, "suffix" : "" }, { "dropping-particle" : "", "family" : "Getz", "given" : "G.", "non-dropping-particle" : "", "parse-names" : false, "suffix" : "" }, { "dropping-particle" : "", "family" : "Verhaak", "given" : "R. G. W.", "non-dropping-particle" : "", "parse-names" : false, "suffix" : "" }, { "dropping-particle" : "", "family" : "Carter", "given" : "S. L.", "non-dropping-particle" : "", "parse-names" : false, "suffix" : "" }, { "dropping-particle" : "", "family" : "Mermel", "given" : "C. H.", "non-dropping-particle" : "", "parse-names" : false, "suffix" : "" }, { "dropping-particle" : "", "family" : "Saksena", "given" : "G.", "non-dropping-particle" : "", "parse-names" : false, "suffix" : "" }, { "dropping-particle" : "", "family" : "Nguyen", "given" : "H.", "non-dropping-particle" : "", "parse-names" : false, "suffix" : "" }, { "dropping-particle" : "", "family" : "Onofrio", "given" : "R. C.", "non-dropping-particle" : "", "parse-names" : false, "suffix" : "" }, { "dropping-particle" : "", "family" : "Lawrence", "given" : "M. S.", "non-dropping-particle" : "", "parse-names" : false, "suffix" : "" }, { "dropping-particle" : "", "family" : "Hubbard", "given" : "D.", "non-dropping-particle" : "", "parse-names" : false, "suffix" : "" }, { "dropping-particle" : "", "family" : "Gupta", "given" : "S.", "non-dropping-particle" : "", "parse-names" : false, "suffix" : "" }, { "dropping-particle" : "", "family" : "Crenshaw", "given" : "A.", "non-dropping-particle" : "", "parse-names" : false, "suffix" : "" }, { "dropping-particle" : "", "family" : "Ramos", "given" : "A. H.", "non-dropping-particle" : "", "parse-names" : false, "suffix" : "" }, { "dropping-particle" : "", "family" : "Ardlie", "given" : "K.", "non-dropping-particle" : "", "parse-names" : false, "suffix" : "" }, { "dropping-particle" : "", "family" : "Chin", "given" : "L.", "non-dropping-particle" : "", "parse-names" : false, "suffix" : "" }, { "dropping-particle" : "", "family" : "Protopopov", "given" : "A.", "non-dropping-particle" : "", "parse-names" : false, "suffix" : "" }, { "dropping-particle" : "", "family" : "Zhang", "given" : "Juinhua", "non-dropping-particle" : "", "parse-names" : false, "suffix" : "" }, { "dropping-particle" : "", "family" : "Kim", "given" : "T. M.", "non-dropping-particle" : "", "parse-names" : false, "suffix" : "" }, { "dropping-particle" : "", "family" : "Perna", "given" : "I.", "non-dropping-particle" : "", "parse-names" : false, "suffix" : "" }, { "dropping-particle" : "", "family" : "Xiao", "given" : "Y.", "non-dropping-particle" : "", "parse-names" : false, "suffix" : "" }, { "dropping-particle" : "", "family" : "Zhang", "given" : "H.", "non-dropping-particle" : "", "parse-names" : false, "suffix" : "" }, { "dropping-particle" : "", "family" : "Ren", "given" : "G.", "non-dropping-particle" : "", "parse-names" : false, "suffix" : "" }, { "dropping-particle" : "", "family" : "Sathiamoorthy", "given" : "N.", "non-dropping-particle" : "", "parse-names" : false, "suffix" : "" }, { "dropping-particle" : "", "family" : "Park", "given" : "R. W.", "non-dropping-particle" : "", "parse-names" : false, "suffix" : "" }, { "dropping-particle" : "", "family" : "Lee", "given" : "E.", "non-dropping-particle" : "", "parse-names" : false, "suffix" : "" }, { "dropping-particle" : "", "family" : "Park", "given" : "P. J.", "non-dropping-particle" : "", "parse-names" : false, "suffix" : "" }, { "dropping-particle" : "", "family" : "Kucherlapati", "given" : "R.", "non-dropping-particle" : "", "parse-names" : false, "suffix" : "" }, { "dropping-particle" : "", "family" : "Absher", "given" : "D. M.", "non-dropping-particle" : "", "parse-names" : false, "suffix" : "" }, { "dropping-particle" : "", "family" : "Waite", "given" : "L.", "non-dropping-particle" : "", "parse-names" : false, "suffix" : "" }, { "dropping-particle" : "", "family" : "Sherlock", "given" : "G.", "non-dropping-particle" : "", "parse-names" : false, "suffix" : "" }, { "dropping-particle" : "", "family" : "Brooks", "given" : "J. D.", "non-dropping-particle" : "", "parse-names" : false, "suffix" : "" }, { "dropping-particle" : "", "family" : "Li", "given" : "J. Z.", "non-dropping-particle" : "", "parse-names" : false, "suffix" : "" }, { "dropping-particle" : "", "family" : "Xu", "given" : "J.", "non-dropping-particle" : "", "parse-names" : false, "suffix" : "" }, { "dropping-particle" : "", "family" : "Myers", "given" : "R. M.", "non-dropping-particle" : "", "parse-names" : false, "suffix" : "" }, { "dropping-particle" : "", "family" : "Laird", "given" : "P. W.", "non-dropping-particle" : "", "parse-names" : false, "suffix" : "" }, { "dropping-particle" : "", "family" : "Cope", "given" : "L.", "non-dropping-particle" : "", "parse-names" : false, "suffix" : "" }, { "dropping-particle" : "", "family" : "Herman", "given" : "J. G.", "non-dropping-particle" : "", "parse-names" : false, "suffix" : "" }, { "dropping-particle" : "", "family" : "Shen", "given" : "H.", "non-dropping-particle" : "", "parse-names" : false, "suffix" : "" }, { "dropping-particle" : "", "family" : "Weisenberger", "given" : "D. J.", "non-dropping-particle" : "", "parse-names" : false, "suffix" : "" }, { "dropping-particle" : "", "family" : "Noushmehr", "given" : "H.", "non-dropping-particle" : "", "parse-names" : false, "suffix" : "" }, { "dropping-particle" : "", "family" : "Pan", "given" : "F.", "non-dropping-particle" : "", "parse-names" : false, "suffix" : "" }, { "dropping-particle" : "", "family" : "Triche Jr", "given" : "T.", "non-dropping-particle" : "", "parse-names" : false, "suffix" : "" }, { "dropping-particle" : "", "family" : "Berman", "given" : "B. P.", "non-dropping-particle" : "", "parse-names" : false, "suffix" : "" }, { "dropping-particle" : "", "family" : "Berg", "given" : "D. J.", "non-dropping-particle" : "Van Den", "parse-names" : false, "suffix" : "" }, { "dropping-particle" : "", "family" : "Buckley", "given" : "J.", "non-dropping-particle" : "", "parse-names" : false, "suffix" : "" }, { "dropping-particle" : "", "family" : "Baylin", "given" : "S. B.", "non-dropping-particle" : "", "parse-names" : false, "suffix" : "" }, { "dropping-particle" : "", "family" : "Spellman", "given" : "P. T.", "non-dropping-particle" : "", "parse-names" : false, "suffix" : "" }, { "dropping-particle" : "", "family" : "Purdom", "given" : "E.", "non-dropping-particle" : "", "parse-names" : false, "suffix" : "" }, { "dropping-particle" : "", "family" : "Neuvial", "given" : "P.", "non-dropping-particle" : "", "parse-names" : false, "suffix" : "" }, { "dropping-particle" : "", "family" : "Bengtsson", "given" : "H.", "non-dropping-particle" : "", "parse-names" : false, "suffix" : "" }, { "dropping-particle" : "", "family" : "Jakkula", "given" : "L. R.", "non-dropping-particle" : "", "parse-names" : false, "suffix" : "" }, { "dropping-particle" : "", "family" : "Durinck", "given" : "S.", "non-dropping-particle" : "", "parse-names" : false, "suffix" : "" }, { "dropping-particle" : "", "family" : "Han", "given" : "J.", "non-dropping-particle" : "", "parse-names" : false, "suffix" : "" }, { "dropping-particle" : "", "family" : "Dorton", "given" : "S.", "non-dropping-particle" : "", "parse-names" : false, "suffix" : "" }, { "dropping-particle" : "", "family" : "Marr", "given" : "H.", "non-dropping-particle" : "", "parse-names" : false, "suffix" : "" }, { "dropping-particle" : "", "family" : "Choi", "given" : "Y. G.", "non-dropping-particle" : "", "parse-names" : false, "suffix" : "" }, { "dropping-particle" : "", "family" : "Wang", "given" : "V.", "non-dropping-particle" : "", "parse-names" : false, "suffix" : "" }, { "dropping-particle" : "", "family" : "Wang", "given" : "N. J.", "non-dropping-particle" : "", "parse-names" : false, "suffix" : "" }, { "dropping-particle" : "", "family" : "Ngai", "given" : "J.", "non-dropping-particle" : "", "parse-names" : false, "suffix" : "" }, { "dropping-particle" : "", "family" : "Conboy", "given" : "J. G.", "non-dropping-particle" : "", "parse-names" : false, "suffix" : "" }, { "dropping-particle" : "", "family" : "Parvin", "given" : "B.", "non-dropping-particle" : "", "parse-names" : false, "suffix" : "" }, { "dropping-particle" : "", "family" : "Feiler", "given" : "H. S.", "non-dropping-particle" : "", "parse-names" : false, "suffix" : "" }, { "dropping-particle" : "", "family" : "Speed", "given" : "T. P.", "non-dropping-particle" : "", "parse-names" : false, "suffix" : "" }, { "dropping-particle" : "", "family" : "Gray", "given" : "J. W.", "non-dropping-particle" : "", "parse-names" : false, "suffix" : "" }, { "dropping-particle" : "", "family" : "Levine", "given" : "D. A.", "non-dropping-particle" : "", "parse-names" : false, "suffix" : "" }, { "dropping-particle" : "", "family" : "Socci", "given" : "N. D.", "non-dropping-particle" : "", "parse-names" : false, "suffix" : "" }, { "dropping-particle" : "", "family" : "Liang", "given" : "Y.", "non-dropping-particle" : "", "parse-names" : false, "suffix" : "" }, { "dropping-particle" : "", "family" : "Taylor", "given" : "B. S.", "non-dropping-particle" : "", "parse-names" : false, "suffix" : "" }, { "dropping-particle" : "", "family" : "Schultz", "given" : "N.", "non-dropping-particle" : "", "parse-names" : false, "suffix" : "" }, { "dropping-particle" : "", "family" : "Borsu", "given" : "L.", "non-dropping-particle" : "", "parse-names" : false, "suffix" : "" }, { "dropping-particle" : "", "family" : "Lash", "given" : "A. E.", "non-dropping-particle" : "", "parse-names" : false, "suffix" : "" }, { "dropping-particle" : "", "family" : "Brennan", "given" : "C.", "non-dropping-particle" : "", "parse-names" : false, "suffix" : "" }, { "dropping-particle" : "", "family" : "Viale", "given" : "A.", "non-dropping-particle" : "", "parse-names" : false, "suffix" : "" }, { "dropping-particle" : "", "family" : "Sander", "given" : "C.", "non-dropping-particle" : "", "parse-names" : false, "suffix" : "" }, { "dropping-particle" : "", "family" : "Ladanyi", "given" : "M.", "non-dropping-particle" : "", "parse-names" : false, "suffix" : "" }, { "dropping-particle" : "", "family" : "Hoadley", "given" : "K. A.", "non-dropping-particle" : "", "parse-names" : false, "suffix" : "" }, { "dropping-particle" : "", "family" : "Meng", "given" : "S.", "non-dropping-particle" : "", "parse-names" : false, "suffix" : "" }, { "dropping-particle" : "", "family" : "Du", "given" : "Y.", "non-dropping-particle" : "", "parse-names" : false, "suffix" : "" }, { "dropping-particle" : "", "family" : "Shi", "given" : "Y.", "non-dropping-particle" : "", "parse-names" : false, "suffix" : "" }, { "dropping-particle" : "", "family" : "Li", "given" : "L.", "non-dropping-particle" : "", "parse-names" : false, "suffix" : "" }, { "dropping-particle" : "", "family" : "Turman", "given" : "Y. J.", "non-dropping-particle" : "", "parse-names" : false, "suffix" : "" }, { "dropping-particle" : "", "family" : "Zang", "given" : "D.", "non-dropping-particle" : "", "parse-names" : false, "suffix" : "" }, { "dropping-particle" : "", "family" : "Helms", "given" : "E. B.", "non-dropping-particle" : "", "parse-names" : false, "suffix" : "" }, { "dropping-particle" : "", "family" : "Balu", "given" : "S.", "non-dropping-particle" : "", "parse-names" : false, "suffix" : "" }, { "dropping-particle" : "", "family" : "Zhou", "given" : "X.", "non-dropping-particle" : "", "parse-names" : false, "suffix" : "" }, { "dropping-particle" : "", "family" : "Wu", "given" : "J.", "non-dropping-particle" : "", "parse-names" : false, "suffix" : "" }, { "dropping-particle" : "", "family" : "Topal", "given" : "M. D.", "non-dropping-particle" : "", "parse-names" : false, "suffix" : "" }, { "dropping-particle" : "", "family" : "Hayes", "given" : "D. N.", "non-dropping-particle" : "", "parse-names" : false, "suffix" : "" }, { "dropping-particle" : "", "family" : "Perou", "given" : "C. M.", "non-dropping-particle" : "", "parse-names" : false, "suffix" : "" }, { "dropping-particle" : "", "family" : "Getz", "given" : "G.", "non-dropping-particle" : "", "parse-names" : false, "suffix" : "" }, { "dropping-particle" : "", "family" : "Voet", "given" : "D.", "non-dropping-particle" : "", "parse-names" : false, "suffix" : "" }, { "dropping-particle" : "", "family" : "Saksena", "given" : "G.", "non-dropping-particle" : "", "parse-names" : false, "suffix" : "" }, { "dropping-particle" : "", "family" : "Zhang", "given" : "Junihua", "non-dropping-particle" : "", "parse-names" : false, "suffix" : "" }, { "dropping-particle" : "", "family" : "Zhang", "given" : "H.", "non-dropping-particle" : "", "parse-names" : false, "suffix" : "" }, { "dropping-particle" : "", "family" : "Wu", "given" : "C. J.", "non-dropping-particle" : "", "parse-names" : false, "suffix" : "" }, { "dropping-particle" : "", "family" : "Shukla", "given" : "S.", "non-dropping-particle" : "", "parse-names" : false, "suffix" : "" }, { "dropping-particle" : "", "family" : "Cibulskis", "given" : "K.", "non-dropping-particle" : "", "parse-names" : false, "suffix" : "" }, { "dropping-particle" : "", "family" : "Lawrence", "given" : "M. S.", "non-dropping-particle" : "", "parse-names" : false, "suffix" : "" }, { "dropping-particle" : "", "family" : "Sivachenko", "given" : "A.", "non-dropping-particle" : "", "parse-names" : false, "suffix" : "" }, { "dropping-particle" : "", "family" : "Jing", "given" : "R.", "non-dropping-particle" : "", "parse-names" : false, "suffix" : "" }, { "dropping-particle" : "", "family" : "Park", "given" : "R. W.", "non-dropping-particle" : "", "parse-names" : false, "suffix" : "" }, { "dropping-particle" : "", "family" : "Liu", "given" : "Y.", "non-dropping-particle" : "", "parse-names" : false, "suffix" : "" }, { "dropping-particle" : "", "family" : "Park", "given" : "P. J.", "non-dropping-particle" : "", "parse-names" : false, "suffix" : "" }, { "dropping-particle" : "", "family" : "Noble", "given" : "M.", "non-dropping-particle" : "", "parse-names" : false, "suffix" : "" }, { "dropping-particle" : "", "family" : "Chin", "given" : "L.", "non-dropping-particle" : "", "parse-names" : false, "suffix" : "" }, { "dropping-particle" : "", "family" : "Carter", "given" : "H.", "non-dropping-particle" : "", "parse-names" : false, "suffix" : "" }, { "dropping-particle" : "", "family" : "Kim", "given" : "D.", "non-dropping-particle" : "", "parse-names" : false, "suffix" : "" }, { "dropping-particle" : "", "family" : "Karchin", "given" : "R.", "non-dropping-particle" : "", "parse-names" : false, "suffix" : "" }, { "dropping-particle" : "", "family" : "Spellman", "given" : "P. T.", "non-dropping-particle" : "", "parse-names" : false, "suffix" : "" }, { "dropping-particle" : "", "family" : "Purdom", "given" : "E.", "non-dropping-particle" : "", "parse-names" : false, "suffix" : "" }, { "dropping-particle" : "", "family" : "Neuvial", "given" : "P.", "non-dropping-particle" : "", "parse-names" : false, "suffix" : "" }, { "dropping-particle" : "", "family" : "Bengtsson", "given" : "H.", "non-dropping-particle" : "", "parse-names" : false, "suffix" : "" }, { "dropping-particle" : "", "family" : "Durinck", "given" : "S.", "non-dropping-particle" : "", "parse-names" : false, "suffix" : "" }, { "dropping-particle" : "", "family" : "Han", "given" : "J.", "non-dropping-particle" : "", "parse-names" : false, "suffix" : "" }, { "dropping-particle" : "", "family" : "Korkola", "given" : "J. E.", "non-dropping-particle" : "", "parse-names" : false, "suffix" : "" }, { "dropping-particle" : "", "family" : "Heiser", "given" : "L. M.", "non-dropping-particle" : "", "parse-names" : false, "suffix" : "" }, { "dropping-particle" : "", "family" : "Cho", "given" : "R. J.", "non-dropping-particle" : "", "parse-names" : false, "suffix" : "" }, { "dropping-particle" : "", "family" : "Hu", "given" : "Z.", "non-dropping-particle" : "", "parse-names" : false, "suffix" : "" }, { "dropping-particle" : "", "family" : "Parvin", "given" : "B.", "non-dropping-particle" : "", "parse-names" : false, "suffix" : "" }, { "dropping-particle" : "", "family" : "Speed", "given" : "T. P.", "non-dropping-particle" : "", "parse-names" : false, "suffix" : "" }, { "dropping-particle" : "", "family" : "Gray", "given" : "J. W.", "non-dropping-particle" : "", "parse-names" : false, "suffix" : "" }, { "dropping-particle" : "", "family" : "Schultz", "given" : "N.", "non-dropping-particle" : "", "parse-names" : false, "suffix" : "" }, { "dropping-particle" : "", "family" : "Cerami", "given" : "E.", "non-dropping-particle" : "", "parse-names" : false, "suffix" : "" }, { "dropping-particle" : "", "family" : "Taylor", "given" : "B. S.", "non-dropping-particle" : "", "parse-names" : false, "suffix" : "" }, { "dropping-particle" : "", "family" : "Olshen", "given" : "A.", "non-dropping-particle" : "", "parse-names" : false, "suffix" : "" }, { "dropping-particle" : "", "family" : "Reva", "given" : "B.", "non-dropping-particle" : "", "parse-names" : false, "suffix" : "" }, { "dropping-particle" : "", "family" : "Antipin", "given" : "Y.", "non-dropping-particle" : "", "parse-names" : false, "suffix" : "" }, { "dropping-particle" : "", "family" : "Shen", "given" : "R.", "non-dropping-particle" : "", "parse-names" : false, "suffix" : "" }, { "dropping-particle" : "", "family" : "Mankoo", "given" : "P.", "non-dropping-particle" : "", "parse-names" : false, "suffix" : "" }, { "dropping-particle" : "", "family" : "Sheridan", "given" : "R.", "non-dropping-particle" : "", "parse-names" : false, "suffix" : "" }, { "dropping-particle" : "", "family" : "Ciriello", "given" : "G.", "non-dropping-particle" : "", "parse-names" : false, "suffix" : "" }, { "dropping-particle" : "", "family" : "Chang", "given" : "W. K.", "non-dropping-particle" : "", "parse-names" : false, "suffix" : "" }, { "dropping-particle" : "", "family" : "Bernanke", "given" : "J. A.", "non-dropping-particle" : "", "parse-names" : false, "suffix" : "" }, { "dropping-particle" : "", "family" : "Borsu", "given" : "L.", "non-dropping-particle" : "", "parse-names" : false, "suffix" : "" }, { "dropping-particle" : "", "family" : "Levine", "given" : "D. A.", "non-dropping-particle" : "", "parse-names" : false, "suffix" : "" }, { "dropping-particle" : "", "family" : "Ladanyi", "given" : "M.", "non-dropping-particle" : "", "parse-names" : false, "suffix" : "" }, { "dropping-particle" : "", "family" : "Sander", "given" : "C.", "non-dropping-particle" : "", "parse-names" : false, "suffix" : "" }, { "dropping-particle" : "", "family" : "Haussler", "given" : "D.", "non-dropping-particle" : "", "parse-names" : false, "suffix" : "" }, { "dropping-particle" : "", "family" : "Benz", "given" : "C. C.", "non-dropping-particle" : "", "parse-names" : false, "suffix" : "" }, { "dropping-particle" : "", "family" : "Stuart", "given" : "J. M.", "non-dropping-particle" : "", "parse-names" : false, "suffix" : "" }, { "dropping-particle" : "", "family" : "Benz", "given" : "S. C.", "non-dropping-particle" : "", "parse-names" : false, "suffix" : "" }, { "dropping-particle" : "", "family" : "Sanborn", "given" : "J. Z.", "non-dropping-particle" : "", "parse-names" : false, "suffix" : "" }, { "dropping-particle" : "", "family" : "Vaske", "given" : "C. J.", "non-dropping-particle" : "", "parse-names" : false, "suffix" : "" }, { "dropping-particle" : "", "family" : "Zhu", "given" : "J.", "non-dropping-particle" : "", "parse-names" : false, "suffix" : "" }, { "dropping-particle" : "", "family" : "Szeto", "given" : "C.", "non-dropping-particle" : "", "parse-names" : false, "suffix" : "" }, { "dropping-particle" : "", "family" : "Scott", "given" : "G. K.", "non-dropping-particle" : "", "parse-names" : false, "suffix" : "" }, { "dropping-particle" : "", "family" : "Yau", "given" : "C.", "non-dropping-particle" : "", "parse-names" : false, "suffix" : "" }, { "dropping-particle" : "", "family" : "Hoadley", "given" : "K. A.", "non-dropping-particle" : "", "parse-names" : false, "suffix" : "" }, { "dropping-particle" : "", "family" : "Du", "given" : "Y.", "non-dropping-particle" : "", "parse-names" : false, "suffix" : "" }, { "dropping-particle" : "", "family" : "Balu", "given" : "S.", "non-dropping-particle" : "", "parse-names" : false, "suffix" : "" }, { "dropping-particle" : "", "family" : "Hayes", "given" : "D. N.", "non-dropping-particle" : "", "parse-names" : false, "suffix" : "" }, { "dropping-particle" : "", "family" : "Perou", "given" : "C. M.", "non-dropping-particle" : "", "parse-names" : false, "suffix" : "" }, { "dropping-particle" : "", "family" : "Wilkerson", "given" : "M. D.", "non-dropping-particle" : "", "parse-names" : false, "suffix" : "" }, { "dropping-particle" : "", "family" : "Zhang", "given" : "N.", "non-dropping-particle" : "", "parse-names" : false, "suffix" : "" }, { "dropping-particle" : "", "family" : "Akbani", "given" : "R.", "non-dropping-particle" : "", "parse-names" : false, "suffix" : "" }, { "dropping-particle" : "", "family" : "Baggerly", "given" : "K. A.", "non-dropping-particle" : "", "parse-names" : false, "suffix" : "" }, { "dropping-particle" : "", "family" : "Yung", "given" : "W. K.", "non-dropping-particle" : "", "parse-names" : false, "suffix" : "" }, { "dropping-particle" : "", "family" : "Mills", "given" : "G. B.", "non-dropping-particle" : "", "parse-names" : false, "suffix" : "" }, { "dropping-particle" : "", "family" : "Weinstein", "given" : "J. N.", "non-dropping-particle" : "", "parse-names" : false, "suffix" : "" }, { "dropping-particle" : "", "family" : "Penny", "given" : "R.", "non-dropping-particle" : "", "parse-names" : false, "suffix" : "" }, { "dropping-particle" : "", "family" : "Shelton", "given" : "T.", "non-dropping-particle" : "", "parse-names" : false, "suffix" : "" }, { "dropping-particle" : "", "family" : "Grimm", "given" : "D.", "non-dropping-particle" : "", "parse-names" : false, "suffix" : "" }, { "dropping-particle" : "", "family" : "Hatfield", "given" : "M.", "non-dropping-particle" : "", "parse-names" : false, "suffix" : "" }, { "dropping-particle" : "", "family" : "Morris", "given" : "S.", "non-dropping-particle" : "", "parse-names" : false, "suffix" : "" }, { "dropping-particle" : "", "family" : "Yena", "given" : "P.", "non-dropping-particle" : "", "parse-names" : false, "suffix" : "" }, { "dropping-particle" : "", "family" : "Rhodes", "given" : "P.", "non-dropping-particle" : "", "parse-names" : false, "suffix" : "" }, { "dropping-particle" : "", "family" : "Sherman", "given" : "M.", "non-dropping-particle" : "", "parse-names" : false, "suffix" : "" }, { "dropping-particle" : "", "family" : "Paulauskis", "given" : "J.", "non-dropping-particle" : "", "parse-names" : false, "suffix" : "" }, { "dropping-particle" : "", "family" : "Millis", "given" : "S.", "non-dropping-particle" : "", "parse-names" : false, "suffix" : "" }, { "dropping-particle" : "", "family" : "Kahn", "given" : "A.", "non-dropping-particle" : "", "parse-names" : false, "suffix" : "" }, { "dropping-particle" : "", "family" : "Greene", "given" : "J. M.", "non-dropping-particle" : "", "parse-names" : false, "suffix" : "" }, { "dropping-particle" : "", "family" : "Sfeir", "given" : "R.", "non-dropping-particle" : "", "parse-names" : false, "suffix" : "" }, { "dropping-particle" : "", "family" : "Jensen", "given" : "M. A.", "non-dropping-particle" : "", "parse-names" : false, "suffix" : "" }, { "dropping-particle" : "", "family" : "Chen", "given" : "J.", "non-dropping-particle" : "", "parse-names" : false, "suffix" : "" }, { "dropping-particle" : "", "family" : "Whitmore", "given" : "J.", "non-dropping-particle" : "", "parse-names" : false, "suffix" : "" }, { "dropping-particle" : "", "family" : "Alonso", "given" : "S.", "non-dropping-particle" : "", "parse-names" : false, "suffix" : "" }, { "dropping-particle" : "", "family" : "Jordan", "given" : "J.", "non-dropping-particle" : "", "parse-names" : false, "suffix" : "" }, { "dropping-particle" : "", "family" : "Chu", "given" : "A.", "non-dropping-particle" : "", "parse-names" : false, "suffix" : "" }, { "dropping-particle" : "", "family" : "Zhang", "given" : "Jinghui", "non-dropping-particle" : "", "parse-names" : false, "suffix" : "" }, { "dropping-particle" : "", "family" : "Barker", "given" : "A.", "non-dropping-particle" : "", "parse-names" : false, "suffix" : "" }, { "dropping-particle" : "", "family" : "Compton", "given" : "C.", "non-dropping-particle" : "", "parse-names" : false, "suffix" : "" }, { "dropping-particle" : "", "family" : "Eley", "given" : "G.", "non-dropping-particle" : "", "parse-names" : false, "suffix" : "" }, { "dropping-particle" : "", "family" : "Ferguson", "given" : "M.", "non-dropping-particle" : "", "parse-names" : false, "suffix" : "" }, { "dropping-particle" : "", "family" : "Fielding", "given" : "P.", "non-dropping-particle" : "", "parse-names" : false, "suffix" : "" }, { "dropping-particle" : "", "family" : "Gerhard", "given" : "D. S.", "non-dropping-particle" : "", "parse-names" : false, "suffix" : "" }, { "dropping-particle" : "", "family" : "Myles", "given" : "R.", "non-dropping-particle" : "", "parse-names" : false, "suffix" : "" }, { "dropping-particle" : "", "family" : "Schaefer", "given" : "C.", "non-dropping-particle" : "", "parse-names" : false, "suffix" : "" }, { "dropping-particle" : "", "family" : "Mills Shaw", "given" : "K. R.", "non-dropping-particle" : "", "parse-names" : false, "suffix" : "" }, { "dropping-particle" : "", "family" : "Vaught", "given" : "J.", "non-dropping-particle" : "", "parse-names" : false, "suffix" : "" }, { "dropping-particle" : "", "family" : "Vockley", "given" : "J. B.", "non-dropping-particle" : "", "parse-names" : false, "suffix" : "" }, { "dropping-particle" : "", "family" : "Good", "given" : "P. J.", "non-dropping-particle" : "", "parse-names" : false, "suffix" : "" }, { "dropping-particle" : "", "family" : "Guyer", "given" : "M. S.", "non-dropping-particle" : "", "parse-names" : false, "suffix" : "" }, { "dropping-particle" : "", "family" : "Ozenberger", "given" : "B.", "non-dropping-particle" : "", "parse-names" : false, "suffix" : "" }, { "dropping-particle" : "", "family" : "Peterson", "given" : "J.", "non-dropping-particle" : "", "parse-names" : false, "suffix" : "" }, { "dropping-particle" : "", "family" : "Thomson", "given" : "E.", "non-dropping-particle" : "", "parse-names" : false, "suffix" : "" } ], "container-title" : "Nature", "id" : "ITEM-1", "issue" : "7353", "issued" : { "date-parts" : [ [ "2011" ] ] }, "page" : "609-615", "title" : "Integrated genomic analyses of ovarian carcinoma", "type" : "article-journal", "volume" : "474" }, "uris" : [ "http://www.mendeley.com/documents/?uuid=cc6c5d16-9aa8-4500-acca-62f05b79eb7e" ] } ], "mendeley" : { "formattedCitation" : "[4]", "plainTextFormattedCitation" : "[4]", "previouslyFormattedCitation" : "[4]" }, "properties" : { "noteIndex" : 0 }, "schema" : "https://github.com/citation-style-language/schema/raw/master/csl-citation.json" }</w:instrText>
      </w:r>
      <w:r w:rsidR="009647D4">
        <w:fldChar w:fldCharType="separate"/>
      </w:r>
      <w:r w:rsidRPr="005C437E">
        <w:rPr>
          <w:noProof/>
        </w:rPr>
        <w:t>[4]</w:t>
      </w:r>
      <w:r w:rsidR="009647D4">
        <w:fldChar w:fldCharType="end"/>
      </w:r>
      <w:r>
        <w:t xml:space="preserve">, the chemotherapy response varies significantly among </w:t>
      </w:r>
      <w:r w:rsidRPr="00B779FA">
        <w:t>the patients. Therefore, a large number of clinical trials have been performed to develop and test the efficacy of new biologically targeted agents, drugs and/or chemotherapeutic procedures</w:t>
      </w:r>
      <w:r w:rsidR="00C74BBE">
        <w:t>.</w:t>
      </w:r>
      <w:r w:rsidRPr="00B779FA">
        <w:t xml:space="preserve"> However, one of the major challenges in these clinical trials is </w:t>
      </w:r>
      <w:r w:rsidR="00C74BBE">
        <w:t>the</w:t>
      </w:r>
      <w:r w:rsidRPr="00B779FA">
        <w:t xml:space="preserve"> limited ability to accurately categorize patients to find a certain group of patients </w:t>
      </w:r>
      <w:r w:rsidR="00C74BBE">
        <w:t>which is</w:t>
      </w:r>
      <w:r w:rsidRPr="00B779FA">
        <w:t xml:space="preserve"> more likely to respond to target treatment. </w:t>
      </w:r>
      <w:r>
        <w:t xml:space="preserve">In addition, most of the chemotherapy drugs have significant side effects and high costs. </w:t>
      </w:r>
      <w:r w:rsidRPr="00B779FA">
        <w:t xml:space="preserve">As a result, there is a </w:t>
      </w:r>
      <w:r>
        <w:t>clinically imperative</w:t>
      </w:r>
      <w:r w:rsidRPr="00B779FA">
        <w:t xml:space="preserve"> need for </w:t>
      </w:r>
      <w:r>
        <w:t xml:space="preserve">developing an early stage prognostic assessment method to </w:t>
      </w:r>
      <w:r>
        <w:lastRenderedPageBreak/>
        <w:t xml:space="preserve">accurately categorize the </w:t>
      </w:r>
      <w:r w:rsidRPr="00B779FA">
        <w:t>patients</w:t>
      </w:r>
      <w:r>
        <w:t xml:space="preserve"> </w:t>
      </w:r>
      <w:r w:rsidRPr="00B779FA">
        <w:t>into</w:t>
      </w:r>
      <w:r>
        <w:t xml:space="preserve"> groups that are likely or not to </w:t>
      </w:r>
      <w:r w:rsidR="00100A71">
        <w:t>benefit from the new therapies.</w:t>
      </w:r>
    </w:p>
    <w:p w:rsidR="00FD6069" w:rsidRDefault="00E45AA1" w:rsidP="00775E42">
      <w:pPr>
        <w:keepNext/>
        <w:spacing w:line="600" w:lineRule="auto"/>
        <w:jc w:val="center"/>
      </w:pPr>
      <w:bookmarkStart w:id="6" w:name="_Ovarian_Cancer"/>
      <w:bookmarkEnd w:id="6"/>
      <w:r>
        <w:rPr>
          <w:noProof/>
          <w:lang w:bidi="ar-SA"/>
        </w:rPr>
        <w:drawing>
          <wp:inline distT="0" distB="0" distL="0" distR="0" wp14:anchorId="6BA92989" wp14:editId="53AB54EB">
            <wp:extent cx="5189916" cy="3196743"/>
            <wp:effectExtent l="0" t="0" r="0" b="381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urvivalrate1102.jpg"/>
                    <pic:cNvPicPr/>
                  </pic:nvPicPr>
                  <pic:blipFill>
                    <a:blip r:embed="rId11" cstate="print">
                      <a:extLst>
                        <a:ext uri="{28A0092B-C50C-407E-A947-70E740481C1C}">
                          <a14:useLocalDpi xmlns:a14="http://schemas.microsoft.com/office/drawing/2010/main" val="0"/>
                        </a:ext>
                      </a:extLst>
                    </a:blip>
                    <a:stretch>
                      <a:fillRect/>
                    </a:stretch>
                  </pic:blipFill>
                  <pic:spPr>
                    <a:xfrm>
                      <a:off x="0" y="0"/>
                      <a:ext cx="5202349" cy="3204401"/>
                    </a:xfrm>
                    <a:prstGeom prst="rect">
                      <a:avLst/>
                    </a:prstGeom>
                  </pic:spPr>
                </pic:pic>
              </a:graphicData>
            </a:graphic>
          </wp:inline>
        </w:drawing>
      </w:r>
    </w:p>
    <w:p w:rsidR="004E2C38" w:rsidRDefault="00FD6069" w:rsidP="001A727F">
      <w:pPr>
        <w:pStyle w:val="Caption"/>
        <w:spacing w:after="0"/>
        <w:jc w:val="both"/>
        <w:rPr>
          <w:b w:val="0"/>
          <w:color w:val="auto"/>
          <w:sz w:val="24"/>
          <w:szCs w:val="24"/>
          <w:lang w:eastAsia="zh-CN"/>
        </w:rPr>
      </w:pPr>
      <w:bookmarkStart w:id="7" w:name="_Ref466563610"/>
      <w:bookmarkStart w:id="8" w:name="_Toc467168359"/>
      <w:r w:rsidRPr="001A727F">
        <w:rPr>
          <w:color w:val="auto"/>
          <w:sz w:val="24"/>
          <w:szCs w:val="24"/>
        </w:rPr>
        <w:t xml:space="preserve">Figure </w:t>
      </w:r>
      <w:r w:rsidR="009647D4" w:rsidRPr="001A727F">
        <w:rPr>
          <w:color w:val="auto"/>
          <w:sz w:val="24"/>
          <w:szCs w:val="24"/>
        </w:rPr>
        <w:fldChar w:fldCharType="begin"/>
      </w:r>
      <w:r w:rsidRPr="001A727F">
        <w:rPr>
          <w:color w:val="auto"/>
          <w:sz w:val="24"/>
          <w:szCs w:val="24"/>
        </w:rPr>
        <w:instrText xml:space="preserve"> SEQ Figure \* ARABIC </w:instrText>
      </w:r>
      <w:r w:rsidR="009647D4" w:rsidRPr="001A727F">
        <w:rPr>
          <w:color w:val="auto"/>
          <w:sz w:val="24"/>
          <w:szCs w:val="24"/>
        </w:rPr>
        <w:fldChar w:fldCharType="separate"/>
      </w:r>
      <w:r w:rsidR="00D719F4">
        <w:rPr>
          <w:noProof/>
          <w:color w:val="auto"/>
          <w:sz w:val="24"/>
          <w:szCs w:val="24"/>
        </w:rPr>
        <w:t>1</w:t>
      </w:r>
      <w:r w:rsidR="009647D4" w:rsidRPr="001A727F">
        <w:rPr>
          <w:color w:val="auto"/>
          <w:sz w:val="24"/>
          <w:szCs w:val="24"/>
        </w:rPr>
        <w:fldChar w:fldCharType="end"/>
      </w:r>
      <w:bookmarkEnd w:id="7"/>
      <w:r w:rsidRPr="001A727F">
        <w:rPr>
          <w:color w:val="auto"/>
          <w:sz w:val="24"/>
          <w:szCs w:val="24"/>
        </w:rPr>
        <w:t>:</w:t>
      </w:r>
      <w:r w:rsidRPr="001A727F">
        <w:rPr>
          <w:b w:val="0"/>
          <w:color w:val="auto"/>
          <w:sz w:val="24"/>
          <w:szCs w:val="24"/>
        </w:rPr>
        <w:t xml:space="preserve"> Five-year survival rate of epithelial ovarian cancer patients according to National Cancer Institute, SEER Data Base for the patients diagnosed from 1995 to 2007 [3]</w:t>
      </w:r>
      <w:bookmarkEnd w:id="8"/>
    </w:p>
    <w:p w:rsidR="00CE33E3" w:rsidRPr="00CE33E3" w:rsidRDefault="00CE33E3" w:rsidP="00CE33E3">
      <w:pPr>
        <w:pStyle w:val="TableofFigures"/>
        <w:rPr>
          <w:lang w:eastAsia="zh-CN"/>
        </w:rPr>
      </w:pPr>
    </w:p>
    <w:p w:rsidR="00E45AA1" w:rsidRDefault="00E45AA1" w:rsidP="00FB7A07">
      <w:pPr>
        <w:pStyle w:val="Heading2"/>
      </w:pPr>
      <w:bookmarkStart w:id="9" w:name="_Toc468963691"/>
      <w:r w:rsidRPr="003825E6">
        <w:t>Evaluating early response to chemotherapy drugs</w:t>
      </w:r>
      <w:bookmarkEnd w:id="9"/>
    </w:p>
    <w:p w:rsidR="00E45AA1" w:rsidRDefault="00E45AA1" w:rsidP="00E45AA1">
      <w:pPr>
        <w:ind w:firstLine="720"/>
        <w:jc w:val="both"/>
      </w:pPr>
      <w:r w:rsidRPr="003825E6">
        <w:t xml:space="preserve">Extensive researches have been conducted to develop novel clinical markers for prognostic assessment of tumor response to chemotherapy, which can be classified into two subgroups: genetic biomarkers and radiographic imaging. In the recent years, many genetic biomarkers have been discovered and investigated </w:t>
      </w:r>
      <w:r w:rsidR="009647D4" w:rsidRPr="003825E6">
        <w:fldChar w:fldCharType="begin" w:fldLock="1"/>
      </w:r>
      <w:r w:rsidR="00535701">
        <w:instrText>ADDIN CSL_CITATION { "citationItems" : [ { "id" : "ITEM-1", "itemData" : { "DOI" : "10.1038/nature10166", "ISBN" : "1476-4687 (Electronic)\\n0028-0836 (Linking)", "ISSN" : "0028-0836", "PMID" : "21720365", "abstract" : "A catalogue of molecular aberrations that cause ovarian cancer is critical for developing and deploying therapies that will improve patients' lives. The Cancer Genome Atlas project has analysed messenger RNA expression, microRNA expression, promoter methylation and DNA copy number in 489 high-grade serous ovarian adenocarcinomas and the DNA sequences of exons from coding genes in 316 of these tumours. Here we report that high-grade serous ovarian cancer is characterized by TP53 mutations in almost all tumours (96%); low prevalence but statistically recurrent somatic mutations in nine further genes including NF1, BRCA1, BRCA2, RB1 and CDK12; 113 significant focal DNA copy number aberrations; and promoter methylation events involving 168 genes. Analyses delineated four ovarian cancer transcriptional subtypes, three microRNA subtypes, four promoter methylation subtypes and a transcriptional signature associated with survival duration, and shed new light on the impact that tumours with BRCA1/2 (BRCA1 or BRCA2) and CCNE1 aberrations have on survival. Pathway analyses suggested that homologous recombination is defective in about half of the tumours analysed, and that NOTCH and FOXM1 signalling are involved in serous ovarian cancer pathophysiology.", "author" : [ { "dropping-particle" : "", "family" : "Bell", "given" : "D.", "non-dropping-particle" : "", "parse-names" : false, "suffix" : "" }, { "dropping-particle" : "", "family" : "Berchuck", "given" : "A.", "non-dropping-particle" : "", "parse-names" : false, "suffix" : "" }, { "dropping-particle" : "", "family" : "Birrer", "given" : "M.", "non-dropping-particle" : "", "parse-names" : false, "suffix" : "" }, { "dropping-particle" : "", "family" : "Chien", "given" : "J.", "non-dropping-particle" : "", "parse-names" : false, "suffix" : "" }, { "dropping-particle" : "", "family" : "Cramer", "given" : "D. W.", "non-dropping-particle" : "", "parse-names" : false, "suffix" : "" }, { "dropping-particle" : "", "family" : "Dao", "given" : "F.", "non-dropping-particle" : "", "parse-names" : false, "suffix" : "" }, { "dropping-particle" : "", "family" : "Dhir", "given" : "R.", "non-dropping-particle" : "", "parse-names" : false, "suffix" : "" }, { "dropping-particle" : "", "family" : "DiSaia", "given" : "P.", "non-dropping-particle" : "", "parse-names" : false, "suffix" : "" }, { "dropping-particle" : "", "family" : "Gabra", "given" : "H.", "non-dropping-particle" : "", "parse-names" : false, "suffix" : "" }, { "dropping-particle" : "", "family" : "Glenn", "given" : "P.", "non-dropping-particle" : "", "parse-names" : false, "suffix" : "" }, { "dropping-particle" : "", "family" : "Godwin", "given" : "A. K.", "non-dropping-particle" : "", "parse-names" : false, "suffix" : "" }, { "dropping-particle" : "", "family" : "Gross", "given" : "J.", "non-dropping-particle" : "", "parse-names" : false, "suffix" : "" }, { "dropping-particle" : "", "family" : "Hartmann", "given" : "L.", "non-dropping-particle" : "", "parse-names" : false, "suffix" : "" }, { "dropping-particle" : "", "family" : "Huang", "given" : "M.", "non-dropping-particle" : "", "parse-names" : false, "suffix" : "" }, { "dropping-particle" : "", "family" : "Huntsman", "given" : "D. G.", "non-dropping-particle" : "", "parse-names" : false, "suffix" : "" }, { "dropping-particle" : "", "family" : "Iacocca", "given" : "M.", "non-dropping-particle" : "", "parse-names" : false, "suffix" : "" }, { "dropping-particle" : "", "family" : "Imielinski", "given" : "M.", "non-dropping-particle" : "", "parse-names" : false, "suffix" : "" }, { "dropping-particle" : "", "family" : "Kalloger", "given" : "S.", "non-dropping-particle" : "", "parse-names" : false, "suffix" : "" }, { "dropping-particle" : "", "family" : "Karlan", "given" : "B. Y.", "non-dropping-particle" : "", "parse-names" : false, "suffix" : "" }, { "dropping-particle" : "", "family" : "Levine", "given" : "D. A.", "non-dropping-particle" : "", "parse-names" : false, "suffix" : "" }, { "dropping-particle" : "", "family" : "Mills", "given" : "G. B.", "non-dropping-particle" : "", "parse-names" : false, "suffix" : "" }, { "dropping-particle" : "", "family" : "Morrison", "given" : "C.", "non-dropping-particle" : "", "parse-names" : false, "suffix" : "" }, { "dropping-particle" : "", "family" : "Mutch", "given" : "D.", "non-dropping-particle" : "", "parse-names" : false, "suffix" : "" }, { "dropping-particle" : "", "family" : "Olvera", "given" : "N.", "non-dropping-particle" : "", "parse-names" : false, "suffix" : "" }, { "dropping-particle" : "", "family" : "Orsulic", "given" : "S.", "non-dropping-particle" : "", "parse-names" : false, "suffix" : "" }, { "dropping-particle" : "", "family" : "Park", "given" : "K.", "non-dropping-particle" : "", "parse-names" : false, "suffix" : "" }, { "dropping-particle" : "", "family" : "Petrelli", "given" : "N.", "non-dropping-particle" : "", "parse-names" : false, "suffix" : "" }, { "dropping-particle" : "", "family" : "Rabeno", "given" : "B.", "non-dropping-particle" : "", "parse-names" : false, "suffix" : "" }, { "dropping-particle" : "", "family" : "Rader", "given" : "J. S.", "non-dropping-particle" : "", "parse-names" : false, "suffix" : "" }, { "dropping-particle" : "", "family" : "Sikic", "given" : "B. I.", "non-dropping-particle" : "", "parse-names" : false, "suffix" : "" }, { "dropping-particle" : "", "family" : "Smith-McCune", "given" : "K.", "non-dropping-particle" : "", "parse-names" : false, "suffix" : "" }, { "dropping-particle" : "", "family" : "Sood", "given" : "A. K.", "non-dropping-particle" : "", "parse-names" : false, "suffix" : "" }, { "dropping-particle" : "", "family" : "Bowtell", "given" : "D.", "non-dropping-particle" : "", "parse-names" : false, "suffix" : "" }, { "dropping-particle" : "", "family" : "Penny", "given" : "R.", "non-dropping-particle" : "", "parse-names" : false, "suffix" : "" }, { "dropping-particle" : "", "family" : "Testa", "given" : "J. R.", "non-dropping-particle" : "", "parse-names" : false, "suffix" : "" }, { "dropping-particle" : "", "family" : "Chang", "given" : "K.", "non-dropping-particle" : "", "parse-names" : false, "suffix" : "" }, { "dropping-particle" : "", "family" : "Dinh", "given" : "H. H.", "non-dropping-particle" : "", "parse-names" : false, "suffix" : "" }, { "dropping-particle" : "", "family" : "Drummond", "given" : "J. A.", "non-dropping-particle" : "", "parse-names" : false, "suffix" : "" }, { "dropping-particle" : "", "family" : "Fowler", "given" : "G.", "non-dropping-particle" : "", "parse-names" : false, "suffix" : "" }, { "dropping-particle" : "", "family" : "Gunaratne", "given" : "P.", "non-dropping-particle" : "", "parse-names" : false, "suffix" : "" }, { "dropping-particle" : "", "family" : "Hawes", "given" : "A. C.", "non-dropping-particle" : "", "parse-names" : false, "suffix" : "" }, { "dropping-particle" : "", "family" : "Kovar", "given" : "C. L.", "non-dropping-particle" : "", "parse-names" : false, "suffix" : "" }, { "dropping-particle" : "", "family" : "Lewis", "given" : "L. R.", "non-dropping-particle" : "", "parse-names" : false, "suffix" : "" }, { "dropping-particle" : "", "family" : "Morgan", "given" : "M. B.", "non-dropping-particle" : "", "parse-names" : false, "suffix" : "" }, { "dropping-particle" : "", "family" : "Newsham", "given" : "I. F.", "non-dropping-particle" : "", "parse-names" : false, "suffix" : "" }, { "dropping-particle" : "", "family" : "Santibanez", "given" : "J.", "non-dropping-particle" : "", "parse-names" : false, "suffix" : "" }, { "dropping-particle" : "", "family" : "Reid", "given" : "J. G.", "non-dropping-particle" : "", "parse-names" : false, "suffix" : "" }, { "dropping-particle" : "", "family" : "Trevino", "given" : "L. R.", "non-dropping-particle" : "", "parse-names" : false, "suffix" : "" }, { "dropping-particle" : "", "family" : "Wu", "given" : "Y.-Q.", "non-dropping-particle" : "", "parse-names" : false, "suffix" : "" }, { "dropping-particle" : "", "family" : "Wang", "given" : "M.", "non-dropping-particle" : "", "parse-names" : false, "suffix" : "" }, { "dropping-particle" : "", "family" : "Muzny", "given" : "D. M.", "non-dropping-particle" : "", "parse-names" : false, "suffix" : "" }, { "dropping-particle" : "", "family" : "Wheeler", "given" : "D. A.", "non-dropping-particle" : "", "parse-names" : false, "suffix" : "" }, { "dropping-particle" : "", "family" : "Gibbs", "given" : "R. A.", "non-dropping-particle" : "", "parse-names" : false, "suffix" : "" }, { "dropping-particle" : "", "family" : "Getz", "given" : "G.", "non-dropping-particle" : "", "parse-names" : false, "suffix" : "" }, { "dropping-particle" : "", "family" : "Lawrence", "given" : "M. S.", "non-dropping-particle" : "", "parse-names" : false, "suffix" : "" }, { "dropping-particle" : "", "family" : "Cibulskis", "given" : "K.", "non-dropping-particle" : "", "parse-names" : false, "suffix" : "" }, { "dropping-particle" : "", "family" : "Sivachenko", "given" : "A. Y.", "non-dropping-particle" : "", "parse-names" : false, "suffix" : "" }, { "dropping-particle" : "", "family" : "Sougnez", "given" : "C.", "non-dropping-particle" : "", "parse-names" : false, "suffix" : "" }, { "dropping-particle" : "", "family" : "Voet", "given" : "D.", "non-dropping-particle" : "", "parse-names" : false, "suffix" : "" }, { "dropping-particle" : "", "family" : "Wilkinson", "given" : "J.", "non-dropping-particle" : "", "parse-names" : false, "suffix" : "" }, { "dropping-particle" : "", "family" : "Bloom", "given" : "T.", "non-dropping-particle" : "", "parse-names" : false, "suffix" : "" }, { "dropping-particle" : "", "family" : "Ardlie", "given" : "K.", "non-dropping-particle" : "", "parse-names" : false, "suffix" : "" }, { "dropping-particle" : "", "family" : "Fennell", "given" : "T.", "non-dropping-particle" : "", "parse-names" : false, "suffix" : "" }, { "dropping-particle" : "", "family" : "Baldwin", "given" : "J.", "non-dropping-particle" : "", "parse-names" : false, "suffix" : "" }, { "dropping-particle" : "", "family" : "Gabriel", "given" : "S.", "non-dropping-particle" : "", "parse-names" : false, "suffix" : "" }, { "dropping-particle" : "", "family" : "Lander", "given" : "E. S.", "non-dropping-particle" : "", "parse-names" : false, "suffix" : "" }, { "dropping-particle" : "", "family" : "Ding", "given" : "L.", "non-dropping-particle" : "", "parse-names" : false, "suffix" : "" }, { "dropping-particle" : "", "family" : "Fulton", "given" : "R. S.", "non-dropping-particle" : "", "parse-names" : false, "suffix" : "" }, { "dropping-particle" : "", "family" : "Koboldt", "given" : "D. C.", "non-dropping-particle" : "", "parse-names" : false, "suffix" : "" }, { "dropping-particle" : "", "family" : "McLellan", "given" : "M. D.", "non-dropping-particle" : "", "parse-names" : false, "suffix" : "" }, { "dropping-particle" : "", "family" : "Wylie", "given" : "T.", "non-dropping-particle" : "", "parse-names" : false, "suffix" : "" }, { "dropping-particle" : "", "family" : "Walker", "given" : "J.", "non-dropping-particle" : "", "parse-names" : false, "suffix" : "" }, { "dropping-particle" : "", "family" : "O\u2019Laughlin", "given" : "M.", "non-dropping-particle" : "", "parse-names" : false, "suffix" : "" }, { "dropping-particle" : "", "family" : "Dooling", "given" : "D. J.", "non-dropping-particle" : "", "parse-names" : false, "suffix" : "" }, { "dropping-particle" : "", "family" : "Fulton", "given" : "L.", "non-dropping-particle" : "", "parse-names" : false, "suffix" : "" }, { "dropping-particle" : "", "family" : "Abbott", "given" : "R.", "non-dropping-particle" : "", "parse-names" : false, "suffix" : "" }, { "dropping-particle" : "", "family" : "Dees", "given" : "N. D.", "non-dropping-particle" : "", "parse-names" : false, "suffix" : "" }, { "dropping-particle" : "", "family" : "Zhang", "given" : "Q.", "non-dropping-particle" : "", "parse-names" : false, "suffix" : "" }, { "dropping-particle" : "", "family" : "Kandoth", "given" : "C.", "non-dropping-particle" : "", "parse-names" : false, "suffix" : "" }, { "dropping-particle" : "", "family" : "Wendl", "given" : "M.", "non-dropping-particle" : "", "parse-names" : false, "suffix" : "" }, { "dropping-particle" : "", "family" : "Schierding", "given" : "W.", "non-dropping-particle" : "", "parse-names" : false, "suffix" : "" }, { "dropping-particle" : "", "family" : "Shen", "given" : "D.", "non-dropping-particle" : "", "parse-names" : false, "suffix" : "" }, { "dropping-particle" : "", "family" : "Harris", "given" : "C. C.", "non-dropping-particle" : "", "parse-names" : false, "suffix" : "" }, { "dropping-particle" : "", "family" : "Schmidt", "given" : "H.", "non-dropping-particle" : "", "parse-names" : false, "suffix" : "" }, { "dropping-particle" : "", "family" : "Kalicki", "given" : "J.", "non-dropping-particle" : "", "parse-names" : false, "suffix" : "" }, { "dropping-particle" : "", "family" : "Delehaunty", "given" : "K. D.", "non-dropping-particle" : "", "parse-names" : false, "suffix" : "" }, { "dropping-particle" : "", "family" : "Fronick", "given" : "C. C.", "non-dropping-particle" : "", "parse-names" : false, "suffix" : "" }, { "dropping-particle" : "", "family" : "Demeter", "given" : "R.", "non-dropping-particle" : "", "parse-names" : false, "suffix" : "" }, { "dropping-particle" : "", "family" : "Cook", "given" : "L.", "non-dropping-particle" : "", "parse-names" : false, "suffix" : "" }, { "dropping-particle" : "", "family" : "Wallis", "given" : "J. W.", "non-dropping-particle" : "", "parse-names" : false, "suffix" : "" }, { "dropping-particle" : "", "family" : "Lin", "given" : "L.", "non-dropping-particle" : "", "parse-names" : false, "suffix" : "" }, { "dropping-particle" : "", "family" : "Magrini", "given" : "V. J.", "non-dropping-particle" : "", "parse-names" : false, "suffix" : "" }, { "dropping-particle" : "", "family" : "Hodges", "given" : "J. S.", "non-dropping-particle" : "", "parse-names" : false, "suffix" : "" }, { "dropping-particle" : "", "family" : "Eldred", "given" : "J. M.", "non-dropping-particle" : "", "parse-names" : false, "suffix" : "" }, { "dropping-particle" : "", "family" : "Smith", "given" : "S. M.", "non-dropping-particle" : "", "parse-names" : false, "suffix" : "" }, { "dropping-particle" : "", "family" : "Pohl", "given" : "C. S.", "non-dropping-particle" : "", "parse-names" : false, "suffix" : "" }, { "dropping-particle" : "", "family" : "Vandin", "given" : "F.", "non-dropping-particle" : "", "parse-names" : false, "suffix" : "" }, { "dropping-particle" : "", "family" : "Raphael", "given" : "B. J.", "non-dropping-particle" : "", "parse-names" : false, "suffix" : "" }, { "dropping-particle" : "", "family" : "Weinstock", "given" : "G. M.", "non-dropping-particle" : "", "parse-names" : false, "suffix" : "" }, { "dropping-particle" : "", "family" : "Mardis", "given" : "E. R.", "non-dropping-particle" : "", "parse-names" : false, "suffix" : "" }, { "dropping-particle" : "", "family" : "Wilson", "given" : "R. K.", "non-dropping-particle" : "", "parse-names" : false, "suffix" : "" }, { "dropping-particle" : "", "family" : "Meyerson", "given" : "M.", "non-dropping-particle" : "", "parse-names" : false, "suffix" : "" }, { "dropping-particle" : "", "family" : "Winckler", "given" : "W.", "non-dropping-particle" : "", "parse-names" : false, "suffix" : "" }, { "dropping-particle" : "", "family" : "Getz", "given" : "G.", "non-dropping-particle" : "", "parse-names" : false, "suffix" : "" }, { "dropping-particle" : "", "family" : "Verhaak", "given" : "R. G. W.", "non-dropping-particle" : "", "parse-names" : false, "suffix" : "" }, { "dropping-particle" : "", "family" : "Carter", "given" : "S. L.", "non-dropping-particle" : "", "parse-names" : false, "suffix" : "" }, { "dropping-particle" : "", "family" : "Mermel", "given" : "C. H.", "non-dropping-particle" : "", "parse-names" : false, "suffix" : "" }, { "dropping-particle" : "", "family" : "Saksena", "given" : "G.", "non-dropping-particle" : "", "parse-names" : false, "suffix" : "" }, { "dropping-particle" : "", "family" : "Nguyen", "given" : "H.", "non-dropping-particle" : "", "parse-names" : false, "suffix" : "" }, { "dropping-particle" : "", "family" : "Onofrio", "given" : "R. C.", "non-dropping-particle" : "", "parse-names" : false, "suffix" : "" }, { "dropping-particle" : "", "family" : "Lawrence", "given" : "M. S.", "non-dropping-particle" : "", "parse-names" : false, "suffix" : "" }, { "dropping-particle" : "", "family" : "Hubbard", "given" : "D.", "non-dropping-particle" : "", "parse-names" : false, "suffix" : "" }, { "dropping-particle" : "", "family" : "Gupta", "given" : "S.", "non-dropping-particle" : "", "parse-names" : false, "suffix" : "" }, { "dropping-particle" : "", "family" : "Crenshaw", "given" : "A.", "non-dropping-particle" : "", "parse-names" : false, "suffix" : "" }, { "dropping-particle" : "", "family" : "Ramos", "given" : "A. H.", "non-dropping-particle" : "", "parse-names" : false, "suffix" : "" }, { "dropping-particle" : "", "family" : "Ardlie", "given" : "K.", "non-dropping-particle" : "", "parse-names" : false, "suffix" : "" }, { "dropping-particle" : "", "family" : "Chin", "given" : "L.", "non-dropping-particle" : "", "parse-names" : false, "suffix" : "" }, { "dropping-particle" : "", "family" : "Protopopov", "given" : "A.", "non-dropping-particle" : "", "parse-names" : false, "suffix" : "" }, { "dropping-particle" : "", "family" : "Zhang", "given" : "Juinhua", "non-dropping-particle" : "", "parse-names" : false, "suffix" : "" }, { "dropping-particle" : "", "family" : "Kim", "given" : "T. M.", "non-dropping-particle" : "", "parse-names" : false, "suffix" : "" }, { "dropping-particle" : "", "family" : "Perna", "given" : "I.", "non-dropping-particle" : "", "parse-names" : false, "suffix" : "" }, { "dropping-particle" : "", "family" : "Xiao", "given" : "Y.", "non-dropping-particle" : "", "parse-names" : false, "suffix" : "" }, { "dropping-particle" : "", "family" : "Zhang", "given" : "H.", "non-dropping-particle" : "", "parse-names" : false, "suffix" : "" }, { "dropping-particle" : "", "family" : "Ren", "given" : "G.", "non-dropping-particle" : "", "parse-names" : false, "suffix" : "" }, { "dropping-particle" : "", "family" : "Sathiamoorthy", "given" : "N.", "non-dropping-particle" : "", "parse-names" : false, "suffix" : "" }, { "dropping-particle" : "", "family" : "Park", "given" : "R. W.", "non-dropping-particle" : "", "parse-names" : false, "suffix" : "" }, { "dropping-particle" : "", "family" : "Lee", "given" : "E.", "non-dropping-particle" : "", "parse-names" : false, "suffix" : "" }, { "dropping-particle" : "", "family" : "Park", "given" : "P. J.", "non-dropping-particle" : "", "parse-names" : false, "suffix" : "" }, { "dropping-particle" : "", "family" : "Kucherlapati", "given" : "R.", "non-dropping-particle" : "", "parse-names" : false, "suffix" : "" }, { "dropping-particle" : "", "family" : "Absher", "given" : "D. M.", "non-dropping-particle" : "", "parse-names" : false, "suffix" : "" }, { "dropping-particle" : "", "family" : "Waite", "given" : "L.", "non-dropping-particle" : "", "parse-names" : false, "suffix" : "" }, { "dropping-particle" : "", "family" : "Sherlock", "given" : "G.", "non-dropping-particle" : "", "parse-names" : false, "suffix" : "" }, { "dropping-particle" : "", "family" : "Brooks", "given" : "J. D.", "non-dropping-particle" : "", "parse-names" : false, "suffix" : "" }, { "dropping-particle" : "", "family" : "Li", "given" : "J. Z.", "non-dropping-particle" : "", "parse-names" : false, "suffix" : "" }, { "dropping-particle" : "", "family" : "Xu", "given" : "J.", "non-dropping-particle" : "", "parse-names" : false, "suffix" : "" }, { "dropping-particle" : "", "family" : "Myers", "given" : "R. M.", "non-dropping-particle" : "", "parse-names" : false, "suffix" : "" }, { "dropping-particle" : "", "family" : "Laird", "given" : "P. W.", "non-dropping-particle" : "", "parse-names" : false, "suffix" : "" }, { "dropping-particle" : "", "family" : "Cope", "given" : "L.", "non-dropping-particle" : "", "parse-names" : false, "suffix" : "" }, { "dropping-particle" : "", "family" : "Herman", "given" : "J. G.", "non-dropping-particle" : "", "parse-names" : false, "suffix" : "" }, { "dropping-particle" : "", "family" : "Shen", "given" : "H.", "non-dropping-particle" : "", "parse-names" : false, "suffix" : "" }, { "dropping-particle" : "", "family" : "Weisenberger", "given" : "D. J.", "non-dropping-particle" : "", "parse-names" : false, "suffix" : "" }, { "dropping-particle" : "", "family" : "Noushmehr", "given" : "H.", "non-dropping-particle" : "", "parse-names" : false, "suffix" : "" }, { "dropping-particle" : "", "family" : "Pan", "given" : "F.", "non-dropping-particle" : "", "parse-names" : false, "suffix" : "" }, { "dropping-particle" : "", "family" : "Triche Jr", "given" : "T.", "non-dropping-particle" : "", "parse-names" : false, "suffix" : "" }, { "dropping-particle" : "", "family" : "Berman", "given" : "B. P.", "non-dropping-particle" : "", "parse-names" : false, "suffix" : "" }, { "dropping-particle" : "", "family" : "Berg", "given" : "D. J.", "non-dropping-particle" : "Van Den", "parse-names" : false, "suffix" : "" }, { "dropping-particle" : "", "family" : "Buckley", "given" : "J.", "non-dropping-particle" : "", "parse-names" : false, "suffix" : "" }, { "dropping-particle" : "", "family" : "Baylin", "given" : "S. B.", "non-dropping-particle" : "", "parse-names" : false, "suffix" : "" }, { "dropping-particle" : "", "family" : "Spellman", "given" : "P. T.", "non-dropping-particle" : "", "parse-names" : false, "suffix" : "" }, { "dropping-particle" : "", "family" : "Purdom", "given" : "E.", "non-dropping-particle" : "", "parse-names" : false, "suffix" : "" }, { "dropping-particle" : "", "family" : "Neuvial", "given" : "P.", "non-dropping-particle" : "", "parse-names" : false, "suffix" : "" }, { "dropping-particle" : "", "family" : "Bengtsson", "given" : "H.", "non-dropping-particle" : "", "parse-names" : false, "suffix" : "" }, { "dropping-particle" : "", "family" : "Jakkula", "given" : "L. R.", "non-dropping-particle" : "", "parse-names" : false, "suffix" : "" }, { "dropping-particle" : "", "family" : "Durinck", "given" : "S.", "non-dropping-particle" : "", "parse-names" : false, "suffix" : "" }, { "dropping-particle" : "", "family" : "Han", "given" : "J.", "non-dropping-particle" : "", "parse-names" : false, "suffix" : "" }, { "dropping-particle" : "", "family" : "Dorton", "given" : "S.", "non-dropping-particle" : "", "parse-names" : false, "suffix" : "" }, { "dropping-particle" : "", "family" : "Marr", "given" : "H.", "non-dropping-particle" : "", "parse-names" : false, "suffix" : "" }, { "dropping-particle" : "", "family" : "Choi", "given" : "Y. G.", "non-dropping-particle" : "", "parse-names" : false, "suffix" : "" }, { "dropping-particle" : "", "family" : "Wang", "given" : "V.", "non-dropping-particle" : "", "parse-names" : false, "suffix" : "" }, { "dropping-particle" : "", "family" : "Wang", "given" : "N. J.", "non-dropping-particle" : "", "parse-names" : false, "suffix" : "" }, { "dropping-particle" : "", "family" : "Ngai", "given" : "J.", "non-dropping-particle" : "", "parse-names" : false, "suffix" : "" }, { "dropping-particle" : "", "family" : "Conboy", "given" : "J. G.", "non-dropping-particle" : "", "parse-names" : false, "suffix" : "" }, { "dropping-particle" : "", "family" : "Parvin", "given" : "B.", "non-dropping-particle" : "", "parse-names" : false, "suffix" : "" }, { "dropping-particle" : "", "family" : "Feiler", "given" : "H. S.", "non-dropping-particle" : "", "parse-names" : false, "suffix" : "" }, { "dropping-particle" : "", "family" : "Speed", "given" : "T. P.", "non-dropping-particle" : "", "parse-names" : false, "suffix" : "" }, { "dropping-particle" : "", "family" : "Gray", "given" : "J. W.", "non-dropping-particle" : "", "parse-names" : false, "suffix" : "" }, { "dropping-particle" : "", "family" : "Levine", "given" : "D. A.", "non-dropping-particle" : "", "parse-names" : false, "suffix" : "" }, { "dropping-particle" : "", "family" : "Socci", "given" : "N. D.", "non-dropping-particle" : "", "parse-names" : false, "suffix" : "" }, { "dropping-particle" : "", "family" : "Liang", "given" : "Y.", "non-dropping-particle" : "", "parse-names" : false, "suffix" : "" }, { "dropping-particle" : "", "family" : "Taylor", "given" : "B. S.", "non-dropping-particle" : "", "parse-names" : false, "suffix" : "" }, { "dropping-particle" : "", "family" : "Schultz", "given" : "N.", "non-dropping-particle" : "", "parse-names" : false, "suffix" : "" }, { "dropping-particle" : "", "family" : "Borsu", "given" : "L.", "non-dropping-particle" : "", "parse-names" : false, "suffix" : "" }, { "dropping-particle" : "", "family" : "Lash", "given" : "A. E.", "non-dropping-particle" : "", "parse-names" : false, "suffix" : "" }, { "dropping-particle" : "", "family" : "Brennan", "given" : "C.", "non-dropping-particle" : "", "parse-names" : false, "suffix" : "" }, { "dropping-particle" : "", "family" : "Viale", "given" : "A.", "non-dropping-particle" : "", "parse-names" : false, "suffix" : "" }, { "dropping-particle" : "", "family" : "Sander", "given" : "C.", "non-dropping-particle" : "", "parse-names" : false, "suffix" : "" }, { "dropping-particle" : "", "family" : "Ladanyi", "given" : "M.", "non-dropping-particle" : "", "parse-names" : false, "suffix" : "" }, { "dropping-particle" : "", "family" : "Hoadley", "given" : "K. A.", "non-dropping-particle" : "", "parse-names" : false, "suffix" : "" }, { "dropping-particle" : "", "family" : "Meng", "given" : "S.", "non-dropping-particle" : "", "parse-names" : false, "suffix" : "" }, { "dropping-particle" : "", "family" : "Du", "given" : "Y.", "non-dropping-particle" : "", "parse-names" : false, "suffix" : "" }, { "dropping-particle" : "", "family" : "Shi", "given" : "Y.", "non-dropping-particle" : "", "parse-names" : false, "suffix" : "" }, { "dropping-particle" : "", "family" : "Li", "given" : "L.", "non-dropping-particle" : "", "parse-names" : false, "suffix" : "" }, { "dropping-particle" : "", "family" : "Turman", "given" : "Y. J.", "non-dropping-particle" : "", "parse-names" : false, "suffix" : "" }, { "dropping-particle" : "", "family" : "Zang", "given" : "D.", "non-dropping-particle" : "", "parse-names" : false, "suffix" : "" }, { "dropping-particle" : "", "family" : "Helms", "given" : "E. B.", "non-dropping-particle" : "", "parse-names" : false, "suffix" : "" }, { "dropping-particle" : "", "family" : "Balu", "given" : "S.", "non-dropping-particle" : "", "parse-names" : false, "suffix" : "" }, { "dropping-particle" : "", "family" : "Zhou", "given" : "X.", "non-dropping-particle" : "", "parse-names" : false, "suffix" : "" }, { "dropping-particle" : "", "family" : "Wu", "given" : "J.", "non-dropping-particle" : "", "parse-names" : false, "suffix" : "" }, { "dropping-particle" : "", "family" : "Topal", "given" : "M. D.", "non-dropping-particle" : "", "parse-names" : false, "suffix" : "" }, { "dropping-particle" : "", "family" : "Hayes", "given" : "D. N.", "non-dropping-particle" : "", "parse-names" : false, "suffix" : "" }, { "dropping-particle" : "", "family" : "Perou", "given" : "C. M.", "non-dropping-particle" : "", "parse-names" : false, "suffix" : "" }, { "dropping-particle" : "", "family" : "Getz", "given" : "G.", "non-dropping-particle" : "", "parse-names" : false, "suffix" : "" }, { "dropping-particle" : "", "family" : "Voet", "given" : "D.", "non-dropping-particle" : "", "parse-names" : false, "suffix" : "" }, { "dropping-particle" : "", "family" : "Saksena", "given" : "G.", "non-dropping-particle" : "", "parse-names" : false, "suffix" : "" }, { "dropping-particle" : "", "family" : "Zhang", "given" : "Junihua", "non-dropping-particle" : "", "parse-names" : false, "suffix" : "" }, { "dropping-particle" : "", "family" : "Zhang", "given" : "H.", "non-dropping-particle" : "", "parse-names" : false, "suffix" : "" }, { "dropping-particle" : "", "family" : "Wu", "given" : "C. J.", "non-dropping-particle" : "", "parse-names" : false, "suffix" : "" }, { "dropping-particle" : "", "family" : "Shukla", "given" : "S.", "non-dropping-particle" : "", "parse-names" : false, "suffix" : "" }, { "dropping-particle" : "", "family" : "Cibulskis", "given" : "K.", "non-dropping-particle" : "", "parse-names" : false, "suffix" : "" }, { "dropping-particle" : "", "family" : "Lawrence", "given" : "M. S.", "non-dropping-particle" : "", "parse-names" : false, "suffix" : "" }, { "dropping-particle" : "", "family" : "Sivachenko", "given" : "A.", "non-dropping-particle" : "", "parse-names" : false, "suffix" : "" }, { "dropping-particle" : "", "family" : "Jing", "given" : "R.", "non-dropping-particle" : "", "parse-names" : false, "suffix" : "" }, { "dropping-particle" : "", "family" : "Park", "given" : "R. W.", "non-dropping-particle" : "", "parse-names" : false, "suffix" : "" }, { "dropping-particle" : "", "family" : "Liu", "given" : "Y.", "non-dropping-particle" : "", "parse-names" : false, "suffix" : "" }, { "dropping-particle" : "", "family" : "Park", "given" : "P. J.", "non-dropping-particle" : "", "parse-names" : false, "suffix" : "" }, { "dropping-particle" : "", "family" : "Noble", "given" : "M.", "non-dropping-particle" : "", "parse-names" : false, "suffix" : "" }, { "dropping-particle" : "", "family" : "Chin", "given" : "L.", "non-dropping-particle" : "", "parse-names" : false, "suffix" : "" }, { "dropping-particle" : "", "family" : "Carter", "given" : "H.", "non-dropping-particle" : "", "parse-names" : false, "suffix" : "" }, { "dropping-particle" : "", "family" : "Kim", "given" : "D.", "non-dropping-particle" : "", "parse-names" : false, "suffix" : "" }, { "dropping-particle" : "", "family" : "Karchin", "given" : "R.", "non-dropping-particle" : "", "parse-names" : false, "suffix" : "" }, { "dropping-particle" : "", "family" : "Spellman", "given" : "P. T.", "non-dropping-particle" : "", "parse-names" : false, "suffix" : "" }, { "dropping-particle" : "", "family" : "Purdom", "given" : "E.", "non-dropping-particle" : "", "parse-names" : false, "suffix" : "" }, { "dropping-particle" : "", "family" : "Neuvial", "given" : "P.", "non-dropping-particle" : "", "parse-names" : false, "suffix" : "" }, { "dropping-particle" : "", "family" : "Bengtsson", "given" : "H.", "non-dropping-particle" : "", "parse-names" : false, "suffix" : "" }, { "dropping-particle" : "", "family" : "Durinck", "given" : "S.", "non-dropping-particle" : "", "parse-names" : false, "suffix" : "" }, { "dropping-particle" : "", "family" : "Han", "given" : "J.", "non-dropping-particle" : "", "parse-names" : false, "suffix" : "" }, { "dropping-particle" : "", "family" : "Korkola", "given" : "J. E.", "non-dropping-particle" : "", "parse-names" : false, "suffix" : "" }, { "dropping-particle" : "", "family" : "Heiser", "given" : "L. M.", "non-dropping-particle" : "", "parse-names" : false, "suffix" : "" }, { "dropping-particle" : "", "family" : "Cho", "given" : "R. J.", "non-dropping-particle" : "", "parse-names" : false, "suffix" : "" }, { "dropping-particle" : "", "family" : "Hu", "given" : "Z.", "non-dropping-particle" : "", "parse-names" : false, "suffix" : "" }, { "dropping-particle" : "", "family" : "Parvin", "given" : "B.", "non-dropping-particle" : "", "parse-names" : false, "suffix" : "" }, { "dropping-particle" : "", "family" : "Speed", "given" : "T. P.", "non-dropping-particle" : "", "parse-names" : false, "suffix" : "" }, { "dropping-particle" : "", "family" : "Gray", "given" : "J. W.", "non-dropping-particle" : "", "parse-names" : false, "suffix" : "" }, { "dropping-particle" : "", "family" : "Schultz", "given" : "N.", "non-dropping-particle" : "", "parse-names" : false, "suffix" : "" }, { "dropping-particle" : "", "family" : "Cerami", "given" : "E.", "non-dropping-particle" : "", "parse-names" : false, "suffix" : "" }, { "dropping-particle" : "", "family" : "Taylor", "given" : "B. S.", "non-dropping-particle" : "", "parse-names" : false, "suffix" : "" }, { "dropping-particle" : "", "family" : "Olshen", "given" : "A.", "non-dropping-particle" : "", "parse-names" : false, "suffix" : "" }, { "dropping-particle" : "", "family" : "Reva", "given" : "B.", "non-dropping-particle" : "", "parse-names" : false, "suffix" : "" }, { "dropping-particle" : "", "family" : "Antipin", "given" : "Y.", "non-dropping-particle" : "", "parse-names" : false, "suffix" : "" }, { "dropping-particle" : "", "family" : "Shen", "given" : "R.", "non-dropping-particle" : "", "parse-names" : false, "suffix" : "" }, { "dropping-particle" : "", "family" : "Mankoo", "given" : "P.", "non-dropping-particle" : "", "parse-names" : false, "suffix" : "" }, { "dropping-particle" : "", "family" : "Sheridan", "given" : "R.", "non-dropping-particle" : "", "parse-names" : false, "suffix" : "" }, { "dropping-particle" : "", "family" : "Ciriello", "given" : "G.", "non-dropping-particle" : "", "parse-names" : false, "suffix" : "" }, { "dropping-particle" : "", "family" : "Chang", "given" : "W. K.", "non-dropping-particle" : "", "parse-names" : false, "suffix" : "" }, { "dropping-particle" : "", "family" : "Bernanke", "given" : "J. A.", "non-dropping-particle" : "", "parse-names" : false, "suffix" : "" }, { "dropping-particle" : "", "family" : "Borsu", "given" : "L.", "non-dropping-particle" : "", "parse-names" : false, "suffix" : "" }, { "dropping-particle" : "", "family" : "Levine", "given" : "D. A.", "non-dropping-particle" : "", "parse-names" : false, "suffix" : "" }, { "dropping-particle" : "", "family" : "Ladanyi", "given" : "M.", "non-dropping-particle" : "", "parse-names" : false, "suffix" : "" }, { "dropping-particle" : "", "family" : "Sander", "given" : "C.", "non-dropping-particle" : "", "parse-names" : false, "suffix" : "" }, { "dropping-particle" : "", "family" : "Haussler", "given" : "D.", "non-dropping-particle" : "", "parse-names" : false, "suffix" : "" }, { "dropping-particle" : "", "family" : "Benz", "given" : "C. C.", "non-dropping-particle" : "", "parse-names" : false, "suffix" : "" }, { "dropping-particle" : "", "family" : "Stuart", "given" : "J. M.", "non-dropping-particle" : "", "parse-names" : false, "suffix" : "" }, { "dropping-particle" : "", "family" : "Benz", "given" : "S. C.", "non-dropping-particle" : "", "parse-names" : false, "suffix" : "" }, { "dropping-particle" : "", "family" : "Sanborn", "given" : "J. Z.", "non-dropping-particle" : "", "parse-names" : false, "suffix" : "" }, { "dropping-particle" : "", "family" : "Vaske", "given" : "C. J.", "non-dropping-particle" : "", "parse-names" : false, "suffix" : "" }, { "dropping-particle" : "", "family" : "Zhu", "given" : "J.", "non-dropping-particle" : "", "parse-names" : false, "suffix" : "" }, { "dropping-particle" : "", "family" : "Szeto", "given" : "C.", "non-dropping-particle" : "", "parse-names" : false, "suffix" : "" }, { "dropping-particle" : "", "family" : "Scott", "given" : "G. K.", "non-dropping-particle" : "", "parse-names" : false, "suffix" : "" }, { "dropping-particle" : "", "family" : "Yau", "given" : "C.", "non-dropping-particle" : "", "parse-names" : false, "suffix" : "" }, { "dropping-particle" : "", "family" : "Hoadley", "given" : "K. A.", "non-dropping-particle" : "", "parse-names" : false, "suffix" : "" }, { "dropping-particle" : "", "family" : "Du", "given" : "Y.", "non-dropping-particle" : "", "parse-names" : false, "suffix" : "" }, { "dropping-particle" : "", "family" : "Balu", "given" : "S.", "non-dropping-particle" : "", "parse-names" : false, "suffix" : "" }, { "dropping-particle" : "", "family" : "Hayes", "given" : "D. N.", "non-dropping-particle" : "", "parse-names" : false, "suffix" : "" }, { "dropping-particle" : "", "family" : "Perou", "given" : "C. M.", "non-dropping-particle" : "", "parse-names" : false, "suffix" : "" }, { "dropping-particle" : "", "family" : "Wilkerson", "given" : "M. D.", "non-dropping-particle" : "", "parse-names" : false, "suffix" : "" }, { "dropping-particle" : "", "family" : "Zhang", "given" : "N.", "non-dropping-particle" : "", "parse-names" : false, "suffix" : "" }, { "dropping-particle" : "", "family" : "Akbani", "given" : "R.", "non-dropping-particle" : "", "parse-names" : false, "suffix" : "" }, { "dropping-particle" : "", "family" : "Baggerly", "given" : "K. A.", "non-dropping-particle" : "", "parse-names" : false, "suffix" : "" }, { "dropping-particle" : "", "family" : "Yung", "given" : "W. K.", "non-dropping-particle" : "", "parse-names" : false, "suffix" : "" }, { "dropping-particle" : "", "family" : "Mills", "given" : "G. B.", "non-dropping-particle" : "", "parse-names" : false, "suffix" : "" }, { "dropping-particle" : "", "family" : "Weinstein", "given" : "J. N.", "non-dropping-particle" : "", "parse-names" : false, "suffix" : "" }, { "dropping-particle" : "", "family" : "Penny", "given" : "R.", "non-dropping-particle" : "", "parse-names" : false, "suffix" : "" }, { "dropping-particle" : "", "family" : "Shelton", "given" : "T.", "non-dropping-particle" : "", "parse-names" : false, "suffix" : "" }, { "dropping-particle" : "", "family" : "Grimm", "given" : "D.", "non-dropping-particle" : "", "parse-names" : false, "suffix" : "" }, { "dropping-particle" : "", "family" : "Hatfield", "given" : "M.", "non-dropping-particle" : "", "parse-names" : false, "suffix" : "" }, { "dropping-particle" : "", "family" : "Morris", "given" : "S.", "non-dropping-particle" : "", "parse-names" : false, "suffix" : "" }, { "dropping-particle" : "", "family" : "Yena", "given" : "P.", "non-dropping-particle" : "", "parse-names" : false, "suffix" : "" }, { "dropping-particle" : "", "family" : "Rhodes", "given" : "P.", "non-dropping-particle" : "", "parse-names" : false, "suffix" : "" }, { "dropping-particle" : "", "family" : "Sherman", "given" : "M.", "non-dropping-particle" : "", "parse-names" : false, "suffix" : "" }, { "dropping-particle" : "", "family" : "Paulauskis", "given" : "J.", "non-dropping-particle" : "", "parse-names" : false, "suffix" : "" }, { "dropping-particle" : "", "family" : "Millis", "given" : "S.", "non-dropping-particle" : "", "parse-names" : false, "suffix" : "" }, { "dropping-particle" : "", "family" : "Kahn", "given" : "A.", "non-dropping-particle" : "", "parse-names" : false, "suffix" : "" }, { "dropping-particle" : "", "family" : "Greene", "given" : "J. M.", "non-dropping-particle" : "", "parse-names" : false, "suffix" : "" }, { "dropping-particle" : "", "family" : "Sfeir", "given" : "R.", "non-dropping-particle" : "", "parse-names" : false, "suffix" : "" }, { "dropping-particle" : "", "family" : "Jensen", "given" : "M. A.", "non-dropping-particle" : "", "parse-names" : false, "suffix" : "" }, { "dropping-particle" : "", "family" : "Chen", "given" : "J.", "non-dropping-particle" : "", "parse-names" : false, "suffix" : "" }, { "dropping-particle" : "", "family" : "Whitmore", "given" : "J.", "non-dropping-particle" : "", "parse-names" : false, "suffix" : "" }, { "dropping-particle" : "", "family" : "Alonso", "given" : "S.", "non-dropping-particle" : "", "parse-names" : false, "suffix" : "" }, { "dropping-particle" : "", "family" : "Jordan", "given" : "J.", "non-dropping-particle" : "", "parse-names" : false, "suffix" : "" }, { "dropping-particle" : "", "family" : "Chu", "given" : "A.", "non-dropping-particle" : "", "parse-names" : false, "suffix" : "" }, { "dropping-particle" : "", "family" : "Zhang", "given" : "Jinghui", "non-dropping-particle" : "", "parse-names" : false, "suffix" : "" }, { "dropping-particle" : "", "family" : "Barker", "given" : "A.", "non-dropping-particle" : "", "parse-names" : false, "suffix" : "" }, { "dropping-particle" : "", "family" : "Compton", "given" : "C.", "non-dropping-particle" : "", "parse-names" : false, "suffix" : "" }, { "dropping-particle" : "", "family" : "Eley", "given" : "G.", "non-dropping-particle" : "", "parse-names" : false, "suffix" : "" }, { "dropping-particle" : "", "family" : "Ferguson", "given" : "M.", "non-dropping-particle" : "", "parse-names" : false, "suffix" : "" }, { "dropping-particle" : "", "family" : "Fielding", "given" : "P.", "non-dropping-particle" : "", "parse-names" : false, "suffix" : "" }, { "dropping-particle" : "", "family" : "Gerhard", "given" : "D. S.", "non-dropping-particle" : "", "parse-names" : false, "suffix" : "" }, { "dropping-particle" : "", "family" : "Myles", "given" : "R.", "non-dropping-particle" : "", "parse-names" : false, "suffix" : "" }, { "dropping-particle" : "", "family" : "Schaefer", "given" : "C.", "non-dropping-particle" : "", "parse-names" : false, "suffix" : "" }, { "dropping-particle" : "", "family" : "Mills Shaw", "given" : "K. R.", "non-dropping-particle" : "", "parse-names" : false, "suffix" : "" }, { "dropping-particle" : "", "family" : "Vaught", "given" : "J.", "non-dropping-particle" : "", "parse-names" : false, "suffix" : "" }, { "dropping-particle" : "", "family" : "Vockley", "given" : "J. B.", "non-dropping-particle" : "", "parse-names" : false, "suffix" : "" }, { "dropping-particle" : "", "family" : "Good", "given" : "P. J.", "non-dropping-particle" : "", "parse-names" : false, "suffix" : "" }, { "dropping-particle" : "", "family" : "Guyer", "given" : "M. S.", "non-dropping-particle" : "", "parse-names" : false, "suffix" : "" }, { "dropping-particle" : "", "family" : "Ozenberger", "given" : "B.", "non-dropping-particle" : "", "parse-names" : false, "suffix" : "" }, { "dropping-particle" : "", "family" : "Peterson", "given" : "J.", "non-dropping-particle" : "", "parse-names" : false, "suffix" : "" }, { "dropping-particle" : "", "family" : "Thomson", "given" : "E.", "non-dropping-particle" : "", "parse-names" : false, "suffix" : "" } ], "container-title" : "Nature", "id" : "ITEM-1", "issue" : "7353", "issued" : { "date-parts" : [ [ "2011" ] ] }, "page" : "609-615", "title" : "Integrated genomic analyses of ovarian carcinoma", "type" : "article-journal", "volume" : "474" }, "uris" : [ "http://www.mendeley.com/documents/?uuid=cc6c5d16-9aa8-4500-acca-62f05b79eb7e" ] }, { "id" : "ITEM-2", "itemData" : { "DOI" : "10.1148/radiology.215.3.r00jn25761", "ISBN" : "0033-8419 (Print)\\r0033-8419 (Linking)", "ISSN" : "0033-8419", "PMID" : "10831697", "abstract" : "PURPOSE: To compare ultrasonography (US), magnetic resonance (MR) imaging, and computed tomography (CT) for diagnosing and staging advanced ovarian cancer. MATERIALS AND METHODS: US, CT, and MR imaging were performed in 280 patients. Images were read by three radiologists from each of the five hospitals. Image analysis included determination of malignancy within the peritoneum (11 sites), lymph nodes (10 sites), and hepatic parenchyma. The standard of reference was based on surgical and histopathologic findings. Statistical methods used were receiver operating characteristic (ROC) curve analysis, pairwise comparison of areas under the ROC curves (A(z)), analysis of sensitivity and specificity pairs, and assessment of agreement between the degree of suspicion and standard of reference. RESULTS: There were 118 patients with malignant tumors; 73 (62%) had stage III or IV disease. Metastases were found in the peritoneum in 70 (59%), nodes in 20 (17%), and liver in seven (6%) cases. In the peritoneum, MR imaging and CT (A(z) = 0.96 for both) were more accurate than US (A(z) = 0.86), especially in the subdiaphragmatic spaces and hepatic surfaces. MR imaging and CT were more sensitive than US (95%, 92%, and 69%, respectively) for peritoneal metastases. MR imaging was more accurate than CT for detection of lymph node metastases (A(z) = 0.76 vs 0.57, P =.04). In the liver, the A(z) values for the three modalities were 0.77-0.94. CONCLUSION: CT and MR imaging are equally accurate, and either modality can be used to stage advanced ovarian cancer.", "author" : [ { "dropping-particle" : "", "family" : "Tempany", "given" : "C M", "non-dropping-particle" : "", "parse-names" : false, "suffix" : "" }, { "dropping-particle" : "", "family" : "Zou", "given" : "K H", "non-dropping-particle" : "", "parse-names" : false, "suffix" : "" }, { "dropping-particle" : "", "family" : "Silverman", "given" : "S G", "non-dropping-particle" : "", "parse-names" : false, "suffix" : "" }, { "dropping-particle" : "", "family" : "Brown", "given" : "D L", "non-dropping-particle" : "", "parse-names" : false, "suffix" : "" }, { "dropping-particle" : "", "family" : "Kurtz", "given" : "a B", "non-dropping-particle" : "", "parse-names" : false, "suffix" : "" }, { "dropping-particle" : "", "family" : "McNeil", "given" : "B J", "non-dropping-particle" : "", "parse-names" : false, "suffix" : "" } ], "container-title" : "Radiology", "id" : "ITEM-2", "issue" : "3", "issued" : { "date-parts" : [ [ "2000" ] ] }, "page" : "761-767", "title" : "Staging of advanced ovarian cancer: comparison of imaging modalities--report from the Radiological Diagnostic Oncology Group.", "type" : "article-journal", "volume" : "215" }, "uris" : [ "http://www.mendeley.com/documents/?uuid=a587ed15-ef08-4bef-84b9-3d79c0583b10" ] }, { "id" : "ITEM-3", "itemData" : { "DOI" : "10.1016/j.ejrad.2008.02.019", "ISSN" : "1872-7727", "PMID" : "18378417", "abstract" : "BACKGROUND AND PURPOSE: Ovarian cancer is the commonest tumor in female patients with a propensity for recurrence even after primary chemotherapy in early stage. The accuracy of CA 125, PET alone, PET-CT, CT and MRI in diagnosing the recurrent ovarian carcinoma has never been systematically assessed, and present systematic review was aimed at this issue.\\n\\nMETHODS: We searched for articles published from January 1995 to November 2007, inclusion criteria including: articles were reported in English or Chinese; CA 125, PET whether interpreted with or without the use of CT, CT or MRI was used to detect recurrent ovarian carcinoma; Histopathologic analysis and/or close clinical and imaging follow-up for at least 6 months. We extracted data to calculate sensitivity, specificity, SROC curves and AUC and to test for heterogeneity.\\n\\nRESULT: In 34 included studies, CA 125 had the highest pooled specificity, 0.93 (95% CI: 0.89-0.95); PET-CT had highest pooled sensitivity, 0.91 (95% CI: 0.88-0.94). The AUC of CA 125, PET alone, PET-CT, CT and MRI were 0.9219, 0.9297, 0.9555, 0.8845 and 0.7955, respectively. Results of pairwise comparison between each modality demonstrated AUC of PET, whether interpreted with or without the use of CT, was higher than that of CT or MR, p&lt;0.05. The pooled sensitivity, pooled specificity and AUC showed no statistical significance between PET alone and PET-CT. There was heterogeneity among studies and evidence of publication bias.\\n\\nCONCLUSION: PET-CT might be a useful supplement to current surveillance techniques, particularly for those patients with an increasing CA 125 level and negative CT or MR imaging. However, regarding to diagnostic accuracy, interpreted CT images may have limited additional value on PET in detecting recurrent ovarian cancer.", "author" : [ { "dropping-particle" : "", "family" : "Gu", "given" : "Ping", "non-dropping-particle" : "", "parse-names" : false, "suffix" : "" }, { "dropping-particle" : "", "family" : "Pan", "given" : "Ling-Ling", "non-dropping-particle" : "", "parse-names" : false, "suffix" : "" }, { "dropping-particle" : "", "family" : "Wu", "given" : "Shu-Qi", "non-dropping-particle" : "", "parse-names" : false, "suffix" : "" }, { "dropping-particle" : "", "family" : "Sun", "given" : "Li", "non-dropping-particle" : "", "parse-names" : false, "suffix" : "" }, { "dropping-particle" : "", "family" : "Huang", "given" : "Gang", "non-dropping-particle" : "", "parse-names" : false, "suffix" : "" } ], "container-title" : "European journal of radiology", "id" : "ITEM-3", "issue" : "1", "issued" : { "date-parts" : [ [ "2009" ] ] }, "page" : "164-74", "title" : "CA 125, PET alone, PET-CT, CT and MRI in diagnosing recurrent ovarian carcinoma: a systematic review and meta-analysis.", "type" : "article-journal", "volume" : "71" }, "uris" : [ "http://www.mendeley.com/documents/?uuid=9f3bdb20-348e-46ba-a146-64529e212281" ] } ], "mendeley" : { "formattedCitation" : "[4]\u2013[6]", "manualFormatting" : "[4-6]", "plainTextFormattedCitation" : "[4]\u2013[6]", "previouslyFormattedCitation" : "[4]\u2013[6]" }, "properties" : { "noteIndex" : 0 }, "schema" : "https://github.com/citation-style-language/schema/raw/master/csl-citation.json" }</w:instrText>
      </w:r>
      <w:r w:rsidR="009647D4" w:rsidRPr="003825E6">
        <w:fldChar w:fldCharType="separate"/>
      </w:r>
      <w:r w:rsidRPr="003825E6">
        <w:rPr>
          <w:noProof/>
        </w:rPr>
        <w:t>[4-6]</w:t>
      </w:r>
      <w:r w:rsidR="009647D4" w:rsidRPr="003825E6">
        <w:fldChar w:fldCharType="end"/>
      </w:r>
      <w:r w:rsidRPr="003825E6">
        <w:t xml:space="preserve"> to s</w:t>
      </w:r>
      <w:r w:rsidR="00100A71">
        <w:t>elect optimal treatment methods</w:t>
      </w:r>
      <w:r w:rsidRPr="003825E6">
        <w:t xml:space="preserve"> </w:t>
      </w:r>
      <w:r w:rsidR="009647D4" w:rsidRPr="003825E6">
        <w:fldChar w:fldCharType="begin" w:fldLock="1"/>
      </w:r>
      <w:r w:rsidR="00535701">
        <w:instrText>ADDIN CSL_CITATION { "citationItems" : [ { "id" : "ITEM-1", "itemData" : { "DOI" : "10.1038/nrclinonc.2010.47", "ISBN" : "1759-4782 (Electronic)\\r1759-4774 (Linking)", "ISSN" : "1759-4782", "PMID" : "20386556", "abstract" : "Peritoneal metastases are often the first presentation of ovarian malignancy. Evaluating the extent of disease critically determines tumor resectability and can also predict outcome. Standard CT, however, frequently fails to identify small sites of peritoneal spread. Moreover, it does not provide a quantitative index of disease response to cytotoxic therapy as it relies on macroscopic morphological changes in tumor volume, and does not reflect preceding molecular events in the microenvironment of the tumor. We describe the emerging role of functional imaging techniques, such as radioimmunoscintigraphy, PET/CT, diffusion-weighted MRI, dynamic contrast-enhanced MRI, and magnetic resonance spectroscopy in staging ovarian cancer and assessing treatment response. The combination of functional information with conventional anatomical visualization holds promise to accurately characterize peritoneal disease, and provides noninvasive biomarkers of therapeutic performance and patient prognosis.", "author" : [ { "dropping-particle" : "", "family" : "Kyriazi", "given" : "Stavroula", "non-dropping-particle" : "", "parse-names" : false, "suffix" : "" }, { "dropping-particle" : "", "family" : "Kaye", "given" : "Stan B", "non-dropping-particle" : "", "parse-names" : false, "suffix" : "" }, { "dropping-particle" : "", "family" : "DeSouza", "given" : "Nandita M", "non-dropping-particle" : "", "parse-names" : false, "suffix" : "" } ], "container-title" : "Nature reviews. Clinical oncology", "id" : "ITEM-1", "issue" : "7", "issued" : { "date-parts" : [ [ "2010" ] ] }, "page" : "381-93", "title" : "Imaging ovarian cancer and peritoneal metastases--current and emerging techniques.", "type" : "article-journal", "volume" : "7" }, "uris" : [ "http://www.mendeley.com/documents/?uuid=6bbfa5ef-2b49-499f-b3c9-1467b67e7cbd" ] }, { "id" : "ITEM-2", "itemData" : { "DOI" : "10.1093/jnci/92.3.205", "abstract" : "Anticancer cytotoxic agents go through a process by which their antitumor activity--on the basis of the amount of tumor shrinkage they could generate--has been investigated. In the late 1970s, the International Union Against Cancer and the World Health Organization introduced specific criteria for the codification of tumor response evaluation. In 1994, several organizations involved in clinical research combined forces to tackle the review of these criteria on the basis of the experience and knowledge acquired since then. After several years of intensive discussions, a new set of guidelines is ready that will supersede the former criteria. In parallel to this initiative, one of the participating groups developed a model by which response rates could be derived from unidimensional measurement of tumor lesions instead of the usual bidimensional approach. This new concept has been largely validated by the Response Evaluation Criteria in Solid Tumors Group and integrated into the present guidelines. This special article also provides some philosophic background to clarify the various purposes of response evaluation. It proposes a model by which a combined assessment of all existing lesions, characterized by target lesions (to be measured) and nontarget lesions, is used to extrapolate an overall response to treatment. Methods of assessing tumor lesions are better codified, briefly within the guidelines and in more detail in Appendix I. All other aspects of response evaluation have been discussed, reviewed, and amended whenever appropriate.", "author" : [ { "dropping-particle" : "", "family" : "Therasse", "given" : "Patrick", "non-dropping-particle" : "", "parse-names" : false, "suffix" : "" }, { "dropping-particle" : "", "family" : "Arbuck", "given" : "Susan G", "non-dropping-particle" : "", "parse-names" : false, "suffix" : "" }, { "dropping-particle" : "", "family" : "Eisenhauer", "given" : "Elizabeth A", "non-dropping-particle" : "", "parse-names" : false, "suffix" : "" }, { "dropping-particle" : "", "family" : "Wanders", "given" : "Jantien", "non-dropping-particle" : "", "parse-names" : false, "suffix" : "" }, { "dropping-particle" : "", "family" : "Kaplan", "given" : "Richard S", "non-dropping-particle" : "", "parse-names" : false, "suffix" : "" }, { "dropping-particle" : "", "family" : "Rubinstein", "given" : "Larry", "non-dropping-particle" : "", "parse-names" : false, "suffix" : "" }, { "dropping-particle" : "", "family" : "Verweij", "given" : "Jaap", "non-dropping-particle" : "", "parse-names" : false, "suffix" : "" }, { "dropping-particle" : "", "family" : "Glabbeke", "given" : "Martine", "non-dropping-particle" : "Van", "parse-names" : false, "suffix" : "" }, { "dropping-particle" : "", "family" : "Oosterom", "given" : "Allan T", "non-dropping-particle" : "van", "parse-names" : false, "suffix" : "" }, { "dropping-particle" : "", "family" : "Christian", "given" : "Michaele C", "non-dropping-particle" : "", "parse-names" : false, "suffix" : "" }, { "dropping-particle" : "", "family" : "Gwyther", "given" : "Steve G", "non-dropping-particle" : "", "parse-names" : false, "suffix" : "" } ], "container-title" : "J. Natl. Cancer Inst.", "id" : "ITEM-2", "issue" : "3", "issued" : { "date-parts" : [ [ "2000" ] ] }, "page" : "205-216", "title" : "New Guidelines to Evaluate the Response to Treatment in Solid Tumors", "type" : "article-journal", "volume" : "92" }, "uris" : [ "http://www.mendeley.com/documents/?uuid=db1ea374-295f-47ad-a8b2-ee7b2b13cd8b" ] }, { "id" : "ITEM-3", "itemData" : { "DOI" : "10.1016/j.ejca.2008.10.026", "ISBN" : "0959-8049", "ISSN" : "09598049", "PMID" : "19097774", "abstract" : "Background: Assessment of the change in tumour burden is an important feature of the clinical evaluation of cancer therapeutics: both tumour shrinkage (objective response) and disease progression are useful endpoints in clinical trials. Since RECIST was published in 2000, many investigators, cooperative groups, industry and government authorities have adopted these criteria in the assessment of treatment outcomes. However, a number of questions and issues have arisen which have led to the development of a revised RECIST guideline (version 1.1). Evidence for changes, summarised in separate papers in this special issue, has come from assessment of a large data warehouse (&gt;6500 patients), simulation studies and literature reviews. Highlights of revised RECIST 1.1: Major changes include: Number of lesions to be assessed: based on evidence from numerous trial databases merged into a data warehouse for analysis purposes, the number of lesions required to assess tumour burden for response determination has been reduced from a maximum of 10 to a maximum of five total (and from five to two per organ, maximum). Assessment of pathological lymph nodes is now incorporated: nodes with a short axis of \u226515 mm are considered measurable and assessable as target lesions. The short axis measurement should be included in the sum of lesions in calculation of tumour response. Nodes that shrink to &lt;10 mm short axis are considered normal. Confirmation of response is required for trials with response primary endpoint but is no longer required in randomised studies since the control arm serves as appropriate means of interpretation of data. Disease progression is clarified in several aspects: in addition to the previous definition of progression in target disease of 20% increase in sum, a 5 mm absolute increase is now required as well to guard against over calling PD when the total sum is very small. Furthermore, there is guidance offered on what constitutes 'unequivocal progression' of non-measurable/non-target disease, a source of confusion in the original RECIST guideline. Finally, a section on detection of new lesions, including the interpretation of FDG-PET scan assessment is included. Imaging guidance: the revised RECIST includes a new imaging appendix with updated recommendations on the optimal anatomical assessment of lesions. Future work: A key question considered by the RECIST Working Group in developing RECIST 1.1 was whether it was appropriate to move from anatomic un\u2026", "author" : [ { "dropping-particle" : "", "family" : "Eisenhauer", "given" : "E. A.", "non-dropping-particle" : "", "parse-names" : false, "suffix" : "" }, { "dropping-particle" : "", "family" : "Therasse", "given" : "P.", "non-dropping-particle" : "", "parse-names" : false, "suffix" : "" }, { "dropping-particle" : "", "family" : "Bogaerts", "given" : "J.", "non-dropping-particle" : "", "parse-names" : false, "suffix" : "" }, { "dropping-particle" : "", "family" : "Schwartz", "given" : "L. H.", "non-dropping-particle" : "", "parse-names" : false, "suffix" : "" }, { "dropping-particle" : "", "family" : "Sargent", "given" : "D.", "non-dropping-particle" : "", "parse-names" : false, "suffix" : "" }, { "dropping-particle" : "", "family" : "Ford", "given" : "R.", "non-dropping-particle" : "", "parse-names" : false, "suffix" : "" }, { "dropping-particle" : "", "family" : "Dancey", "given" : "J.", "non-dropping-particle" : "", "parse-names" : false, "suffix" : "" }, { "dropping-particle" : "", "family" : "Arbuck", "given" : "S.", "non-dropping-particle" : "", "parse-names" : false, "suffix" : "" }, { "dropping-particle" : "", "family" : "Gwyther", "given" : "S.", "non-dropping-particle" : "", "parse-names" : false, "suffix" : "" }, { "dropping-particle" : "", "family" : "Mooney", "given" : "M.", "non-dropping-particle" : "", "parse-names" : false, "suffix" : "" }, { "dropping-particle" : "", "family" : "Rubinstein", "given" : "L.", "non-dropping-particle" : "", "parse-names" : false, "suffix" : "" }, { "dropping-particle" : "", "family" : "Shankar", "given" : "L.", "non-dropping-particle" : "", "parse-names" : false, "suffix" : "" }, { "dropping-particle" : "", "family" : "Dodd", "given" : "L.", "non-dropping-particle" : "", "parse-names" : false, "suffix" : "" }, { "dropping-particle" : "", "family" : "Kaplan", "given" : "R.", "non-dropping-particle" : "", "parse-names" : false, "suffix" : "" }, { "dropping-particle" : "", "family" : "Lacombe", "given" : "D.", "non-dropping-particle" : "", "parse-names" : false, "suffix" : "" }, { "dropping-particle" : "", "family" : "Verweij", "given" : "J.", "non-dropping-particle" : "", "parse-names" : false, "suffix" : "" } ], "container-title" : "European Journal of Cancer", "id" : "ITEM-3", "issue" : "2", "issued" : { "date-parts" : [ [ "2009" ] ] }, "page" : "228-247", "title" : "New response evaluation criteria in solid tumours: Revised RECIST guideline (version 1.1)", "type" : "article-journal", "volume" : "45" }, "uris" : [ "http://www.mendeley.com/documents/?uuid=290a61ca-ffd1-4422-a9ac-9b7801fe8210" ] } ], "mendeley" : { "formattedCitation" : "[7]\u2013[9]", "manualFormatting" : "[7-9]", "plainTextFormattedCitation" : "[7]\u2013[9]", "previouslyFormattedCitation" : "[7]\u2013[9]" }, "properties" : { "noteIndex" : 0 }, "schema" : "https://github.com/citation-style-language/schema/raw/master/csl-citation.json" }</w:instrText>
      </w:r>
      <w:r w:rsidR="009647D4" w:rsidRPr="003825E6">
        <w:fldChar w:fldCharType="separate"/>
      </w:r>
      <w:r w:rsidRPr="003825E6">
        <w:rPr>
          <w:noProof/>
        </w:rPr>
        <w:t>[7-9]</w:t>
      </w:r>
      <w:r w:rsidR="009647D4" w:rsidRPr="003825E6">
        <w:fldChar w:fldCharType="end"/>
      </w:r>
      <w:r w:rsidR="00100A71">
        <w:t>.</w:t>
      </w:r>
      <w:r w:rsidRPr="003825E6">
        <w:t xml:space="preserve"> However</w:t>
      </w:r>
      <w:r>
        <w:t xml:space="preserve"> </w:t>
      </w:r>
      <w:r w:rsidRPr="003825E6">
        <w:t xml:space="preserve">due to the complexity and heterogeneity of ovarian cancer, no existing biomarkers are able to accurately select treatment options, predict clinical benefit, and determine drug resistance to date. This could be attributed by the facts that the current biomarkers are (1) applicable only to a certain group of patients </w:t>
      </w:r>
      <w:r w:rsidR="009647D4" w:rsidRPr="003825E6">
        <w:fldChar w:fldCharType="begin" w:fldLock="1"/>
      </w:r>
      <w:r w:rsidR="00535701">
        <w:instrText>ADDIN CSL_CITATION { "citationItems" : [ { "id" : "ITEM-1", "itemData" : { "DOI" : "10.1093/jnci/92.3.205", "abstract" : "Anticancer cytotoxic agents go through a process by which their antitumor activity--on the basis of the amount of tumor shrinkage they could generate--has been investigated. In the late 1970s, the International Union Against Cancer and the World Health Organization introduced specific criteria for the codification of tumor response evaluation. In 1994, several organizations involved in clinical research combined forces to tackle the review of these criteria on the basis of the experience and knowledge acquired since then. After several years of intensive discussions, a new set of guidelines is ready that will supersede the former criteria. In parallel to this initiative, one of the participating groups developed a model by which response rates could be derived from unidimensional measurement of tumor lesions instead of the usual bidimensional approach. This new concept has been largely validated by the Response Evaluation Criteria in Solid Tumors Group and integrated into the present guidelines. This special article also provides some philosophic background to clarify the various purposes of response evaluation. It proposes a model by which a combined assessment of all existing lesions, characterized by target lesions (to be measured) and nontarget lesions, is used to extrapolate an overall response to treatment. Methods of assessing tumor lesions are better codified, briefly within the guidelines and in more detail in Appendix I. All other aspects of response evaluation have been discussed, reviewed, and amended whenever appropriate.", "author" : [ { "dropping-particle" : "", "family" : "Therasse", "given" : "Patrick", "non-dropping-particle" : "", "parse-names" : false, "suffix" : "" }, { "dropping-particle" : "", "family" : "Arbuck", "given" : "Susan G", "non-dropping-particle" : "", "parse-names" : false, "suffix" : "" }, { "dropping-particle" : "", "family" : "Eisenhauer", "given" : "Elizabeth A", "non-dropping-particle" : "", "parse-names" : false, "suffix" : "" }, { "dropping-particle" : "", "family" : "Wanders", "given" : "Jantien", "non-dropping-particle" : "", "parse-names" : false, "suffix" : "" }, { "dropping-particle" : "", "family" : "Kaplan", "given" : "Richard S", "non-dropping-particle" : "", "parse-names" : false, "suffix" : "" }, { "dropping-particle" : "", "family" : "Rubinstein", "given" : "Larry", "non-dropping-particle" : "", "parse-names" : false, "suffix" : "" }, { "dropping-particle" : "", "family" : "Verweij", "given" : "Jaap", "non-dropping-particle" : "", "parse-names" : false, "suffix" : "" }, { "dropping-particle" : "", "family" : "Glabbeke", "given" : "Martine", "non-dropping-particle" : "Van", "parse-names" : false, "suffix" : "" }, { "dropping-particle" : "", "family" : "Oosterom", "given" : "Allan T", "non-dropping-particle" : "van", "parse-names" : false, "suffix" : "" }, { "dropping-particle" : "", "family" : "Christian", "given" : "Michaele C", "non-dropping-particle" : "", "parse-names" : false, "suffix" : "" }, { "dropping-particle" : "", "family" : "Gwyther", "given" : "Steve G", "non-dropping-particle" : "", "parse-names" : false, "suffix" : "" } ], "container-title" : "J. Natl. Cancer Inst.", "id" : "ITEM-1", "issue" : "3", "issued" : { "date-parts" : [ [ "2000" ] ] }, "page" : "205-216", "title" : "New Guidelines to Evaluate the Response to Treatment in Solid Tumors", "type" : "article-journal", "volume" : "92" }, "uris" : [ "http://www.mendeley.com/documents/?uuid=db1ea374-295f-47ad-a8b2-ee7b2b13cd8b" ] }, { "id" : "ITEM-2", "itemData" : { "DOI" : "10.1016/j.ejca.2008.10.026", "ISBN" : "0959-8049", "ISSN" : "09598049", "PMID" : "19097774", "abstract" : "Background: Assessment of the change in tumour burden is an important feature of the clinical evaluation of cancer therapeutics: both tumour shrinkage (objective response) and disease progression are useful endpoints in clinical trials. Since RECIST was published in 2000, many investigators, cooperative groups, industry and government authorities have adopted these criteria in the assessment of treatment outcomes. However, a number of questions and issues have arisen which have led to the development of a revised RECIST guideline (version 1.1). Evidence for changes, summarised in separate papers in this special issue, has come from assessment of a large data warehouse (&gt;6500 patients), simulation studies and literature reviews. Highlights of revised RECIST 1.1: Major changes include: Number of lesions to be assessed: based on evidence from numerous trial databases merged into a data warehouse for analysis purposes, the number of lesions required to assess tumour burden for response determination has been reduced from a maximum of 10 to a maximum of five total (and from five to two per organ, maximum). Assessment of pathological lymph nodes is now incorporated: nodes with a short axis of \u226515 mm are considered measurable and assessable as target lesions. The short axis measurement should be included in the sum of lesions in calculation of tumour response. Nodes that shrink to &lt;10 mm short axis are considered normal. Confirmation of response is required for trials with response primary endpoint but is no longer required in randomised studies since the control arm serves as appropriate means of interpretation of data. Disease progression is clarified in several aspects: in addition to the previous definition of progression in target disease of 20% increase in sum, a 5 mm absolute increase is now required as well to guard against over calling PD when the total sum is very small. Furthermore, there is guidance offered on what constitutes 'unequivocal progression' of non-measurable/non-target disease, a source of confusion in the original RECIST guideline. Finally, a section on detection of new lesions, including the interpretation of FDG-PET scan assessment is included. Imaging guidance: the revised RECIST includes a new imaging appendix with updated recommendations on the optimal anatomical assessment of lesions. Future work: A key question considered by the RECIST Working Group in developing RECIST 1.1 was whether it was appropriate to move from anatomic un\u2026", "author" : [ { "dropping-particle" : "", "family" : "Eisenhauer", "given" : "E. A.", "non-dropping-particle" : "", "parse-names" : false, "suffix" : "" }, { "dropping-particle" : "", "family" : "Therasse", "given" : "P.", "non-dropping-particle" : "", "parse-names" : false, "suffix" : "" }, { "dropping-particle" : "", "family" : "Bogaerts", "given" : "J.", "non-dropping-particle" : "", "parse-names" : false, "suffix" : "" }, { "dropping-particle" : "", "family" : "Schwartz", "given" : "L. H.", "non-dropping-particle" : "", "parse-names" : false, "suffix" : "" }, { "dropping-particle" : "", "family" : "Sargent", "given" : "D.", "non-dropping-particle" : "", "parse-names" : false, "suffix" : "" }, { "dropping-particle" : "", "family" : "Ford", "given" : "R.", "non-dropping-particle" : "", "parse-names" : false, "suffix" : "" }, { "dropping-particle" : "", "family" : "Dancey", "given" : "J.", "non-dropping-particle" : "", "parse-names" : false, "suffix" : "" }, { "dropping-particle" : "", "family" : "Arbuck", "given" : "S.", "non-dropping-particle" : "", "parse-names" : false, "suffix" : "" }, { "dropping-particle" : "", "family" : "Gwyther", "given" : "S.", "non-dropping-particle" : "", "parse-names" : false, "suffix" : "" }, { "dropping-particle" : "", "family" : "Mooney", "given" : "M.", "non-dropping-particle" : "", "parse-names" : false, "suffix" : "" }, { "dropping-particle" : "", "family" : "Rubinstein", "given" : "L.", "non-dropping-particle" : "", "parse-names" : false, "suffix" : "" }, { "dropping-particle" : "", "family" : "Shankar", "given" : "L.", "non-dropping-particle" : "", "parse-names" : false, "suffix" : "" }, { "dropping-particle" : "", "family" : "Dodd", "given" : "L.", "non-dropping-particle" : "", "parse-names" : false, "suffix" : "" }, { "dropping-particle" : "", "family" : "Kaplan", "given" : "R.", "non-dropping-particle" : "", "parse-names" : false, "suffix" : "" }, { "dropping-particle" : "", "family" : "Lacombe", "given" : "D.", "non-dropping-particle" : "", "parse-names" : false, "suffix" : "" }, { "dropping-particle" : "", "family" : "Verweij", "given" : "J.", "non-dropping-particle" : "", "parse-names" : false, "suffix" : "" } ], "container-title" : "European Journal of Cancer", "id" : "ITEM-2", "issue" : "2", "issued" : { "date-parts" : [ [ "2009" ] ] }, "page" : "228-247", "title" : "New response evaluation criteria in solid tumours: Revised RECIST guideline (version 1.1)", "type" : "article-journal", "volume" : "45" }, "uris" : [ "http://www.mendeley.com/documents/?uuid=290a61ca-ffd1-4422-a9ac-9b7801fe8210" ] }, { "id" : "ITEM-3", "itemData" : { "DOI" : "10.1158/0008-5472.CAN-12-0058", "ISBN" : "0008-5472\\n1538-7445", "ISSN" : "00085472", "PMID" : "22952219", "abstract" : "Although \"response\" has been an attractive term for oncologists and patients, oncologists really want to know which therapy to start for a given patient and when to discontinue that therapy in favor of an alternative. In efficacy trials, cancer therapeutics have conventionally been assessed by endpoints that are based on the categorical Response Evaluation Criteria In Solid Tumors (RECIST) system. In this article, we make the case for a new paradigm in which therapeutics are assessed on a continuous scale by evidence of efficacy, using a variety of quantitative tools that take advantage of technologic innovations and increasing understanding of cancer biology. The new paradigm relies on randomized comparisons between investigational arms and control arms, as historical controls are unavailable or unreliable for these quantitative measures. We discuss multiple limitations of RECIST, including its overemphasis on tumor regression, concerns about the accuracy of tumor measurements and the validity of comparisons with historical controls, and its inadequacy in disease settings in which tumor measurements on cross-sectional imaging are difficult or uninformative. We discuss how the new paradigm overcomes these limitations and provides a framework for answering the key questions of the oncologist and improving patient outcomes. Cancer Res; 72(20); 1-5. \u00a92012 AACR.", "author" : [ { "dropping-particle" : "", "family" : "Sharma", "given" : "Manish R.", "non-dropping-particle" : "", "parse-names" : false, "suffix" : "" }, { "dropping-particle" : "", "family" : "Maitland", "given" : "Michael L.", "non-dropping-particle" : "", "parse-names" : false, "suffix" : "" }, { "dropping-particle" : "", "family" : "Ratain", "given" : "Mark J.", "non-dropping-particle" : "", "parse-names" : false, "suffix" : "" }, { "dropping-particle" : "", "family" : "Fojo", "given" : "Antonio T.", "non-dropping-particle" : "", "parse-names" : false, "suffix" : "" }, { "dropping-particle" : "", "family" : "Noonan", "given" : "Anne", "non-dropping-particle" : "", "parse-names" : false, "suffix" : "" } ], "container-title" : "Cancer Research", "id" : "ITEM-3", "issue" : "20", "issued" : { "date-parts" : [ [ "2012" ] ] }, "page" : "5145-5150", "title" : "RECIST: No longer the sharpest tool in the oncology clinical trials toolbox - Point/Counterpoint", "type" : "article", "volume" : "72" }, "uris" : [ "http://www.mendeley.com/documents/?uuid=4d37d026-58f3-428d-9d59-8ba07c32a54c" ] } ], "mendeley" : { "formattedCitation" : "[8]\u2013[10]", "manualFormatting" : "[8-10]", "plainTextFormattedCitation" : "[8]\u2013[10]", "previouslyFormattedCitation" : "[8]\u2013[10]" }, "properties" : { "noteIndex" : 0 }, "schema" : "https://github.com/citation-style-language/schema/raw/master/csl-citation.json" }</w:instrText>
      </w:r>
      <w:r w:rsidR="009647D4" w:rsidRPr="003825E6">
        <w:fldChar w:fldCharType="separate"/>
      </w:r>
      <w:r w:rsidRPr="003825E6">
        <w:rPr>
          <w:noProof/>
        </w:rPr>
        <w:t>[8-</w:t>
      </w:r>
      <w:r w:rsidRPr="003825E6">
        <w:rPr>
          <w:noProof/>
        </w:rPr>
        <w:lastRenderedPageBreak/>
        <w:t>10]</w:t>
      </w:r>
      <w:r w:rsidR="009647D4" w:rsidRPr="003825E6">
        <w:fldChar w:fldCharType="end"/>
      </w:r>
      <w:r w:rsidRPr="003825E6">
        <w:t xml:space="preserve">, (2) high costs </w:t>
      </w:r>
      <w:r w:rsidR="009647D4" w:rsidRPr="003825E6">
        <w:fldChar w:fldCharType="begin" w:fldLock="1"/>
      </w:r>
      <w:r w:rsidR="00535701">
        <w:instrText>ADDIN CSL_CITATION { "citationItems" : [ { "id" : "ITEM-1", "itemData" : { "DOI" : "10.1016/j.acra.2015.01.015", "ISBN" : "1076-6332", "ISSN" : "18784046", "PMID" : "25794800", "abstract" : "Response Evaluation Criteria in Solid Tumors (RECIST) is a standardized methodology for determining therapeutic response to anticancer therapy using changes in lesion appearance on imaging studies. Many radiologists are now using RECIST in their routine clinical workflow, as part of consultative arrangements, or within dedicated imaging core laboratories. Although basic RECIST methodology is well described in published articles and online resources, inexperienced readers may encounter difficulties with certain nuances and subtleties of RECIST. This article illustrates a set of pitfalls in RECIST assessment considered to be \"beyond the basics.\" These pitfalls were uncovered during a quality improvement review of a recently established cancer imaging core laboratory staffed by radiologists with limited prior RECIST experience. Pitfalls are presented in four categories: (1) baseline selection of lesions, (2) reassessment of target lesions, (3) reassessment of nontarget lesions, and (4) identification of new lesions. Educational and operational strategies for addressing these pitfalls are suggested. Attention to these pitfalls and strategies may improve the overall quality of RECIST assessments performed by radiologists.", "author" : [ { "dropping-particle" : "", "family" : "Abramson", "given" : "Richard G.", "non-dropping-particle" : "", "parse-names" : false, "suffix" : "" }, { "dropping-particle" : "", "family" : "McGhee", "given" : "Carrie R.", "non-dropping-particle" : "", "parse-names" : false, "suffix" : "" }, { "dropping-particle" : "", "family" : "Lakomkin", "given" : "Nikita", "non-dropping-particle" : "", "parse-names" : false, "suffix" : "" }, { "dropping-particle" : "", "family" : "Arteaga", "given" : "Carlos L.", "non-dropping-particle" : "", "parse-names" : false, "suffix" : "" } ], "container-title" : "Academic Radiology", "id" : "ITEM-1", "issue" : "6", "issued" : { "date-parts" : [ [ "2015" ] ] }, "page" : "779-786", "title" : "Pitfalls in RECIST Data Extraction for Clinical Trials: Beyond the Basics", "type" : "article", "volume" : "22" }, "uris" : [ "http://www.mendeley.com/documents/?uuid=1619dd6c-4acf-40ba-a147-7c76bc332f31" ] }, { "id" : "ITEM-2", "itemData" : { "DOI" : "10.1038/nrclinonc.2011.156", "ISBN" : "1759-4774", "ISSN" : "1759-4774", "PMID" : "22009075", "abstract" : "| Progression\u2011free survival (PFS) is frequently used as a primary end point in oncology clinical trials. Employing PFS instead of overall survival as the primary outcome has the advantage that trial completion can be quicker with fewer patients required, and it is cheaper. PFS is sensitive to cytostatic as well as cytotoxic mechanisms of therapeutic intervention and directly measures the effect of the investigational treatment. Despite these practical advantages, it is unclear whether or not extending PFS provides discernable clinical benefit. New treatments that increase PFS may not be of sufficient value to patients with advanced\u2011stage cancer unless accompanied by tangible quantity or quality of life advantages. Any symptom relief that patients gain from treatment resulting in tumor shrinkage or stabilization must be balanced against the toxic effects that drug therapy itself creates. Consequently, improved assessment of new treatments using patient\u2011reported outcomes alongside PFS is crucial to enable communication between clinicians and patients and optimal decision\u2011making about therapeutic options.", "author" : [ { "dropping-particle" : "", "family" : "Fallowfield", "given" : "L J", "non-dropping-particle" : "", "parse-names" : false, "suffix" : "" }, { "dropping-particle" : "", "family" : "Fallowfield", "given" : "Lesley J", "non-dropping-particle" : "", "parse-names" : false, "suffix" : "" }, { "dropping-particle" : "", "family" : "Fleissig", "given" : "Anne", "non-dropping-particle" : "", "parse-names" : false, "suffix" : "" } ], "container-title" : "Nature Publishing Group", "id" : "ITEM-2", "issue" : "9", "issued" : { "date-parts" : [ [ "2011" ] ] }, "page" : "41-4710", "title" : "The value of progression-free survival to patients with advanced-stage cancer", "type" : "article-journal", "volume" : "9" }, "uris" : [ "http://www.mendeley.com/documents/?uuid=42617ee1-9146-4882-a447-90bc0099860c" ] } ], "mendeley" : { "formattedCitation" : "[11], [12]", "manualFormatting" : "[11-12]", "plainTextFormattedCitation" : "[11], [12]", "previouslyFormattedCitation" : "[11], [12]" }, "properties" : { "noteIndex" : 0 }, "schema" : "https://github.com/citation-style-language/schema/raw/master/csl-citation.json" }</w:instrText>
      </w:r>
      <w:r w:rsidR="009647D4" w:rsidRPr="003825E6">
        <w:fldChar w:fldCharType="separate"/>
      </w:r>
      <w:r w:rsidRPr="003825E6">
        <w:rPr>
          <w:noProof/>
        </w:rPr>
        <w:t>[11-12]</w:t>
      </w:r>
      <w:r w:rsidR="009647D4" w:rsidRPr="003825E6">
        <w:fldChar w:fldCharType="end"/>
      </w:r>
      <w:r w:rsidRPr="003825E6">
        <w:t xml:space="preserve"> and (3) lower specificity </w:t>
      </w:r>
      <w:r w:rsidR="009647D4" w:rsidRPr="003825E6">
        <w:fldChar w:fldCharType="begin" w:fldLock="1"/>
      </w:r>
      <w:r w:rsidR="00535701">
        <w:instrText>ADDIN CSL_CITATION { "citationItems" : [ { "id" : "ITEM-1", "itemData" : { "DOI" : "10.1177/0284185115620947", "ISSN" : "1600-0455", "PMID" : "26663390", "abstract" : "BACKGROUND: In current clinical trials of treating ovarian cancer patients, how to accurately predict patients' response to the chemotherapy at an early stage remains an important and unsolved challenge.\\n\\nPURPOSE: To investigate feasibility of applying a new quantitative image analysis method for predicting early response of ovarian cancer patients to chemotherapy in clinical trials.\\n\\nMATERIAL AND METHODS: A dataset of 30 patients was retrospectively selected in this study, among which 12 were responders with 6-month progression-free survival (PFS) and 18 were non-responders. A computer-aided detection scheme was developed to segment tumors depicted on two sets of CT images acquired pre-treatment and 4-6 weeks post treatment. The scheme computed changes of three image features related to the tumor volume, density, and density variance. We analyzed performance of using each image feature and applying a decision tree to predict patients' 6-month PFS. The prediction accuracy of using quantitative image features was also compared with the clinical record based on the Response Evaluation Criteria in Solid Tumors (RECIST) guideline.\\n\\nRESULTS: The areas under receiver operating characteristic curve (AUC) were 0.773\u2009\u00b1\u20090.086, 0.680\u2009\u00b1\u20090.109, and 0.668\u2009\u00b1\u20090.101, when using each of three features, respectively. AUC value increased to 0.831\u2009\u00b1\u20090.078 when combining these features together. The decision-tree classifier achieved a higher predicting accuracy (76.7%) than using RECIST guideline (60.0%).\\n\\nCONCLUSION: This study demonstrated the potential of using a quantitative image feature analysis method to improve accuracy of predicting early response of ovarian cancer patients to the chemotherapy in clinical trials.", "author" : [ { "dropping-particle" : "", "family" : "Qiu", "given" : "Yuchen", "non-dropping-particle" : "", "parse-names" : false, "suffix" : "" }, { "dropping-particle" : "", "family" : "Tan", "given" : "Maxine", "non-dropping-particle" : "", "parse-names" : false, "suffix" : "" }, { "dropping-particle" : "", "family" : "McMeekin", "given" : "Scott", "non-dropping-particle" : "", "parse-names" : false, "suffix" : "" }, { "dropping-particle" : "", "family" : "Thai", "given" : "Theresa", "non-dropping-particle" : "", "parse-names" : false, "suffix" : "" }, { "dropping-particle" : "", "family" : "Ding", "given" : "Kai", "non-dropping-particle" : "", "parse-names" : false, "suffix" : "" }, { "dropping-particle" : "", "family" : "Moore", "given" : "Kathleen", "non-dropping-particle" : "", "parse-names" : false, "suffix" : "" }, { "dropping-particle" : "", "family" : "Liu", "given" : "Hong", "non-dropping-particle" : "", "parse-names" : false, "suffix" : "" }, { "dropping-particle" : "", "family" : "Zheng", "given" : "Bin", "non-dropping-particle" : "", "parse-names" : false, "suffix" : "" } ], "container-title" : "Acta radiologica (Stockholm, Sweden : 1987)", "id" : "ITEM-1", "issued" : { "date-parts" : [ [ "2015" ] ] }, "title" : "Early prediction of clinical benefit of treating ovarian cancer using quantitative CT image feature analysis.", "type" : "article-journal" }, "uris" : [ "http://www.mendeley.com/documents/?uuid=3f1dc534-59bd-48e9-8b1b-6ee85617caef" ] }, { "id" : "ITEM-2", "itemData" : { "DOI" : "10.1118/1.597775", "ISSN" : "0094-2405", "PMID" : "8994165", "abstract" : "As research efforts for developing computer-aided diagnosis (CAD) schemes of digitized mammograms increase and interscheme results are compared, the desire to establish an acceptable consistent reporting protocol of the distribution of abnormal characteristic is becoming an issue. \"Mass contrast\" is very important and frequently reported in current CAD studies. In this report, 100 verified mass regions were analyzed systemically using 6 different definitions of \"mass contrast.\" Measured variability in mass contrast was demonstrated by the distribution shift in this group masses. The need for universally accepted and largely standardized descriptors of objects of interest is clearly demonstrated.", "author" : [ { "dropping-particle" : "", "family" : "Zheng", "given" : "B", "non-dropping-particle" : "", "parse-names" : false, "suffix" : "" }, { "dropping-particle" : "", "family" : "Chang", "given" : "Y H", "non-dropping-particle" : "", "parse-names" : false, "suffix" : "" }, { "dropping-particle" : "", "family" : "Gur", "given" : "D", "non-dropping-particle" : "", "parse-names" : false, "suffix" : "" } ], "container-title" : "Medical physics", "id" : "ITEM-2", "issue" : "12", "issued" : { "date-parts" : [ [ "1996" ] ] }, "page" : "2007-9", "title" : "On the reporting of mass contrast in CAD research.", "type" : "article-journal", "volume" : "23" }, "uris" : [ "http://www.mendeley.com/documents/?uuid=3024645c-407d-43d8-b17c-389e7ba70148" ] }, { "id" : "ITEM-3", "itemData" : { "DOI" : "10.1088/0031-9155/45/10/308", "ISBN" : "0031-9155 (Print)\\r0031-9155", "ISSN" : "0031-9155", "PMID" : "11049175", "abstract" : "Specificity levels of automatic mass detection methods in mammography are generally rather low, because suspicious looking normal tissue is often hard to discriminate from real malignant masses. In this work a number of features were defined that are related to image characteristics that radiologists use to discriminate real lesions from normal tissue. An artificial neural network was used to map the computed features to a measure of suspiciousness for each region that was found suspicious by a mass detection method. Two data sets were used to test the method. The first set of 72 malignant cases (132 films) was a consecutive series taken from the Nijmegen screening programme, 208 normal films were added to improve the estimation of the specificity of the method. The second set was part of the new DDSM data set from the University of South Florida. A total of 193 cases (772 films) with 372 annotated malignancies was used. The measure of suspiciousness that was computed using the image characteristics was successful in discriminating tumours from false positive detections. Approximately 75% of all cancers were detected in at least one view at a specificity level of 0.1 false positive per image.", "author" : [ { "dropping-particle" : "te", "family" : "Brake", "given" : "Guido M", "non-dropping-particle" : "", "parse-names" : false, "suffix" : "" }, { "dropping-particle" : "", "family" : "Karssemeijer", "given" : "Nico", "non-dropping-particle" : "", "parse-names" : false, "suffix" : "" }, { "dropping-particle" : "", "family" : "Hendriks", "given" : "Jan H C L", "non-dropping-particle" : "", "parse-names" : false, "suffix" : "" } ], "container-title" : "Physics in Medicine and Biology", "id" : "ITEM-3", "issue" : "10", "issued" : { "date-parts" : [ [ "2000" ] ] }, "page" : "2843-2857", "title" : "An automatic method to discriminate malignant masses from normal tissue in digital mammograms", "type" : "article-journal", "volume" : "45" }, "uris" : [ "http://www.mendeley.com/documents/?uuid=cfe09a01-394a-4987-8838-6c75bdd79cc6" ] } ], "mendeley" : { "formattedCitation" : "[13]\u2013[15]", "manualFormatting" : "[13-15]", "plainTextFormattedCitation" : "[13]\u2013[15]", "previouslyFormattedCitation" : "[13]\u2013[15]" }, "properties" : { "noteIndex" : 0 }, "schema" : "https://github.com/citation-style-language/schema/raw/master/csl-citation.json" }</w:instrText>
      </w:r>
      <w:r w:rsidR="009647D4" w:rsidRPr="003825E6">
        <w:fldChar w:fldCharType="separate"/>
      </w:r>
      <w:r w:rsidRPr="003825E6">
        <w:rPr>
          <w:noProof/>
        </w:rPr>
        <w:t>[13-15]</w:t>
      </w:r>
      <w:r w:rsidR="009647D4" w:rsidRPr="003825E6">
        <w:fldChar w:fldCharType="end"/>
      </w:r>
      <w:r w:rsidRPr="003825E6">
        <w:t xml:space="preserve">. Hence, radiographic imaging analyses are critically important to assess the prognostic response of ovarian cancer treatment </w:t>
      </w:r>
      <w:r w:rsidR="009647D4" w:rsidRPr="003825E6">
        <w:fldChar w:fldCharType="begin" w:fldLock="1"/>
      </w:r>
      <w:r w:rsidR="00535701">
        <w:instrText>ADDIN CSL_CITATION { "citationItems" : [ { "id" : "ITEM-1", "itemData" : { "DOI" : "10.1148/radiology.215.3.r00jn25761", "ISBN" : "0033-8419 (Print)\\r0033-8419 (Linking)", "ISSN" : "0033-8419", "PMID" : "10831697", "abstract" : "PURPOSE: To compare ultrasonography (US), magnetic resonance (MR) imaging, and computed tomography (CT) for diagnosing and staging advanced ovarian cancer. MATERIALS AND METHODS: US, CT, and MR imaging were performed in 280 patients. Images were read by three radiologists from each of the five hospitals. Image analysis included determination of malignancy within the peritoneum (11 sites), lymph nodes (10 sites), and hepatic parenchyma. The standard of reference was based on surgical and histopathologic findings. Statistical methods used were receiver operating characteristic (ROC) curve analysis, pairwise comparison of areas under the ROC curves (A(z)), analysis of sensitivity and specificity pairs, and assessment of agreement between the degree of suspicion and standard of reference. RESULTS: There were 118 patients with malignant tumors; 73 (62%) had stage III or IV disease. Metastases were found in the peritoneum in 70 (59%), nodes in 20 (17%), and liver in seven (6%) cases. In the peritoneum, MR imaging and CT (A(z) = 0.96 for both) were more accurate than US (A(z) = 0.86), especially in the subdiaphragmatic spaces and hepatic surfaces. MR imaging and CT were more sensitive than US (95%, 92%, and 69%, respectively) for peritoneal metastases. MR imaging was more accurate than CT for detection of lymph node metastases (A(z) = 0.76 vs 0.57, P =.04). In the liver, the A(z) values for the three modalities were 0.77-0.94. CONCLUSION: CT and MR imaging are equally accurate, and either modality can be used to stage advanced ovarian cancer.", "author" : [ { "dropping-particle" : "", "family" : "Tempany", "given" : "C M", "non-dropping-particle" : "", "parse-names" : false, "suffix" : "" }, { "dropping-particle" : "", "family" : "Zou", "given" : "K H", "non-dropping-particle" : "", "parse-names" : false, "suffix" : "" }, { "dropping-particle" : "", "family" : "Silverman", "given" : "S G", "non-dropping-particle" : "", "parse-names" : false, "suffix" : "" }, { "dropping-particle" : "", "family" : "Brown", "given" : "D L", "non-dropping-particle" : "", "parse-names" : false, "suffix" : "" }, { "dropping-particle" : "", "family" : "Kurtz", "given" : "a B", "non-dropping-particle" : "", "parse-names" : false, "suffix" : "" }, { "dropping-particle" : "", "family" : "McNeil", "given" : "B J", "non-dropping-particle" : "", "parse-names" : false, "suffix" : "" } ], "container-title" : "Radiology", "id" : "ITEM-1", "issue" : "3", "issued" : { "date-parts" : [ [ "2000" ] ] }, "page" : "761-767", "title" : "Staging of advanced ovarian cancer: comparison of imaging modalities--report from the Radiological Diagnostic Oncology Group.", "type" : "article-journal", "volume" : "215" }, "uris" : [ "http://www.mendeley.com/documents/?uuid=a587ed15-ef08-4bef-84b9-3d79c0583b10" ] }, { "id" : "ITEM-2", "itemData" : { "DOI" : "10.1016/j.ejrad.2008.02.019", "ISSN" : "1872-7727", "PMID" : "18378417", "abstract" : "BACKGROUND AND PURPOSE: Ovarian cancer is the commonest tumor in female patients with a propensity for recurrence even after primary chemotherapy in early stage. The accuracy of CA 125, PET alone, PET-CT, CT and MRI in diagnosing the recurrent ovarian carcinoma has never been systematically assessed, and present systematic review was aimed at this issue.\\n\\nMETHODS: We searched for articles published from January 1995 to November 2007, inclusion criteria including: articles were reported in English or Chinese; CA 125, PET whether interpreted with or without the use of CT, CT or MRI was used to detect recurrent ovarian carcinoma; Histopathologic analysis and/or close clinical and imaging follow-up for at least 6 months. We extracted data to calculate sensitivity, specificity, SROC curves and AUC and to test for heterogeneity.\\n\\nRESULT: In 34 included studies, CA 125 had the highest pooled specificity, 0.93 (95% CI: 0.89-0.95); PET-CT had highest pooled sensitivity, 0.91 (95% CI: 0.88-0.94). The AUC of CA 125, PET alone, PET-CT, CT and MRI were 0.9219, 0.9297, 0.9555, 0.8845 and 0.7955, respectively. Results of pairwise comparison between each modality demonstrated AUC of PET, whether interpreted with or without the use of CT, was higher than that of CT or MR, p&lt;0.05. The pooled sensitivity, pooled specificity and AUC showed no statistical significance between PET alone and PET-CT. There was heterogeneity among studies and evidence of publication bias.\\n\\nCONCLUSION: PET-CT might be a useful supplement to current surveillance techniques, particularly for those patients with an increasing CA 125 level and negative CT or MR imaging. However, regarding to diagnostic accuracy, interpreted CT images may have limited additional value on PET in detecting recurrent ovarian cancer.", "author" : [ { "dropping-particle" : "", "family" : "Gu", "given" : "Ping", "non-dropping-particle" : "", "parse-names" : false, "suffix" : "" }, { "dropping-particle" : "", "family" : "Pan", "given" : "Ling-Ling", "non-dropping-particle" : "", "parse-names" : false, "suffix" : "" }, { "dropping-particle" : "", "family" : "Wu", "given" : "Shu-Qi", "non-dropping-particle" : "", "parse-names" : false, "suffix" : "" }, { "dropping-particle" : "", "family" : "Sun", "given" : "Li", "non-dropping-particle" : "", "parse-names" : false, "suffix" : "" }, { "dropping-particle" : "", "family" : "Huang", "given" : "Gang", "non-dropping-particle" : "", "parse-names" : false, "suffix" : "" } ], "container-title" : "European journal of radiology", "id" : "ITEM-2", "issue" : "1", "issued" : { "date-parts" : [ [ "2009" ] ] }, "page" : "164-74", "title" : "CA 125, PET alone, PET-CT, CT and MRI in diagnosing recurrent ovarian carcinoma: a systematic review and meta-analysis.", "type" : "article-journal", "volume" : "71" }, "uris" : [ "http://www.mendeley.com/documents/?uuid=9f3bdb20-348e-46ba-a146-64529e212281" ] } ], "mendeley" : { "formattedCitation" : "[5], [6]", "manualFormatting" : "[5-6]", "plainTextFormattedCitation" : "[5], [6]", "previouslyFormattedCitation" : "[5], [6]" }, "properties" : { "noteIndex" : 0 }, "schema" : "https://github.com/citation-style-language/schema/raw/master/csl-citation.json" }</w:instrText>
      </w:r>
      <w:r w:rsidR="009647D4" w:rsidRPr="003825E6">
        <w:fldChar w:fldCharType="separate"/>
      </w:r>
      <w:r w:rsidRPr="003825E6">
        <w:rPr>
          <w:noProof/>
        </w:rPr>
        <w:t>[5-6]</w:t>
      </w:r>
      <w:r w:rsidR="009647D4" w:rsidRPr="003825E6">
        <w:fldChar w:fldCharType="end"/>
      </w:r>
      <w:r w:rsidRPr="003825E6">
        <w:t xml:space="preserve">. </w:t>
      </w:r>
    </w:p>
    <w:p w:rsidR="00BA3694" w:rsidRPr="003825E6" w:rsidRDefault="00BA3694" w:rsidP="00BA3694"/>
    <w:p w:rsidR="00E45AA1" w:rsidRPr="003825E6" w:rsidRDefault="00E45AA1" w:rsidP="00FB7A07">
      <w:pPr>
        <w:pStyle w:val="Heading2"/>
      </w:pPr>
      <w:bookmarkStart w:id="10" w:name="_Toc468963692"/>
      <w:r w:rsidRPr="003825E6">
        <w:t>Radiographic imaging</w:t>
      </w:r>
      <w:bookmarkEnd w:id="10"/>
      <w:r w:rsidRPr="003825E6">
        <w:t xml:space="preserve"> </w:t>
      </w:r>
    </w:p>
    <w:p w:rsidR="00E45AA1" w:rsidRDefault="00E45AA1" w:rsidP="00E45AA1">
      <w:pPr>
        <w:ind w:firstLine="720"/>
        <w:jc w:val="both"/>
        <w:rPr>
          <w:bCs/>
          <w:lang w:eastAsia="zh-CN"/>
        </w:rPr>
      </w:pPr>
      <w:r w:rsidRPr="003825E6">
        <w:t>Current imaging modalities in treating ovarian cancer include</w:t>
      </w:r>
      <w:r w:rsidRPr="003825E6">
        <w:rPr>
          <w:bCs/>
        </w:rPr>
        <w:t xml:space="preserve"> ultrasound, perfusion X-ray computed tomography (CT), magnetic resonance imaging (MRI) and Positron emission tomography (PET). Due to several benefits like wider availability, rapid acquisition of images, a wealth of clear and specific information, high diagnostic performance, and low operating cost, perfusion X-ray CT is considered to be the most popular technique currently used for prognostic assessment of ovarian cancer in clinical practice </w:t>
      </w:r>
      <w:r w:rsidR="009647D4" w:rsidRPr="003825E6">
        <w:rPr>
          <w:bCs/>
        </w:rPr>
        <w:fldChar w:fldCharType="begin" w:fldLock="1"/>
      </w:r>
      <w:r w:rsidRPr="003825E6">
        <w:rPr>
          <w:bCs/>
        </w:rPr>
        <w:instrText>ADDIN CSL_CITATION { "citationItems" : [ { "id" : "ITEM-1", "itemData" : { "DOI" : "10.1038/nrclinonc.2010.47", "ISBN" : "1759-4782 (Electronic)\\r1759-4774 (Linking)", "ISSN" : "1759-4782", "PMID" : "20386556", "abstract" : "Peritoneal metastases are often the first presentation of ovarian malignancy. Evaluating the extent of disease critically determines tumor resectability and can also predict outcome. Standard CT, however, frequently fails to identify small sites of peritoneal spread. Moreover, it does not provide a quantitative index of disease response to cytotoxic therapy as it relies on macroscopic morphological changes in tumor volume, and does not reflect preceding molecular events in the microenvironment of the tumor. We describe the emerging role of functional imaging techniques, such as radioimmunoscintigraphy, PET/CT, diffusion-weighted MRI, dynamic contrast-enhanced MRI, and magnetic resonance spectroscopy in staging ovarian cancer and assessing treatment response. The combination of functional information with conventional anatomical visualization holds promise to accurately characterize peritoneal disease, and provides noninvasive biomarkers of therapeutic performance and patient prognosis.", "author" : [ { "dropping-particle" : "", "family" : "Kyriazi", "given" : "Stavroula", "non-dropping-particle" : "", "parse-names" : false, "suffix" : "" }, { "dropping-particle" : "", "family" : "Kaye", "given" : "Stan B", "non-dropping-particle" : "", "parse-names" : false, "suffix" : "" }, { "dropping-particle" : "", "family" : "DeSouza", "given" : "Nandita M", "non-dropping-particle" : "", "parse-names" : false, "suffix" : "" } ], "container-title" : "Nature reviews. Clinical oncology", "id" : "ITEM-1", "issue" : "7", "issued" : { "date-parts" : [ [ "2010" ] ] }, "page" : "381-93", "title" : "Imaging ovarian cancer and peritoneal metastases--current and emerging techniques.", "type" : "article-journal", "volume" : "7" }, "uris" : [ "http://www.mendeley.com/documents/?uuid=6bbfa5ef-2b49-499f-b3c9-1467b67e7cbd" ] } ], "mendeley" : { "formattedCitation" : "[7]", "plainTextFormattedCitation" : "[7]", "previouslyFormattedCitation" : "[7]" }, "properties" : { "noteIndex" : 0 }, "schema" : "https://github.com/citation-style-language/schema/raw/master/csl-citation.json" }</w:instrText>
      </w:r>
      <w:r w:rsidR="009647D4" w:rsidRPr="003825E6">
        <w:rPr>
          <w:bCs/>
        </w:rPr>
        <w:fldChar w:fldCharType="separate"/>
      </w:r>
      <w:r w:rsidRPr="003825E6">
        <w:rPr>
          <w:bCs/>
          <w:noProof/>
        </w:rPr>
        <w:t>[7]</w:t>
      </w:r>
      <w:r w:rsidR="009647D4" w:rsidRPr="003825E6">
        <w:rPr>
          <w:bCs/>
        </w:rPr>
        <w:fldChar w:fldCharType="end"/>
      </w:r>
      <w:r w:rsidRPr="003825E6">
        <w:rPr>
          <w:bCs/>
        </w:rPr>
        <w:t>.</w:t>
      </w:r>
    </w:p>
    <w:p w:rsidR="00CE33E3" w:rsidRDefault="00CE33E3" w:rsidP="00BA3694">
      <w:pPr>
        <w:rPr>
          <w:bCs/>
          <w:lang w:eastAsia="zh-CN"/>
        </w:rPr>
      </w:pPr>
    </w:p>
    <w:p w:rsidR="00E45AA1" w:rsidRDefault="00E45AA1" w:rsidP="00FB7A07">
      <w:pPr>
        <w:pStyle w:val="Heading2"/>
      </w:pPr>
      <w:bookmarkStart w:id="11" w:name="_Toc468963693"/>
      <w:r>
        <w:t>RECIST guidelines</w:t>
      </w:r>
      <w:bookmarkEnd w:id="11"/>
      <w:r>
        <w:t xml:space="preserve"> </w:t>
      </w:r>
    </w:p>
    <w:p w:rsidR="00E45AA1" w:rsidRDefault="00E45AA1" w:rsidP="00E45AA1">
      <w:pPr>
        <w:ind w:firstLine="720"/>
        <w:jc w:val="both"/>
        <w:rPr>
          <w:lang w:eastAsia="zh-CN"/>
        </w:rPr>
      </w:pPr>
      <w:r w:rsidRPr="00EA66CA">
        <w:t>Response Evaluation Criteria in Solid Tumors (RECIST) is</w:t>
      </w:r>
      <w:r>
        <w:t xml:space="preserve"> the </w:t>
      </w:r>
      <w:r w:rsidRPr="00232094">
        <w:t xml:space="preserve">current clinical standard to assess patients’ response to treatment </w:t>
      </w:r>
      <w:r w:rsidR="009647D4" w:rsidRPr="00232094">
        <w:fldChar w:fldCharType="begin" w:fldLock="1"/>
      </w:r>
      <w:r w:rsidR="00535701">
        <w:instrText>ADDIN CSL_CITATION { "citationItems" : [ { "id" : "ITEM-1", "itemData" : { "DOI" : "10.1093/jnci/92.3.205", "abstract" : "Anticancer cytotoxic agents go through a process by which their antitumor activity--on the basis of the amount of tumor shrinkage they could generate--has been investigated. In the late 1970s, the International Union Against Cancer and the World Health Organization introduced specific criteria for the codification of tumor response evaluation. In 1994, several organizations involved in clinical research combined forces to tackle the review of these criteria on the basis of the experience and knowledge acquired since then. After several years of intensive discussions, a new set of guidelines is ready that will supersede the former criteria. In parallel to this initiative, one of the participating groups developed a model by which response rates could be derived from unidimensional measurement of tumor lesions instead of the usual bidimensional approach. This new concept has been largely validated by the Response Evaluation Criteria in Solid Tumors Group and integrated into the present guidelines. This special article also provides some philosophic background to clarify the various purposes of response evaluation. It proposes a model by which a combined assessment of all existing lesions, characterized by target lesions (to be measured) and nontarget lesions, is used to extrapolate an overall response to treatment. Methods of assessing tumor lesions are better codified, briefly within the guidelines and in more detail in Appendix I. All other aspects of response evaluation have been discussed, reviewed, and amended whenever appropriate.", "author" : [ { "dropping-particle" : "", "family" : "Therasse", "given" : "Patrick", "non-dropping-particle" : "", "parse-names" : false, "suffix" : "" }, { "dropping-particle" : "", "family" : "Arbuck", "given" : "Susan G", "non-dropping-particle" : "", "parse-names" : false, "suffix" : "" }, { "dropping-particle" : "", "family" : "Eisenhauer", "given" : "Elizabeth A", "non-dropping-particle" : "", "parse-names" : false, "suffix" : "" }, { "dropping-particle" : "", "family" : "Wanders", "given" : "Jantien", "non-dropping-particle" : "", "parse-names" : false, "suffix" : "" }, { "dropping-particle" : "", "family" : "Kaplan", "given" : "Richard S", "non-dropping-particle" : "", "parse-names" : false, "suffix" : "" }, { "dropping-particle" : "", "family" : "Rubinstein", "given" : "Larry", "non-dropping-particle" : "", "parse-names" : false, "suffix" : "" }, { "dropping-particle" : "", "family" : "Verweij", "given" : "Jaap", "non-dropping-particle" : "", "parse-names" : false, "suffix" : "" }, { "dropping-particle" : "", "family" : "Glabbeke", "given" : "Martine", "non-dropping-particle" : "Van", "parse-names" : false, "suffix" : "" }, { "dropping-particle" : "", "family" : "Oosterom", "given" : "Allan T", "non-dropping-particle" : "van", "parse-names" : false, "suffix" : "" }, { "dropping-particle" : "", "family" : "Christian", "given" : "Michaele C", "non-dropping-particle" : "", "parse-names" : false, "suffix" : "" }, { "dropping-particle" : "", "family" : "Gwyther", "given" : "Steve G", "non-dropping-particle" : "", "parse-names" : false, "suffix" : "" } ], "container-title" : "J. Natl. Cancer Inst.", "id" : "ITEM-1", "issue" : "3", "issued" : { "date-parts" : [ [ "2000" ] ] }, "page" : "205-216", "title" : "New Guidelines to Evaluate the Response to Treatment in Solid Tumors", "type" : "article-journal", "volume" : "92" }, "uris" : [ "http://www.mendeley.com/documents/?uuid=db1ea374-295f-47ad-a8b2-ee7b2b13cd8b" ] }, { "id" : "ITEM-2", "itemData" : { "DOI" : "10.1016/j.ejca.2008.10.026", "ISBN" : "0959-8049", "ISSN" : "09598049", "PMID" : "19097774", "abstract" : "Background: Assessment of the change in tumour burden is an important feature of the clinical evaluation of cancer therapeutics: both tumour shrinkage (objective response) and disease progression are useful endpoints in clinical trials. Since RECIST was published in 2000, many investigators, cooperative groups, industry and government authorities have adopted these criteria in the assessment of treatment outcomes. However, a number of questions and issues have arisen which have led to the development of a revised RECIST guideline (version 1.1). Evidence for changes, summarised in separate papers in this special issue, has come from assessment of a large data warehouse (&gt;6500 patients), simulation studies and literature reviews. Highlights of revised RECIST 1.1: Major changes include: Number of lesions to be assessed: based on evidence from numerous trial databases merged into a data warehouse for analysis purposes, the number of lesions required to assess tumour burden for response determination has been reduced from a maximum of 10 to a maximum of five total (and from five to two per organ, maximum). Assessment of pathological lymph nodes is now incorporated: nodes with a short axis of \u226515 mm are considered measurable and assessable as target lesions. The short axis measurement should be included in the sum of lesions in calculation of tumour response. Nodes that shrink to &lt;10 mm short axis are considered normal. Confirmation of response is required for trials with response primary endpoint but is no longer required in randomised studies since the control arm serves as appropriate means of interpretation of data. Disease progression is clarified in several aspects: in addition to the previous definition of progression in target disease of 20% increase in sum, a 5 mm absolute increase is now required as well to guard against over calling PD when the total sum is very small. Furthermore, there is guidance offered on what constitutes 'unequivocal progression' of non-measurable/non-target disease, a source of confusion in the original RECIST guideline. Finally, a section on detection of new lesions, including the interpretation of FDG-PET scan assessment is included. Imaging guidance: the revised RECIST includes a new imaging appendix with updated recommendations on the optimal anatomical assessment of lesions. Future work: A key question considered by the RECIST Working Group in developing RECIST 1.1 was whether it was appropriate to move from anatomic un\u2026", "author" : [ { "dropping-particle" : "", "family" : "Eisenhauer", "given" : "E. A.", "non-dropping-particle" : "", "parse-names" : false, "suffix" : "" }, { "dropping-particle" : "", "family" : "Therasse", "given" : "P.", "non-dropping-particle" : "", "parse-names" : false, "suffix" : "" }, { "dropping-particle" : "", "family" : "Bogaerts", "given" : "J.", "non-dropping-particle" : "", "parse-names" : false, "suffix" : "" }, { "dropping-particle" : "", "family" : "Schwartz", "given" : "L. H.", "non-dropping-particle" : "", "parse-names" : false, "suffix" : "" }, { "dropping-particle" : "", "family" : "Sargent", "given" : "D.", "non-dropping-particle" : "", "parse-names" : false, "suffix" : "" }, { "dropping-particle" : "", "family" : "Ford", "given" : "R.", "non-dropping-particle" : "", "parse-names" : false, "suffix" : "" }, { "dropping-particle" : "", "family" : "Dancey", "given" : "J.", "non-dropping-particle" : "", "parse-names" : false, "suffix" : "" }, { "dropping-particle" : "", "family" : "Arbuck", "given" : "S.", "non-dropping-particle" : "", "parse-names" : false, "suffix" : "" }, { "dropping-particle" : "", "family" : "Gwyther", "given" : "S.", "non-dropping-particle" : "", "parse-names" : false, "suffix" : "" }, { "dropping-particle" : "", "family" : "Mooney", "given" : "M.", "non-dropping-particle" : "", "parse-names" : false, "suffix" : "" }, { "dropping-particle" : "", "family" : "Rubinstein", "given" : "L.", "non-dropping-particle" : "", "parse-names" : false, "suffix" : "" }, { "dropping-particle" : "", "family" : "Shankar", "given" : "L.", "non-dropping-particle" : "", "parse-names" : false, "suffix" : "" }, { "dropping-particle" : "", "family" : "Dodd", "given" : "L.", "non-dropping-particle" : "", "parse-names" : false, "suffix" : "" }, { "dropping-particle" : "", "family" : "Kaplan", "given" : "R.", "non-dropping-particle" : "", "parse-names" : false, "suffix" : "" }, { "dropping-particle" : "", "family" : "Lacombe", "given" : "D.", "non-dropping-particle" : "", "parse-names" : false, "suffix" : "" }, { "dropping-particle" : "", "family" : "Verweij", "given" : "J.", "non-dropping-particle" : "", "parse-names" : false, "suffix" : "" } ], "container-title" : "European Journal of Cancer", "id" : "ITEM-2", "issue" : "2", "issued" : { "date-parts" : [ [ "2009" ] ] }, "page" : "228-247", "title" : "New response evaluation criteria in solid tumours: Revised RECIST guideline (version 1.1)", "type" : "article-journal", "volume" : "45" }, "uris" : [ "http://www.mendeley.com/documents/?uuid=290a61ca-ffd1-4422-a9ac-9b7801fe8210" ] } ], "mendeley" : { "formattedCitation" : "[8], [9]", "manualFormatting" : "[8-9]", "plainTextFormattedCitation" : "[8], [9]", "previouslyFormattedCitation" : "[8], [9]" }, "properties" : { "noteIndex" : 0 }, "schema" : "https://github.com/citation-style-language/schema/raw/master/csl-citation.json" }</w:instrText>
      </w:r>
      <w:r w:rsidR="009647D4" w:rsidRPr="00232094">
        <w:fldChar w:fldCharType="separate"/>
      </w:r>
      <w:r w:rsidRPr="00232094">
        <w:rPr>
          <w:noProof/>
        </w:rPr>
        <w:t>[8-9]</w:t>
      </w:r>
      <w:r w:rsidR="009647D4" w:rsidRPr="00232094">
        <w:fldChar w:fldCharType="end"/>
      </w:r>
      <w:r w:rsidRPr="00232094">
        <w:t xml:space="preserve"> (i.e. tumors in cancer patients increase, stabilize or decrease). RECIST evaluation includes following steps: (1). Identify, record and measure all measurable lesions up to 2 per organ and a maximum of 5 in total for all organs</w:t>
      </w:r>
      <w:r>
        <w:t xml:space="preserve">. The </w:t>
      </w:r>
      <w:r w:rsidRPr="00232094">
        <w:t>target lesions are selected based on their size/ longest diameter (LD) and their suitability for further measurements.</w:t>
      </w:r>
      <w:r>
        <w:t xml:space="preserve"> (2). </w:t>
      </w:r>
      <w:r w:rsidRPr="00232094">
        <w:t xml:space="preserve">Compute the sum of the LD’s of all the target lesions for response assessment. The assessment can be classified into four groups: Complete Response (CR): Disappearance of all target lesions; Partial Response (PR): Decrease of at least 30% in the sum of LD’s of all the target lesions; </w:t>
      </w:r>
      <w:r w:rsidRPr="00232094">
        <w:lastRenderedPageBreak/>
        <w:t>Progressive Disease (PD): Increase of at least 20% in the sum of LD’s of all the target lesions; Stable Disease (SD): Insignificant increase or decrease in the sum of LD’s of target lesions to be classified as either PD or PR respectively.</w:t>
      </w:r>
    </w:p>
    <w:p w:rsidR="00CE33E3" w:rsidRPr="00CF2BED" w:rsidRDefault="00CE33E3" w:rsidP="0074285F">
      <w:pPr>
        <w:rPr>
          <w:lang w:eastAsia="zh-CN"/>
        </w:rPr>
      </w:pPr>
    </w:p>
    <w:p w:rsidR="00E45AA1" w:rsidRDefault="00E45AA1" w:rsidP="00FB7A07">
      <w:pPr>
        <w:pStyle w:val="Heading2"/>
      </w:pPr>
      <w:bookmarkStart w:id="12" w:name="_Toc468963694"/>
      <w:r>
        <w:t>Radiologist assessment</w:t>
      </w:r>
      <w:bookmarkEnd w:id="12"/>
      <w:r>
        <w:t xml:space="preserve"> </w:t>
      </w:r>
    </w:p>
    <w:p w:rsidR="00E45AA1" w:rsidRDefault="00E45AA1" w:rsidP="00E45AA1">
      <w:pPr>
        <w:ind w:firstLine="720"/>
        <w:jc w:val="both"/>
        <w:rPr>
          <w:lang w:eastAsia="zh-CN"/>
        </w:rPr>
      </w:pPr>
      <w:r>
        <w:t>In order to assess the patients’ response to new chemotherapy drugs or procedures, radiographic perfusion CT examinations were performed on each patient. This study includes one set of CT scan images taken pre-therapy and a multiple sets of CT scans taken during the period of post therapy. In order to assess and/or categorize patients’ response, radiologists will examine and mark up to 5 metastatic tumors from the pre- and post- treatment CT images, using RECIST guidelines.</w:t>
      </w:r>
      <w:r w:rsidRPr="00C008CA">
        <w:t xml:space="preserve"> However, these results are based on one-dimensional size and don’t take changes in tumor volume </w:t>
      </w:r>
      <w:r w:rsidR="009647D4">
        <w:fldChar w:fldCharType="begin" w:fldLock="1"/>
      </w:r>
      <w:r>
        <w:instrText>ADDIN CSL_CITATION { "citationItems" : [ { "id" : "ITEM-1", "itemData" : { "DOI" : "10.1158/0008-5472.CAN-12-0058", "ISBN" : "0008-5472\\n1538-7445", "ISSN" : "00085472", "PMID" : "22952219", "abstract" : "Although \"response\" has been an attractive term for oncologists and patients, oncologists really want to know which therapy to start for a given patient and when to discontinue that therapy in favor of an alternative. In efficacy trials, cancer therapeutics have conventionally been assessed by endpoints that are based on the categorical Response Evaluation Criteria In Solid Tumors (RECIST) system. In this article, we make the case for a new paradigm in which therapeutics are assessed on a continuous scale by evidence of efficacy, using a variety of quantitative tools that take advantage of technologic innovations and increasing understanding of cancer biology. The new paradigm relies on randomized comparisons between investigational arms and control arms, as historical controls are unavailable or unreliable for these quantitative measures. We discuss multiple limitations of RECIST, including its overemphasis on tumor regression, concerns about the accuracy of tumor measurements and the validity of comparisons with historical controls, and its inadequacy in disease settings in which tumor measurements on cross-sectional imaging are difficult or uninformative. We discuss how the new paradigm overcomes these limitations and provides a framework for answering the key questions of the oncologist and improving patient outcomes. Cancer Res; 72(20); 1-5. \u00a92012 AACR.", "author" : [ { "dropping-particle" : "", "family" : "Sharma", "given" : "Manish R.", "non-dropping-particle" : "", "parse-names" : false, "suffix" : "" }, { "dropping-particle" : "", "family" : "Maitland", "given" : "Michael L.", "non-dropping-particle" : "", "parse-names" : false, "suffix" : "" }, { "dropping-particle" : "", "family" : "Ratain", "given" : "Mark J.", "non-dropping-particle" : "", "parse-names" : false, "suffix" : "" }, { "dropping-particle" : "", "family" : "Fojo", "given" : "Antonio T.", "non-dropping-particle" : "", "parse-names" : false, "suffix" : "" }, { "dropping-particle" : "", "family" : "Noonan", "given" : "Anne", "non-dropping-particle" : "", "parse-names" : false, "suffix" : "" } ], "container-title" : "Cancer Research", "id" : "ITEM-1", "issue" : "20", "issued" : { "date-parts" : [ [ "2012" ] ] }, "page" : "5145-5150", "title" : "RECIST: No longer the sharpest tool in the oncology clinical trials toolbox - Point/Counterpoint", "type" : "article", "volume" : "72" }, "uris" : [ "http://www.mendeley.com/documents/?uuid=4d37d026-58f3-428d-9d59-8ba07c32a54c" ] } ], "mendeley" : { "formattedCitation" : "[10]", "plainTextFormattedCitation" : "[10]", "previouslyFormattedCitation" : "[10]" }, "properties" : { "noteIndex" : 0 }, "schema" : "https://github.com/citation-style-language/schema/raw/master/csl-citation.json" }</w:instrText>
      </w:r>
      <w:r w:rsidR="009647D4">
        <w:fldChar w:fldCharType="separate"/>
      </w:r>
      <w:r w:rsidRPr="005C437E">
        <w:rPr>
          <w:noProof/>
        </w:rPr>
        <w:t>[10]</w:t>
      </w:r>
      <w:r w:rsidR="009647D4">
        <w:fldChar w:fldCharType="end"/>
      </w:r>
      <w:r>
        <w:t xml:space="preserve"> </w:t>
      </w:r>
      <w:r w:rsidRPr="00C008CA">
        <w:t>to consideration often leading to a low association between radiologist results and clinical outcome</w:t>
      </w:r>
      <w:r>
        <w:t xml:space="preserve"> </w:t>
      </w:r>
      <w:r w:rsidR="009647D4">
        <w:fldChar w:fldCharType="begin" w:fldLock="1"/>
      </w:r>
      <w:r>
        <w:instrText>ADDIN CSL_CITATION { "citationItems" : [ { "id" : "ITEM-1", "itemData" : { "DOI" : "10.1016/j.acra.2015.01.015", "ISBN" : "1076-6332", "ISSN" : "18784046", "PMID" : "25794800", "abstract" : "Response Evaluation Criteria in Solid Tumors (RECIST) is a standardized methodology for determining therapeutic response to anticancer therapy using changes in lesion appearance on imaging studies. Many radiologists are now using RECIST in their routine clinical workflow, as part of consultative arrangements, or within dedicated imaging core laboratories. Although basic RECIST methodology is well described in published articles and online resources, inexperienced readers may encounter difficulties with certain nuances and subtleties of RECIST. This article illustrates a set of pitfalls in RECIST assessment considered to be \"beyond the basics.\" These pitfalls were uncovered during a quality improvement review of a recently established cancer imaging core laboratory staffed by radiologists with limited prior RECIST experience. Pitfalls are presented in four categories: (1) baseline selection of lesions, (2) reassessment of target lesions, (3) reassessment of nontarget lesions, and (4) identification of new lesions. Educational and operational strategies for addressing these pitfalls are suggested. Attention to these pitfalls and strategies may improve the overall quality of RECIST assessments performed by radiologists.", "author" : [ { "dropping-particle" : "", "family" : "Abramson", "given" : "Richard G.", "non-dropping-particle" : "", "parse-names" : false, "suffix" : "" }, { "dropping-particle" : "", "family" : "McGhee", "given" : "Carrie R.", "non-dropping-particle" : "", "parse-names" : false, "suffix" : "" }, { "dropping-particle" : "", "family" : "Lakomkin", "given" : "Nikita", "non-dropping-particle" : "", "parse-names" : false, "suffix" : "" }, { "dropping-particle" : "", "family" : "Arteaga", "given" : "Carlos L.", "non-dropping-particle" : "", "parse-names" : false, "suffix" : "" } ], "container-title" : "Academic Radiology", "id" : "ITEM-1", "issue" : "6", "issued" : { "date-parts" : [ [ "2015" ] ] }, "page" : "779-786", "title" : "Pitfalls in RECIST Data Extraction for Clinical Trials: Beyond the Basics", "type" : "article", "volume" : "22" }, "uris" : [ "http://www.mendeley.com/documents/?uuid=1619dd6c-4acf-40ba-a147-7c76bc332f31" ] } ], "mendeley" : { "formattedCitation" : "[11]", "plainTextFormattedCitation" : "[11]", "previouslyFormattedCitation" : "[11]" }, "properties" : { "noteIndex" : 0 }, "schema" : "https://github.com/citation-style-language/schema/raw/master/csl-citation.json" }</w:instrText>
      </w:r>
      <w:r w:rsidR="009647D4">
        <w:fldChar w:fldCharType="separate"/>
      </w:r>
      <w:r w:rsidRPr="005C437E">
        <w:rPr>
          <w:noProof/>
        </w:rPr>
        <w:t>[11]</w:t>
      </w:r>
      <w:r w:rsidR="009647D4">
        <w:fldChar w:fldCharType="end"/>
      </w:r>
      <w:r w:rsidRPr="00C008CA">
        <w:t>.</w:t>
      </w:r>
    </w:p>
    <w:p w:rsidR="00CE33E3" w:rsidRDefault="00CE33E3" w:rsidP="00B143D2">
      <w:pPr>
        <w:rPr>
          <w:lang w:eastAsia="zh-CN"/>
        </w:rPr>
      </w:pPr>
    </w:p>
    <w:p w:rsidR="00E45AA1" w:rsidRDefault="00E45AA1" w:rsidP="00FB7A07">
      <w:pPr>
        <w:pStyle w:val="Heading2"/>
      </w:pPr>
      <w:bookmarkStart w:id="13" w:name="_Toc468963695"/>
      <w:r>
        <w:t>Computer Aided Detection (CAD) scheme</w:t>
      </w:r>
      <w:bookmarkEnd w:id="13"/>
    </w:p>
    <w:p w:rsidR="00E45AA1" w:rsidRDefault="00E45AA1" w:rsidP="00E45AA1">
      <w:pPr>
        <w:ind w:firstLine="720"/>
        <w:jc w:val="both"/>
        <w:rPr>
          <w:rFonts w:ascii="Times New Roman" w:eastAsia="Calibri" w:hAnsi="Times New Roman"/>
          <w:lang w:bidi="ar-SA"/>
        </w:rPr>
      </w:pPr>
      <w:r w:rsidRPr="00096984">
        <w:t xml:space="preserve">In </w:t>
      </w:r>
      <w:r>
        <w:t>order</w:t>
      </w:r>
      <w:r w:rsidRPr="00096984">
        <w:t xml:space="preserve"> to improve the early prognostic assess</w:t>
      </w:r>
      <w:r w:rsidR="00100A71">
        <w:t xml:space="preserve">ment of patients’ response and </w:t>
      </w:r>
      <w:r w:rsidRPr="00096984">
        <w:t>assist the radiologist in making optimal treatment decisi</w:t>
      </w:r>
      <w:r>
        <w:t xml:space="preserve">ons for ovarian cancer patients, </w:t>
      </w:r>
      <w:r w:rsidRPr="00096984">
        <w:t xml:space="preserve">a CAD scheme was developed </w:t>
      </w:r>
      <w:r>
        <w:t>to more accurately assess the tumor response to chemotherapy, using pre- and post- treatment CT images. The scheme firstly segments tumors marked by radiologist and then computes quantitative image features</w:t>
      </w:r>
      <w:r w:rsidRPr="007441BD">
        <w:rPr>
          <w:rFonts w:ascii="Times New Roman" w:eastAsia="Calibri" w:hAnsi="Times New Roman"/>
          <w:lang w:bidi="ar-SA"/>
        </w:rPr>
        <w:t xml:space="preserve"> to detect and quantify tumor volume, shape, and density heterogeneity.</w:t>
      </w:r>
      <w:r>
        <w:rPr>
          <w:rFonts w:ascii="Times New Roman" w:eastAsia="Calibri" w:hAnsi="Times New Roman"/>
          <w:lang w:bidi="ar-SA"/>
        </w:rPr>
        <w:t xml:space="preserve"> The individual and combined features are finally used to predict 6-month progression free survival (PFS) of the patients, which is both recommended and approved criterion by </w:t>
      </w:r>
      <w:r w:rsidRPr="005F5059">
        <w:rPr>
          <w:rFonts w:ascii="Times New Roman" w:eastAsia="Calibri" w:hAnsi="Times New Roman"/>
          <w:lang w:bidi="ar-SA"/>
        </w:rPr>
        <w:t xml:space="preserve">Food and Drug Administration </w:t>
      </w:r>
      <w:r w:rsidRPr="005F5059">
        <w:rPr>
          <w:rFonts w:ascii="Times New Roman" w:eastAsia="Calibri" w:hAnsi="Times New Roman"/>
          <w:lang w:bidi="ar-SA"/>
        </w:rPr>
        <w:lastRenderedPageBreak/>
        <w:t>(FDA) of the United States and European Medicines Agency (EMA)</w:t>
      </w:r>
      <w:r>
        <w:rPr>
          <w:rFonts w:ascii="Times New Roman" w:eastAsia="Calibri" w:hAnsi="Times New Roman"/>
          <w:lang w:bidi="ar-SA"/>
        </w:rPr>
        <w:t xml:space="preserve"> </w:t>
      </w:r>
      <w:r w:rsidR="009647D4">
        <w:rPr>
          <w:rFonts w:ascii="Times New Roman" w:eastAsia="Calibri" w:hAnsi="Times New Roman"/>
          <w:lang w:bidi="ar-SA"/>
        </w:rPr>
        <w:fldChar w:fldCharType="begin" w:fldLock="1"/>
      </w:r>
      <w:r>
        <w:rPr>
          <w:rFonts w:ascii="Times New Roman" w:eastAsia="Calibri" w:hAnsi="Times New Roman"/>
          <w:lang w:bidi="ar-SA"/>
        </w:rPr>
        <w:instrText>ADDIN CSL_CITATION { "citationItems" : [ { "id" : "ITEM-1", "itemData" : { "DOI" : "10.1038/nrclinonc.2011.156", "ISBN" : "1759-4774", "ISSN" : "1759-4774", "PMID" : "22009075", "abstract" : "| Progression\u2011free survival (PFS) is frequently used as a primary end point in oncology clinical trials. Employing PFS instead of overall survival as the primary outcome has the advantage that trial completion can be quicker with fewer patients required, and it is cheaper. PFS is sensitive to cytostatic as well as cytotoxic mechanisms of therapeutic intervention and directly measures the effect of the investigational treatment. Despite these practical advantages, it is unclear whether or not extending PFS provides discernable clinical benefit. New treatments that increase PFS may not be of sufficient value to patients with advanced\u2011stage cancer unless accompanied by tangible quantity or quality of life advantages. Any symptom relief that patients gain from treatment resulting in tumor shrinkage or stabilization must be balanced against the toxic effects that drug therapy itself creates. Consequently, improved assessment of new treatments using patient\u2011reported outcomes alongside PFS is crucial to enable communication between clinicians and patients and optimal decision\u2011making about therapeutic options.", "author" : [ { "dropping-particle" : "", "family" : "Fallowfield", "given" : "L J", "non-dropping-particle" : "", "parse-names" : false, "suffix" : "" }, { "dropping-particle" : "", "family" : "Fallowfield", "given" : "Lesley J", "non-dropping-particle" : "", "parse-names" : false, "suffix" : "" }, { "dropping-particle" : "", "family" : "Fleissig", "given" : "Anne", "non-dropping-particle" : "", "parse-names" : false, "suffix" : "" } ], "container-title" : "Nature Publishing Group", "id" : "ITEM-1", "issue" : "9", "issued" : { "date-parts" : [ [ "2011" ] ] }, "page" : "41-4710", "title" : "The value of progression-free survival to patients with advanced-stage cancer", "type" : "article-journal", "volume" : "9" }, "uris" : [ "http://www.mendeley.com/documents/?uuid=42617ee1-9146-4882-a447-90bc0099860c" ] } ], "mendeley" : { "formattedCitation" : "[12]", "plainTextFormattedCitation" : "[12]", "previouslyFormattedCitation" : "[12]" }, "properties" : { "noteIndex" : 0 }, "schema" : "https://github.com/citation-style-language/schema/raw/master/csl-citation.json" }</w:instrText>
      </w:r>
      <w:r w:rsidR="009647D4">
        <w:rPr>
          <w:rFonts w:ascii="Times New Roman" w:eastAsia="Calibri" w:hAnsi="Times New Roman"/>
          <w:lang w:bidi="ar-SA"/>
        </w:rPr>
        <w:fldChar w:fldCharType="separate"/>
      </w:r>
      <w:r w:rsidRPr="005C437E">
        <w:rPr>
          <w:rFonts w:ascii="Times New Roman" w:eastAsia="Calibri" w:hAnsi="Times New Roman"/>
          <w:noProof/>
          <w:lang w:bidi="ar-SA"/>
        </w:rPr>
        <w:t>[12]</w:t>
      </w:r>
      <w:r w:rsidR="009647D4">
        <w:rPr>
          <w:rFonts w:ascii="Times New Roman" w:eastAsia="Calibri" w:hAnsi="Times New Roman"/>
          <w:lang w:bidi="ar-SA"/>
        </w:rPr>
        <w:fldChar w:fldCharType="end"/>
      </w:r>
      <w:r>
        <w:rPr>
          <w:rFonts w:ascii="Times New Roman" w:eastAsia="Calibri" w:hAnsi="Times New Roman"/>
          <w:lang w:bidi="ar-SA"/>
        </w:rPr>
        <w:t>.</w:t>
      </w:r>
      <w:r w:rsidRPr="005F5059">
        <w:rPr>
          <w:rFonts w:ascii="Times New Roman" w:eastAsia="Calibri" w:hAnsi="Times New Roman"/>
          <w:lang w:bidi="ar-SA"/>
        </w:rPr>
        <w:t xml:space="preserve"> </w:t>
      </w:r>
      <w:r>
        <w:rPr>
          <w:rFonts w:ascii="Times New Roman" w:eastAsia="Calibri" w:hAnsi="Times New Roman"/>
          <w:lang w:bidi="ar-SA"/>
        </w:rPr>
        <w:t>The overall objective of this study is to examine 1) whether quantitative image features computed from pre-therapy CT images offer information to predict patient response prior to chemotherapy and 2) whether quantitative image features computed from both pre- and post- therapy CT images offer significantly higher prediction capabilities to predict ovarian cancer patients response to chemotherapy than using traditional RECIST criteria.</w:t>
      </w:r>
    </w:p>
    <w:p w:rsidR="00774E5F" w:rsidRDefault="00774E5F" w:rsidP="003A7EB0"/>
    <w:p w:rsidR="002C2A12" w:rsidRDefault="002C2A12" w:rsidP="003A7EB0"/>
    <w:p w:rsidR="002C2A12" w:rsidRDefault="002C2A12" w:rsidP="003A7EB0"/>
    <w:p w:rsidR="0046190C" w:rsidRDefault="0046190C" w:rsidP="003A7EB0"/>
    <w:p w:rsidR="00E45AA1" w:rsidRDefault="00E45AA1" w:rsidP="003A7EB0"/>
    <w:p w:rsidR="00E45AA1" w:rsidRDefault="00E45AA1" w:rsidP="003A7EB0"/>
    <w:p w:rsidR="00E45AA1" w:rsidRDefault="00E45AA1" w:rsidP="003A7EB0"/>
    <w:p w:rsidR="00E45AA1" w:rsidRDefault="00E45AA1" w:rsidP="003A7EB0"/>
    <w:p w:rsidR="00E45AA1" w:rsidRDefault="00E45AA1" w:rsidP="003A7EB0"/>
    <w:p w:rsidR="00E45AA1" w:rsidRDefault="00E45AA1" w:rsidP="003A7EB0"/>
    <w:p w:rsidR="00E45AA1" w:rsidRDefault="00E45AA1" w:rsidP="003A7EB0"/>
    <w:p w:rsidR="00E45AA1" w:rsidRDefault="00E45AA1" w:rsidP="003A7EB0"/>
    <w:p w:rsidR="00E45AA1" w:rsidRDefault="00E45AA1" w:rsidP="003A7EB0"/>
    <w:p w:rsidR="00E45AA1" w:rsidRDefault="00E45AA1" w:rsidP="003A7EB0"/>
    <w:p w:rsidR="003A7EB0" w:rsidRDefault="003A7EB0" w:rsidP="003A7EB0">
      <w:pPr>
        <w:rPr>
          <w:lang w:eastAsia="zh-CN"/>
        </w:rPr>
      </w:pPr>
    </w:p>
    <w:p w:rsidR="008316E1" w:rsidRDefault="008316E1" w:rsidP="003A7EB0">
      <w:pPr>
        <w:rPr>
          <w:lang w:eastAsia="zh-CN"/>
        </w:rPr>
      </w:pPr>
    </w:p>
    <w:p w:rsidR="008316E1" w:rsidRPr="00E45AA1" w:rsidRDefault="008316E1" w:rsidP="003A7EB0">
      <w:pPr>
        <w:rPr>
          <w:lang w:eastAsia="zh-CN"/>
        </w:rPr>
      </w:pPr>
    </w:p>
    <w:p w:rsidR="007D79AB" w:rsidRDefault="007D79AB" w:rsidP="007D79AB">
      <w:pPr>
        <w:pStyle w:val="Heading1"/>
      </w:pPr>
      <w:bookmarkStart w:id="14" w:name="_Toc468963696"/>
      <w:r w:rsidRPr="001E4DC5">
        <w:lastRenderedPageBreak/>
        <w:t>Chapter</w:t>
      </w:r>
      <w:r w:rsidRPr="005109FA">
        <w:t xml:space="preserve"> </w:t>
      </w:r>
      <w:r>
        <w:t>2</w:t>
      </w:r>
      <w:r w:rsidRPr="005109FA">
        <w:t xml:space="preserve">: </w:t>
      </w:r>
      <w:r>
        <w:t>Materials</w:t>
      </w:r>
      <w:bookmarkEnd w:id="14"/>
    </w:p>
    <w:p w:rsidR="007D79AB" w:rsidRDefault="007D79AB" w:rsidP="00FB7A07">
      <w:pPr>
        <w:pStyle w:val="Heading2"/>
      </w:pPr>
      <w:bookmarkStart w:id="15" w:name="_Toc468963697"/>
      <w:r>
        <w:t>Image dataset</w:t>
      </w:r>
      <w:bookmarkEnd w:id="15"/>
    </w:p>
    <w:p w:rsidR="007D79AB" w:rsidRDefault="007D79AB" w:rsidP="007D79AB">
      <w:pPr>
        <w:ind w:firstLine="720"/>
        <w:jc w:val="both"/>
      </w:pPr>
      <w:r w:rsidRPr="00D72E78">
        <w:t>Under institutional review board (IRB) approved protocol, we retrospectively collected a dataset co</w:t>
      </w:r>
      <w:r>
        <w:t>nsisting</w:t>
      </w:r>
      <w:r w:rsidRPr="00D72E78">
        <w:t xml:space="preserve"> of de</w:t>
      </w:r>
      <w:r>
        <w:t>-</w:t>
      </w:r>
      <w:r w:rsidRPr="00D72E78">
        <w:t>identified CT images acquired from 91 ovarian cancer patients. Each patient was diagnosed with recurrent, high-grade (serous, endometrioid or mixed) ovarian/ peritoneal /tubal carcinoma and underwent a clinical trial. The clinical trials involved 32 different new therapeutic drugs, each patient was given a mixture of 1/2/3 drugs which depends on her condition and doctor’s treatment decision. Two sets of CT scans: pre-treatment and 4-6 weeks post-treatment were acquired for each patient. These CT images were obtained based on a pre-established CT scanning protocol in our medical center using either a 64-row detector CT machine (Light</w:t>
      </w:r>
      <w:r>
        <w:t xml:space="preserve"> </w:t>
      </w:r>
      <w:r w:rsidRPr="00D72E78">
        <w:t>Speed VCT, GE Healthcare, Milwaukee, WI, USA) or a 16-row detector CT machine (Discovery 600, GE Healthcare). The X-ray power was operated at 120 kVp and 100-600mAs, depending upon the patient body size. A 100cc of contrast agent was injected into patient’s body at a rate of 2-3cc/sec before CT examinations for better visualization of the tumor.</w:t>
      </w:r>
    </w:p>
    <w:p w:rsidR="00CD06CE" w:rsidRDefault="007D79AB" w:rsidP="000650A8">
      <w:pPr>
        <w:ind w:firstLine="720"/>
        <w:jc w:val="both"/>
      </w:pPr>
      <w:r w:rsidRPr="00D72E78">
        <w:t>For each case, radiologist tracked the metastatic tumors in both pre- and post-treatment CT image, and the tumor size changes were estimated based on RECIST criteria. Since our study is retrospective, the 6 month PFS were also collected in the dataset for the performance assessment. In this dataset, 52 patients remained 6-month PFS (CR, PR, SD), while 39 did not maintain 6-month PFS to the treatment with signs of progressive disease (PD).</w:t>
      </w:r>
      <w:r w:rsidR="00C57AD6">
        <w:t xml:space="preserve"> </w:t>
      </w:r>
      <w:r w:rsidR="009647D4" w:rsidRPr="00F76327">
        <w:fldChar w:fldCharType="begin"/>
      </w:r>
      <w:r w:rsidR="00C57AD6" w:rsidRPr="00F76327">
        <w:instrText xml:space="preserve"> REF _Ref466563688 \h </w:instrText>
      </w:r>
      <w:r w:rsidR="009647D4" w:rsidRPr="00F76327">
        <w:fldChar w:fldCharType="separate"/>
      </w:r>
      <w:r w:rsidR="00D719F4" w:rsidRPr="001A727F">
        <w:t xml:space="preserve">Table </w:t>
      </w:r>
      <w:r w:rsidR="00D719F4">
        <w:rPr>
          <w:noProof/>
        </w:rPr>
        <w:t>1</w:t>
      </w:r>
      <w:r w:rsidR="009647D4" w:rsidRPr="00F76327">
        <w:fldChar w:fldCharType="end"/>
      </w:r>
      <w:r w:rsidR="00C57AD6" w:rsidRPr="00D72E78">
        <w:t xml:space="preserve"> </w:t>
      </w:r>
      <w:r w:rsidRPr="00D72E78">
        <w:t>summarizes the detailed information about both the classes of patients</w:t>
      </w:r>
    </w:p>
    <w:p w:rsidR="00CD06CE" w:rsidRPr="001A727F" w:rsidRDefault="00CD06CE" w:rsidP="001A727F">
      <w:pPr>
        <w:pStyle w:val="Caption"/>
        <w:keepNext/>
        <w:spacing w:after="0"/>
        <w:jc w:val="center"/>
        <w:rPr>
          <w:b w:val="0"/>
          <w:color w:val="auto"/>
          <w:sz w:val="24"/>
        </w:rPr>
      </w:pPr>
      <w:bookmarkStart w:id="16" w:name="_Ref466563688"/>
      <w:bookmarkStart w:id="17" w:name="_Toc467168344"/>
      <w:r w:rsidRPr="001A727F">
        <w:rPr>
          <w:color w:val="auto"/>
          <w:sz w:val="24"/>
        </w:rPr>
        <w:lastRenderedPageBreak/>
        <w:t xml:space="preserve">Table </w:t>
      </w:r>
      <w:r w:rsidR="009647D4" w:rsidRPr="001A727F">
        <w:rPr>
          <w:color w:val="auto"/>
          <w:sz w:val="24"/>
        </w:rPr>
        <w:fldChar w:fldCharType="begin"/>
      </w:r>
      <w:r w:rsidRPr="001A727F">
        <w:rPr>
          <w:color w:val="auto"/>
          <w:sz w:val="24"/>
        </w:rPr>
        <w:instrText xml:space="preserve"> SEQ Table \* ARABIC </w:instrText>
      </w:r>
      <w:r w:rsidR="009647D4" w:rsidRPr="001A727F">
        <w:rPr>
          <w:color w:val="auto"/>
          <w:sz w:val="24"/>
        </w:rPr>
        <w:fldChar w:fldCharType="separate"/>
      </w:r>
      <w:r w:rsidR="00D719F4">
        <w:rPr>
          <w:noProof/>
          <w:color w:val="auto"/>
          <w:sz w:val="24"/>
        </w:rPr>
        <w:t>1</w:t>
      </w:r>
      <w:r w:rsidR="009647D4" w:rsidRPr="001A727F">
        <w:rPr>
          <w:color w:val="auto"/>
          <w:sz w:val="24"/>
        </w:rPr>
        <w:fldChar w:fldCharType="end"/>
      </w:r>
      <w:bookmarkEnd w:id="16"/>
      <w:r w:rsidRPr="001A727F">
        <w:rPr>
          <w:color w:val="auto"/>
          <w:sz w:val="24"/>
        </w:rPr>
        <w:t>:</w:t>
      </w:r>
      <w:r w:rsidRPr="001A727F">
        <w:rPr>
          <w:b w:val="0"/>
          <w:color w:val="auto"/>
          <w:sz w:val="24"/>
        </w:rPr>
        <w:t xml:space="preserve"> Detailed information about patients separated by PFS</w:t>
      </w:r>
      <w:bookmarkEnd w:id="17"/>
    </w:p>
    <w:tbl>
      <w:tblPr>
        <w:tblW w:w="0" w:type="auto"/>
        <w:jc w:val="center"/>
        <w:tblLook w:val="04A0" w:firstRow="1" w:lastRow="0" w:firstColumn="1" w:lastColumn="0" w:noHBand="0" w:noVBand="1"/>
      </w:tblPr>
      <w:tblGrid>
        <w:gridCol w:w="2626"/>
        <w:gridCol w:w="2122"/>
        <w:gridCol w:w="1800"/>
      </w:tblGrid>
      <w:tr w:rsidR="007D79AB" w:rsidRPr="001E7BB8" w:rsidTr="006F781D">
        <w:trPr>
          <w:jc w:val="center"/>
        </w:trPr>
        <w:tc>
          <w:tcPr>
            <w:tcW w:w="2626" w:type="dxa"/>
            <w:tcBorders>
              <w:top w:val="double" w:sz="4" w:space="0" w:color="auto"/>
              <w:bottom w:val="single" w:sz="4" w:space="0" w:color="auto"/>
            </w:tcBorders>
            <w:shd w:val="clear" w:color="auto" w:fill="auto"/>
          </w:tcPr>
          <w:p w:rsidR="007D79AB" w:rsidRPr="001E7BB8" w:rsidRDefault="007D79AB" w:rsidP="00C752D7">
            <w:pPr>
              <w:pStyle w:val="Text"/>
              <w:spacing w:line="240" w:lineRule="auto"/>
              <w:ind w:firstLine="0"/>
              <w:jc w:val="center"/>
              <w:rPr>
                <w:sz w:val="24"/>
              </w:rPr>
            </w:pPr>
          </w:p>
        </w:tc>
        <w:tc>
          <w:tcPr>
            <w:tcW w:w="2122" w:type="dxa"/>
            <w:tcBorders>
              <w:top w:val="double" w:sz="4" w:space="0" w:color="auto"/>
              <w:bottom w:val="single" w:sz="4" w:space="0" w:color="auto"/>
            </w:tcBorders>
            <w:shd w:val="clear" w:color="auto" w:fill="auto"/>
          </w:tcPr>
          <w:p w:rsidR="007D79AB" w:rsidRPr="001E7BB8" w:rsidRDefault="007D79AB" w:rsidP="00C752D7">
            <w:pPr>
              <w:pStyle w:val="Text"/>
              <w:spacing w:before="120" w:after="120" w:line="240" w:lineRule="auto"/>
              <w:ind w:firstLine="0"/>
              <w:jc w:val="center"/>
              <w:rPr>
                <w:sz w:val="24"/>
              </w:rPr>
            </w:pPr>
            <w:r w:rsidRPr="001E7BB8">
              <w:rPr>
                <w:sz w:val="24"/>
              </w:rPr>
              <w:t>PFS "Yes"</w:t>
            </w:r>
          </w:p>
        </w:tc>
        <w:tc>
          <w:tcPr>
            <w:tcW w:w="1800" w:type="dxa"/>
            <w:tcBorders>
              <w:top w:val="double" w:sz="4" w:space="0" w:color="auto"/>
              <w:bottom w:val="single" w:sz="4" w:space="0" w:color="auto"/>
            </w:tcBorders>
            <w:shd w:val="clear" w:color="auto" w:fill="auto"/>
          </w:tcPr>
          <w:p w:rsidR="007D79AB" w:rsidRPr="001E7BB8" w:rsidRDefault="007D79AB" w:rsidP="00C752D7">
            <w:pPr>
              <w:pStyle w:val="Text"/>
              <w:spacing w:before="120" w:after="120" w:line="240" w:lineRule="auto"/>
              <w:ind w:firstLine="0"/>
              <w:jc w:val="center"/>
              <w:rPr>
                <w:sz w:val="24"/>
              </w:rPr>
            </w:pPr>
            <w:r w:rsidRPr="001E7BB8">
              <w:rPr>
                <w:sz w:val="24"/>
              </w:rPr>
              <w:t>PFS "No"</w:t>
            </w:r>
          </w:p>
        </w:tc>
      </w:tr>
      <w:tr w:rsidR="007D79AB" w:rsidRPr="001E7BB8" w:rsidTr="006F781D">
        <w:trPr>
          <w:jc w:val="center"/>
        </w:trPr>
        <w:tc>
          <w:tcPr>
            <w:tcW w:w="2626" w:type="dxa"/>
            <w:tcBorders>
              <w:top w:val="single" w:sz="4" w:space="0" w:color="auto"/>
            </w:tcBorders>
            <w:shd w:val="clear" w:color="auto" w:fill="auto"/>
          </w:tcPr>
          <w:p w:rsidR="007D79AB" w:rsidRPr="001E7BB8" w:rsidRDefault="007D79AB" w:rsidP="00C752D7">
            <w:pPr>
              <w:pStyle w:val="Text"/>
              <w:spacing w:line="240" w:lineRule="auto"/>
              <w:ind w:firstLine="0"/>
              <w:rPr>
                <w:sz w:val="24"/>
              </w:rPr>
            </w:pPr>
            <w:r w:rsidRPr="001E7BB8">
              <w:rPr>
                <w:sz w:val="24"/>
              </w:rPr>
              <w:t>Number of patients</w:t>
            </w:r>
          </w:p>
        </w:tc>
        <w:tc>
          <w:tcPr>
            <w:tcW w:w="2122" w:type="dxa"/>
            <w:tcBorders>
              <w:top w:val="single" w:sz="4" w:space="0" w:color="auto"/>
            </w:tcBorders>
            <w:shd w:val="clear" w:color="auto" w:fill="auto"/>
          </w:tcPr>
          <w:p w:rsidR="007D79AB" w:rsidRPr="001E7BB8" w:rsidRDefault="007D79AB" w:rsidP="00C752D7">
            <w:pPr>
              <w:pStyle w:val="Text"/>
              <w:spacing w:line="240" w:lineRule="auto"/>
              <w:ind w:firstLine="0"/>
              <w:jc w:val="center"/>
              <w:rPr>
                <w:sz w:val="24"/>
              </w:rPr>
            </w:pPr>
            <w:r w:rsidRPr="001E7BB8">
              <w:rPr>
                <w:sz w:val="24"/>
              </w:rPr>
              <w:t>52</w:t>
            </w:r>
          </w:p>
        </w:tc>
        <w:tc>
          <w:tcPr>
            <w:tcW w:w="1800" w:type="dxa"/>
            <w:tcBorders>
              <w:top w:val="single" w:sz="4" w:space="0" w:color="auto"/>
            </w:tcBorders>
            <w:shd w:val="clear" w:color="auto" w:fill="auto"/>
          </w:tcPr>
          <w:p w:rsidR="007D79AB" w:rsidRPr="001E7BB8" w:rsidRDefault="007D79AB" w:rsidP="00C752D7">
            <w:pPr>
              <w:pStyle w:val="Text"/>
              <w:spacing w:line="240" w:lineRule="auto"/>
              <w:ind w:firstLine="0"/>
              <w:jc w:val="center"/>
              <w:rPr>
                <w:sz w:val="24"/>
              </w:rPr>
            </w:pPr>
            <w:r w:rsidRPr="001E7BB8">
              <w:rPr>
                <w:sz w:val="24"/>
              </w:rPr>
              <w:t>39</w:t>
            </w:r>
          </w:p>
        </w:tc>
      </w:tr>
      <w:tr w:rsidR="007D79AB" w:rsidRPr="001E7BB8" w:rsidTr="006F781D">
        <w:trPr>
          <w:jc w:val="center"/>
        </w:trPr>
        <w:tc>
          <w:tcPr>
            <w:tcW w:w="2626" w:type="dxa"/>
            <w:shd w:val="clear" w:color="auto" w:fill="auto"/>
          </w:tcPr>
          <w:p w:rsidR="007D79AB" w:rsidRPr="001E7BB8" w:rsidRDefault="007D79AB" w:rsidP="00C752D7">
            <w:pPr>
              <w:pStyle w:val="Text"/>
              <w:spacing w:line="240" w:lineRule="auto"/>
              <w:ind w:firstLine="0"/>
              <w:rPr>
                <w:sz w:val="24"/>
              </w:rPr>
            </w:pPr>
            <w:r w:rsidRPr="001E7BB8">
              <w:rPr>
                <w:sz w:val="24"/>
              </w:rPr>
              <w:t>Patient average age</w:t>
            </w:r>
          </w:p>
        </w:tc>
        <w:tc>
          <w:tcPr>
            <w:tcW w:w="2122" w:type="dxa"/>
            <w:shd w:val="clear" w:color="auto" w:fill="auto"/>
          </w:tcPr>
          <w:p w:rsidR="007D79AB" w:rsidRPr="001E7BB8" w:rsidRDefault="007D79AB" w:rsidP="00C752D7">
            <w:pPr>
              <w:pStyle w:val="Text"/>
              <w:spacing w:line="240" w:lineRule="auto"/>
              <w:ind w:firstLine="0"/>
              <w:jc w:val="center"/>
              <w:rPr>
                <w:sz w:val="24"/>
              </w:rPr>
            </w:pPr>
            <w:r w:rsidRPr="001E7BB8">
              <w:rPr>
                <w:sz w:val="24"/>
              </w:rPr>
              <w:t>66 ± 8</w:t>
            </w:r>
          </w:p>
        </w:tc>
        <w:tc>
          <w:tcPr>
            <w:tcW w:w="1800" w:type="dxa"/>
            <w:shd w:val="clear" w:color="auto" w:fill="auto"/>
          </w:tcPr>
          <w:p w:rsidR="007D79AB" w:rsidRPr="001E7BB8" w:rsidRDefault="007D79AB" w:rsidP="00C752D7">
            <w:pPr>
              <w:pStyle w:val="Text"/>
              <w:spacing w:line="240" w:lineRule="auto"/>
              <w:ind w:firstLine="0"/>
              <w:jc w:val="center"/>
              <w:rPr>
                <w:sz w:val="24"/>
              </w:rPr>
            </w:pPr>
            <w:r w:rsidRPr="001E7BB8">
              <w:rPr>
                <w:sz w:val="24"/>
              </w:rPr>
              <w:t>67 ± 9</w:t>
            </w:r>
          </w:p>
        </w:tc>
      </w:tr>
      <w:tr w:rsidR="007D79AB" w:rsidRPr="001E7BB8" w:rsidTr="006F781D">
        <w:trPr>
          <w:jc w:val="center"/>
        </w:trPr>
        <w:tc>
          <w:tcPr>
            <w:tcW w:w="2626" w:type="dxa"/>
            <w:shd w:val="clear" w:color="auto" w:fill="auto"/>
          </w:tcPr>
          <w:p w:rsidR="007D79AB" w:rsidRPr="001E7BB8" w:rsidRDefault="007D79AB" w:rsidP="00C752D7">
            <w:pPr>
              <w:pStyle w:val="Text"/>
              <w:spacing w:line="240" w:lineRule="auto"/>
              <w:ind w:firstLine="0"/>
              <w:rPr>
                <w:sz w:val="24"/>
              </w:rPr>
            </w:pPr>
            <w:r w:rsidRPr="001E7BB8">
              <w:rPr>
                <w:sz w:val="24"/>
              </w:rPr>
              <w:t>Number of metastatic tumors</w:t>
            </w:r>
          </w:p>
        </w:tc>
        <w:tc>
          <w:tcPr>
            <w:tcW w:w="2122" w:type="dxa"/>
            <w:shd w:val="clear" w:color="auto" w:fill="auto"/>
          </w:tcPr>
          <w:p w:rsidR="007D79AB" w:rsidRPr="001E7BB8" w:rsidRDefault="007D79AB" w:rsidP="00C752D7">
            <w:pPr>
              <w:pStyle w:val="Text"/>
              <w:spacing w:line="240" w:lineRule="auto"/>
              <w:ind w:firstLine="0"/>
              <w:jc w:val="center"/>
              <w:rPr>
                <w:sz w:val="24"/>
              </w:rPr>
            </w:pPr>
            <w:r w:rsidRPr="001E7BB8">
              <w:rPr>
                <w:sz w:val="24"/>
              </w:rPr>
              <w:t>101</w:t>
            </w:r>
          </w:p>
        </w:tc>
        <w:tc>
          <w:tcPr>
            <w:tcW w:w="1800" w:type="dxa"/>
            <w:shd w:val="clear" w:color="auto" w:fill="auto"/>
          </w:tcPr>
          <w:p w:rsidR="007D79AB" w:rsidRPr="001E7BB8" w:rsidRDefault="007D79AB" w:rsidP="00C752D7">
            <w:pPr>
              <w:pStyle w:val="Text"/>
              <w:spacing w:line="240" w:lineRule="auto"/>
              <w:ind w:firstLine="0"/>
              <w:jc w:val="center"/>
              <w:rPr>
                <w:sz w:val="24"/>
              </w:rPr>
            </w:pPr>
            <w:r w:rsidRPr="001E7BB8">
              <w:rPr>
                <w:sz w:val="24"/>
              </w:rPr>
              <w:t>96</w:t>
            </w:r>
          </w:p>
        </w:tc>
      </w:tr>
      <w:tr w:rsidR="007D79AB" w:rsidRPr="001E7BB8" w:rsidTr="006F781D">
        <w:trPr>
          <w:jc w:val="center"/>
        </w:trPr>
        <w:tc>
          <w:tcPr>
            <w:tcW w:w="2626" w:type="dxa"/>
            <w:tcBorders>
              <w:bottom w:val="double" w:sz="4" w:space="0" w:color="auto"/>
            </w:tcBorders>
            <w:shd w:val="clear" w:color="auto" w:fill="auto"/>
          </w:tcPr>
          <w:p w:rsidR="007D79AB" w:rsidRPr="001E7BB8" w:rsidRDefault="007D79AB" w:rsidP="00C752D7">
            <w:pPr>
              <w:pStyle w:val="Text"/>
              <w:spacing w:line="240" w:lineRule="auto"/>
              <w:ind w:firstLine="0"/>
              <w:rPr>
                <w:sz w:val="24"/>
              </w:rPr>
            </w:pPr>
            <w:r w:rsidRPr="001E7BB8">
              <w:rPr>
                <w:sz w:val="24"/>
              </w:rPr>
              <w:t xml:space="preserve">Average tumor diameter </w:t>
            </w:r>
          </w:p>
          <w:p w:rsidR="007D79AB" w:rsidRPr="001E7BB8" w:rsidRDefault="007D79AB" w:rsidP="00C752D7">
            <w:pPr>
              <w:pStyle w:val="Text"/>
              <w:spacing w:line="240" w:lineRule="auto"/>
              <w:ind w:firstLine="0"/>
              <w:rPr>
                <w:sz w:val="24"/>
              </w:rPr>
            </w:pPr>
            <w:r w:rsidRPr="001E7BB8">
              <w:rPr>
                <w:sz w:val="24"/>
              </w:rPr>
              <w:t>(before therapy)</w:t>
            </w:r>
          </w:p>
        </w:tc>
        <w:tc>
          <w:tcPr>
            <w:tcW w:w="2122" w:type="dxa"/>
            <w:tcBorders>
              <w:bottom w:val="double" w:sz="4" w:space="0" w:color="auto"/>
            </w:tcBorders>
            <w:shd w:val="clear" w:color="auto" w:fill="auto"/>
          </w:tcPr>
          <w:p w:rsidR="007D79AB" w:rsidRPr="008009AE" w:rsidRDefault="007D79AB" w:rsidP="00C752D7">
            <w:pPr>
              <w:pStyle w:val="Text"/>
              <w:spacing w:before="80" w:line="240" w:lineRule="auto"/>
              <w:ind w:firstLine="0"/>
              <w:jc w:val="center"/>
              <w:rPr>
                <w:sz w:val="24"/>
              </w:rPr>
            </w:pPr>
            <w:r w:rsidRPr="008009AE">
              <w:rPr>
                <w:sz w:val="24"/>
              </w:rPr>
              <w:t>27 mm</w:t>
            </w:r>
          </w:p>
        </w:tc>
        <w:tc>
          <w:tcPr>
            <w:tcW w:w="1800" w:type="dxa"/>
            <w:tcBorders>
              <w:bottom w:val="double" w:sz="4" w:space="0" w:color="auto"/>
            </w:tcBorders>
            <w:shd w:val="clear" w:color="auto" w:fill="auto"/>
          </w:tcPr>
          <w:p w:rsidR="007D79AB" w:rsidRPr="008009AE" w:rsidRDefault="007D79AB" w:rsidP="00C752D7">
            <w:pPr>
              <w:pStyle w:val="Text"/>
              <w:spacing w:before="80" w:line="240" w:lineRule="auto"/>
              <w:ind w:firstLine="0"/>
              <w:jc w:val="center"/>
              <w:rPr>
                <w:sz w:val="24"/>
              </w:rPr>
            </w:pPr>
            <w:r w:rsidRPr="008009AE">
              <w:rPr>
                <w:sz w:val="24"/>
              </w:rPr>
              <w:t>24mm</w:t>
            </w:r>
          </w:p>
        </w:tc>
      </w:tr>
    </w:tbl>
    <w:p w:rsidR="007D79AB" w:rsidRPr="00CD06CE" w:rsidRDefault="007D79AB" w:rsidP="007D79AB">
      <w:pPr>
        <w:ind w:left="1440"/>
        <w:jc w:val="both"/>
      </w:pPr>
      <w:r w:rsidRPr="00CD06CE">
        <w:t xml:space="preserve"> * The chemotherapy agent given varies among patients</w:t>
      </w:r>
    </w:p>
    <w:p w:rsidR="007D79AB" w:rsidRPr="00D72E78" w:rsidRDefault="007D79AB" w:rsidP="00E977D1"/>
    <w:p w:rsidR="007D79AB" w:rsidRDefault="007D79AB" w:rsidP="00E977D1"/>
    <w:p w:rsidR="007D79AB" w:rsidRDefault="007D79AB" w:rsidP="00E977D1"/>
    <w:p w:rsidR="007D79AB" w:rsidRDefault="007D79AB" w:rsidP="00E977D1"/>
    <w:p w:rsidR="007D79AB" w:rsidRDefault="007D79AB" w:rsidP="00E977D1"/>
    <w:p w:rsidR="007D79AB" w:rsidRDefault="007D79AB" w:rsidP="00E977D1"/>
    <w:p w:rsidR="007D79AB" w:rsidRDefault="007D79AB" w:rsidP="00E977D1"/>
    <w:p w:rsidR="007D79AB" w:rsidRDefault="007D79AB" w:rsidP="00E977D1"/>
    <w:p w:rsidR="007D79AB" w:rsidRDefault="007D79AB" w:rsidP="00E977D1"/>
    <w:p w:rsidR="007D79AB" w:rsidRDefault="007D79AB" w:rsidP="00E977D1"/>
    <w:p w:rsidR="007D79AB" w:rsidRDefault="007D79AB" w:rsidP="00E977D1"/>
    <w:p w:rsidR="007D79AB" w:rsidRDefault="007D79AB" w:rsidP="00E977D1"/>
    <w:p w:rsidR="007D79AB" w:rsidRDefault="007D79AB" w:rsidP="00E977D1"/>
    <w:p w:rsidR="007D79AB" w:rsidRDefault="007D79AB" w:rsidP="00E977D1"/>
    <w:p w:rsidR="007D79AB" w:rsidRDefault="007D79AB" w:rsidP="00E977D1"/>
    <w:p w:rsidR="007D79AB" w:rsidRDefault="007D79AB" w:rsidP="00E977D1"/>
    <w:p w:rsidR="007D79AB" w:rsidRDefault="007D79AB" w:rsidP="00E977D1"/>
    <w:p w:rsidR="00E977D1" w:rsidRDefault="00E977D1" w:rsidP="00E977D1"/>
    <w:p w:rsidR="007D79AB" w:rsidRPr="00986F99" w:rsidRDefault="007D79AB" w:rsidP="007D79AB">
      <w:pPr>
        <w:pStyle w:val="Heading1"/>
      </w:pPr>
      <w:bookmarkStart w:id="18" w:name="_Toc468963698"/>
      <w:r w:rsidRPr="005109FA">
        <w:lastRenderedPageBreak/>
        <w:t xml:space="preserve">Chapter </w:t>
      </w:r>
      <w:r>
        <w:t>3</w:t>
      </w:r>
      <w:r w:rsidRPr="005109FA">
        <w:t xml:space="preserve">: </w:t>
      </w:r>
      <w:r>
        <w:t xml:space="preserve">Quantitative image </w:t>
      </w:r>
      <w:r w:rsidRPr="00322AA4">
        <w:rPr>
          <w:noProof/>
        </w:rPr>
        <w:t>feature</w:t>
      </w:r>
      <w:r>
        <w:rPr>
          <w:noProof/>
        </w:rPr>
        <w:t>s</w:t>
      </w:r>
      <w:r>
        <w:t xml:space="preserve"> analysis</w:t>
      </w:r>
      <w:bookmarkEnd w:id="18"/>
    </w:p>
    <w:p w:rsidR="007D79AB" w:rsidRPr="006D34E2" w:rsidRDefault="007D79AB" w:rsidP="00FB7A07">
      <w:pPr>
        <w:pStyle w:val="Heading2"/>
      </w:pPr>
      <w:bookmarkStart w:id="19" w:name="_Toc465962313"/>
      <w:bookmarkStart w:id="20" w:name="_Toc468963699"/>
      <w:r w:rsidRPr="006D34E2">
        <w:t>Segmentation methods</w:t>
      </w:r>
      <w:bookmarkEnd w:id="19"/>
      <w:bookmarkEnd w:id="20"/>
    </w:p>
    <w:p w:rsidR="00B17C23" w:rsidRPr="00B17C23" w:rsidRDefault="007D79AB" w:rsidP="00782C41">
      <w:pPr>
        <w:ind w:firstLine="720"/>
        <w:jc w:val="both"/>
      </w:pPr>
      <w:r w:rsidRPr="004E60FC">
        <w:t>In order to segment the tumors effectively and efficiently, we developed a segmentation scheme consisting of 8 different segmentation algorithms. This segmentation scheme can be categorized in to 3 sub-groups: 1) region growing methods, 2) canny operator based methods and 3) partial differential equation based methods</w:t>
      </w:r>
      <w:r w:rsidR="001E5336" w:rsidRPr="00327436">
        <w:t xml:space="preserve">. </w:t>
      </w:r>
      <w:r w:rsidR="009647D4" w:rsidRPr="00327436">
        <w:fldChar w:fldCharType="begin"/>
      </w:r>
      <w:r w:rsidR="001E5336" w:rsidRPr="00327436">
        <w:instrText xml:space="preserve"> REF _Ref467066892 \h </w:instrText>
      </w:r>
      <w:r w:rsidR="009647D4" w:rsidRPr="00327436">
        <w:fldChar w:fldCharType="separate"/>
      </w:r>
      <w:r w:rsidR="00D719F4" w:rsidRPr="0042606E">
        <w:t xml:space="preserve">Figure </w:t>
      </w:r>
      <w:r w:rsidR="00D719F4">
        <w:rPr>
          <w:noProof/>
        </w:rPr>
        <w:t>2</w:t>
      </w:r>
      <w:r w:rsidR="009647D4" w:rsidRPr="00327436">
        <w:fldChar w:fldCharType="end"/>
      </w:r>
      <w:r w:rsidR="00B17C23" w:rsidRPr="00B17C23">
        <w:t xml:space="preserve"> illustrates the flowchart for these three types of metho</w:t>
      </w:r>
      <w:r w:rsidR="00782C41">
        <w:t>ds.</w:t>
      </w:r>
    </w:p>
    <w:p w:rsidR="00B17C23" w:rsidRPr="00B17C23" w:rsidRDefault="00B17C23" w:rsidP="00782C41">
      <w:pPr>
        <w:spacing w:before="240"/>
        <w:jc w:val="center"/>
      </w:pPr>
      <w:r w:rsidRPr="00B17C23">
        <w:rPr>
          <w:noProof/>
          <w:lang w:bidi="ar-SA"/>
        </w:rPr>
        <w:drawing>
          <wp:inline distT="0" distB="0" distL="0" distR="0" wp14:anchorId="2DB01FAD" wp14:editId="58BC0663">
            <wp:extent cx="2262101" cy="1828800"/>
            <wp:effectExtent l="19050" t="0" r="4849" b="0"/>
            <wp:docPr id="3" name="Picture 0" descr="Pictur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1.png"/>
                    <pic:cNvPicPr/>
                  </pic:nvPicPr>
                  <pic:blipFill>
                    <a:blip r:embed="rId12" cstate="print"/>
                    <a:stretch>
                      <a:fillRect/>
                    </a:stretch>
                  </pic:blipFill>
                  <pic:spPr>
                    <a:xfrm>
                      <a:off x="0" y="0"/>
                      <a:ext cx="2262101" cy="1828800"/>
                    </a:xfrm>
                    <a:prstGeom prst="rect">
                      <a:avLst/>
                    </a:prstGeom>
                  </pic:spPr>
                </pic:pic>
              </a:graphicData>
            </a:graphic>
          </wp:inline>
        </w:drawing>
      </w:r>
      <w:r w:rsidRPr="00B17C23">
        <w:rPr>
          <w:noProof/>
          <w:lang w:bidi="ar-SA"/>
        </w:rPr>
        <w:drawing>
          <wp:inline distT="0" distB="0" distL="0" distR="0" wp14:anchorId="404DFC4D" wp14:editId="0AD4E4E0">
            <wp:extent cx="2512416" cy="1828800"/>
            <wp:effectExtent l="19050" t="0" r="2184" b="0"/>
            <wp:docPr id="4" name="Picture 4" descr="Picture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2.png"/>
                    <pic:cNvPicPr/>
                  </pic:nvPicPr>
                  <pic:blipFill>
                    <a:blip r:embed="rId13" cstate="print"/>
                    <a:stretch>
                      <a:fillRect/>
                    </a:stretch>
                  </pic:blipFill>
                  <pic:spPr>
                    <a:xfrm>
                      <a:off x="0" y="0"/>
                      <a:ext cx="2512416" cy="1828800"/>
                    </a:xfrm>
                    <a:prstGeom prst="rect">
                      <a:avLst/>
                    </a:prstGeom>
                  </pic:spPr>
                </pic:pic>
              </a:graphicData>
            </a:graphic>
          </wp:inline>
        </w:drawing>
      </w:r>
    </w:p>
    <w:p w:rsidR="00B17C23" w:rsidRPr="00B17C23" w:rsidRDefault="00B17C23" w:rsidP="00B17C23">
      <w:pPr>
        <w:jc w:val="both"/>
      </w:pPr>
      <w:r w:rsidRPr="00B17C23">
        <w:t xml:space="preserve">                                  (a)                                                        (b)</w:t>
      </w:r>
    </w:p>
    <w:p w:rsidR="0042606E" w:rsidRDefault="00B17C23" w:rsidP="0042606E">
      <w:pPr>
        <w:keepNext/>
        <w:spacing w:before="240"/>
        <w:jc w:val="center"/>
      </w:pPr>
      <w:r w:rsidRPr="00B17C23">
        <w:rPr>
          <w:noProof/>
          <w:lang w:bidi="ar-SA"/>
        </w:rPr>
        <w:drawing>
          <wp:inline distT="0" distB="0" distL="0" distR="0" wp14:anchorId="245D231E" wp14:editId="24190327">
            <wp:extent cx="4572000" cy="370357"/>
            <wp:effectExtent l="19050" t="0" r="0" b="0"/>
            <wp:docPr id="21" name="Picture 16" descr="Picture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4.png"/>
                    <pic:cNvPicPr/>
                  </pic:nvPicPr>
                  <pic:blipFill>
                    <a:blip r:embed="rId14" cstate="print"/>
                    <a:stretch>
                      <a:fillRect/>
                    </a:stretch>
                  </pic:blipFill>
                  <pic:spPr>
                    <a:xfrm>
                      <a:off x="0" y="0"/>
                      <a:ext cx="4572000" cy="370357"/>
                    </a:xfrm>
                    <a:prstGeom prst="rect">
                      <a:avLst/>
                    </a:prstGeom>
                  </pic:spPr>
                </pic:pic>
              </a:graphicData>
            </a:graphic>
          </wp:inline>
        </w:drawing>
      </w:r>
    </w:p>
    <w:p w:rsidR="00954114" w:rsidRDefault="0042606E" w:rsidP="00967A48">
      <w:pPr>
        <w:jc w:val="center"/>
      </w:pPr>
      <w:r w:rsidRPr="00B17C23">
        <w:t xml:space="preserve"> </w:t>
      </w:r>
      <w:r w:rsidR="00B17C23" w:rsidRPr="00B17C23">
        <w:t>(c)</w:t>
      </w:r>
    </w:p>
    <w:p w:rsidR="0042606E" w:rsidRPr="0042606E" w:rsidRDefault="0042606E" w:rsidP="0042606E">
      <w:pPr>
        <w:pStyle w:val="Caption"/>
        <w:spacing w:after="0"/>
        <w:jc w:val="both"/>
        <w:rPr>
          <w:b w:val="0"/>
          <w:color w:val="auto"/>
          <w:sz w:val="24"/>
          <w:szCs w:val="24"/>
        </w:rPr>
      </w:pPr>
      <w:bookmarkStart w:id="21" w:name="_Ref467066892"/>
      <w:bookmarkStart w:id="22" w:name="_Toc467168360"/>
      <w:r w:rsidRPr="0042606E">
        <w:rPr>
          <w:color w:val="auto"/>
          <w:sz w:val="24"/>
          <w:szCs w:val="24"/>
        </w:rPr>
        <w:t xml:space="preserve">Figure </w:t>
      </w:r>
      <w:r w:rsidR="009647D4" w:rsidRPr="0042606E">
        <w:rPr>
          <w:color w:val="auto"/>
          <w:sz w:val="24"/>
          <w:szCs w:val="24"/>
        </w:rPr>
        <w:fldChar w:fldCharType="begin"/>
      </w:r>
      <w:r w:rsidRPr="0042606E">
        <w:rPr>
          <w:color w:val="auto"/>
          <w:sz w:val="24"/>
          <w:szCs w:val="24"/>
        </w:rPr>
        <w:instrText xml:space="preserve"> SEQ Figure \* ARABIC </w:instrText>
      </w:r>
      <w:r w:rsidR="009647D4" w:rsidRPr="0042606E">
        <w:rPr>
          <w:color w:val="auto"/>
          <w:sz w:val="24"/>
          <w:szCs w:val="24"/>
        </w:rPr>
        <w:fldChar w:fldCharType="separate"/>
      </w:r>
      <w:r w:rsidR="00D719F4">
        <w:rPr>
          <w:noProof/>
          <w:color w:val="auto"/>
          <w:sz w:val="24"/>
          <w:szCs w:val="24"/>
        </w:rPr>
        <w:t>2</w:t>
      </w:r>
      <w:r w:rsidR="009647D4" w:rsidRPr="0042606E">
        <w:rPr>
          <w:color w:val="auto"/>
          <w:sz w:val="24"/>
          <w:szCs w:val="24"/>
        </w:rPr>
        <w:fldChar w:fldCharType="end"/>
      </w:r>
      <w:bookmarkEnd w:id="21"/>
      <w:r w:rsidRPr="0042606E">
        <w:rPr>
          <w:color w:val="auto"/>
          <w:sz w:val="24"/>
          <w:szCs w:val="24"/>
        </w:rPr>
        <w:t>:</w:t>
      </w:r>
      <w:r w:rsidRPr="0042606E">
        <w:rPr>
          <w:b w:val="0"/>
          <w:color w:val="auto"/>
          <w:sz w:val="24"/>
          <w:szCs w:val="24"/>
        </w:rPr>
        <w:t xml:space="preserve"> Flow chart of (a) region growing, (b) canny operator and (c) partial differential equation based segmentation algorithms</w:t>
      </w:r>
      <w:bookmarkEnd w:id="22"/>
    </w:p>
    <w:p w:rsidR="0066106D" w:rsidRDefault="0066106D" w:rsidP="005B54F4">
      <w:pPr>
        <w:rPr>
          <w:noProof/>
          <w:lang w:bidi="ar-SA"/>
        </w:rPr>
      </w:pPr>
    </w:p>
    <w:p w:rsidR="0066106D" w:rsidRDefault="0066106D" w:rsidP="005B54F4">
      <w:pPr>
        <w:rPr>
          <w:noProof/>
          <w:lang w:bidi="ar-SA"/>
        </w:rPr>
      </w:pPr>
    </w:p>
    <w:p w:rsidR="0066106D" w:rsidRDefault="0066106D" w:rsidP="005B54F4">
      <w:pPr>
        <w:rPr>
          <w:noProof/>
          <w:lang w:bidi="ar-SA"/>
        </w:rPr>
      </w:pPr>
    </w:p>
    <w:p w:rsidR="007D79AB" w:rsidRDefault="007D79AB" w:rsidP="00F76327"/>
    <w:p w:rsidR="007D79AB" w:rsidRPr="007D79AB" w:rsidRDefault="007D79AB" w:rsidP="007D79AB">
      <w:pPr>
        <w:pStyle w:val="Heading3"/>
      </w:pPr>
      <w:bookmarkStart w:id="23" w:name="_Toc465962314"/>
      <w:bookmarkStart w:id="24" w:name="_Toc468963700"/>
      <w:r w:rsidRPr="007D79AB">
        <w:lastRenderedPageBreak/>
        <w:t>Region growing methods</w:t>
      </w:r>
      <w:bookmarkEnd w:id="23"/>
      <w:bookmarkEnd w:id="24"/>
    </w:p>
    <w:p w:rsidR="007D79AB" w:rsidRDefault="007D79AB" w:rsidP="007D79AB">
      <w:pPr>
        <w:ind w:firstLine="720"/>
        <w:jc w:val="both"/>
      </w:pPr>
      <w:r>
        <w:t>This sub-group consists of two segmentation algorithms: connected and neighborhood region growing segmentation. Connected region growing is a modified form of regular region growing algorithm. For the connected region growing method, we initially select a seed point within the tumor and then evaluate whether its neighboring pixels are part of the tumor</w:t>
      </w:r>
      <w:r w:rsidR="0059107B">
        <w:t xml:space="preserve"> or not</w:t>
      </w:r>
      <w:r>
        <w:t xml:space="preserve">. If the intensity difference between </w:t>
      </w:r>
      <w:r w:rsidRPr="006D34E2">
        <w:t xml:space="preserve">neighbor pixel </w:t>
      </w:r>
      <w:r>
        <w:t>and the initial seed point is below the pre-determined threshold value</w:t>
      </w:r>
      <w:r w:rsidR="0059107B">
        <w:t>,</w:t>
      </w:r>
      <w:r>
        <w:t xml:space="preserve"> </w:t>
      </w:r>
      <w:r w:rsidR="0059107B" w:rsidRPr="0059107B">
        <w:t xml:space="preserve">the neighbor pixel </w:t>
      </w:r>
      <w:r>
        <w:t xml:space="preserve">is considered as a part of tumor. This process is repeated for all the connected pixels until no neighboring pixel can satisfy the threshold condition. Neighborhood region growing is similar to the </w:t>
      </w:r>
      <w:r w:rsidR="0059107B" w:rsidRPr="0059107B">
        <w:t>connected region growing</w:t>
      </w:r>
      <w:r>
        <w:t xml:space="preserve"> method, and the only difference is that the pixel will be considered as part of the tumor if all its neighbors satisfy the intensity difference threshold.</w:t>
      </w:r>
    </w:p>
    <w:p w:rsidR="007D79AB" w:rsidRDefault="007D79AB" w:rsidP="007D79AB">
      <w:pPr>
        <w:pStyle w:val="Heading3"/>
      </w:pPr>
      <w:bookmarkStart w:id="25" w:name="_Toc465962315"/>
      <w:bookmarkStart w:id="26" w:name="_Toc468963701"/>
      <w:r>
        <w:t>Canny operator methods</w:t>
      </w:r>
      <w:bookmarkEnd w:id="25"/>
      <w:bookmarkEnd w:id="26"/>
    </w:p>
    <w:p w:rsidR="007D79AB" w:rsidRDefault="007D79AB" w:rsidP="007D79AB">
      <w:pPr>
        <w:ind w:firstLine="720"/>
        <w:jc w:val="both"/>
        <w:rPr>
          <w:rFonts w:cstheme="minorHAnsi"/>
        </w:rPr>
      </w:pPr>
      <w:r>
        <w:t>This sub-group consists of two algorithms: Canny boundary extraction and multi-scale canny methods. Canny boundary</w:t>
      </w:r>
      <w:r w:rsidR="00EE52CB">
        <w:t xml:space="preserve"> </w:t>
      </w:r>
      <w:r>
        <w:t xml:space="preserve">extraction method includes three steps. First, A Gaussian filter is used to suppress the noise in the image. Next, a gradient intensity image is computed, </w:t>
      </w:r>
      <w:r w:rsidR="00D80E94">
        <w:t>for</w:t>
      </w:r>
      <w:r>
        <w:t xml:space="preserve"> which hysteresis threshold is applied to optimize the ed</w:t>
      </w:r>
      <w:r w:rsidR="00100A71">
        <w:t xml:space="preserve">ge detection. For this method, </w:t>
      </w:r>
      <w:r>
        <w:t xml:space="preserve">two thresholds (high and low thresholds) are used on the </w:t>
      </w:r>
      <w:r w:rsidR="00CB5C63">
        <w:t>gradient intensity image, where</w:t>
      </w:r>
      <w:r>
        <w:t xml:space="preserve"> high threshold filters the noise and maps the genuine edges in the image (T1), and low threshold is applied to track back the faint edges in T1 and make a continuous boundary image (T2). Finally, dilation is applied from the initial set seed point in all the direction until it reaches the traced continuous boundary to extract the tumor. Multi-scale canny method is a modified form of canny edge detection algorithm which </w:t>
      </w:r>
      <w:r>
        <w:lastRenderedPageBreak/>
        <w:t xml:space="preserve">uses down sampled image with different scales. In canny edge detection, the </w:t>
      </w:r>
      <w:r w:rsidR="00D80E94">
        <w:t xml:space="preserve">resulting </w:t>
      </w:r>
      <w:r>
        <w:t xml:space="preserve">image </w:t>
      </w:r>
      <w:r w:rsidR="00D80E94">
        <w:t xml:space="preserve">can be considered as the convolution between the original image </w:t>
      </w:r>
      <w:r>
        <w:t xml:space="preserve">F </w:t>
      </w:r>
      <w:r w:rsidR="00D80E94">
        <w:t>and</w:t>
      </w:r>
      <w:r>
        <w:t xml:space="preserve"> first derivative of the Gaussian kernel</w:t>
      </w:r>
      <w:r w:rsidRPr="00423868">
        <w:t xml:space="preserve"> </w:t>
      </w:r>
      <w:r>
        <w:rPr>
          <w:rFonts w:cstheme="minorHAnsi"/>
        </w:rPr>
        <w:t>θ:</w:t>
      </w:r>
    </w:p>
    <w:tbl>
      <w:tblPr>
        <w:tblStyle w:val="TableGrid"/>
        <w:tblW w:w="8662"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29"/>
        <w:gridCol w:w="7200"/>
        <w:gridCol w:w="11"/>
        <w:gridCol w:w="610"/>
        <w:gridCol w:w="12"/>
      </w:tblGrid>
      <w:tr w:rsidR="00727C16" w:rsidTr="003F1006">
        <w:trPr>
          <w:trHeight w:val="521"/>
          <w:jc w:val="center"/>
        </w:trPr>
        <w:tc>
          <w:tcPr>
            <w:tcW w:w="829" w:type="dxa"/>
            <w:vAlign w:val="center"/>
          </w:tcPr>
          <w:p w:rsidR="00727C16" w:rsidRDefault="00727C16" w:rsidP="003F1006">
            <w:pPr>
              <w:jc w:val="center"/>
              <w:rPr>
                <w:rFonts w:cstheme="minorHAnsi"/>
              </w:rPr>
            </w:pPr>
          </w:p>
        </w:tc>
        <w:tc>
          <w:tcPr>
            <w:tcW w:w="7211" w:type="dxa"/>
            <w:gridSpan w:val="2"/>
            <w:vAlign w:val="center"/>
          </w:tcPr>
          <w:p w:rsidR="00727C16" w:rsidRPr="003F1006" w:rsidRDefault="00D719F4" w:rsidP="003F1006">
            <w:pPr>
              <w:jc w:val="center"/>
              <w:rPr>
                <w:rFonts w:ascii="Cambria Math" w:hAnsi="Cambria Math" w:cstheme="minorHAnsi"/>
                <w:i/>
              </w:rPr>
            </w:pPr>
            <m:oMath>
              <m:f>
                <m:fPr>
                  <m:ctrlPr>
                    <w:rPr>
                      <w:rFonts w:ascii="Cambria Math" w:hAnsi="Cambria Math" w:cstheme="minorHAnsi"/>
                      <w:i/>
                      <w:iCs/>
                    </w:rPr>
                  </m:ctrlPr>
                </m:fPr>
                <m:num>
                  <m:r>
                    <w:rPr>
                      <w:rFonts w:ascii="Cambria Math" w:hAnsi="Cambria Math" w:cstheme="minorHAnsi"/>
                    </w:rPr>
                    <m:t>∂F</m:t>
                  </m:r>
                  <m:d>
                    <m:dPr>
                      <m:ctrlPr>
                        <w:rPr>
                          <w:rFonts w:ascii="Cambria Math" w:hAnsi="Cambria Math" w:cstheme="minorHAnsi"/>
                          <w:i/>
                          <w:iCs/>
                        </w:rPr>
                      </m:ctrlPr>
                    </m:dPr>
                    <m:e>
                      <m:r>
                        <w:rPr>
                          <w:rFonts w:ascii="Cambria Math" w:hAnsi="Cambria Math" w:cstheme="minorHAnsi"/>
                        </w:rPr>
                        <m:t>x,y</m:t>
                      </m:r>
                    </m:e>
                  </m:d>
                  <m:r>
                    <w:rPr>
                      <w:rFonts w:ascii="Cambria Math" w:hAnsi="Cambria Math" w:cstheme="minorHAnsi"/>
                    </w:rPr>
                    <m:t>⊗θ</m:t>
                  </m:r>
                  <m:d>
                    <m:dPr>
                      <m:ctrlPr>
                        <w:rPr>
                          <w:rFonts w:ascii="Cambria Math" w:hAnsi="Cambria Math" w:cstheme="minorHAnsi"/>
                          <w:i/>
                          <w:iCs/>
                        </w:rPr>
                      </m:ctrlPr>
                    </m:dPr>
                    <m:e>
                      <m:r>
                        <w:rPr>
                          <w:rFonts w:ascii="Cambria Math" w:hAnsi="Cambria Math" w:cstheme="minorHAnsi"/>
                        </w:rPr>
                        <m:t>x,y</m:t>
                      </m:r>
                    </m:e>
                  </m:d>
                </m:num>
                <m:den>
                  <m:r>
                    <w:rPr>
                      <w:rFonts w:ascii="Cambria Math" w:hAnsi="Cambria Math" w:cstheme="minorHAnsi"/>
                    </w:rPr>
                    <m:t>∂x</m:t>
                  </m:r>
                </m:den>
              </m:f>
              <m:r>
                <w:rPr>
                  <w:rFonts w:ascii="Cambria Math" w:hAnsi="Cambria Math" w:cstheme="minorHAnsi"/>
                </w:rPr>
                <m:t>=F</m:t>
              </m:r>
              <m:d>
                <m:dPr>
                  <m:ctrlPr>
                    <w:rPr>
                      <w:rFonts w:ascii="Cambria Math" w:hAnsi="Cambria Math" w:cstheme="minorHAnsi"/>
                      <w:i/>
                      <w:iCs/>
                    </w:rPr>
                  </m:ctrlPr>
                </m:dPr>
                <m:e>
                  <m:r>
                    <w:rPr>
                      <w:rFonts w:ascii="Cambria Math" w:hAnsi="Cambria Math" w:cstheme="minorHAnsi"/>
                    </w:rPr>
                    <m:t>x,y</m:t>
                  </m:r>
                </m:e>
              </m:d>
              <m:r>
                <w:rPr>
                  <w:rFonts w:ascii="Cambria Math" w:hAnsi="Cambria Math" w:cstheme="minorHAnsi"/>
                </w:rPr>
                <m:t>⊗</m:t>
              </m:r>
              <m:f>
                <m:fPr>
                  <m:ctrlPr>
                    <w:rPr>
                      <w:rFonts w:ascii="Cambria Math" w:hAnsi="Cambria Math" w:cstheme="minorHAnsi"/>
                      <w:i/>
                      <w:iCs/>
                    </w:rPr>
                  </m:ctrlPr>
                </m:fPr>
                <m:num>
                  <m:r>
                    <w:rPr>
                      <w:rFonts w:ascii="Cambria Math" w:hAnsi="Cambria Math" w:cstheme="minorHAnsi"/>
                    </w:rPr>
                    <m:t>∂θ</m:t>
                  </m:r>
                  <m:d>
                    <m:dPr>
                      <m:ctrlPr>
                        <w:rPr>
                          <w:rFonts w:ascii="Cambria Math" w:hAnsi="Cambria Math" w:cstheme="minorHAnsi"/>
                          <w:i/>
                          <w:iCs/>
                        </w:rPr>
                      </m:ctrlPr>
                    </m:dPr>
                    <m:e>
                      <m:r>
                        <w:rPr>
                          <w:rFonts w:ascii="Cambria Math" w:hAnsi="Cambria Math" w:cstheme="minorHAnsi"/>
                        </w:rPr>
                        <m:t>x,y</m:t>
                      </m:r>
                    </m:e>
                  </m:d>
                </m:num>
                <m:den>
                  <m:r>
                    <w:rPr>
                      <w:rFonts w:ascii="Cambria Math" w:hAnsi="Cambria Math" w:cstheme="minorHAnsi"/>
                    </w:rPr>
                    <m:t>∂x</m:t>
                  </m:r>
                </m:den>
              </m:f>
              <m:r>
                <w:rPr>
                  <w:rFonts w:ascii="Cambria Math" w:hAnsi="Cambria Math" w:cstheme="minorHAnsi"/>
                </w:rPr>
                <m:t>=F</m:t>
              </m:r>
              <m:d>
                <m:dPr>
                  <m:ctrlPr>
                    <w:rPr>
                      <w:rFonts w:ascii="Cambria Math" w:hAnsi="Cambria Math" w:cstheme="minorHAnsi"/>
                      <w:i/>
                      <w:iCs/>
                    </w:rPr>
                  </m:ctrlPr>
                </m:dPr>
                <m:e>
                  <m:r>
                    <w:rPr>
                      <w:rFonts w:ascii="Cambria Math" w:hAnsi="Cambria Math" w:cstheme="minorHAnsi"/>
                    </w:rPr>
                    <m:t>x,y</m:t>
                  </m:r>
                </m:e>
              </m:d>
              <m:r>
                <w:rPr>
                  <w:rFonts w:ascii="Cambria Math" w:hAnsi="Cambria Math" w:cstheme="minorHAnsi"/>
                </w:rPr>
                <m:t>⊗</m:t>
              </m:r>
              <m:sSup>
                <m:sSupPr>
                  <m:ctrlPr>
                    <w:rPr>
                      <w:rFonts w:ascii="Cambria Math" w:hAnsi="Cambria Math" w:cstheme="minorHAnsi"/>
                      <w:i/>
                      <w:iCs/>
                    </w:rPr>
                  </m:ctrlPr>
                </m:sSupPr>
                <m:e>
                  <m:r>
                    <w:rPr>
                      <w:rFonts w:ascii="Cambria Math" w:hAnsi="Cambria Math" w:cstheme="minorHAnsi"/>
                    </w:rPr>
                    <m:t>ψ</m:t>
                  </m:r>
                </m:e>
                <m:sup>
                  <m:r>
                    <w:rPr>
                      <w:rFonts w:ascii="Cambria Math" w:hAnsi="Cambria Math" w:cstheme="minorHAnsi"/>
                    </w:rPr>
                    <m:t>1</m:t>
                  </m:r>
                </m:sup>
              </m:sSup>
              <m:d>
                <m:dPr>
                  <m:ctrlPr>
                    <w:rPr>
                      <w:rFonts w:ascii="Cambria Math" w:hAnsi="Cambria Math" w:cstheme="minorHAnsi"/>
                      <w:i/>
                    </w:rPr>
                  </m:ctrlPr>
                </m:dPr>
                <m:e>
                  <m:r>
                    <w:rPr>
                      <w:rFonts w:ascii="Cambria Math" w:hAnsi="Cambria Math" w:cstheme="minorHAnsi"/>
                    </w:rPr>
                    <m:t>x,y</m:t>
                  </m:r>
                </m:e>
              </m:d>
            </m:oMath>
            <w:r w:rsidR="003F1006">
              <w:rPr>
                <w:rFonts w:ascii="Cambria Math" w:hAnsi="Cambria Math" w:cstheme="minorHAnsi"/>
                <w:i/>
              </w:rPr>
              <w:t xml:space="preserve"> </w:t>
            </w:r>
          </w:p>
        </w:tc>
        <w:tc>
          <w:tcPr>
            <w:tcW w:w="622" w:type="dxa"/>
            <w:gridSpan w:val="2"/>
            <w:vAlign w:val="center"/>
          </w:tcPr>
          <w:p w:rsidR="00727C16" w:rsidRDefault="00727C16" w:rsidP="003F1006">
            <w:pPr>
              <w:jc w:val="center"/>
              <w:rPr>
                <w:rFonts w:cstheme="minorHAnsi"/>
              </w:rPr>
            </w:pPr>
            <w:r>
              <w:rPr>
                <w:rFonts w:cstheme="minorHAnsi"/>
              </w:rPr>
              <w:t>(</w:t>
            </w:r>
            <w:fldSimple w:instr=" SEQ Eq \* MERGEFORMAT ">
              <w:r w:rsidR="00D719F4" w:rsidRPr="00D719F4">
                <w:rPr>
                  <w:rFonts w:cstheme="minorHAnsi"/>
                  <w:noProof/>
                </w:rPr>
                <w:t>1</w:t>
              </w:r>
            </w:fldSimple>
            <w:r>
              <w:rPr>
                <w:rFonts w:cstheme="minorHAnsi"/>
              </w:rPr>
              <w:t>)</w:t>
            </w:r>
          </w:p>
        </w:tc>
      </w:tr>
      <w:tr w:rsidR="003F1006" w:rsidTr="003F1006">
        <w:tblPrEx>
          <w:jc w:val="left"/>
        </w:tblPrEx>
        <w:trPr>
          <w:gridAfter w:val="1"/>
          <w:wAfter w:w="12" w:type="dxa"/>
          <w:trHeight w:val="395"/>
        </w:trPr>
        <w:tc>
          <w:tcPr>
            <w:tcW w:w="828" w:type="dxa"/>
            <w:vAlign w:val="center"/>
          </w:tcPr>
          <w:p w:rsidR="003F1006" w:rsidRDefault="003F1006" w:rsidP="00727C16">
            <w:pPr>
              <w:jc w:val="center"/>
              <w:rPr>
                <w:rFonts w:cstheme="minorHAnsi"/>
              </w:rPr>
            </w:pPr>
          </w:p>
        </w:tc>
        <w:tc>
          <w:tcPr>
            <w:tcW w:w="7200" w:type="dxa"/>
            <w:vAlign w:val="center"/>
          </w:tcPr>
          <w:p w:rsidR="003F1006" w:rsidRPr="003F1006" w:rsidRDefault="00D719F4" w:rsidP="003F1006">
            <w:pPr>
              <w:jc w:val="center"/>
              <w:rPr>
                <w:rFonts w:ascii="Cambria Math" w:hAnsi="Cambria Math" w:cstheme="minorHAnsi"/>
                <w:i/>
              </w:rPr>
            </w:pPr>
            <m:oMath>
              <m:f>
                <m:fPr>
                  <m:ctrlPr>
                    <w:rPr>
                      <w:rFonts w:ascii="Cambria Math" w:hAnsi="Cambria Math" w:cstheme="minorHAnsi"/>
                      <w:i/>
                      <w:iCs/>
                    </w:rPr>
                  </m:ctrlPr>
                </m:fPr>
                <m:num>
                  <m:r>
                    <w:rPr>
                      <w:rFonts w:ascii="Cambria Math" w:hAnsi="Cambria Math" w:cstheme="minorHAnsi"/>
                    </w:rPr>
                    <m:t>∂F</m:t>
                  </m:r>
                  <m:d>
                    <m:dPr>
                      <m:ctrlPr>
                        <w:rPr>
                          <w:rFonts w:ascii="Cambria Math" w:hAnsi="Cambria Math" w:cstheme="minorHAnsi"/>
                          <w:i/>
                          <w:iCs/>
                        </w:rPr>
                      </m:ctrlPr>
                    </m:dPr>
                    <m:e>
                      <m:r>
                        <w:rPr>
                          <w:rFonts w:ascii="Cambria Math" w:hAnsi="Cambria Math" w:cstheme="minorHAnsi"/>
                        </w:rPr>
                        <m:t>x,y</m:t>
                      </m:r>
                    </m:e>
                  </m:d>
                  <m:r>
                    <w:rPr>
                      <w:rFonts w:ascii="Cambria Math" w:hAnsi="Cambria Math" w:cstheme="minorHAnsi"/>
                    </w:rPr>
                    <m:t>⊗θ</m:t>
                  </m:r>
                  <m:d>
                    <m:dPr>
                      <m:ctrlPr>
                        <w:rPr>
                          <w:rFonts w:ascii="Cambria Math" w:hAnsi="Cambria Math" w:cstheme="minorHAnsi"/>
                          <w:i/>
                          <w:iCs/>
                        </w:rPr>
                      </m:ctrlPr>
                    </m:dPr>
                    <m:e>
                      <m:r>
                        <w:rPr>
                          <w:rFonts w:ascii="Cambria Math" w:hAnsi="Cambria Math" w:cstheme="minorHAnsi"/>
                        </w:rPr>
                        <m:t>x,y</m:t>
                      </m:r>
                    </m:e>
                  </m:d>
                </m:num>
                <m:den>
                  <m:r>
                    <w:rPr>
                      <w:rFonts w:ascii="Cambria Math" w:hAnsi="Cambria Math" w:cstheme="minorHAnsi"/>
                    </w:rPr>
                    <m:t>∂y</m:t>
                  </m:r>
                </m:den>
              </m:f>
              <m:r>
                <w:rPr>
                  <w:rFonts w:ascii="Cambria Math" w:hAnsi="Cambria Math" w:cstheme="minorHAnsi"/>
                </w:rPr>
                <m:t>=F</m:t>
              </m:r>
              <m:d>
                <m:dPr>
                  <m:ctrlPr>
                    <w:rPr>
                      <w:rFonts w:ascii="Cambria Math" w:hAnsi="Cambria Math" w:cstheme="minorHAnsi"/>
                      <w:i/>
                      <w:iCs/>
                    </w:rPr>
                  </m:ctrlPr>
                </m:dPr>
                <m:e>
                  <m:r>
                    <w:rPr>
                      <w:rFonts w:ascii="Cambria Math" w:hAnsi="Cambria Math" w:cstheme="minorHAnsi"/>
                    </w:rPr>
                    <m:t>x,y</m:t>
                  </m:r>
                </m:e>
              </m:d>
              <m:r>
                <w:rPr>
                  <w:rFonts w:ascii="Cambria Math" w:hAnsi="Cambria Math" w:cstheme="minorHAnsi"/>
                </w:rPr>
                <m:t>⊗</m:t>
              </m:r>
              <m:f>
                <m:fPr>
                  <m:ctrlPr>
                    <w:rPr>
                      <w:rFonts w:ascii="Cambria Math" w:hAnsi="Cambria Math" w:cstheme="minorHAnsi"/>
                      <w:i/>
                      <w:iCs/>
                    </w:rPr>
                  </m:ctrlPr>
                </m:fPr>
                <m:num>
                  <m:r>
                    <w:rPr>
                      <w:rFonts w:ascii="Cambria Math" w:hAnsi="Cambria Math" w:cstheme="minorHAnsi"/>
                    </w:rPr>
                    <m:t>∂θ</m:t>
                  </m:r>
                  <m:d>
                    <m:dPr>
                      <m:ctrlPr>
                        <w:rPr>
                          <w:rFonts w:ascii="Cambria Math" w:hAnsi="Cambria Math" w:cstheme="minorHAnsi"/>
                          <w:i/>
                          <w:iCs/>
                        </w:rPr>
                      </m:ctrlPr>
                    </m:dPr>
                    <m:e>
                      <m:r>
                        <w:rPr>
                          <w:rFonts w:ascii="Cambria Math" w:hAnsi="Cambria Math" w:cstheme="minorHAnsi"/>
                        </w:rPr>
                        <m:t>x,y</m:t>
                      </m:r>
                    </m:e>
                  </m:d>
                </m:num>
                <m:den>
                  <m:r>
                    <w:rPr>
                      <w:rFonts w:ascii="Cambria Math" w:hAnsi="Cambria Math" w:cstheme="minorHAnsi"/>
                    </w:rPr>
                    <m:t>∂y</m:t>
                  </m:r>
                </m:den>
              </m:f>
              <m:r>
                <w:rPr>
                  <w:rFonts w:ascii="Cambria Math" w:hAnsi="Cambria Math" w:cstheme="minorHAnsi"/>
                </w:rPr>
                <m:t>=F</m:t>
              </m:r>
              <m:d>
                <m:dPr>
                  <m:ctrlPr>
                    <w:rPr>
                      <w:rFonts w:ascii="Cambria Math" w:hAnsi="Cambria Math" w:cstheme="minorHAnsi"/>
                      <w:i/>
                      <w:iCs/>
                    </w:rPr>
                  </m:ctrlPr>
                </m:dPr>
                <m:e>
                  <m:r>
                    <w:rPr>
                      <w:rFonts w:ascii="Cambria Math" w:hAnsi="Cambria Math" w:cstheme="minorHAnsi"/>
                    </w:rPr>
                    <m:t>x,y</m:t>
                  </m:r>
                </m:e>
              </m:d>
              <m:r>
                <w:rPr>
                  <w:rFonts w:ascii="Cambria Math" w:hAnsi="Cambria Math" w:cstheme="minorHAnsi"/>
                </w:rPr>
                <m:t>⊗</m:t>
              </m:r>
              <m:sSup>
                <m:sSupPr>
                  <m:ctrlPr>
                    <w:rPr>
                      <w:rFonts w:ascii="Cambria Math" w:hAnsi="Cambria Math" w:cstheme="minorHAnsi"/>
                      <w:i/>
                      <w:iCs/>
                    </w:rPr>
                  </m:ctrlPr>
                </m:sSupPr>
                <m:e>
                  <m:r>
                    <w:rPr>
                      <w:rFonts w:ascii="Cambria Math" w:hAnsi="Cambria Math" w:cstheme="minorHAnsi"/>
                    </w:rPr>
                    <m:t>ψ</m:t>
                  </m:r>
                </m:e>
                <m:sup>
                  <m:r>
                    <w:rPr>
                      <w:rFonts w:ascii="Cambria Math" w:hAnsi="Cambria Math" w:cstheme="minorHAnsi"/>
                    </w:rPr>
                    <m:t>2</m:t>
                  </m:r>
                </m:sup>
              </m:sSup>
              <m:r>
                <w:rPr>
                  <w:rFonts w:ascii="Cambria Math" w:hAnsi="Cambria Math" w:cstheme="minorHAnsi"/>
                </w:rPr>
                <m:t>(x,y)</m:t>
              </m:r>
            </m:oMath>
            <w:r w:rsidR="003F1006" w:rsidRPr="003F1006">
              <w:rPr>
                <w:rFonts w:ascii="Cambria Math" w:hAnsi="Cambria Math" w:cstheme="minorHAnsi"/>
                <w:i/>
              </w:rPr>
              <w:t xml:space="preserve"> </w:t>
            </w:r>
          </w:p>
        </w:tc>
        <w:tc>
          <w:tcPr>
            <w:tcW w:w="621" w:type="dxa"/>
            <w:gridSpan w:val="2"/>
            <w:vAlign w:val="center"/>
          </w:tcPr>
          <w:p w:rsidR="003F1006" w:rsidRDefault="003F1006" w:rsidP="003F1006">
            <w:pPr>
              <w:jc w:val="center"/>
              <w:rPr>
                <w:rFonts w:cstheme="minorHAnsi"/>
              </w:rPr>
            </w:pPr>
            <w:r>
              <w:rPr>
                <w:rFonts w:cstheme="minorHAnsi"/>
              </w:rPr>
              <w:t>(</w:t>
            </w:r>
            <w:fldSimple w:instr=" SEQ Eq \* MERGEFORMAT ">
              <w:r w:rsidR="00D719F4" w:rsidRPr="00D719F4">
                <w:rPr>
                  <w:rFonts w:cstheme="minorHAnsi"/>
                  <w:noProof/>
                </w:rPr>
                <w:t>2</w:t>
              </w:r>
            </w:fldSimple>
            <w:r>
              <w:rPr>
                <w:rFonts w:cstheme="minorHAnsi"/>
              </w:rPr>
              <w:t>)</w:t>
            </w:r>
          </w:p>
        </w:tc>
      </w:tr>
    </w:tbl>
    <w:p w:rsidR="007D79AB" w:rsidRDefault="007D79AB" w:rsidP="003F1006">
      <w:pPr>
        <w:ind w:firstLine="720"/>
        <w:jc w:val="both"/>
      </w:pPr>
      <w:r>
        <w:t>In case of multi-scale canny, we use dilated Gaussian kernel as follows:</w:t>
      </w:r>
    </w:p>
    <w:tbl>
      <w:tblPr>
        <w:tblStyle w:val="TableGrid"/>
        <w:tblW w:w="864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28"/>
        <w:gridCol w:w="7200"/>
        <w:gridCol w:w="621"/>
      </w:tblGrid>
      <w:tr w:rsidR="003F1006" w:rsidTr="003F1006">
        <w:trPr>
          <w:trHeight w:val="395"/>
        </w:trPr>
        <w:tc>
          <w:tcPr>
            <w:tcW w:w="828" w:type="dxa"/>
            <w:vAlign w:val="center"/>
          </w:tcPr>
          <w:p w:rsidR="003F1006" w:rsidRDefault="003F1006" w:rsidP="00727C16">
            <w:pPr>
              <w:jc w:val="center"/>
              <w:rPr>
                <w:rFonts w:cstheme="minorHAnsi"/>
              </w:rPr>
            </w:pPr>
          </w:p>
        </w:tc>
        <w:tc>
          <w:tcPr>
            <w:tcW w:w="7200" w:type="dxa"/>
            <w:vAlign w:val="center"/>
          </w:tcPr>
          <w:p w:rsidR="003F1006" w:rsidRPr="003F1006" w:rsidRDefault="00D719F4" w:rsidP="003F1006">
            <w:pPr>
              <w:jc w:val="center"/>
              <w:rPr>
                <w:rFonts w:ascii="Cambria Math" w:hAnsi="Cambria Math" w:cstheme="minorHAnsi"/>
                <w:i/>
                <w:iCs/>
              </w:rPr>
            </w:pPr>
            <m:oMath>
              <m:sSubSup>
                <m:sSubSupPr>
                  <m:ctrlPr>
                    <w:rPr>
                      <w:rFonts w:ascii="Cambria Math" w:hAnsi="Cambria Math" w:cstheme="minorHAnsi"/>
                      <w:i/>
                      <w:iCs/>
                    </w:rPr>
                  </m:ctrlPr>
                </m:sSubSupPr>
                <m:e>
                  <m:r>
                    <w:rPr>
                      <w:rFonts w:ascii="Cambria Math" w:hAnsi="Cambria Math" w:cstheme="minorHAnsi"/>
                    </w:rPr>
                    <m:t>ψ</m:t>
                  </m:r>
                </m:e>
                <m:sub>
                  <m:sSup>
                    <m:sSupPr>
                      <m:ctrlPr>
                        <w:rPr>
                          <w:rFonts w:ascii="Cambria Math" w:hAnsi="Cambria Math" w:cstheme="minorHAnsi"/>
                          <w:i/>
                          <w:iCs/>
                        </w:rPr>
                      </m:ctrlPr>
                    </m:sSupPr>
                    <m:e>
                      <m:r>
                        <w:rPr>
                          <w:rFonts w:ascii="Cambria Math" w:hAnsi="Cambria Math" w:cstheme="minorHAnsi"/>
                        </w:rPr>
                        <m:t>2</m:t>
                      </m:r>
                    </m:e>
                    <m:sup>
                      <m:r>
                        <w:rPr>
                          <w:rFonts w:ascii="Cambria Math" w:hAnsi="Cambria Math" w:cstheme="minorHAnsi"/>
                        </w:rPr>
                        <m:t>j</m:t>
                      </m:r>
                    </m:sup>
                  </m:sSup>
                </m:sub>
                <m:sup>
                  <m:r>
                    <w:rPr>
                      <w:rFonts w:ascii="Cambria Math" w:hAnsi="Cambria Math" w:cstheme="minorHAnsi"/>
                    </w:rPr>
                    <m:t>1</m:t>
                  </m:r>
                </m:sup>
              </m:sSubSup>
              <m:r>
                <w:rPr>
                  <w:rFonts w:ascii="Cambria Math" w:hAnsi="Cambria Math" w:cstheme="minorHAnsi"/>
                </w:rPr>
                <m:t>=</m:t>
              </m:r>
              <m:f>
                <m:fPr>
                  <m:ctrlPr>
                    <w:rPr>
                      <w:rFonts w:ascii="Cambria Math" w:hAnsi="Cambria Math" w:cstheme="minorHAnsi"/>
                      <w:i/>
                      <w:iCs/>
                    </w:rPr>
                  </m:ctrlPr>
                </m:fPr>
                <m:num>
                  <m:r>
                    <w:rPr>
                      <w:rFonts w:ascii="Cambria Math" w:hAnsi="Cambria Math" w:cstheme="minorHAnsi"/>
                    </w:rPr>
                    <m:t>1</m:t>
                  </m:r>
                </m:num>
                <m:den>
                  <m:sSup>
                    <m:sSupPr>
                      <m:ctrlPr>
                        <w:rPr>
                          <w:rFonts w:ascii="Cambria Math" w:hAnsi="Cambria Math" w:cstheme="minorHAnsi"/>
                          <w:i/>
                          <w:iCs/>
                        </w:rPr>
                      </m:ctrlPr>
                    </m:sSupPr>
                    <m:e>
                      <m:r>
                        <w:rPr>
                          <w:rFonts w:ascii="Cambria Math" w:hAnsi="Cambria Math" w:cstheme="minorHAnsi"/>
                        </w:rPr>
                        <m:t>2</m:t>
                      </m:r>
                    </m:e>
                    <m:sup>
                      <m:r>
                        <w:rPr>
                          <w:rFonts w:ascii="Cambria Math" w:hAnsi="Cambria Math" w:cstheme="minorHAnsi"/>
                        </w:rPr>
                        <m:t>j</m:t>
                      </m:r>
                    </m:sup>
                  </m:sSup>
                </m:den>
              </m:f>
              <m:sSup>
                <m:sSupPr>
                  <m:ctrlPr>
                    <w:rPr>
                      <w:rFonts w:ascii="Cambria Math" w:hAnsi="Cambria Math" w:cstheme="minorHAnsi"/>
                      <w:i/>
                      <w:iCs/>
                    </w:rPr>
                  </m:ctrlPr>
                </m:sSupPr>
                <m:e>
                  <m:r>
                    <w:rPr>
                      <w:rFonts w:ascii="Cambria Math" w:hAnsi="Cambria Math" w:cstheme="minorHAnsi"/>
                    </w:rPr>
                    <m:t>ψ</m:t>
                  </m:r>
                </m:e>
                <m:sup>
                  <m:r>
                    <w:rPr>
                      <w:rFonts w:ascii="Cambria Math" w:hAnsi="Cambria Math" w:cstheme="minorHAnsi"/>
                    </w:rPr>
                    <m:t>1</m:t>
                  </m:r>
                </m:sup>
              </m:sSup>
              <m:d>
                <m:dPr>
                  <m:ctrlPr>
                    <w:rPr>
                      <w:rFonts w:ascii="Cambria Math" w:hAnsi="Cambria Math" w:cstheme="minorHAnsi"/>
                      <w:i/>
                      <w:iCs/>
                    </w:rPr>
                  </m:ctrlPr>
                </m:dPr>
                <m:e>
                  <m:f>
                    <m:fPr>
                      <m:ctrlPr>
                        <w:rPr>
                          <w:rFonts w:ascii="Cambria Math" w:hAnsi="Cambria Math" w:cstheme="minorHAnsi"/>
                          <w:i/>
                          <w:iCs/>
                        </w:rPr>
                      </m:ctrlPr>
                    </m:fPr>
                    <m:num>
                      <m:r>
                        <w:rPr>
                          <w:rFonts w:ascii="Cambria Math" w:hAnsi="Cambria Math" w:cstheme="minorHAnsi"/>
                        </w:rPr>
                        <m:t>x</m:t>
                      </m:r>
                    </m:num>
                    <m:den>
                      <m:sSup>
                        <m:sSupPr>
                          <m:ctrlPr>
                            <w:rPr>
                              <w:rFonts w:ascii="Cambria Math" w:hAnsi="Cambria Math" w:cstheme="minorHAnsi"/>
                              <w:i/>
                              <w:iCs/>
                            </w:rPr>
                          </m:ctrlPr>
                        </m:sSupPr>
                        <m:e>
                          <m:r>
                            <w:rPr>
                              <w:rFonts w:ascii="Cambria Math" w:hAnsi="Cambria Math" w:cstheme="minorHAnsi"/>
                            </w:rPr>
                            <m:t>2</m:t>
                          </m:r>
                        </m:e>
                        <m:sup>
                          <m:r>
                            <w:rPr>
                              <w:rFonts w:ascii="Cambria Math" w:hAnsi="Cambria Math" w:cstheme="minorHAnsi"/>
                            </w:rPr>
                            <m:t>j</m:t>
                          </m:r>
                        </m:sup>
                      </m:sSup>
                    </m:den>
                  </m:f>
                  <m:r>
                    <w:rPr>
                      <w:rFonts w:ascii="Cambria Math" w:hAnsi="Cambria Math" w:cstheme="minorHAnsi"/>
                    </w:rPr>
                    <m:t>,</m:t>
                  </m:r>
                  <m:f>
                    <m:fPr>
                      <m:ctrlPr>
                        <w:rPr>
                          <w:rFonts w:ascii="Cambria Math" w:hAnsi="Cambria Math" w:cstheme="minorHAnsi"/>
                          <w:i/>
                          <w:iCs/>
                        </w:rPr>
                      </m:ctrlPr>
                    </m:fPr>
                    <m:num>
                      <m:r>
                        <w:rPr>
                          <w:rFonts w:ascii="Cambria Math" w:hAnsi="Cambria Math" w:cstheme="minorHAnsi"/>
                        </w:rPr>
                        <m:t>y</m:t>
                      </m:r>
                    </m:num>
                    <m:den>
                      <m:sSup>
                        <m:sSupPr>
                          <m:ctrlPr>
                            <w:rPr>
                              <w:rFonts w:ascii="Cambria Math" w:hAnsi="Cambria Math" w:cstheme="minorHAnsi"/>
                              <w:i/>
                              <w:iCs/>
                            </w:rPr>
                          </m:ctrlPr>
                        </m:sSupPr>
                        <m:e>
                          <m:r>
                            <w:rPr>
                              <w:rFonts w:ascii="Cambria Math" w:hAnsi="Cambria Math" w:cstheme="minorHAnsi"/>
                            </w:rPr>
                            <m:t>2</m:t>
                          </m:r>
                        </m:e>
                        <m:sup>
                          <m:r>
                            <w:rPr>
                              <w:rFonts w:ascii="Cambria Math" w:hAnsi="Cambria Math" w:cstheme="minorHAnsi"/>
                            </w:rPr>
                            <m:t>j</m:t>
                          </m:r>
                        </m:sup>
                      </m:sSup>
                    </m:den>
                  </m:f>
                </m:e>
              </m:d>
            </m:oMath>
            <w:r w:rsidR="003F1006">
              <w:rPr>
                <w:rFonts w:ascii="Cambria Math" w:hAnsi="Cambria Math" w:cstheme="minorHAnsi"/>
                <w:i/>
                <w:iCs/>
              </w:rPr>
              <w:t xml:space="preserve"> </w:t>
            </w:r>
          </w:p>
        </w:tc>
        <w:tc>
          <w:tcPr>
            <w:tcW w:w="621" w:type="dxa"/>
            <w:vAlign w:val="center"/>
          </w:tcPr>
          <w:p w:rsidR="003F1006" w:rsidRDefault="003F1006" w:rsidP="003F1006">
            <w:pPr>
              <w:jc w:val="center"/>
              <w:rPr>
                <w:rFonts w:cstheme="minorHAnsi"/>
              </w:rPr>
            </w:pPr>
            <w:r>
              <w:rPr>
                <w:rFonts w:cstheme="minorHAnsi"/>
              </w:rPr>
              <w:t>(</w:t>
            </w:r>
            <w:fldSimple w:instr=" SEQ Eq \* MERGEFORMAT ">
              <w:r w:rsidR="00D719F4" w:rsidRPr="00D719F4">
                <w:rPr>
                  <w:rFonts w:cstheme="minorHAnsi"/>
                  <w:noProof/>
                </w:rPr>
                <w:t>3</w:t>
              </w:r>
            </w:fldSimple>
            <w:r>
              <w:rPr>
                <w:rFonts w:cstheme="minorHAnsi"/>
              </w:rPr>
              <w:t>)</w:t>
            </w:r>
          </w:p>
        </w:tc>
      </w:tr>
      <w:tr w:rsidR="003F1006" w:rsidTr="003F1006">
        <w:trPr>
          <w:trHeight w:val="395"/>
        </w:trPr>
        <w:tc>
          <w:tcPr>
            <w:tcW w:w="828" w:type="dxa"/>
            <w:vAlign w:val="center"/>
          </w:tcPr>
          <w:p w:rsidR="003F1006" w:rsidRDefault="003F1006" w:rsidP="00727C16">
            <w:pPr>
              <w:jc w:val="center"/>
              <w:rPr>
                <w:rFonts w:cstheme="minorHAnsi"/>
              </w:rPr>
            </w:pPr>
          </w:p>
        </w:tc>
        <w:tc>
          <w:tcPr>
            <w:tcW w:w="7200" w:type="dxa"/>
            <w:vAlign w:val="center"/>
          </w:tcPr>
          <w:p w:rsidR="003F1006" w:rsidRPr="003F1006" w:rsidRDefault="00D719F4" w:rsidP="003F1006">
            <w:pPr>
              <w:jc w:val="center"/>
              <w:rPr>
                <w:rFonts w:ascii="Cambria Math" w:hAnsi="Cambria Math" w:cstheme="minorHAnsi"/>
                <w:i/>
                <w:iCs/>
              </w:rPr>
            </w:pPr>
            <m:oMath>
              <m:sSubSup>
                <m:sSubSupPr>
                  <m:ctrlPr>
                    <w:rPr>
                      <w:rFonts w:ascii="Cambria Math" w:hAnsi="Cambria Math" w:cstheme="minorHAnsi"/>
                      <w:i/>
                      <w:iCs/>
                    </w:rPr>
                  </m:ctrlPr>
                </m:sSubSupPr>
                <m:e>
                  <m:r>
                    <w:rPr>
                      <w:rFonts w:ascii="Cambria Math" w:hAnsi="Cambria Math" w:cstheme="minorHAnsi"/>
                    </w:rPr>
                    <m:t> ψ</m:t>
                  </m:r>
                </m:e>
                <m:sub>
                  <m:sSup>
                    <m:sSupPr>
                      <m:ctrlPr>
                        <w:rPr>
                          <w:rFonts w:ascii="Cambria Math" w:hAnsi="Cambria Math" w:cstheme="minorHAnsi"/>
                          <w:i/>
                          <w:iCs/>
                        </w:rPr>
                      </m:ctrlPr>
                    </m:sSupPr>
                    <m:e>
                      <m:r>
                        <w:rPr>
                          <w:rFonts w:ascii="Cambria Math" w:hAnsi="Cambria Math" w:cstheme="minorHAnsi"/>
                        </w:rPr>
                        <m:t>2</m:t>
                      </m:r>
                    </m:e>
                    <m:sup>
                      <m:r>
                        <w:rPr>
                          <w:rFonts w:ascii="Cambria Math" w:hAnsi="Cambria Math" w:cstheme="minorHAnsi"/>
                        </w:rPr>
                        <m:t>j</m:t>
                      </m:r>
                    </m:sup>
                  </m:sSup>
                </m:sub>
                <m:sup>
                  <m:r>
                    <w:rPr>
                      <w:rFonts w:ascii="Cambria Math" w:hAnsi="Cambria Math" w:cstheme="minorHAnsi"/>
                    </w:rPr>
                    <m:t>2</m:t>
                  </m:r>
                </m:sup>
              </m:sSubSup>
              <m:r>
                <w:rPr>
                  <w:rFonts w:ascii="Cambria Math" w:hAnsi="Cambria Math" w:cstheme="minorHAnsi"/>
                </w:rPr>
                <m:t>=</m:t>
              </m:r>
              <m:f>
                <m:fPr>
                  <m:ctrlPr>
                    <w:rPr>
                      <w:rFonts w:ascii="Cambria Math" w:hAnsi="Cambria Math" w:cstheme="minorHAnsi"/>
                      <w:i/>
                      <w:iCs/>
                    </w:rPr>
                  </m:ctrlPr>
                </m:fPr>
                <m:num>
                  <m:r>
                    <w:rPr>
                      <w:rFonts w:ascii="Cambria Math" w:hAnsi="Cambria Math" w:cstheme="minorHAnsi"/>
                    </w:rPr>
                    <m:t>1</m:t>
                  </m:r>
                </m:num>
                <m:den>
                  <m:sSup>
                    <m:sSupPr>
                      <m:ctrlPr>
                        <w:rPr>
                          <w:rFonts w:ascii="Cambria Math" w:hAnsi="Cambria Math" w:cstheme="minorHAnsi"/>
                          <w:i/>
                          <w:iCs/>
                        </w:rPr>
                      </m:ctrlPr>
                    </m:sSupPr>
                    <m:e>
                      <m:r>
                        <w:rPr>
                          <w:rFonts w:ascii="Cambria Math" w:hAnsi="Cambria Math" w:cstheme="minorHAnsi"/>
                        </w:rPr>
                        <m:t>2</m:t>
                      </m:r>
                    </m:e>
                    <m:sup>
                      <m:r>
                        <w:rPr>
                          <w:rFonts w:ascii="Cambria Math" w:hAnsi="Cambria Math" w:cstheme="minorHAnsi"/>
                        </w:rPr>
                        <m:t>j</m:t>
                      </m:r>
                    </m:sup>
                  </m:sSup>
                </m:den>
              </m:f>
              <m:sSup>
                <m:sSupPr>
                  <m:ctrlPr>
                    <w:rPr>
                      <w:rFonts w:ascii="Cambria Math" w:hAnsi="Cambria Math" w:cstheme="minorHAnsi"/>
                      <w:i/>
                      <w:iCs/>
                    </w:rPr>
                  </m:ctrlPr>
                </m:sSupPr>
                <m:e>
                  <m:r>
                    <w:rPr>
                      <w:rFonts w:ascii="Cambria Math" w:hAnsi="Cambria Math" w:cstheme="minorHAnsi"/>
                    </w:rPr>
                    <m:t>ψ</m:t>
                  </m:r>
                </m:e>
                <m:sup>
                  <m:r>
                    <w:rPr>
                      <w:rFonts w:ascii="Cambria Math" w:hAnsi="Cambria Math" w:cstheme="minorHAnsi"/>
                    </w:rPr>
                    <m:t>2</m:t>
                  </m:r>
                </m:sup>
              </m:sSup>
              <m:d>
                <m:dPr>
                  <m:ctrlPr>
                    <w:rPr>
                      <w:rFonts w:ascii="Cambria Math" w:hAnsi="Cambria Math" w:cstheme="minorHAnsi"/>
                      <w:i/>
                      <w:iCs/>
                    </w:rPr>
                  </m:ctrlPr>
                </m:dPr>
                <m:e>
                  <m:f>
                    <m:fPr>
                      <m:ctrlPr>
                        <w:rPr>
                          <w:rFonts w:ascii="Cambria Math" w:hAnsi="Cambria Math" w:cstheme="minorHAnsi"/>
                          <w:i/>
                          <w:iCs/>
                        </w:rPr>
                      </m:ctrlPr>
                    </m:fPr>
                    <m:num>
                      <m:r>
                        <w:rPr>
                          <w:rFonts w:ascii="Cambria Math" w:hAnsi="Cambria Math" w:cstheme="minorHAnsi"/>
                        </w:rPr>
                        <m:t>x</m:t>
                      </m:r>
                    </m:num>
                    <m:den>
                      <m:sSup>
                        <m:sSupPr>
                          <m:ctrlPr>
                            <w:rPr>
                              <w:rFonts w:ascii="Cambria Math" w:hAnsi="Cambria Math" w:cstheme="minorHAnsi"/>
                              <w:i/>
                              <w:iCs/>
                            </w:rPr>
                          </m:ctrlPr>
                        </m:sSupPr>
                        <m:e>
                          <m:r>
                            <w:rPr>
                              <w:rFonts w:ascii="Cambria Math" w:hAnsi="Cambria Math" w:cstheme="minorHAnsi"/>
                            </w:rPr>
                            <m:t>2</m:t>
                          </m:r>
                        </m:e>
                        <m:sup>
                          <m:r>
                            <w:rPr>
                              <w:rFonts w:ascii="Cambria Math" w:hAnsi="Cambria Math" w:cstheme="minorHAnsi"/>
                            </w:rPr>
                            <m:t>j</m:t>
                          </m:r>
                        </m:sup>
                      </m:sSup>
                    </m:den>
                  </m:f>
                  <m:r>
                    <w:rPr>
                      <w:rFonts w:ascii="Cambria Math" w:hAnsi="Cambria Math" w:cstheme="minorHAnsi"/>
                    </w:rPr>
                    <m:t>,</m:t>
                  </m:r>
                  <m:f>
                    <m:fPr>
                      <m:ctrlPr>
                        <w:rPr>
                          <w:rFonts w:ascii="Cambria Math" w:hAnsi="Cambria Math" w:cstheme="minorHAnsi"/>
                          <w:i/>
                          <w:iCs/>
                        </w:rPr>
                      </m:ctrlPr>
                    </m:fPr>
                    <m:num>
                      <m:r>
                        <w:rPr>
                          <w:rFonts w:ascii="Cambria Math" w:hAnsi="Cambria Math" w:cstheme="minorHAnsi"/>
                        </w:rPr>
                        <m:t>y</m:t>
                      </m:r>
                    </m:num>
                    <m:den>
                      <m:sSup>
                        <m:sSupPr>
                          <m:ctrlPr>
                            <w:rPr>
                              <w:rFonts w:ascii="Cambria Math" w:hAnsi="Cambria Math" w:cstheme="minorHAnsi"/>
                              <w:i/>
                              <w:iCs/>
                            </w:rPr>
                          </m:ctrlPr>
                        </m:sSupPr>
                        <m:e>
                          <m:r>
                            <w:rPr>
                              <w:rFonts w:ascii="Cambria Math" w:hAnsi="Cambria Math" w:cstheme="minorHAnsi"/>
                            </w:rPr>
                            <m:t>2</m:t>
                          </m:r>
                        </m:e>
                        <m:sup>
                          <m:r>
                            <w:rPr>
                              <w:rFonts w:ascii="Cambria Math" w:hAnsi="Cambria Math" w:cstheme="minorHAnsi"/>
                            </w:rPr>
                            <m:t>j</m:t>
                          </m:r>
                        </m:sup>
                      </m:sSup>
                    </m:den>
                  </m:f>
                </m:e>
              </m:d>
            </m:oMath>
            <w:r w:rsidR="003F1006">
              <w:rPr>
                <w:rFonts w:ascii="Cambria Math" w:hAnsi="Cambria Math" w:cstheme="minorHAnsi"/>
                <w:i/>
                <w:iCs/>
              </w:rPr>
              <w:t xml:space="preserve"> </w:t>
            </w:r>
          </w:p>
        </w:tc>
        <w:tc>
          <w:tcPr>
            <w:tcW w:w="621" w:type="dxa"/>
            <w:vAlign w:val="center"/>
          </w:tcPr>
          <w:p w:rsidR="003F1006" w:rsidRDefault="003F1006" w:rsidP="003F1006">
            <w:pPr>
              <w:jc w:val="center"/>
              <w:rPr>
                <w:rFonts w:cstheme="minorHAnsi"/>
              </w:rPr>
            </w:pPr>
            <w:r>
              <w:rPr>
                <w:rFonts w:cstheme="minorHAnsi"/>
              </w:rPr>
              <w:t>(</w:t>
            </w:r>
            <w:fldSimple w:instr=" SEQ Eq \* MERGEFORMAT ">
              <w:r w:rsidR="00D719F4" w:rsidRPr="00D719F4">
                <w:rPr>
                  <w:rFonts w:cstheme="minorHAnsi"/>
                  <w:noProof/>
                </w:rPr>
                <w:t>4</w:t>
              </w:r>
            </w:fldSimple>
            <w:r>
              <w:rPr>
                <w:rFonts w:cstheme="minorHAnsi"/>
              </w:rPr>
              <w:t>)</w:t>
            </w:r>
          </w:p>
        </w:tc>
      </w:tr>
    </w:tbl>
    <w:p w:rsidR="007D79AB" w:rsidRDefault="007D79AB" w:rsidP="003F1006">
      <w:pPr>
        <w:ind w:firstLine="720"/>
        <w:jc w:val="both"/>
      </w:pPr>
      <w:r>
        <w:t>Thus we compute the dilated derivative image at different scales:</w:t>
      </w:r>
    </w:p>
    <w:tbl>
      <w:tblPr>
        <w:tblStyle w:val="TableGrid"/>
        <w:tblW w:w="864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28"/>
        <w:gridCol w:w="7200"/>
        <w:gridCol w:w="621"/>
      </w:tblGrid>
      <w:tr w:rsidR="007D378A" w:rsidTr="003F1006">
        <w:trPr>
          <w:trHeight w:val="395"/>
        </w:trPr>
        <w:tc>
          <w:tcPr>
            <w:tcW w:w="828" w:type="dxa"/>
            <w:vAlign w:val="center"/>
          </w:tcPr>
          <w:p w:rsidR="007D378A" w:rsidRDefault="007D378A" w:rsidP="00727C16">
            <w:pPr>
              <w:jc w:val="center"/>
              <w:rPr>
                <w:rFonts w:cstheme="minorHAnsi"/>
              </w:rPr>
            </w:pPr>
          </w:p>
        </w:tc>
        <w:tc>
          <w:tcPr>
            <w:tcW w:w="7200" w:type="dxa"/>
            <w:vAlign w:val="center"/>
          </w:tcPr>
          <w:p w:rsidR="007D378A" w:rsidRDefault="00D719F4" w:rsidP="00727C16">
            <w:pPr>
              <w:jc w:val="center"/>
              <w:rPr>
                <w:rFonts w:cstheme="minorHAnsi"/>
              </w:rPr>
            </w:pPr>
            <m:oMath>
              <m:sSubSup>
                <m:sSubSupPr>
                  <m:ctrlPr>
                    <w:rPr>
                      <w:rFonts w:ascii="Cambria Math" w:hAnsi="Cambria Math" w:cstheme="minorHAnsi"/>
                      <w:i/>
                      <w:iCs/>
                    </w:rPr>
                  </m:ctrlPr>
                </m:sSubSupPr>
                <m:e>
                  <m:r>
                    <w:rPr>
                      <w:rFonts w:ascii="Cambria Math" w:hAnsi="Cambria Math" w:cstheme="minorHAnsi"/>
                    </w:rPr>
                    <m:t>D</m:t>
                  </m:r>
                </m:e>
                <m:sub>
                  <m:sSup>
                    <m:sSupPr>
                      <m:ctrlPr>
                        <w:rPr>
                          <w:rFonts w:ascii="Cambria Math" w:hAnsi="Cambria Math" w:cstheme="minorHAnsi"/>
                          <w:i/>
                          <w:iCs/>
                        </w:rPr>
                      </m:ctrlPr>
                    </m:sSupPr>
                    <m:e>
                      <m:r>
                        <w:rPr>
                          <w:rFonts w:ascii="Cambria Math" w:hAnsi="Cambria Math" w:cstheme="minorHAnsi"/>
                        </w:rPr>
                        <m:t>2</m:t>
                      </m:r>
                    </m:e>
                    <m:sup>
                      <m:r>
                        <w:rPr>
                          <w:rFonts w:ascii="Cambria Math" w:hAnsi="Cambria Math" w:cstheme="minorHAnsi"/>
                        </w:rPr>
                        <m:t>j</m:t>
                      </m:r>
                    </m:sup>
                  </m:sSup>
                </m:sub>
                <m:sup>
                  <m:r>
                    <w:rPr>
                      <w:rFonts w:ascii="Cambria Math" w:hAnsi="Cambria Math" w:cstheme="minorHAnsi"/>
                    </w:rPr>
                    <m:t>1</m:t>
                  </m:r>
                </m:sup>
              </m:sSubSup>
              <m:d>
                <m:dPr>
                  <m:ctrlPr>
                    <w:rPr>
                      <w:rFonts w:ascii="Cambria Math" w:hAnsi="Cambria Math" w:cstheme="minorHAnsi"/>
                      <w:i/>
                      <w:iCs/>
                    </w:rPr>
                  </m:ctrlPr>
                </m:dPr>
                <m:e>
                  <m:f>
                    <m:fPr>
                      <m:ctrlPr>
                        <w:rPr>
                          <w:rFonts w:ascii="Cambria Math" w:hAnsi="Cambria Math" w:cstheme="minorHAnsi"/>
                          <w:i/>
                          <w:iCs/>
                        </w:rPr>
                      </m:ctrlPr>
                    </m:fPr>
                    <m:num>
                      <m:r>
                        <w:rPr>
                          <w:rFonts w:ascii="Cambria Math" w:hAnsi="Cambria Math" w:cstheme="minorHAnsi"/>
                        </w:rPr>
                        <m:t>∂F</m:t>
                      </m:r>
                      <m:d>
                        <m:dPr>
                          <m:ctrlPr>
                            <w:rPr>
                              <w:rFonts w:ascii="Cambria Math" w:hAnsi="Cambria Math" w:cstheme="minorHAnsi"/>
                              <w:i/>
                              <w:iCs/>
                            </w:rPr>
                          </m:ctrlPr>
                        </m:dPr>
                        <m:e>
                          <m:r>
                            <w:rPr>
                              <w:rFonts w:ascii="Cambria Math" w:hAnsi="Cambria Math" w:cstheme="minorHAnsi"/>
                            </w:rPr>
                            <m:t>x,y</m:t>
                          </m:r>
                        </m:e>
                      </m:d>
                      <m:r>
                        <w:rPr>
                          <w:rFonts w:ascii="Cambria Math" w:hAnsi="Cambria Math" w:cstheme="minorHAnsi"/>
                        </w:rPr>
                        <m:t>⊗θ</m:t>
                      </m:r>
                      <m:d>
                        <m:dPr>
                          <m:ctrlPr>
                            <w:rPr>
                              <w:rFonts w:ascii="Cambria Math" w:hAnsi="Cambria Math" w:cstheme="minorHAnsi"/>
                              <w:i/>
                              <w:iCs/>
                            </w:rPr>
                          </m:ctrlPr>
                        </m:dPr>
                        <m:e>
                          <m:r>
                            <w:rPr>
                              <w:rFonts w:ascii="Cambria Math" w:hAnsi="Cambria Math" w:cstheme="minorHAnsi"/>
                            </w:rPr>
                            <m:t>x,y</m:t>
                          </m:r>
                        </m:e>
                      </m:d>
                    </m:num>
                    <m:den>
                      <m:r>
                        <w:rPr>
                          <w:rFonts w:ascii="Cambria Math" w:hAnsi="Cambria Math" w:cstheme="minorHAnsi"/>
                        </w:rPr>
                        <m:t>∂x</m:t>
                      </m:r>
                    </m:den>
                  </m:f>
                </m:e>
              </m:d>
              <m:r>
                <w:rPr>
                  <w:rFonts w:ascii="Cambria Math" w:hAnsi="Cambria Math" w:cstheme="minorHAnsi"/>
                </w:rPr>
                <m:t>=F</m:t>
              </m:r>
              <m:d>
                <m:dPr>
                  <m:ctrlPr>
                    <w:rPr>
                      <w:rFonts w:ascii="Cambria Math" w:hAnsi="Cambria Math" w:cstheme="minorHAnsi"/>
                      <w:i/>
                      <w:iCs/>
                    </w:rPr>
                  </m:ctrlPr>
                </m:dPr>
                <m:e>
                  <m:r>
                    <w:rPr>
                      <w:rFonts w:ascii="Cambria Math" w:hAnsi="Cambria Math" w:cstheme="minorHAnsi"/>
                    </w:rPr>
                    <m:t>x,y</m:t>
                  </m:r>
                </m:e>
              </m:d>
              <m:r>
                <w:rPr>
                  <w:rFonts w:ascii="Cambria Math" w:hAnsi="Cambria Math" w:cstheme="minorHAnsi"/>
                </w:rPr>
                <m:t>⊗</m:t>
              </m:r>
              <m:sSubSup>
                <m:sSubSupPr>
                  <m:ctrlPr>
                    <w:rPr>
                      <w:rFonts w:ascii="Cambria Math" w:hAnsi="Cambria Math" w:cstheme="minorHAnsi"/>
                      <w:i/>
                      <w:iCs/>
                    </w:rPr>
                  </m:ctrlPr>
                </m:sSubSupPr>
                <m:e>
                  <m:r>
                    <w:rPr>
                      <w:rFonts w:ascii="Cambria Math" w:hAnsi="Cambria Math" w:cstheme="minorHAnsi"/>
                    </w:rPr>
                    <m:t>ψ</m:t>
                  </m:r>
                </m:e>
                <m:sub>
                  <m:sSup>
                    <m:sSupPr>
                      <m:ctrlPr>
                        <w:rPr>
                          <w:rFonts w:ascii="Cambria Math" w:hAnsi="Cambria Math" w:cstheme="minorHAnsi"/>
                          <w:i/>
                          <w:iCs/>
                        </w:rPr>
                      </m:ctrlPr>
                    </m:sSupPr>
                    <m:e>
                      <m:r>
                        <w:rPr>
                          <w:rFonts w:ascii="Cambria Math" w:hAnsi="Cambria Math" w:cstheme="minorHAnsi"/>
                        </w:rPr>
                        <m:t>2</m:t>
                      </m:r>
                    </m:e>
                    <m:sup>
                      <m:r>
                        <w:rPr>
                          <w:rFonts w:ascii="Cambria Math" w:hAnsi="Cambria Math" w:cstheme="minorHAnsi"/>
                        </w:rPr>
                        <m:t>j</m:t>
                      </m:r>
                    </m:sup>
                  </m:sSup>
                </m:sub>
                <m:sup>
                  <m:r>
                    <w:rPr>
                      <w:rFonts w:ascii="Cambria Math" w:hAnsi="Cambria Math" w:cstheme="minorHAnsi"/>
                    </w:rPr>
                    <m:t>1</m:t>
                  </m:r>
                </m:sup>
              </m:sSubSup>
            </m:oMath>
            <w:r w:rsidR="007D378A">
              <w:rPr>
                <w:rFonts w:cstheme="minorHAnsi"/>
              </w:rPr>
              <w:t xml:space="preserve"> </w:t>
            </w:r>
          </w:p>
        </w:tc>
        <w:tc>
          <w:tcPr>
            <w:tcW w:w="621" w:type="dxa"/>
            <w:vAlign w:val="center"/>
          </w:tcPr>
          <w:p w:rsidR="007D378A" w:rsidRDefault="007D378A" w:rsidP="003F1006">
            <w:pPr>
              <w:jc w:val="center"/>
              <w:rPr>
                <w:rFonts w:cstheme="minorHAnsi"/>
              </w:rPr>
            </w:pPr>
            <w:r>
              <w:rPr>
                <w:rFonts w:cstheme="minorHAnsi"/>
              </w:rPr>
              <w:t>(</w:t>
            </w:r>
            <w:fldSimple w:instr=" SEQ Eq \* MERGEFORMAT ">
              <w:r w:rsidR="00D719F4" w:rsidRPr="00D719F4">
                <w:rPr>
                  <w:rFonts w:cstheme="minorHAnsi"/>
                  <w:noProof/>
                </w:rPr>
                <w:t>5</w:t>
              </w:r>
            </w:fldSimple>
            <w:r>
              <w:rPr>
                <w:rFonts w:cstheme="minorHAnsi"/>
              </w:rPr>
              <w:t>)</w:t>
            </w:r>
          </w:p>
        </w:tc>
      </w:tr>
      <w:tr w:rsidR="007D378A" w:rsidTr="003F1006">
        <w:trPr>
          <w:trHeight w:val="395"/>
        </w:trPr>
        <w:tc>
          <w:tcPr>
            <w:tcW w:w="828" w:type="dxa"/>
            <w:vAlign w:val="center"/>
          </w:tcPr>
          <w:p w:rsidR="007D378A" w:rsidRDefault="007D378A" w:rsidP="00727C16">
            <w:pPr>
              <w:jc w:val="center"/>
              <w:rPr>
                <w:rFonts w:cstheme="minorHAnsi"/>
              </w:rPr>
            </w:pPr>
          </w:p>
        </w:tc>
        <w:tc>
          <w:tcPr>
            <w:tcW w:w="7200" w:type="dxa"/>
            <w:vAlign w:val="center"/>
          </w:tcPr>
          <w:p w:rsidR="007D378A" w:rsidRDefault="00D719F4" w:rsidP="00727C16">
            <w:pPr>
              <w:jc w:val="center"/>
              <w:rPr>
                <w:rFonts w:cstheme="minorHAnsi"/>
              </w:rPr>
            </w:pPr>
            <m:oMath>
              <m:sSubSup>
                <m:sSubSupPr>
                  <m:ctrlPr>
                    <w:rPr>
                      <w:rFonts w:ascii="Cambria Math" w:hAnsi="Cambria Math" w:cstheme="minorHAnsi"/>
                      <w:i/>
                      <w:iCs/>
                    </w:rPr>
                  </m:ctrlPr>
                </m:sSubSupPr>
                <m:e>
                  <m:r>
                    <w:rPr>
                      <w:rFonts w:ascii="Cambria Math" w:hAnsi="Cambria Math" w:cstheme="minorHAnsi"/>
                    </w:rPr>
                    <m:t>D</m:t>
                  </m:r>
                </m:e>
                <m:sub>
                  <m:sSup>
                    <m:sSupPr>
                      <m:ctrlPr>
                        <w:rPr>
                          <w:rFonts w:ascii="Cambria Math" w:hAnsi="Cambria Math" w:cstheme="minorHAnsi"/>
                          <w:i/>
                          <w:iCs/>
                        </w:rPr>
                      </m:ctrlPr>
                    </m:sSupPr>
                    <m:e>
                      <m:r>
                        <w:rPr>
                          <w:rFonts w:ascii="Cambria Math" w:hAnsi="Cambria Math" w:cstheme="minorHAnsi"/>
                        </w:rPr>
                        <m:t>2</m:t>
                      </m:r>
                    </m:e>
                    <m:sup>
                      <m:r>
                        <w:rPr>
                          <w:rFonts w:ascii="Cambria Math" w:hAnsi="Cambria Math" w:cstheme="minorHAnsi"/>
                        </w:rPr>
                        <m:t>j</m:t>
                      </m:r>
                    </m:sup>
                  </m:sSup>
                </m:sub>
                <m:sup>
                  <m:r>
                    <w:rPr>
                      <w:rFonts w:ascii="Cambria Math" w:hAnsi="Cambria Math" w:cstheme="minorHAnsi"/>
                    </w:rPr>
                    <m:t>2</m:t>
                  </m:r>
                </m:sup>
              </m:sSubSup>
              <m:d>
                <m:dPr>
                  <m:ctrlPr>
                    <w:rPr>
                      <w:rFonts w:ascii="Cambria Math" w:hAnsi="Cambria Math" w:cstheme="minorHAnsi"/>
                      <w:i/>
                      <w:iCs/>
                    </w:rPr>
                  </m:ctrlPr>
                </m:dPr>
                <m:e>
                  <m:f>
                    <m:fPr>
                      <m:ctrlPr>
                        <w:rPr>
                          <w:rFonts w:ascii="Cambria Math" w:hAnsi="Cambria Math" w:cstheme="minorHAnsi"/>
                          <w:i/>
                          <w:iCs/>
                        </w:rPr>
                      </m:ctrlPr>
                    </m:fPr>
                    <m:num>
                      <m:r>
                        <w:rPr>
                          <w:rFonts w:ascii="Cambria Math" w:hAnsi="Cambria Math" w:cstheme="minorHAnsi"/>
                        </w:rPr>
                        <m:t>∂F</m:t>
                      </m:r>
                      <m:d>
                        <m:dPr>
                          <m:ctrlPr>
                            <w:rPr>
                              <w:rFonts w:ascii="Cambria Math" w:hAnsi="Cambria Math" w:cstheme="minorHAnsi"/>
                              <w:i/>
                              <w:iCs/>
                            </w:rPr>
                          </m:ctrlPr>
                        </m:dPr>
                        <m:e>
                          <m:r>
                            <w:rPr>
                              <w:rFonts w:ascii="Cambria Math" w:hAnsi="Cambria Math" w:cstheme="minorHAnsi"/>
                            </w:rPr>
                            <m:t>x,y</m:t>
                          </m:r>
                        </m:e>
                      </m:d>
                      <m:r>
                        <w:rPr>
                          <w:rFonts w:ascii="Cambria Math" w:hAnsi="Cambria Math" w:cstheme="minorHAnsi"/>
                        </w:rPr>
                        <m:t>⊗θ</m:t>
                      </m:r>
                      <m:d>
                        <m:dPr>
                          <m:ctrlPr>
                            <w:rPr>
                              <w:rFonts w:ascii="Cambria Math" w:hAnsi="Cambria Math" w:cstheme="minorHAnsi"/>
                              <w:i/>
                              <w:iCs/>
                            </w:rPr>
                          </m:ctrlPr>
                        </m:dPr>
                        <m:e>
                          <m:r>
                            <w:rPr>
                              <w:rFonts w:ascii="Cambria Math" w:hAnsi="Cambria Math" w:cstheme="minorHAnsi"/>
                            </w:rPr>
                            <m:t>x,y</m:t>
                          </m:r>
                        </m:e>
                      </m:d>
                    </m:num>
                    <m:den>
                      <m:r>
                        <w:rPr>
                          <w:rFonts w:ascii="Cambria Math" w:hAnsi="Cambria Math" w:cstheme="minorHAnsi"/>
                        </w:rPr>
                        <m:t>∂y</m:t>
                      </m:r>
                    </m:den>
                  </m:f>
                </m:e>
              </m:d>
              <m:r>
                <w:rPr>
                  <w:rFonts w:ascii="Cambria Math" w:hAnsi="Cambria Math" w:cstheme="minorHAnsi"/>
                </w:rPr>
                <m:t>=F</m:t>
              </m:r>
              <m:d>
                <m:dPr>
                  <m:ctrlPr>
                    <w:rPr>
                      <w:rFonts w:ascii="Cambria Math" w:hAnsi="Cambria Math" w:cstheme="minorHAnsi"/>
                      <w:i/>
                      <w:iCs/>
                    </w:rPr>
                  </m:ctrlPr>
                </m:dPr>
                <m:e>
                  <m:r>
                    <w:rPr>
                      <w:rFonts w:ascii="Cambria Math" w:hAnsi="Cambria Math" w:cstheme="minorHAnsi"/>
                    </w:rPr>
                    <m:t>x,y</m:t>
                  </m:r>
                </m:e>
              </m:d>
              <m:r>
                <w:rPr>
                  <w:rFonts w:ascii="Cambria Math" w:hAnsi="Cambria Math" w:cstheme="minorHAnsi"/>
                </w:rPr>
                <m:t>⊗</m:t>
              </m:r>
              <m:sSubSup>
                <m:sSubSupPr>
                  <m:ctrlPr>
                    <w:rPr>
                      <w:rFonts w:ascii="Cambria Math" w:hAnsi="Cambria Math" w:cstheme="minorHAnsi"/>
                      <w:i/>
                      <w:iCs/>
                    </w:rPr>
                  </m:ctrlPr>
                </m:sSubSupPr>
                <m:e>
                  <m:r>
                    <w:rPr>
                      <w:rFonts w:ascii="Cambria Math" w:hAnsi="Cambria Math" w:cstheme="minorHAnsi"/>
                    </w:rPr>
                    <m:t>ψ</m:t>
                  </m:r>
                </m:e>
                <m:sub>
                  <m:sSup>
                    <m:sSupPr>
                      <m:ctrlPr>
                        <w:rPr>
                          <w:rFonts w:ascii="Cambria Math" w:hAnsi="Cambria Math" w:cstheme="minorHAnsi"/>
                          <w:i/>
                          <w:iCs/>
                        </w:rPr>
                      </m:ctrlPr>
                    </m:sSupPr>
                    <m:e>
                      <m:r>
                        <w:rPr>
                          <w:rFonts w:ascii="Cambria Math" w:hAnsi="Cambria Math" w:cstheme="minorHAnsi"/>
                        </w:rPr>
                        <m:t>2</m:t>
                      </m:r>
                    </m:e>
                    <m:sup>
                      <m:r>
                        <w:rPr>
                          <w:rFonts w:ascii="Cambria Math" w:hAnsi="Cambria Math" w:cstheme="minorHAnsi"/>
                        </w:rPr>
                        <m:t>j</m:t>
                      </m:r>
                    </m:sup>
                  </m:sSup>
                </m:sub>
                <m:sup>
                  <m:r>
                    <w:rPr>
                      <w:rFonts w:ascii="Cambria Math" w:hAnsi="Cambria Math" w:cstheme="minorHAnsi"/>
                    </w:rPr>
                    <m:t>2</m:t>
                  </m:r>
                </m:sup>
              </m:sSubSup>
            </m:oMath>
            <w:r w:rsidR="007D378A">
              <w:rPr>
                <w:rFonts w:cstheme="minorHAnsi"/>
              </w:rPr>
              <w:t xml:space="preserve"> </w:t>
            </w:r>
          </w:p>
        </w:tc>
        <w:tc>
          <w:tcPr>
            <w:tcW w:w="621" w:type="dxa"/>
            <w:vAlign w:val="center"/>
          </w:tcPr>
          <w:p w:rsidR="007D378A" w:rsidRDefault="007D378A" w:rsidP="003F1006">
            <w:pPr>
              <w:jc w:val="center"/>
              <w:rPr>
                <w:rFonts w:cstheme="minorHAnsi"/>
              </w:rPr>
            </w:pPr>
            <w:r>
              <w:rPr>
                <w:rFonts w:cstheme="minorHAnsi"/>
              </w:rPr>
              <w:t>(</w:t>
            </w:r>
            <w:fldSimple w:instr=" SEQ Eq \* MERGEFORMAT ">
              <w:r w:rsidR="00D719F4" w:rsidRPr="00D719F4">
                <w:rPr>
                  <w:rFonts w:cstheme="minorHAnsi"/>
                  <w:noProof/>
                </w:rPr>
                <w:t>6</w:t>
              </w:r>
            </w:fldSimple>
            <w:r>
              <w:rPr>
                <w:rFonts w:cstheme="minorHAnsi"/>
              </w:rPr>
              <w:t>)</w:t>
            </w:r>
          </w:p>
        </w:tc>
      </w:tr>
    </w:tbl>
    <w:p w:rsidR="007D79AB" w:rsidRPr="00F76327" w:rsidRDefault="007D79AB" w:rsidP="007D79AB">
      <w:pPr>
        <w:ind w:firstLine="720"/>
        <w:jc w:val="both"/>
        <w:rPr>
          <w:rFonts w:cstheme="minorHAnsi"/>
        </w:rPr>
      </w:pPr>
      <w:r w:rsidRPr="00F618D7">
        <w:rPr>
          <w:rFonts w:cstheme="minorHAnsi"/>
        </w:rPr>
        <w:t>In this study, the multi-scale edge detection i</w:t>
      </w:r>
      <w:r>
        <w:rPr>
          <w:rFonts w:cstheme="minorHAnsi"/>
        </w:rPr>
        <w:t>s accomplished by applying the c</w:t>
      </w:r>
      <w:r w:rsidRPr="00F618D7">
        <w:rPr>
          <w:rFonts w:cstheme="minorHAnsi"/>
        </w:rPr>
        <w:t xml:space="preserve">anny operator on the down sampled image with different scales. Given that </w:t>
      </w:r>
      <w:r w:rsidR="00964957">
        <w:rPr>
          <w:rFonts w:cstheme="minorHAnsi"/>
        </w:rPr>
        <w:t>most tumors are</w:t>
      </w:r>
      <w:r w:rsidRPr="00F618D7">
        <w:rPr>
          <w:rFonts w:cstheme="minorHAnsi"/>
        </w:rPr>
        <w:t xml:space="preserve"> small</w:t>
      </w:r>
      <w:r w:rsidR="00964957">
        <w:rPr>
          <w:rFonts w:cstheme="minorHAnsi"/>
        </w:rPr>
        <w:t>,</w:t>
      </w:r>
      <w:r w:rsidRPr="00F618D7">
        <w:rPr>
          <w:rFonts w:cstheme="minorHAnsi"/>
        </w:rPr>
        <w:t xml:space="preserve"> the scale number j is set to be 1 in th</w:t>
      </w:r>
      <w:r>
        <w:rPr>
          <w:rFonts w:cstheme="minorHAnsi"/>
        </w:rPr>
        <w:t>is experiment. The multi-scale c</w:t>
      </w:r>
      <w:r w:rsidRPr="00F618D7">
        <w:rPr>
          <w:rFonts w:cstheme="minorHAnsi"/>
        </w:rPr>
        <w:t>anny edge detecting operation is</w:t>
      </w:r>
      <w:r>
        <w:rPr>
          <w:rFonts w:cstheme="minorHAnsi"/>
        </w:rPr>
        <w:t xml:space="preserve"> implemented by performing the c</w:t>
      </w:r>
      <w:r w:rsidRPr="00F618D7">
        <w:rPr>
          <w:rFonts w:cstheme="minorHAnsi"/>
        </w:rPr>
        <w:t xml:space="preserve">anny operator on the down sampled images. After the operation, the extracted boundary is up sampled to the </w:t>
      </w:r>
      <w:r w:rsidRPr="00F76327">
        <w:rPr>
          <w:rFonts w:cstheme="minorHAnsi"/>
        </w:rPr>
        <w:t>original scale.</w:t>
      </w:r>
    </w:p>
    <w:p w:rsidR="00DC2E9C" w:rsidRPr="00F76327" w:rsidRDefault="00DC2E9C" w:rsidP="00294BF1">
      <w:bookmarkStart w:id="27" w:name="_Toc465962316"/>
    </w:p>
    <w:p w:rsidR="00DC2E9C" w:rsidRPr="00F76327" w:rsidRDefault="00DC2E9C" w:rsidP="00294BF1"/>
    <w:p w:rsidR="00DC2E9C" w:rsidRPr="00DC2E9C" w:rsidRDefault="00DC2E9C" w:rsidP="00294BF1"/>
    <w:p w:rsidR="007D79AB" w:rsidRDefault="007D79AB" w:rsidP="007D79AB">
      <w:pPr>
        <w:pStyle w:val="Heading3"/>
      </w:pPr>
      <w:bookmarkStart w:id="28" w:name="_Toc468963702"/>
      <w:r>
        <w:lastRenderedPageBreak/>
        <w:t>Partial differential equation methods</w:t>
      </w:r>
      <w:bookmarkEnd w:id="27"/>
      <w:bookmarkEnd w:id="28"/>
    </w:p>
    <w:p w:rsidR="00964957" w:rsidRPr="00964957" w:rsidRDefault="00964957" w:rsidP="00964957">
      <w:pPr>
        <w:ind w:firstLine="720"/>
        <w:jc w:val="both"/>
        <w:rPr>
          <w:iCs/>
        </w:rPr>
      </w:pPr>
      <w:r w:rsidRPr="00964957">
        <w:t xml:space="preserve">The algorithms in this group are based on level set segmentation and consist of four algorithms: Fast marching, shape detection, geometric active contour and threshold level set methods. For level set methods, the boundary function </w:t>
      </w:r>
      <m:oMath>
        <m:r>
          <w:rPr>
            <w:rFonts w:ascii="Cambria Math" w:hAnsi="Cambria Math"/>
          </w:rPr>
          <m:t>f(x,y)</m:t>
        </m:r>
      </m:oMath>
      <w:r w:rsidRPr="00964957">
        <w:rPr>
          <w:iCs/>
        </w:rPr>
        <w:t xml:space="preserve"> is defined as a curve when setting the three dimensional surface ψ to be a constant number</w:t>
      </w:r>
      <m:oMath>
        <m:r>
          <w:rPr>
            <w:rFonts w:ascii="Cambria Math" w:hAnsi="Cambria Math"/>
          </w:rPr>
          <m:t xml:space="preserve"> C:</m:t>
        </m:r>
        <m:r>
          <m:rPr>
            <m:sty m:val="p"/>
          </m:rPr>
          <w:rPr>
            <w:rFonts w:ascii="Cambria Math" w:hAnsi="Cambria Math"/>
          </w:rPr>
          <m:t>ψ</m:t>
        </m:r>
        <m:d>
          <m:dPr>
            <m:ctrlPr>
              <w:rPr>
                <w:rFonts w:ascii="Cambria Math" w:hAnsi="Cambria Math"/>
                <w:i/>
                <w:iCs/>
              </w:rPr>
            </m:ctrlPr>
          </m:dPr>
          <m:e>
            <m:r>
              <w:rPr>
                <w:rFonts w:ascii="Cambria Math" w:hAnsi="Cambria Math"/>
              </w:rPr>
              <m:t>x,y</m:t>
            </m:r>
          </m:e>
        </m:d>
        <m:r>
          <w:rPr>
            <w:rFonts w:ascii="Cambria Math" w:hAnsi="Cambria Math"/>
          </w:rPr>
          <m:t>=C</m:t>
        </m:r>
      </m:oMath>
      <w:r w:rsidRPr="00964957">
        <w:rPr>
          <w:iCs/>
        </w:rPr>
        <w:t>. In most cases, the three dimensional initial surface is a paraboloid and its boundary curve is a circle. Next, the surface propagates based on the gradient values of the target image and its boundary changes accordingly. Surface propagation can be described using partial differential equation as below:</w:t>
      </w:r>
    </w:p>
    <w:tbl>
      <w:tblPr>
        <w:tblStyle w:val="TableGrid"/>
        <w:tblW w:w="864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28"/>
        <w:gridCol w:w="7200"/>
        <w:gridCol w:w="621"/>
      </w:tblGrid>
      <w:tr w:rsidR="007D378A" w:rsidTr="003F1006">
        <w:trPr>
          <w:trHeight w:val="395"/>
        </w:trPr>
        <w:tc>
          <w:tcPr>
            <w:tcW w:w="828" w:type="dxa"/>
            <w:vAlign w:val="center"/>
          </w:tcPr>
          <w:p w:rsidR="007D378A" w:rsidRDefault="007D378A" w:rsidP="00727C16">
            <w:pPr>
              <w:jc w:val="center"/>
              <w:rPr>
                <w:rFonts w:cstheme="minorHAnsi"/>
              </w:rPr>
            </w:pPr>
          </w:p>
        </w:tc>
        <w:tc>
          <w:tcPr>
            <w:tcW w:w="7200" w:type="dxa"/>
            <w:vAlign w:val="center"/>
          </w:tcPr>
          <w:p w:rsidR="007D378A" w:rsidRDefault="00D719F4" w:rsidP="00727C16">
            <w:pPr>
              <w:jc w:val="center"/>
              <w:rPr>
                <w:rFonts w:cstheme="minorHAnsi"/>
              </w:rPr>
            </w:pPr>
            <m:oMath>
              <m:f>
                <m:fPr>
                  <m:ctrlPr>
                    <w:rPr>
                      <w:rFonts w:ascii="Cambria Math" w:hAnsi="Cambria Math" w:cstheme="minorHAnsi"/>
                      <w:i/>
                      <w:iCs/>
                    </w:rPr>
                  </m:ctrlPr>
                </m:fPr>
                <m:num>
                  <m:r>
                    <w:rPr>
                      <w:rFonts w:ascii="Cambria Math" w:hAnsi="Cambria Math" w:cstheme="minorHAnsi"/>
                    </w:rPr>
                    <m:t>∂ψ</m:t>
                  </m:r>
                </m:num>
                <m:den>
                  <m:r>
                    <w:rPr>
                      <w:rFonts w:ascii="Cambria Math" w:hAnsi="Cambria Math" w:cstheme="minorHAnsi"/>
                    </w:rPr>
                    <m:t>∂t</m:t>
                  </m:r>
                </m:den>
              </m:f>
              <m:r>
                <w:rPr>
                  <w:rFonts w:ascii="Cambria Math" w:hAnsi="Cambria Math" w:cstheme="minorHAnsi"/>
                </w:rPr>
                <m:t>+F</m:t>
              </m:r>
              <m:d>
                <m:dPr>
                  <m:begChr m:val="|"/>
                  <m:endChr m:val="|"/>
                  <m:ctrlPr>
                    <w:rPr>
                      <w:rFonts w:ascii="Cambria Math" w:hAnsi="Cambria Math" w:cstheme="minorHAnsi"/>
                      <w:i/>
                      <w:iCs/>
                    </w:rPr>
                  </m:ctrlPr>
                </m:dPr>
                <m:e>
                  <m:r>
                    <w:rPr>
                      <w:rFonts w:ascii="Cambria Math" w:hAnsi="Cambria Math" w:cstheme="minorHAnsi"/>
                    </w:rPr>
                    <m:t>∇ψ</m:t>
                  </m:r>
                </m:e>
              </m:d>
              <m:r>
                <w:rPr>
                  <w:rFonts w:ascii="Cambria Math" w:hAnsi="Cambria Math" w:cstheme="minorHAnsi"/>
                </w:rPr>
                <m:t>=0</m:t>
              </m:r>
            </m:oMath>
            <w:r w:rsidR="007D378A">
              <w:rPr>
                <w:rFonts w:cstheme="minorHAnsi"/>
              </w:rPr>
              <w:t xml:space="preserve"> </w:t>
            </w:r>
          </w:p>
        </w:tc>
        <w:tc>
          <w:tcPr>
            <w:tcW w:w="621" w:type="dxa"/>
            <w:vAlign w:val="center"/>
          </w:tcPr>
          <w:p w:rsidR="007D378A" w:rsidRDefault="007D378A" w:rsidP="003F1006">
            <w:pPr>
              <w:jc w:val="center"/>
              <w:rPr>
                <w:rFonts w:cstheme="minorHAnsi"/>
              </w:rPr>
            </w:pPr>
            <w:r>
              <w:rPr>
                <w:rFonts w:cstheme="minorHAnsi"/>
              </w:rPr>
              <w:t>(</w:t>
            </w:r>
            <w:fldSimple w:instr=" SEQ Eq \* MERGEFORMAT ">
              <w:r w:rsidR="00D719F4" w:rsidRPr="00D719F4">
                <w:rPr>
                  <w:rFonts w:cstheme="minorHAnsi"/>
                  <w:noProof/>
                </w:rPr>
                <w:t>7</w:t>
              </w:r>
            </w:fldSimple>
            <w:r>
              <w:rPr>
                <w:rFonts w:cstheme="minorHAnsi"/>
              </w:rPr>
              <w:t>)</w:t>
            </w:r>
          </w:p>
        </w:tc>
      </w:tr>
      <w:tr w:rsidR="007D378A" w:rsidTr="003F1006">
        <w:trPr>
          <w:trHeight w:val="395"/>
        </w:trPr>
        <w:tc>
          <w:tcPr>
            <w:tcW w:w="828" w:type="dxa"/>
            <w:vAlign w:val="center"/>
          </w:tcPr>
          <w:p w:rsidR="007D378A" w:rsidRDefault="007D378A" w:rsidP="00727C16">
            <w:pPr>
              <w:jc w:val="center"/>
              <w:rPr>
                <w:rFonts w:cstheme="minorHAnsi"/>
              </w:rPr>
            </w:pPr>
          </w:p>
        </w:tc>
        <w:tc>
          <w:tcPr>
            <w:tcW w:w="7200" w:type="dxa"/>
            <w:vAlign w:val="center"/>
          </w:tcPr>
          <w:p w:rsidR="007D378A" w:rsidRPr="007D378A" w:rsidRDefault="00D719F4" w:rsidP="007D378A">
            <w:pPr>
              <w:jc w:val="center"/>
              <w:rPr>
                <w:rFonts w:ascii="Cambria Math" w:hAnsi="Cambria Math" w:cstheme="minorHAnsi"/>
                <w:i/>
                <w:iCs/>
              </w:rPr>
            </w:pPr>
            <m:oMath>
              <m:f>
                <m:fPr>
                  <m:ctrlPr>
                    <w:rPr>
                      <w:rFonts w:ascii="Cambria Math" w:hAnsi="Cambria Math" w:cstheme="minorHAnsi"/>
                      <w:i/>
                      <w:iCs/>
                    </w:rPr>
                  </m:ctrlPr>
                </m:fPr>
                <m:num>
                  <m:r>
                    <w:rPr>
                      <w:rFonts w:ascii="Cambria Math" w:hAnsi="Cambria Math" w:cstheme="minorHAnsi"/>
                    </w:rPr>
                    <m:t>∂ψ</m:t>
                  </m:r>
                </m:num>
                <m:den>
                  <m:r>
                    <w:rPr>
                      <w:rFonts w:ascii="Cambria Math" w:hAnsi="Cambria Math" w:cstheme="minorHAnsi"/>
                    </w:rPr>
                    <m:t>∂t</m:t>
                  </m:r>
                </m:den>
              </m:f>
              <m:r>
                <w:rPr>
                  <w:rFonts w:ascii="Cambria Math" w:hAnsi="Cambria Math" w:cstheme="minorHAnsi"/>
                </w:rPr>
                <m:t>=-</m:t>
              </m:r>
              <m:sSub>
                <m:sSubPr>
                  <m:ctrlPr>
                    <w:rPr>
                      <w:rFonts w:ascii="Cambria Math" w:hAnsi="Cambria Math" w:cstheme="minorHAnsi"/>
                      <w:i/>
                      <w:iCs/>
                    </w:rPr>
                  </m:ctrlPr>
                </m:sSubPr>
                <m:e>
                  <m:r>
                    <w:rPr>
                      <w:rFonts w:ascii="Cambria Math" w:hAnsi="Cambria Math" w:cstheme="minorHAnsi"/>
                    </w:rPr>
                    <m:t>F</m:t>
                  </m:r>
                </m:e>
                <m:sub>
                  <m:r>
                    <w:rPr>
                      <w:rFonts w:ascii="Cambria Math" w:hAnsi="Cambria Math" w:cstheme="minorHAnsi"/>
                    </w:rPr>
                    <m:t>A</m:t>
                  </m:r>
                </m:sub>
              </m:sSub>
              <m:d>
                <m:dPr>
                  <m:begChr m:val="|"/>
                  <m:endChr m:val="|"/>
                  <m:ctrlPr>
                    <w:rPr>
                      <w:rFonts w:ascii="Cambria Math" w:hAnsi="Cambria Math" w:cstheme="minorHAnsi"/>
                      <w:i/>
                      <w:iCs/>
                    </w:rPr>
                  </m:ctrlPr>
                </m:dPr>
                <m:e>
                  <m:r>
                    <w:rPr>
                      <w:rFonts w:ascii="Cambria Math" w:hAnsi="Cambria Math" w:cstheme="minorHAnsi"/>
                    </w:rPr>
                    <m:t>∇ψ</m:t>
                  </m:r>
                </m:e>
              </m:d>
              <m:r>
                <w:rPr>
                  <w:rFonts w:ascii="Cambria Math" w:hAnsi="Cambria Math" w:cstheme="minorHAnsi"/>
                </w:rPr>
                <m:t>-</m:t>
              </m:r>
              <m:sSub>
                <m:sSubPr>
                  <m:ctrlPr>
                    <w:rPr>
                      <w:rFonts w:ascii="Cambria Math" w:hAnsi="Cambria Math" w:cstheme="minorHAnsi"/>
                      <w:i/>
                      <w:iCs/>
                    </w:rPr>
                  </m:ctrlPr>
                </m:sSubPr>
                <m:e>
                  <m:r>
                    <w:rPr>
                      <w:rFonts w:ascii="Cambria Math" w:hAnsi="Cambria Math" w:cstheme="minorHAnsi"/>
                    </w:rPr>
                    <m:t>F</m:t>
                  </m:r>
                </m:e>
                <m:sub>
                  <m:r>
                    <w:rPr>
                      <w:rFonts w:ascii="Cambria Math" w:hAnsi="Cambria Math" w:cstheme="minorHAnsi"/>
                    </w:rPr>
                    <m:t>G</m:t>
                  </m:r>
                </m:sub>
              </m:sSub>
              <m:d>
                <m:dPr>
                  <m:begChr m:val="|"/>
                  <m:endChr m:val="|"/>
                  <m:ctrlPr>
                    <w:rPr>
                      <w:rFonts w:ascii="Cambria Math" w:hAnsi="Cambria Math" w:cstheme="minorHAnsi"/>
                      <w:i/>
                      <w:iCs/>
                    </w:rPr>
                  </m:ctrlPr>
                </m:dPr>
                <m:e>
                  <m:r>
                    <w:rPr>
                      <w:rFonts w:ascii="Cambria Math" w:hAnsi="Cambria Math" w:cstheme="minorHAnsi"/>
                    </w:rPr>
                    <m:t>∇ψ</m:t>
                  </m:r>
                </m:e>
              </m:d>
              <m:r>
                <w:rPr>
                  <w:rFonts w:ascii="Cambria Math" w:hAnsi="Cambria Math" w:cstheme="minorHAnsi"/>
                </w:rPr>
                <m:t>-</m:t>
              </m:r>
              <m:sSub>
                <m:sSubPr>
                  <m:ctrlPr>
                    <w:rPr>
                      <w:rFonts w:ascii="Cambria Math" w:hAnsi="Cambria Math" w:cstheme="minorHAnsi"/>
                      <w:i/>
                      <w:iCs/>
                    </w:rPr>
                  </m:ctrlPr>
                </m:sSubPr>
                <m:e>
                  <m:r>
                    <w:rPr>
                      <w:rFonts w:ascii="Cambria Math" w:hAnsi="Cambria Math" w:cstheme="minorHAnsi"/>
                    </w:rPr>
                    <m:t>F</m:t>
                  </m:r>
                </m:e>
                <m:sub>
                  <m:r>
                    <w:rPr>
                      <w:rFonts w:ascii="Cambria Math" w:hAnsi="Cambria Math" w:cstheme="minorHAnsi"/>
                    </w:rPr>
                    <m:t>k</m:t>
                  </m:r>
                </m:sub>
              </m:sSub>
              <m:r>
                <w:rPr>
                  <w:rFonts w:ascii="Cambria Math" w:hAnsi="Cambria Math" w:cstheme="minorHAnsi"/>
                </w:rPr>
                <m:t>k</m:t>
              </m:r>
              <m:d>
                <m:dPr>
                  <m:begChr m:val="|"/>
                  <m:endChr m:val="|"/>
                  <m:ctrlPr>
                    <w:rPr>
                      <w:rFonts w:ascii="Cambria Math" w:hAnsi="Cambria Math" w:cstheme="minorHAnsi"/>
                      <w:i/>
                      <w:iCs/>
                    </w:rPr>
                  </m:ctrlPr>
                </m:dPr>
                <m:e>
                  <m:r>
                    <w:rPr>
                      <w:rFonts w:ascii="Cambria Math" w:hAnsi="Cambria Math" w:cstheme="minorHAnsi"/>
                    </w:rPr>
                    <m:t>∇ψ</m:t>
                  </m:r>
                </m:e>
              </m:d>
            </m:oMath>
            <w:r w:rsidR="007D378A">
              <w:rPr>
                <w:rFonts w:ascii="Cambria Math" w:hAnsi="Cambria Math" w:cstheme="minorHAnsi"/>
                <w:i/>
                <w:iCs/>
              </w:rPr>
              <w:t xml:space="preserve"> </w:t>
            </w:r>
          </w:p>
        </w:tc>
        <w:tc>
          <w:tcPr>
            <w:tcW w:w="621" w:type="dxa"/>
            <w:vAlign w:val="center"/>
          </w:tcPr>
          <w:p w:rsidR="007D378A" w:rsidRDefault="007D378A" w:rsidP="003F1006">
            <w:pPr>
              <w:jc w:val="center"/>
              <w:rPr>
                <w:rFonts w:cstheme="minorHAnsi"/>
              </w:rPr>
            </w:pPr>
            <w:r>
              <w:rPr>
                <w:rFonts w:cstheme="minorHAnsi"/>
              </w:rPr>
              <w:t>(</w:t>
            </w:r>
            <w:fldSimple w:instr=" SEQ Eq \* MERGEFORMAT ">
              <w:r w:rsidR="00D719F4" w:rsidRPr="00D719F4">
                <w:rPr>
                  <w:rFonts w:cstheme="minorHAnsi"/>
                  <w:noProof/>
                </w:rPr>
                <w:t>8</w:t>
              </w:r>
            </w:fldSimple>
            <w:r>
              <w:rPr>
                <w:rFonts w:cstheme="minorHAnsi"/>
              </w:rPr>
              <w:t>)</w:t>
            </w:r>
          </w:p>
        </w:tc>
      </w:tr>
    </w:tbl>
    <w:p w:rsidR="007D79AB" w:rsidRDefault="007D79AB" w:rsidP="007D378A">
      <w:pPr>
        <w:ind w:firstLine="720"/>
        <w:jc w:val="both"/>
        <w:rPr>
          <w:iCs/>
        </w:rPr>
      </w:pPr>
      <w:r>
        <w:t xml:space="preserve">Where </w:t>
      </w:r>
      <m:oMath>
        <m:sSub>
          <m:sSubPr>
            <m:ctrlPr>
              <w:rPr>
                <w:rFonts w:ascii="Cambria Math" w:hAnsi="Cambria Math"/>
                <w:i/>
                <w:iCs/>
              </w:rPr>
            </m:ctrlPr>
          </m:sSubPr>
          <m:e>
            <m:r>
              <w:rPr>
                <w:rFonts w:ascii="Cambria Math" w:hAnsi="Cambria Math"/>
              </w:rPr>
              <m:t>F</m:t>
            </m:r>
          </m:e>
          <m:sub>
            <m:r>
              <w:rPr>
                <w:rFonts w:ascii="Cambria Math" w:hAnsi="Cambria Math"/>
              </w:rPr>
              <m:t>A</m:t>
            </m:r>
          </m:sub>
        </m:sSub>
      </m:oMath>
      <w:r>
        <w:rPr>
          <w:iCs/>
        </w:rPr>
        <w:t xml:space="preserve"> is the advection speed given by the user, </w:t>
      </w:r>
      <m:oMath>
        <m:sSub>
          <m:sSubPr>
            <m:ctrlPr>
              <w:rPr>
                <w:rFonts w:ascii="Cambria Math" w:hAnsi="Cambria Math"/>
                <w:i/>
                <w:iCs/>
              </w:rPr>
            </m:ctrlPr>
          </m:sSubPr>
          <m:e>
            <m:r>
              <w:rPr>
                <w:rFonts w:ascii="Cambria Math" w:hAnsi="Cambria Math"/>
              </w:rPr>
              <m:t>F</m:t>
            </m:r>
          </m:e>
          <m:sub>
            <m:r>
              <w:rPr>
                <w:rFonts w:ascii="Cambria Math" w:hAnsi="Cambria Math"/>
              </w:rPr>
              <m:t>G</m:t>
            </m:r>
          </m:sub>
        </m:sSub>
      </m:oMath>
      <w:r>
        <w:rPr>
          <w:iCs/>
        </w:rPr>
        <w:t xml:space="preserve"> is the local geometric speed term as follows:</w:t>
      </w:r>
    </w:p>
    <w:tbl>
      <w:tblPr>
        <w:tblStyle w:val="TableGrid"/>
        <w:tblW w:w="864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28"/>
        <w:gridCol w:w="7200"/>
        <w:gridCol w:w="621"/>
      </w:tblGrid>
      <w:tr w:rsidR="007D378A" w:rsidTr="003F1006">
        <w:trPr>
          <w:trHeight w:val="395"/>
        </w:trPr>
        <w:tc>
          <w:tcPr>
            <w:tcW w:w="828" w:type="dxa"/>
            <w:vAlign w:val="center"/>
          </w:tcPr>
          <w:p w:rsidR="007D378A" w:rsidRDefault="007D378A" w:rsidP="00727C16">
            <w:pPr>
              <w:jc w:val="center"/>
              <w:rPr>
                <w:rFonts w:cstheme="minorHAnsi"/>
              </w:rPr>
            </w:pPr>
          </w:p>
        </w:tc>
        <w:tc>
          <w:tcPr>
            <w:tcW w:w="7200" w:type="dxa"/>
            <w:vAlign w:val="center"/>
          </w:tcPr>
          <w:p w:rsidR="007D378A" w:rsidRPr="007D378A" w:rsidRDefault="00D719F4" w:rsidP="007D378A">
            <w:pPr>
              <w:jc w:val="center"/>
              <w:rPr>
                <w:rFonts w:ascii="Cambria Math" w:hAnsi="Cambria Math" w:cstheme="minorHAnsi"/>
                <w:i/>
              </w:rPr>
            </w:pPr>
            <m:oMath>
              <m:sSub>
                <m:sSubPr>
                  <m:ctrlPr>
                    <w:rPr>
                      <w:rFonts w:ascii="Cambria Math" w:hAnsi="Cambria Math" w:cstheme="minorHAnsi"/>
                      <w:i/>
                      <w:iCs/>
                    </w:rPr>
                  </m:ctrlPr>
                </m:sSubPr>
                <m:e>
                  <m:r>
                    <w:rPr>
                      <w:rFonts w:ascii="Cambria Math" w:hAnsi="Cambria Math" w:cstheme="minorHAnsi"/>
                    </w:rPr>
                    <m:t>F</m:t>
                  </m:r>
                </m:e>
                <m:sub>
                  <m:r>
                    <w:rPr>
                      <w:rFonts w:ascii="Cambria Math" w:hAnsi="Cambria Math" w:cstheme="minorHAnsi"/>
                    </w:rPr>
                    <m:t>G</m:t>
                  </m:r>
                </m:sub>
              </m:sSub>
              <m:r>
                <w:rPr>
                  <w:rFonts w:ascii="Cambria Math" w:hAnsi="Cambria Math" w:cstheme="minorHAnsi"/>
                </w:rPr>
                <m:t>=-</m:t>
              </m:r>
              <m:f>
                <m:fPr>
                  <m:ctrlPr>
                    <w:rPr>
                      <w:rFonts w:ascii="Cambria Math" w:hAnsi="Cambria Math" w:cstheme="minorHAnsi"/>
                      <w:i/>
                      <w:iCs/>
                    </w:rPr>
                  </m:ctrlPr>
                </m:fPr>
                <m:num>
                  <m:sSub>
                    <m:sSubPr>
                      <m:ctrlPr>
                        <w:rPr>
                          <w:rFonts w:ascii="Cambria Math" w:hAnsi="Cambria Math" w:cstheme="minorHAnsi"/>
                          <w:i/>
                          <w:iCs/>
                        </w:rPr>
                      </m:ctrlPr>
                    </m:sSubPr>
                    <m:e>
                      <m:r>
                        <w:rPr>
                          <w:rFonts w:ascii="Cambria Math" w:hAnsi="Cambria Math" w:cstheme="minorHAnsi"/>
                        </w:rPr>
                        <m:t>F</m:t>
                      </m:r>
                    </m:e>
                    <m:sub>
                      <m:r>
                        <w:rPr>
                          <w:rFonts w:ascii="Cambria Math" w:hAnsi="Cambria Math" w:cstheme="minorHAnsi"/>
                        </w:rPr>
                        <m:t>A</m:t>
                      </m:r>
                    </m:sub>
                  </m:sSub>
                </m:num>
                <m:den>
                  <m:r>
                    <w:rPr>
                      <w:rFonts w:ascii="Cambria Math" w:hAnsi="Cambria Math" w:cstheme="minorHAnsi"/>
                    </w:rPr>
                    <m:t>(</m:t>
                  </m:r>
                  <m:sSub>
                    <m:sSubPr>
                      <m:ctrlPr>
                        <w:rPr>
                          <w:rFonts w:ascii="Cambria Math" w:hAnsi="Cambria Math" w:cstheme="minorHAnsi"/>
                          <w:i/>
                          <w:iCs/>
                        </w:rPr>
                      </m:ctrlPr>
                    </m:sSubPr>
                    <m:e>
                      <m:r>
                        <w:rPr>
                          <w:rFonts w:ascii="Cambria Math" w:hAnsi="Cambria Math" w:cstheme="minorHAnsi"/>
                        </w:rPr>
                        <m:t>M</m:t>
                      </m:r>
                    </m:e>
                    <m:sub>
                      <m:r>
                        <w:rPr>
                          <w:rFonts w:ascii="Cambria Math" w:hAnsi="Cambria Math" w:cstheme="minorHAnsi"/>
                        </w:rPr>
                        <m:t>1</m:t>
                      </m:r>
                    </m:sub>
                  </m:sSub>
                  <m:r>
                    <w:rPr>
                      <w:rFonts w:ascii="Cambria Math" w:hAnsi="Cambria Math" w:cstheme="minorHAnsi"/>
                    </w:rPr>
                    <m:t>-</m:t>
                  </m:r>
                  <m:sSub>
                    <m:sSubPr>
                      <m:ctrlPr>
                        <w:rPr>
                          <w:rFonts w:ascii="Cambria Math" w:hAnsi="Cambria Math" w:cstheme="minorHAnsi"/>
                          <w:i/>
                          <w:iCs/>
                        </w:rPr>
                      </m:ctrlPr>
                    </m:sSubPr>
                    <m:e>
                      <m:r>
                        <w:rPr>
                          <w:rFonts w:ascii="Cambria Math" w:hAnsi="Cambria Math" w:cstheme="minorHAnsi"/>
                        </w:rPr>
                        <m:t>M</m:t>
                      </m:r>
                    </m:e>
                    <m:sub>
                      <m:r>
                        <w:rPr>
                          <w:rFonts w:ascii="Cambria Math" w:hAnsi="Cambria Math" w:cstheme="minorHAnsi"/>
                        </w:rPr>
                        <m:t>2</m:t>
                      </m:r>
                    </m:sub>
                  </m:sSub>
                  <m:r>
                    <w:rPr>
                      <w:rFonts w:ascii="Cambria Math" w:hAnsi="Cambria Math" w:cstheme="minorHAnsi"/>
                    </w:rPr>
                    <m:t>)</m:t>
                  </m:r>
                </m:den>
              </m:f>
              <m:r>
                <w:rPr>
                  <w:rFonts w:ascii="Cambria Math" w:hAnsi="Cambria Math" w:cstheme="minorHAnsi"/>
                </w:rPr>
                <m:t>{</m:t>
              </m:r>
              <m:d>
                <m:dPr>
                  <m:begChr m:val="|"/>
                  <m:endChr m:val="|"/>
                  <m:ctrlPr>
                    <w:rPr>
                      <w:rFonts w:ascii="Cambria Math" w:hAnsi="Cambria Math" w:cstheme="minorHAnsi"/>
                      <w:i/>
                      <w:iCs/>
                    </w:rPr>
                  </m:ctrlPr>
                </m:dPr>
                <m:e>
                  <m:r>
                    <w:rPr>
                      <w:rFonts w:ascii="Cambria Math" w:hAnsi="Cambria Math" w:cstheme="minorHAnsi"/>
                    </w:rPr>
                    <m:t>∇</m:t>
                  </m:r>
                  <m:sSub>
                    <m:sSubPr>
                      <m:ctrlPr>
                        <w:rPr>
                          <w:rFonts w:ascii="Cambria Math" w:hAnsi="Cambria Math" w:cstheme="minorHAnsi"/>
                          <w:i/>
                          <w:iCs/>
                        </w:rPr>
                      </m:ctrlPr>
                    </m:sSubPr>
                    <m:e>
                      <m:r>
                        <w:rPr>
                          <w:rFonts w:ascii="Cambria Math" w:hAnsi="Cambria Math" w:cstheme="minorHAnsi"/>
                        </w:rPr>
                        <m:t>G</m:t>
                      </m:r>
                    </m:e>
                    <m:sub>
                      <m:r>
                        <w:rPr>
                          <w:rFonts w:ascii="Cambria Math" w:hAnsi="Cambria Math" w:cstheme="minorHAnsi"/>
                        </w:rPr>
                        <m:t>σ</m:t>
                      </m:r>
                    </m:sub>
                  </m:sSub>
                  <m:r>
                    <w:rPr>
                      <w:rFonts w:ascii="Cambria Math" w:hAnsi="Cambria Math" w:cstheme="minorHAnsi"/>
                    </w:rPr>
                    <m:t>*I</m:t>
                  </m:r>
                  <m:d>
                    <m:dPr>
                      <m:ctrlPr>
                        <w:rPr>
                          <w:rFonts w:ascii="Cambria Math" w:hAnsi="Cambria Math" w:cstheme="minorHAnsi"/>
                          <w:i/>
                          <w:iCs/>
                        </w:rPr>
                      </m:ctrlPr>
                    </m:dPr>
                    <m:e>
                      <m:r>
                        <w:rPr>
                          <w:rFonts w:ascii="Cambria Math" w:hAnsi="Cambria Math" w:cstheme="minorHAnsi"/>
                        </w:rPr>
                        <m:t>x,y</m:t>
                      </m:r>
                    </m:e>
                  </m:d>
                </m:e>
              </m:d>
              <m:r>
                <w:rPr>
                  <w:rFonts w:ascii="Cambria Math" w:hAnsi="Cambria Math" w:cstheme="minorHAnsi"/>
                </w:rPr>
                <m:t>-</m:t>
              </m:r>
              <m:sSub>
                <m:sSubPr>
                  <m:ctrlPr>
                    <w:rPr>
                      <w:rFonts w:ascii="Cambria Math" w:hAnsi="Cambria Math" w:cstheme="minorHAnsi"/>
                      <w:i/>
                      <w:iCs/>
                    </w:rPr>
                  </m:ctrlPr>
                </m:sSubPr>
                <m:e>
                  <m:r>
                    <w:rPr>
                      <w:rFonts w:ascii="Cambria Math" w:hAnsi="Cambria Math" w:cstheme="minorHAnsi"/>
                    </w:rPr>
                    <m:t>M</m:t>
                  </m:r>
                </m:e>
                <m:sub>
                  <m:r>
                    <w:rPr>
                      <w:rFonts w:ascii="Cambria Math" w:hAnsi="Cambria Math" w:cstheme="minorHAnsi"/>
                    </w:rPr>
                    <m:t>2</m:t>
                  </m:r>
                </m:sub>
              </m:sSub>
              <m:r>
                <w:rPr>
                  <w:rFonts w:ascii="Cambria Math" w:hAnsi="Cambria Math" w:cstheme="minorHAnsi"/>
                </w:rPr>
                <m:t>}</m:t>
              </m:r>
            </m:oMath>
            <w:r w:rsidR="007D378A" w:rsidRPr="007D378A">
              <w:rPr>
                <w:rFonts w:ascii="Cambria Math" w:hAnsi="Cambria Math" w:cstheme="minorHAnsi"/>
                <w:i/>
              </w:rPr>
              <w:t xml:space="preserve"> </w:t>
            </w:r>
          </w:p>
        </w:tc>
        <w:tc>
          <w:tcPr>
            <w:tcW w:w="621" w:type="dxa"/>
            <w:vAlign w:val="center"/>
          </w:tcPr>
          <w:p w:rsidR="007D378A" w:rsidRDefault="007D378A" w:rsidP="003F1006">
            <w:pPr>
              <w:jc w:val="center"/>
              <w:rPr>
                <w:rFonts w:cstheme="minorHAnsi"/>
              </w:rPr>
            </w:pPr>
            <w:r>
              <w:rPr>
                <w:rFonts w:cstheme="minorHAnsi"/>
              </w:rPr>
              <w:t>(</w:t>
            </w:r>
            <w:bookmarkStart w:id="29" w:name="GeometricSpeed"/>
            <w:r w:rsidR="009647D4">
              <w:rPr>
                <w:rFonts w:cstheme="minorHAnsi"/>
              </w:rPr>
              <w:fldChar w:fldCharType="begin"/>
            </w:r>
            <w:r>
              <w:rPr>
                <w:rFonts w:cstheme="minorHAnsi"/>
              </w:rPr>
              <w:instrText xml:space="preserve"> SEQ Eq \* MERGEFORMAT </w:instrText>
            </w:r>
            <w:r w:rsidR="009647D4">
              <w:rPr>
                <w:rFonts w:cstheme="minorHAnsi"/>
              </w:rPr>
              <w:fldChar w:fldCharType="separate"/>
            </w:r>
            <w:r w:rsidR="00D719F4">
              <w:rPr>
                <w:rFonts w:cstheme="minorHAnsi"/>
                <w:noProof/>
              </w:rPr>
              <w:t>9</w:t>
            </w:r>
            <w:r w:rsidR="009647D4">
              <w:rPr>
                <w:rFonts w:cstheme="minorHAnsi"/>
              </w:rPr>
              <w:fldChar w:fldCharType="end"/>
            </w:r>
            <w:bookmarkEnd w:id="29"/>
            <w:r>
              <w:rPr>
                <w:rFonts w:cstheme="minorHAnsi"/>
              </w:rPr>
              <w:t>)</w:t>
            </w:r>
          </w:p>
        </w:tc>
      </w:tr>
    </w:tbl>
    <w:p w:rsidR="007D79AB" w:rsidRDefault="007D79AB" w:rsidP="007D378A">
      <w:pPr>
        <w:ind w:firstLine="720"/>
        <w:jc w:val="both"/>
        <w:rPr>
          <w:rFonts w:cstheme="minorHAnsi"/>
          <w:iCs/>
        </w:rPr>
      </w:pPr>
      <w:r w:rsidRPr="00AC3D9B">
        <w:rPr>
          <w:rFonts w:cstheme="minorHAnsi"/>
        </w:rPr>
        <w:t>Where</w:t>
      </w:r>
      <w:r w:rsidR="00EE52CB">
        <w:rPr>
          <w:rFonts w:cstheme="minorHAnsi"/>
        </w:rPr>
        <w:t xml:space="preserve"> </w:t>
      </w:r>
      <m:oMath>
        <m:sSub>
          <m:sSubPr>
            <m:ctrlPr>
              <w:rPr>
                <w:rFonts w:ascii="Cambria Math" w:hAnsi="Cambria Math" w:cstheme="minorHAnsi"/>
                <w:i/>
                <w:iCs/>
              </w:rPr>
            </m:ctrlPr>
          </m:sSubPr>
          <m:e>
            <m:r>
              <w:rPr>
                <w:rFonts w:ascii="Cambria Math" w:hAnsi="Cambria Math" w:cstheme="minorHAnsi"/>
              </w:rPr>
              <m:t>M</m:t>
            </m:r>
          </m:e>
          <m:sub>
            <m:r>
              <w:rPr>
                <w:rFonts w:ascii="Cambria Math" w:hAnsi="Cambria Math" w:cstheme="minorHAnsi"/>
              </w:rPr>
              <m:t>1</m:t>
            </m:r>
          </m:sub>
        </m:sSub>
        <m:r>
          <w:rPr>
            <w:rFonts w:ascii="Cambria Math" w:hAnsi="Cambria Math" w:cstheme="minorHAnsi"/>
          </w:rPr>
          <m:t xml:space="preserve">, </m:t>
        </m:r>
        <m:sSub>
          <m:sSubPr>
            <m:ctrlPr>
              <w:rPr>
                <w:rFonts w:ascii="Cambria Math" w:hAnsi="Cambria Math" w:cstheme="minorHAnsi"/>
                <w:i/>
                <w:iCs/>
              </w:rPr>
            </m:ctrlPr>
          </m:sSubPr>
          <m:e>
            <m:r>
              <w:rPr>
                <w:rFonts w:ascii="Cambria Math" w:hAnsi="Cambria Math" w:cstheme="minorHAnsi"/>
              </w:rPr>
              <m:t>M</m:t>
            </m:r>
          </m:e>
          <m:sub>
            <m:r>
              <w:rPr>
                <w:rFonts w:ascii="Cambria Math" w:hAnsi="Cambria Math" w:cstheme="minorHAnsi"/>
              </w:rPr>
              <m:t>2</m:t>
            </m:r>
          </m:sub>
        </m:sSub>
      </m:oMath>
      <w:r w:rsidR="00882434">
        <w:rPr>
          <w:rFonts w:cstheme="minorHAnsi"/>
          <w:iCs/>
        </w:rPr>
        <w:t xml:space="preserve"> are the </w:t>
      </w:r>
      <w:r w:rsidRPr="00AC3D9B">
        <w:rPr>
          <w:rFonts w:cstheme="minorHAnsi"/>
          <w:iCs/>
        </w:rPr>
        <w:t xml:space="preserve">maximum and minimum of image gradients, </w:t>
      </w:r>
      <m:oMath>
        <m:r>
          <w:rPr>
            <w:rFonts w:ascii="Cambria Math" w:hAnsi="Cambria Math" w:cstheme="minorHAnsi"/>
          </w:rPr>
          <m:t>∇</m:t>
        </m:r>
        <m:sSub>
          <m:sSubPr>
            <m:ctrlPr>
              <w:rPr>
                <w:rFonts w:ascii="Cambria Math" w:hAnsi="Cambria Math" w:cstheme="minorHAnsi"/>
                <w:i/>
                <w:iCs/>
              </w:rPr>
            </m:ctrlPr>
          </m:sSubPr>
          <m:e>
            <m:r>
              <w:rPr>
                <w:rFonts w:ascii="Cambria Math" w:hAnsi="Cambria Math" w:cstheme="minorHAnsi"/>
              </w:rPr>
              <m:t>G</m:t>
            </m:r>
          </m:e>
          <m:sub>
            <m:r>
              <w:rPr>
                <w:rFonts w:ascii="Cambria Math" w:hAnsi="Cambria Math" w:cstheme="minorHAnsi"/>
              </w:rPr>
              <m:t>σ</m:t>
            </m:r>
          </m:sub>
        </m:sSub>
      </m:oMath>
      <w:r w:rsidRPr="00AC3D9B">
        <w:rPr>
          <w:rFonts w:cstheme="minorHAnsi"/>
          <w:iCs/>
        </w:rPr>
        <w:t xml:space="preserve"> is the gradient Gaussian kernel, </w:t>
      </w:r>
      <w:r w:rsidRPr="00964957">
        <w:rPr>
          <w:rFonts w:cstheme="minorHAnsi"/>
          <w:i/>
          <w:iCs/>
        </w:rPr>
        <w:t>I</w:t>
      </w:r>
      <w:r w:rsidR="00964957" w:rsidRPr="00964957">
        <w:rPr>
          <w:rFonts w:cstheme="minorHAnsi"/>
          <w:i/>
          <w:iCs/>
        </w:rPr>
        <w:t>(x,</w:t>
      </w:r>
      <w:r w:rsidR="00964957">
        <w:rPr>
          <w:rFonts w:cstheme="minorHAnsi"/>
          <w:i/>
          <w:iCs/>
        </w:rPr>
        <w:t xml:space="preserve"> </w:t>
      </w:r>
      <w:r w:rsidR="00964957" w:rsidRPr="00964957">
        <w:rPr>
          <w:rFonts w:cstheme="minorHAnsi"/>
          <w:i/>
          <w:iCs/>
        </w:rPr>
        <w:t>y)</w:t>
      </w:r>
      <w:r w:rsidRPr="00AC3D9B">
        <w:rPr>
          <w:rFonts w:cstheme="minorHAnsi"/>
          <w:iCs/>
        </w:rPr>
        <w:t xml:space="preserve"> is the image. </w:t>
      </w:r>
      <w:r w:rsidRPr="00AC3D9B">
        <w:rPr>
          <w:rFonts w:cstheme="minorHAnsi"/>
        </w:rPr>
        <w:t>Accordingly, the total speed of the surface propagation will be slow at the high gradient image area and high at the low gradient</w:t>
      </w:r>
      <w:r w:rsidR="003244B1">
        <w:rPr>
          <w:rFonts w:cstheme="minorHAnsi"/>
        </w:rPr>
        <w:t xml:space="preserve"> area</w:t>
      </w:r>
      <w:r w:rsidRPr="00AC3D9B">
        <w:rPr>
          <w:rFonts w:cstheme="minorHAnsi"/>
        </w:rPr>
        <w:t>. Given that the image gradient will be maximized at the tumor boundary, the surface will stop or move very slowly at the boundary.</w:t>
      </w:r>
    </w:p>
    <w:p w:rsidR="007D79AB" w:rsidRDefault="007D79AB" w:rsidP="007D79AB">
      <w:pPr>
        <w:ind w:firstLine="720"/>
        <w:jc w:val="both"/>
        <w:rPr>
          <w:rFonts w:cstheme="minorHAnsi"/>
          <w:iCs/>
        </w:rPr>
      </w:pPr>
      <w:r w:rsidRPr="00AC3D9B">
        <w:rPr>
          <w:rFonts w:cstheme="minorHAnsi"/>
          <w:iCs/>
        </w:rPr>
        <w:t>In fast marching, the image is initially pre-processed using three steps. First, an anisotropic filter is applied to smooth the image. N</w:t>
      </w:r>
      <w:r>
        <w:rPr>
          <w:rFonts w:cstheme="minorHAnsi"/>
          <w:iCs/>
        </w:rPr>
        <w:t>ext, gradient image is computed</w:t>
      </w:r>
      <w:r w:rsidRPr="00AC3D9B">
        <w:rPr>
          <w:rFonts w:cstheme="minorHAnsi"/>
          <w:iCs/>
        </w:rPr>
        <w:t xml:space="preserve">. After that, the gradient image is passed to a sigmoid filter. Using the gradient image, the local </w:t>
      </w:r>
      <w:r w:rsidRPr="00AC3D9B">
        <w:rPr>
          <w:rFonts w:cstheme="minorHAnsi"/>
          <w:iCs/>
        </w:rPr>
        <w:lastRenderedPageBreak/>
        <w:t xml:space="preserve">propagation speed </w:t>
      </w:r>
      <m:oMath>
        <m:sSub>
          <m:sSubPr>
            <m:ctrlPr>
              <w:rPr>
                <w:rFonts w:ascii="Cambria Math" w:hAnsi="Cambria Math" w:cstheme="minorHAnsi"/>
                <w:i/>
                <w:iCs/>
              </w:rPr>
            </m:ctrlPr>
          </m:sSubPr>
          <m:e>
            <m:r>
              <w:rPr>
                <w:rFonts w:ascii="Cambria Math" w:hAnsi="Cambria Math" w:cstheme="minorHAnsi"/>
              </w:rPr>
              <m:t xml:space="preserve"> F</m:t>
            </m:r>
          </m:e>
          <m:sub>
            <m:r>
              <w:rPr>
                <w:rFonts w:ascii="Cambria Math" w:hAnsi="Cambria Math" w:cstheme="minorHAnsi"/>
              </w:rPr>
              <m:t>G</m:t>
            </m:r>
          </m:sub>
        </m:sSub>
      </m:oMath>
      <w:r w:rsidRPr="00AC3D9B">
        <w:rPr>
          <w:rFonts w:cstheme="minorHAnsi"/>
          <w:iCs/>
        </w:rPr>
        <w:t xml:space="preserve"> is estimated by </w:t>
      </w:r>
      <w:r w:rsidR="00FE264E" w:rsidRPr="00FE264E">
        <w:rPr>
          <w:rFonts w:cstheme="minorHAnsi"/>
          <w:iCs/>
        </w:rPr>
        <w:t>formula (</w:t>
      </w:r>
      <w:r w:rsidR="009647D4" w:rsidRPr="00F76327">
        <w:rPr>
          <w:rFonts w:cstheme="minorHAnsi"/>
          <w:iCs/>
        </w:rPr>
        <w:fldChar w:fldCharType="begin"/>
      </w:r>
      <w:r w:rsidR="00FE264E" w:rsidRPr="00F76327">
        <w:rPr>
          <w:rFonts w:cstheme="minorHAnsi"/>
          <w:iCs/>
        </w:rPr>
        <w:instrText xml:space="preserve"> REF GeometricSpeed \h </w:instrText>
      </w:r>
      <w:r w:rsidR="009647D4" w:rsidRPr="00F76327">
        <w:rPr>
          <w:rFonts w:cstheme="minorHAnsi"/>
          <w:iCs/>
        </w:rPr>
      </w:r>
      <w:r w:rsidR="009647D4" w:rsidRPr="00F76327">
        <w:rPr>
          <w:rFonts w:cstheme="minorHAnsi"/>
          <w:iCs/>
        </w:rPr>
        <w:fldChar w:fldCharType="separate"/>
      </w:r>
      <w:r w:rsidR="00D719F4">
        <w:rPr>
          <w:rFonts w:cstheme="minorHAnsi"/>
          <w:noProof/>
        </w:rPr>
        <w:t>9</w:t>
      </w:r>
      <w:r w:rsidR="009647D4" w:rsidRPr="00F76327">
        <w:rPr>
          <w:rFonts w:cstheme="minorHAnsi"/>
          <w:iCs/>
        </w:rPr>
        <w:fldChar w:fldCharType="end"/>
      </w:r>
      <w:r w:rsidR="004C45C6">
        <w:rPr>
          <w:rFonts w:cstheme="minorHAnsi"/>
          <w:iCs/>
        </w:rPr>
        <w:t>).</w:t>
      </w:r>
      <w:r w:rsidR="00D574BB">
        <w:rPr>
          <w:rFonts w:cstheme="minorHAnsi"/>
          <w:iCs/>
          <w:color w:val="FF0000"/>
        </w:rPr>
        <w:t xml:space="preserve"> </w:t>
      </w:r>
      <w:r w:rsidRPr="00AC3D9B">
        <w:rPr>
          <w:rFonts w:cstheme="minorHAnsi"/>
          <w:iCs/>
        </w:rPr>
        <w:t xml:space="preserve">The surface propagation is finally determined by </w:t>
      </w:r>
      <m:oMath>
        <m:sSub>
          <m:sSubPr>
            <m:ctrlPr>
              <w:rPr>
                <w:rFonts w:ascii="Cambria Math" w:hAnsi="Cambria Math" w:cstheme="minorHAnsi"/>
                <w:i/>
                <w:iCs/>
              </w:rPr>
            </m:ctrlPr>
          </m:sSubPr>
          <m:e>
            <m:r>
              <w:rPr>
                <w:rFonts w:ascii="Cambria Math" w:hAnsi="Cambria Math" w:cstheme="minorHAnsi"/>
              </w:rPr>
              <m:t>F</m:t>
            </m:r>
          </m:e>
          <m:sub>
            <m:r>
              <w:rPr>
                <w:rFonts w:ascii="Cambria Math" w:hAnsi="Cambria Math" w:cstheme="minorHAnsi"/>
              </w:rPr>
              <m:t>A</m:t>
            </m:r>
          </m:sub>
        </m:sSub>
        <m:r>
          <w:rPr>
            <w:rFonts w:ascii="Cambria Math" w:hAnsi="Cambria Math" w:cstheme="minorHAnsi"/>
          </w:rPr>
          <m:t>,</m:t>
        </m:r>
      </m:oMath>
      <w:r w:rsidRPr="00AC3D9B">
        <w:rPr>
          <w:rFonts w:cstheme="minorHAnsi"/>
        </w:rPr>
        <w:t xml:space="preserve"> and</w:t>
      </w:r>
      <m:oMath>
        <m:r>
          <w:rPr>
            <w:rFonts w:ascii="Cambria Math" w:hAnsi="Cambria Math" w:cstheme="minorHAnsi"/>
          </w:rPr>
          <m:t xml:space="preserve"> </m:t>
        </m:r>
        <m:sSub>
          <m:sSubPr>
            <m:ctrlPr>
              <w:rPr>
                <w:rFonts w:ascii="Cambria Math" w:hAnsi="Cambria Math" w:cstheme="minorHAnsi"/>
                <w:i/>
                <w:iCs/>
              </w:rPr>
            </m:ctrlPr>
          </m:sSubPr>
          <m:e>
            <m:r>
              <w:rPr>
                <w:rFonts w:ascii="Cambria Math" w:hAnsi="Cambria Math" w:cstheme="minorHAnsi"/>
              </w:rPr>
              <m:t xml:space="preserve"> F</m:t>
            </m:r>
          </m:e>
          <m:sub>
            <m:r>
              <w:rPr>
                <w:rFonts w:ascii="Cambria Math" w:hAnsi="Cambria Math" w:cstheme="minorHAnsi"/>
              </w:rPr>
              <m:t>G</m:t>
            </m:r>
          </m:sub>
        </m:sSub>
      </m:oMath>
      <w:r w:rsidRPr="00AC3D9B">
        <w:rPr>
          <w:rFonts w:cstheme="minorHAnsi"/>
          <w:iCs/>
        </w:rPr>
        <w:t>:</w:t>
      </w:r>
    </w:p>
    <w:tbl>
      <w:tblPr>
        <w:tblStyle w:val="TableGrid"/>
        <w:tblW w:w="864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28"/>
        <w:gridCol w:w="7200"/>
        <w:gridCol w:w="621"/>
      </w:tblGrid>
      <w:tr w:rsidR="00DC6B9F" w:rsidTr="003F1006">
        <w:trPr>
          <w:trHeight w:val="395"/>
        </w:trPr>
        <w:tc>
          <w:tcPr>
            <w:tcW w:w="828" w:type="dxa"/>
            <w:vAlign w:val="center"/>
          </w:tcPr>
          <w:p w:rsidR="00DC6B9F" w:rsidRDefault="00DC6B9F" w:rsidP="00727C16">
            <w:pPr>
              <w:jc w:val="center"/>
              <w:rPr>
                <w:rFonts w:cstheme="minorHAnsi"/>
              </w:rPr>
            </w:pPr>
          </w:p>
        </w:tc>
        <w:tc>
          <w:tcPr>
            <w:tcW w:w="7200" w:type="dxa"/>
            <w:vAlign w:val="center"/>
          </w:tcPr>
          <w:p w:rsidR="00DC6B9F" w:rsidRDefault="00D719F4" w:rsidP="00727C16">
            <w:pPr>
              <w:jc w:val="center"/>
              <w:rPr>
                <w:rFonts w:cstheme="minorHAnsi"/>
              </w:rPr>
            </w:pPr>
            <m:oMath>
              <m:f>
                <m:fPr>
                  <m:ctrlPr>
                    <w:rPr>
                      <w:rFonts w:ascii="Cambria Math" w:hAnsi="Cambria Math" w:cstheme="minorHAnsi"/>
                      <w:i/>
                      <w:iCs/>
                    </w:rPr>
                  </m:ctrlPr>
                </m:fPr>
                <m:num>
                  <m:r>
                    <w:rPr>
                      <w:rFonts w:ascii="Cambria Math" w:hAnsi="Cambria Math" w:cstheme="minorHAnsi"/>
                    </w:rPr>
                    <m:t>∂ψ</m:t>
                  </m:r>
                </m:num>
                <m:den>
                  <m:r>
                    <w:rPr>
                      <w:rFonts w:ascii="Cambria Math" w:hAnsi="Cambria Math" w:cstheme="minorHAnsi"/>
                    </w:rPr>
                    <m:t>∂t</m:t>
                  </m:r>
                </m:den>
              </m:f>
              <m:r>
                <w:rPr>
                  <w:rFonts w:ascii="Cambria Math" w:hAnsi="Cambria Math" w:cstheme="minorHAnsi"/>
                </w:rPr>
                <m:t>=-</m:t>
              </m:r>
              <m:sSub>
                <m:sSubPr>
                  <m:ctrlPr>
                    <w:rPr>
                      <w:rFonts w:ascii="Cambria Math" w:hAnsi="Cambria Math" w:cstheme="minorHAnsi"/>
                      <w:i/>
                      <w:iCs/>
                    </w:rPr>
                  </m:ctrlPr>
                </m:sSubPr>
                <m:e>
                  <m:r>
                    <w:rPr>
                      <w:rFonts w:ascii="Cambria Math" w:hAnsi="Cambria Math" w:cstheme="minorHAnsi"/>
                    </w:rPr>
                    <m:t>F</m:t>
                  </m:r>
                </m:e>
                <m:sub>
                  <m:r>
                    <w:rPr>
                      <w:rFonts w:ascii="Cambria Math" w:hAnsi="Cambria Math" w:cstheme="minorHAnsi"/>
                    </w:rPr>
                    <m:t>A</m:t>
                  </m:r>
                </m:sub>
              </m:sSub>
              <m:d>
                <m:dPr>
                  <m:begChr m:val="|"/>
                  <m:endChr m:val="|"/>
                  <m:ctrlPr>
                    <w:rPr>
                      <w:rFonts w:ascii="Cambria Math" w:hAnsi="Cambria Math" w:cstheme="minorHAnsi"/>
                      <w:i/>
                      <w:iCs/>
                    </w:rPr>
                  </m:ctrlPr>
                </m:dPr>
                <m:e>
                  <m:r>
                    <w:rPr>
                      <w:rFonts w:ascii="Cambria Math" w:hAnsi="Cambria Math" w:cstheme="minorHAnsi"/>
                    </w:rPr>
                    <m:t>∇ψ</m:t>
                  </m:r>
                </m:e>
              </m:d>
              <m:r>
                <w:rPr>
                  <w:rFonts w:ascii="Cambria Math" w:hAnsi="Cambria Math" w:cstheme="minorHAnsi"/>
                </w:rPr>
                <m:t>-</m:t>
              </m:r>
              <m:sSub>
                <m:sSubPr>
                  <m:ctrlPr>
                    <w:rPr>
                      <w:rFonts w:ascii="Cambria Math" w:hAnsi="Cambria Math" w:cstheme="minorHAnsi"/>
                      <w:i/>
                      <w:iCs/>
                    </w:rPr>
                  </m:ctrlPr>
                </m:sSubPr>
                <m:e>
                  <m:r>
                    <w:rPr>
                      <w:rFonts w:ascii="Cambria Math" w:hAnsi="Cambria Math" w:cstheme="minorHAnsi"/>
                    </w:rPr>
                    <m:t>F</m:t>
                  </m:r>
                </m:e>
                <m:sub>
                  <m:r>
                    <w:rPr>
                      <w:rFonts w:ascii="Cambria Math" w:hAnsi="Cambria Math" w:cstheme="minorHAnsi"/>
                    </w:rPr>
                    <m:t>G</m:t>
                  </m:r>
                </m:sub>
              </m:sSub>
              <m:d>
                <m:dPr>
                  <m:begChr m:val="|"/>
                  <m:endChr m:val="|"/>
                  <m:ctrlPr>
                    <w:rPr>
                      <w:rFonts w:ascii="Cambria Math" w:hAnsi="Cambria Math" w:cstheme="minorHAnsi"/>
                      <w:i/>
                      <w:iCs/>
                    </w:rPr>
                  </m:ctrlPr>
                </m:dPr>
                <m:e>
                  <m:r>
                    <w:rPr>
                      <w:rFonts w:ascii="Cambria Math" w:hAnsi="Cambria Math" w:cstheme="minorHAnsi"/>
                    </w:rPr>
                    <m:t>∇ψ</m:t>
                  </m:r>
                </m:e>
              </m:d>
            </m:oMath>
            <w:r w:rsidR="00DC6B9F">
              <w:rPr>
                <w:rFonts w:cstheme="minorHAnsi"/>
              </w:rPr>
              <w:t xml:space="preserve"> </w:t>
            </w:r>
          </w:p>
        </w:tc>
        <w:tc>
          <w:tcPr>
            <w:tcW w:w="621" w:type="dxa"/>
            <w:vAlign w:val="center"/>
          </w:tcPr>
          <w:p w:rsidR="00DC6B9F" w:rsidRDefault="00DC6B9F" w:rsidP="003F1006">
            <w:pPr>
              <w:jc w:val="center"/>
              <w:rPr>
                <w:rFonts w:cstheme="minorHAnsi"/>
              </w:rPr>
            </w:pPr>
            <w:r>
              <w:rPr>
                <w:rFonts w:cstheme="minorHAnsi"/>
              </w:rPr>
              <w:t>(</w:t>
            </w:r>
            <w:fldSimple w:instr=" SEQ Eq \* MERGEFORMAT ">
              <w:r w:rsidR="00D719F4" w:rsidRPr="00D719F4">
                <w:rPr>
                  <w:rFonts w:cstheme="minorHAnsi"/>
                  <w:noProof/>
                </w:rPr>
                <w:t>10</w:t>
              </w:r>
            </w:fldSimple>
            <w:r>
              <w:rPr>
                <w:rFonts w:cstheme="minorHAnsi"/>
              </w:rPr>
              <w:t>)</w:t>
            </w:r>
          </w:p>
        </w:tc>
      </w:tr>
    </w:tbl>
    <w:p w:rsidR="007D79AB" w:rsidRDefault="007D79AB" w:rsidP="00DC6B9F">
      <w:pPr>
        <w:ind w:firstLine="720"/>
        <w:jc w:val="both"/>
        <w:rPr>
          <w:rFonts w:cstheme="minorHAnsi"/>
          <w:iCs/>
        </w:rPr>
      </w:pPr>
      <w:r w:rsidRPr="00AC3D9B">
        <w:rPr>
          <w:rFonts w:cstheme="minorHAnsi"/>
          <w:iCs/>
        </w:rPr>
        <w:t>In shape detection, the surface propagation uses all the three terms including mean curvature term</w:t>
      </w:r>
      <m:oMath>
        <m:r>
          <w:rPr>
            <w:rFonts w:ascii="Cambria Math" w:hAnsi="Cambria Math" w:cstheme="minorHAnsi"/>
          </w:rPr>
          <m:t xml:space="preserve"> </m:t>
        </m:r>
        <m:d>
          <m:dPr>
            <m:ctrlPr>
              <w:rPr>
                <w:rFonts w:ascii="Cambria Math" w:hAnsi="Cambria Math" w:cstheme="minorHAnsi"/>
                <w:i/>
                <w:iCs/>
              </w:rPr>
            </m:ctrlPr>
          </m:dPr>
          <m:e>
            <m:sSub>
              <m:sSubPr>
                <m:ctrlPr>
                  <w:rPr>
                    <w:rFonts w:ascii="Cambria Math" w:hAnsi="Cambria Math" w:cstheme="minorHAnsi"/>
                    <w:i/>
                    <w:iCs/>
                  </w:rPr>
                </m:ctrlPr>
              </m:sSubPr>
              <m:e>
                <m:r>
                  <w:rPr>
                    <w:rFonts w:ascii="Cambria Math" w:hAnsi="Cambria Math" w:cstheme="minorHAnsi"/>
                  </w:rPr>
                  <m:t>F</m:t>
                </m:r>
              </m:e>
              <m:sub>
                <m:r>
                  <w:rPr>
                    <w:rFonts w:ascii="Cambria Math" w:hAnsi="Cambria Math" w:cstheme="minorHAnsi"/>
                  </w:rPr>
                  <m:t>k</m:t>
                </m:r>
              </m:sub>
            </m:sSub>
          </m:e>
        </m:d>
      </m:oMath>
      <w:r w:rsidRPr="00AC3D9B">
        <w:rPr>
          <w:rFonts w:cstheme="minorHAnsi"/>
          <w:iCs/>
        </w:rPr>
        <w:t>. This term improves the boundary propagation by removing the noisy area in the target image.</w:t>
      </w:r>
    </w:p>
    <w:tbl>
      <w:tblPr>
        <w:tblStyle w:val="TableGrid"/>
        <w:tblW w:w="864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28"/>
        <w:gridCol w:w="7200"/>
        <w:gridCol w:w="621"/>
      </w:tblGrid>
      <w:tr w:rsidR="00E30C21" w:rsidTr="003F1006">
        <w:trPr>
          <w:trHeight w:val="395"/>
        </w:trPr>
        <w:tc>
          <w:tcPr>
            <w:tcW w:w="828" w:type="dxa"/>
            <w:vAlign w:val="center"/>
          </w:tcPr>
          <w:p w:rsidR="00E30C21" w:rsidRDefault="00E30C21" w:rsidP="00727C16">
            <w:pPr>
              <w:jc w:val="center"/>
              <w:rPr>
                <w:rFonts w:cstheme="minorHAnsi"/>
              </w:rPr>
            </w:pPr>
          </w:p>
        </w:tc>
        <w:tc>
          <w:tcPr>
            <w:tcW w:w="7200" w:type="dxa"/>
            <w:vAlign w:val="center"/>
          </w:tcPr>
          <w:p w:rsidR="00E30C21" w:rsidRDefault="00D719F4" w:rsidP="00727C16">
            <w:pPr>
              <w:jc w:val="center"/>
              <w:rPr>
                <w:rFonts w:cstheme="minorHAnsi"/>
              </w:rPr>
            </w:pPr>
            <m:oMath>
              <m:f>
                <m:fPr>
                  <m:ctrlPr>
                    <w:rPr>
                      <w:rFonts w:ascii="Cambria Math" w:hAnsi="Cambria Math" w:cstheme="minorHAnsi"/>
                      <w:i/>
                      <w:iCs/>
                    </w:rPr>
                  </m:ctrlPr>
                </m:fPr>
                <m:num>
                  <m:r>
                    <w:rPr>
                      <w:rFonts w:ascii="Cambria Math" w:hAnsi="Cambria Math" w:cstheme="minorHAnsi"/>
                    </w:rPr>
                    <m:t>∂ψ</m:t>
                  </m:r>
                </m:num>
                <m:den>
                  <m:r>
                    <w:rPr>
                      <w:rFonts w:ascii="Cambria Math" w:hAnsi="Cambria Math" w:cstheme="minorHAnsi"/>
                    </w:rPr>
                    <m:t>∂t</m:t>
                  </m:r>
                </m:den>
              </m:f>
              <m:r>
                <w:rPr>
                  <w:rFonts w:ascii="Cambria Math" w:hAnsi="Cambria Math" w:cstheme="minorHAnsi"/>
                </w:rPr>
                <m:t>=-</m:t>
              </m:r>
              <m:sSub>
                <m:sSubPr>
                  <m:ctrlPr>
                    <w:rPr>
                      <w:rFonts w:ascii="Cambria Math" w:hAnsi="Cambria Math" w:cstheme="minorHAnsi"/>
                      <w:i/>
                      <w:iCs/>
                    </w:rPr>
                  </m:ctrlPr>
                </m:sSubPr>
                <m:e>
                  <m:r>
                    <w:rPr>
                      <w:rFonts w:ascii="Cambria Math" w:hAnsi="Cambria Math" w:cstheme="minorHAnsi"/>
                    </w:rPr>
                    <m:t>F</m:t>
                  </m:r>
                </m:e>
                <m:sub>
                  <m:r>
                    <w:rPr>
                      <w:rFonts w:ascii="Cambria Math" w:hAnsi="Cambria Math" w:cstheme="minorHAnsi"/>
                    </w:rPr>
                    <m:t>A</m:t>
                  </m:r>
                </m:sub>
              </m:sSub>
              <m:d>
                <m:dPr>
                  <m:begChr m:val="|"/>
                  <m:endChr m:val="|"/>
                  <m:ctrlPr>
                    <w:rPr>
                      <w:rFonts w:ascii="Cambria Math" w:hAnsi="Cambria Math" w:cstheme="minorHAnsi"/>
                      <w:i/>
                      <w:iCs/>
                    </w:rPr>
                  </m:ctrlPr>
                </m:dPr>
                <m:e>
                  <m:r>
                    <w:rPr>
                      <w:rFonts w:ascii="Cambria Math" w:hAnsi="Cambria Math" w:cstheme="minorHAnsi"/>
                    </w:rPr>
                    <m:t>∇ψ</m:t>
                  </m:r>
                </m:e>
              </m:d>
              <m:r>
                <w:rPr>
                  <w:rFonts w:ascii="Cambria Math" w:hAnsi="Cambria Math" w:cstheme="minorHAnsi"/>
                </w:rPr>
                <m:t>-</m:t>
              </m:r>
              <m:sSub>
                <m:sSubPr>
                  <m:ctrlPr>
                    <w:rPr>
                      <w:rFonts w:ascii="Cambria Math" w:hAnsi="Cambria Math" w:cstheme="minorHAnsi"/>
                      <w:i/>
                      <w:iCs/>
                    </w:rPr>
                  </m:ctrlPr>
                </m:sSubPr>
                <m:e>
                  <m:r>
                    <w:rPr>
                      <w:rFonts w:ascii="Cambria Math" w:hAnsi="Cambria Math" w:cstheme="minorHAnsi"/>
                    </w:rPr>
                    <m:t>F</m:t>
                  </m:r>
                </m:e>
                <m:sub>
                  <m:r>
                    <w:rPr>
                      <w:rFonts w:ascii="Cambria Math" w:hAnsi="Cambria Math" w:cstheme="minorHAnsi"/>
                    </w:rPr>
                    <m:t>G</m:t>
                  </m:r>
                </m:sub>
              </m:sSub>
              <m:d>
                <m:dPr>
                  <m:begChr m:val="|"/>
                  <m:endChr m:val="|"/>
                  <m:ctrlPr>
                    <w:rPr>
                      <w:rFonts w:ascii="Cambria Math" w:hAnsi="Cambria Math" w:cstheme="minorHAnsi"/>
                      <w:i/>
                      <w:iCs/>
                    </w:rPr>
                  </m:ctrlPr>
                </m:dPr>
                <m:e>
                  <m:r>
                    <w:rPr>
                      <w:rFonts w:ascii="Cambria Math" w:hAnsi="Cambria Math" w:cstheme="minorHAnsi"/>
                    </w:rPr>
                    <m:t>∇ψ</m:t>
                  </m:r>
                </m:e>
              </m:d>
              <m:r>
                <w:rPr>
                  <w:rFonts w:ascii="Cambria Math" w:hAnsi="Cambria Math" w:cstheme="minorHAnsi"/>
                </w:rPr>
                <m:t>-</m:t>
              </m:r>
              <m:sSub>
                <m:sSubPr>
                  <m:ctrlPr>
                    <w:rPr>
                      <w:rFonts w:ascii="Cambria Math" w:hAnsi="Cambria Math" w:cstheme="minorHAnsi"/>
                      <w:i/>
                      <w:iCs/>
                    </w:rPr>
                  </m:ctrlPr>
                </m:sSubPr>
                <m:e>
                  <m:r>
                    <w:rPr>
                      <w:rFonts w:ascii="Cambria Math" w:hAnsi="Cambria Math" w:cstheme="minorHAnsi"/>
                    </w:rPr>
                    <m:t>F</m:t>
                  </m:r>
                </m:e>
                <m:sub>
                  <m:r>
                    <w:rPr>
                      <w:rFonts w:ascii="Cambria Math" w:hAnsi="Cambria Math" w:cstheme="minorHAnsi"/>
                    </w:rPr>
                    <m:t>k</m:t>
                  </m:r>
                </m:sub>
              </m:sSub>
              <m:r>
                <w:rPr>
                  <w:rFonts w:ascii="Cambria Math" w:hAnsi="Cambria Math" w:cstheme="minorHAnsi"/>
                </w:rPr>
                <m:t>k</m:t>
              </m:r>
              <m:d>
                <m:dPr>
                  <m:begChr m:val="|"/>
                  <m:endChr m:val="|"/>
                  <m:ctrlPr>
                    <w:rPr>
                      <w:rFonts w:ascii="Cambria Math" w:hAnsi="Cambria Math" w:cstheme="minorHAnsi"/>
                      <w:i/>
                      <w:iCs/>
                    </w:rPr>
                  </m:ctrlPr>
                </m:dPr>
                <m:e>
                  <m:r>
                    <w:rPr>
                      <w:rFonts w:ascii="Cambria Math" w:hAnsi="Cambria Math" w:cstheme="minorHAnsi"/>
                    </w:rPr>
                    <m:t>∇ψ</m:t>
                  </m:r>
                </m:e>
              </m:d>
            </m:oMath>
            <w:r w:rsidR="00E30C21">
              <w:rPr>
                <w:rFonts w:cstheme="minorHAnsi"/>
              </w:rPr>
              <w:t xml:space="preserve"> </w:t>
            </w:r>
          </w:p>
        </w:tc>
        <w:tc>
          <w:tcPr>
            <w:tcW w:w="621" w:type="dxa"/>
            <w:vAlign w:val="center"/>
          </w:tcPr>
          <w:p w:rsidR="00E30C21" w:rsidRDefault="00E30C21" w:rsidP="003F1006">
            <w:pPr>
              <w:jc w:val="center"/>
              <w:rPr>
                <w:rFonts w:cstheme="minorHAnsi"/>
              </w:rPr>
            </w:pPr>
            <w:r>
              <w:rPr>
                <w:rFonts w:cstheme="minorHAnsi"/>
              </w:rPr>
              <w:t>(</w:t>
            </w:r>
            <w:fldSimple w:instr=" SEQ Eq \* MERGEFORMAT ">
              <w:r w:rsidR="00D719F4" w:rsidRPr="00D719F4">
                <w:rPr>
                  <w:rFonts w:cstheme="minorHAnsi"/>
                  <w:noProof/>
                </w:rPr>
                <w:t>11</w:t>
              </w:r>
            </w:fldSimple>
            <w:r>
              <w:rPr>
                <w:rFonts w:cstheme="minorHAnsi"/>
              </w:rPr>
              <w:t>)</w:t>
            </w:r>
          </w:p>
        </w:tc>
      </w:tr>
    </w:tbl>
    <w:p w:rsidR="007D79AB" w:rsidRDefault="00985EA7" w:rsidP="00F122CE">
      <w:pPr>
        <w:ind w:firstLine="720"/>
        <w:jc w:val="both"/>
        <w:rPr>
          <w:rFonts w:cstheme="minorHAnsi"/>
          <w:iCs/>
        </w:rPr>
      </w:pPr>
      <w:r>
        <w:rPr>
          <w:rFonts w:cstheme="minorHAnsi"/>
          <w:iCs/>
        </w:rPr>
        <w:t>W</w:t>
      </w:r>
      <w:r w:rsidR="007D79AB" w:rsidRPr="00AC3D9B">
        <w:rPr>
          <w:rFonts w:cstheme="minorHAnsi"/>
          <w:iCs/>
        </w:rPr>
        <w:t xml:space="preserve">here curvature term </w:t>
      </w:r>
      <m:oMath>
        <m:sSub>
          <m:sSubPr>
            <m:ctrlPr>
              <w:rPr>
                <w:rFonts w:ascii="Cambria Math" w:hAnsi="Cambria Math" w:cstheme="minorHAnsi"/>
                <w:i/>
                <w:iCs/>
              </w:rPr>
            </m:ctrlPr>
          </m:sSubPr>
          <m:e>
            <m:r>
              <w:rPr>
                <w:rFonts w:ascii="Cambria Math" w:hAnsi="Cambria Math" w:cstheme="minorHAnsi"/>
              </w:rPr>
              <m:t>F</m:t>
            </m:r>
          </m:e>
          <m:sub>
            <m:r>
              <w:rPr>
                <w:rFonts w:ascii="Cambria Math" w:hAnsi="Cambria Math" w:cstheme="minorHAnsi"/>
              </w:rPr>
              <m:t>k</m:t>
            </m:r>
          </m:sub>
        </m:sSub>
      </m:oMath>
      <w:r w:rsidR="007D79AB" w:rsidRPr="00AC3D9B">
        <w:rPr>
          <w:rFonts w:cstheme="minorHAnsi"/>
          <w:iCs/>
        </w:rPr>
        <w:t xml:space="preserve"> is estimated as follows:</w:t>
      </w:r>
    </w:p>
    <w:tbl>
      <w:tblPr>
        <w:tblStyle w:val="TableGrid"/>
        <w:tblW w:w="864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28"/>
        <w:gridCol w:w="7200"/>
        <w:gridCol w:w="621"/>
      </w:tblGrid>
      <w:tr w:rsidR="00A03DE7" w:rsidTr="003F1006">
        <w:trPr>
          <w:trHeight w:val="395"/>
        </w:trPr>
        <w:tc>
          <w:tcPr>
            <w:tcW w:w="828" w:type="dxa"/>
            <w:vAlign w:val="center"/>
          </w:tcPr>
          <w:p w:rsidR="00A03DE7" w:rsidRDefault="00A03DE7" w:rsidP="00727C16">
            <w:pPr>
              <w:jc w:val="center"/>
              <w:rPr>
                <w:rFonts w:cstheme="minorHAnsi"/>
              </w:rPr>
            </w:pPr>
          </w:p>
        </w:tc>
        <w:tc>
          <w:tcPr>
            <w:tcW w:w="7200" w:type="dxa"/>
            <w:vAlign w:val="center"/>
          </w:tcPr>
          <w:p w:rsidR="00A03DE7" w:rsidRDefault="00A03DE7" w:rsidP="00727C16">
            <w:pPr>
              <w:jc w:val="center"/>
              <w:rPr>
                <w:rFonts w:cstheme="minorHAnsi"/>
              </w:rPr>
            </w:pPr>
            <m:oMath>
              <m:r>
                <w:rPr>
                  <w:rFonts w:ascii="Cambria Math" w:hAnsi="Cambria Math" w:cstheme="minorHAnsi"/>
                </w:rPr>
                <m:t>k=-</m:t>
              </m:r>
              <m:f>
                <m:fPr>
                  <m:ctrlPr>
                    <w:rPr>
                      <w:rFonts w:ascii="Cambria Math" w:hAnsi="Cambria Math" w:cstheme="minorHAnsi"/>
                      <w:i/>
                      <w:iCs/>
                    </w:rPr>
                  </m:ctrlPr>
                </m:fPr>
                <m:num>
                  <m:sSub>
                    <m:sSubPr>
                      <m:ctrlPr>
                        <w:rPr>
                          <w:rFonts w:ascii="Cambria Math" w:hAnsi="Cambria Math" w:cstheme="minorHAnsi"/>
                          <w:i/>
                          <w:iCs/>
                        </w:rPr>
                      </m:ctrlPr>
                    </m:sSubPr>
                    <m:e>
                      <m:r>
                        <w:rPr>
                          <w:rFonts w:ascii="Cambria Math" w:hAnsi="Cambria Math" w:cstheme="minorHAnsi"/>
                        </w:rPr>
                        <m:t>ψ</m:t>
                      </m:r>
                    </m:e>
                    <m:sub>
                      <m:r>
                        <w:rPr>
                          <w:rFonts w:ascii="Cambria Math" w:hAnsi="Cambria Math" w:cstheme="minorHAnsi"/>
                        </w:rPr>
                        <m:t>xx</m:t>
                      </m:r>
                    </m:sub>
                  </m:sSub>
                  <m:sSubSup>
                    <m:sSubSupPr>
                      <m:ctrlPr>
                        <w:rPr>
                          <w:rFonts w:ascii="Cambria Math" w:hAnsi="Cambria Math" w:cstheme="minorHAnsi"/>
                          <w:i/>
                          <w:iCs/>
                        </w:rPr>
                      </m:ctrlPr>
                    </m:sSubSupPr>
                    <m:e>
                      <m:r>
                        <w:rPr>
                          <w:rFonts w:ascii="Cambria Math" w:hAnsi="Cambria Math" w:cstheme="minorHAnsi"/>
                        </w:rPr>
                        <m:t>ψ</m:t>
                      </m:r>
                    </m:e>
                    <m:sub>
                      <m:r>
                        <w:rPr>
                          <w:rFonts w:ascii="Cambria Math" w:hAnsi="Cambria Math" w:cstheme="minorHAnsi"/>
                        </w:rPr>
                        <m:t>y</m:t>
                      </m:r>
                    </m:sub>
                    <m:sup>
                      <m:r>
                        <w:rPr>
                          <w:rFonts w:ascii="Cambria Math" w:hAnsi="Cambria Math" w:cstheme="minorHAnsi"/>
                        </w:rPr>
                        <m:t>2</m:t>
                      </m:r>
                    </m:sup>
                  </m:sSubSup>
                  <m:r>
                    <w:rPr>
                      <w:rFonts w:ascii="Cambria Math" w:hAnsi="Cambria Math" w:cstheme="minorHAnsi"/>
                    </w:rPr>
                    <m:t>-2</m:t>
                  </m:r>
                  <m:sSub>
                    <m:sSubPr>
                      <m:ctrlPr>
                        <w:rPr>
                          <w:rFonts w:ascii="Cambria Math" w:hAnsi="Cambria Math" w:cstheme="minorHAnsi"/>
                          <w:i/>
                          <w:iCs/>
                        </w:rPr>
                      </m:ctrlPr>
                    </m:sSubPr>
                    <m:e>
                      <m:r>
                        <w:rPr>
                          <w:rFonts w:ascii="Cambria Math" w:hAnsi="Cambria Math" w:cstheme="minorHAnsi"/>
                        </w:rPr>
                        <m:t>ψ</m:t>
                      </m:r>
                    </m:e>
                    <m:sub>
                      <m:r>
                        <w:rPr>
                          <w:rFonts w:ascii="Cambria Math" w:hAnsi="Cambria Math" w:cstheme="minorHAnsi"/>
                        </w:rPr>
                        <m:t>x</m:t>
                      </m:r>
                    </m:sub>
                  </m:sSub>
                  <m:sSub>
                    <m:sSubPr>
                      <m:ctrlPr>
                        <w:rPr>
                          <w:rFonts w:ascii="Cambria Math" w:hAnsi="Cambria Math" w:cstheme="minorHAnsi"/>
                          <w:i/>
                          <w:iCs/>
                        </w:rPr>
                      </m:ctrlPr>
                    </m:sSubPr>
                    <m:e>
                      <m:r>
                        <w:rPr>
                          <w:rFonts w:ascii="Cambria Math" w:hAnsi="Cambria Math" w:cstheme="minorHAnsi"/>
                        </w:rPr>
                        <m:t>ψ</m:t>
                      </m:r>
                    </m:e>
                    <m:sub>
                      <m:r>
                        <w:rPr>
                          <w:rFonts w:ascii="Cambria Math" w:hAnsi="Cambria Math" w:cstheme="minorHAnsi"/>
                        </w:rPr>
                        <m:t>x</m:t>
                      </m:r>
                    </m:sub>
                  </m:sSub>
                  <m:sSub>
                    <m:sSubPr>
                      <m:ctrlPr>
                        <w:rPr>
                          <w:rFonts w:ascii="Cambria Math" w:hAnsi="Cambria Math" w:cstheme="minorHAnsi"/>
                          <w:i/>
                          <w:iCs/>
                        </w:rPr>
                      </m:ctrlPr>
                    </m:sSubPr>
                    <m:e>
                      <m:r>
                        <w:rPr>
                          <w:rFonts w:ascii="Cambria Math" w:hAnsi="Cambria Math" w:cstheme="minorHAnsi"/>
                        </w:rPr>
                        <m:t>ψ</m:t>
                      </m:r>
                    </m:e>
                    <m:sub>
                      <m:r>
                        <w:rPr>
                          <w:rFonts w:ascii="Cambria Math" w:hAnsi="Cambria Math" w:cstheme="minorHAnsi"/>
                        </w:rPr>
                        <m:t>xy</m:t>
                      </m:r>
                    </m:sub>
                  </m:sSub>
                  <m:r>
                    <w:rPr>
                      <w:rFonts w:ascii="Cambria Math" w:hAnsi="Cambria Math" w:cstheme="minorHAnsi"/>
                    </w:rPr>
                    <m:t>+</m:t>
                  </m:r>
                  <m:sSub>
                    <m:sSubPr>
                      <m:ctrlPr>
                        <w:rPr>
                          <w:rFonts w:ascii="Cambria Math" w:hAnsi="Cambria Math" w:cstheme="minorHAnsi"/>
                          <w:i/>
                          <w:iCs/>
                        </w:rPr>
                      </m:ctrlPr>
                    </m:sSubPr>
                    <m:e>
                      <m:r>
                        <w:rPr>
                          <w:rFonts w:ascii="Cambria Math" w:hAnsi="Cambria Math" w:cstheme="minorHAnsi"/>
                        </w:rPr>
                        <m:t>ψ</m:t>
                      </m:r>
                    </m:e>
                    <m:sub>
                      <m:r>
                        <w:rPr>
                          <w:rFonts w:ascii="Cambria Math" w:hAnsi="Cambria Math" w:cstheme="minorHAnsi"/>
                        </w:rPr>
                        <m:t>yy</m:t>
                      </m:r>
                    </m:sub>
                  </m:sSub>
                  <m:sSubSup>
                    <m:sSubSupPr>
                      <m:ctrlPr>
                        <w:rPr>
                          <w:rFonts w:ascii="Cambria Math" w:hAnsi="Cambria Math" w:cstheme="minorHAnsi"/>
                          <w:i/>
                          <w:iCs/>
                        </w:rPr>
                      </m:ctrlPr>
                    </m:sSubSupPr>
                    <m:e>
                      <m:r>
                        <w:rPr>
                          <w:rFonts w:ascii="Cambria Math" w:hAnsi="Cambria Math" w:cstheme="minorHAnsi"/>
                        </w:rPr>
                        <m:t>ψ</m:t>
                      </m:r>
                    </m:e>
                    <m:sub>
                      <m:r>
                        <w:rPr>
                          <w:rFonts w:ascii="Cambria Math" w:hAnsi="Cambria Math" w:cstheme="minorHAnsi"/>
                        </w:rPr>
                        <m:t>x</m:t>
                      </m:r>
                    </m:sub>
                    <m:sup>
                      <m:r>
                        <w:rPr>
                          <w:rFonts w:ascii="Cambria Math" w:hAnsi="Cambria Math" w:cstheme="minorHAnsi"/>
                        </w:rPr>
                        <m:t>2</m:t>
                      </m:r>
                    </m:sup>
                  </m:sSubSup>
                </m:num>
                <m:den>
                  <m:sSup>
                    <m:sSupPr>
                      <m:ctrlPr>
                        <w:rPr>
                          <w:rFonts w:ascii="Cambria Math" w:hAnsi="Cambria Math" w:cstheme="minorHAnsi"/>
                          <w:i/>
                          <w:iCs/>
                        </w:rPr>
                      </m:ctrlPr>
                    </m:sSupPr>
                    <m:e>
                      <m:r>
                        <w:rPr>
                          <w:rFonts w:ascii="Cambria Math" w:hAnsi="Cambria Math" w:cstheme="minorHAnsi"/>
                        </w:rPr>
                        <m:t>(</m:t>
                      </m:r>
                      <m:sSubSup>
                        <m:sSubSupPr>
                          <m:ctrlPr>
                            <w:rPr>
                              <w:rFonts w:ascii="Cambria Math" w:hAnsi="Cambria Math" w:cstheme="minorHAnsi"/>
                              <w:i/>
                              <w:iCs/>
                            </w:rPr>
                          </m:ctrlPr>
                        </m:sSubSupPr>
                        <m:e>
                          <m:r>
                            <w:rPr>
                              <w:rFonts w:ascii="Cambria Math" w:hAnsi="Cambria Math" w:cstheme="minorHAnsi"/>
                            </w:rPr>
                            <m:t>ψ</m:t>
                          </m:r>
                        </m:e>
                        <m:sub>
                          <m:r>
                            <w:rPr>
                              <w:rFonts w:ascii="Cambria Math" w:hAnsi="Cambria Math" w:cstheme="minorHAnsi"/>
                            </w:rPr>
                            <m:t>x</m:t>
                          </m:r>
                        </m:sub>
                        <m:sup>
                          <m:r>
                            <w:rPr>
                              <w:rFonts w:ascii="Cambria Math" w:hAnsi="Cambria Math" w:cstheme="minorHAnsi"/>
                            </w:rPr>
                            <m:t>2</m:t>
                          </m:r>
                        </m:sup>
                      </m:sSubSup>
                      <m:r>
                        <w:rPr>
                          <w:rFonts w:ascii="Cambria Math" w:hAnsi="Cambria Math" w:cstheme="minorHAnsi"/>
                        </w:rPr>
                        <m:t>+</m:t>
                      </m:r>
                      <m:sSubSup>
                        <m:sSubSupPr>
                          <m:ctrlPr>
                            <w:rPr>
                              <w:rFonts w:ascii="Cambria Math" w:hAnsi="Cambria Math" w:cstheme="minorHAnsi"/>
                              <w:i/>
                              <w:iCs/>
                            </w:rPr>
                          </m:ctrlPr>
                        </m:sSubSupPr>
                        <m:e>
                          <m:r>
                            <w:rPr>
                              <w:rFonts w:ascii="Cambria Math" w:hAnsi="Cambria Math" w:cstheme="minorHAnsi"/>
                            </w:rPr>
                            <m:t>ψ</m:t>
                          </m:r>
                        </m:e>
                        <m:sub>
                          <m:r>
                            <w:rPr>
                              <w:rFonts w:ascii="Cambria Math" w:hAnsi="Cambria Math" w:cstheme="minorHAnsi"/>
                            </w:rPr>
                            <m:t>y</m:t>
                          </m:r>
                        </m:sub>
                        <m:sup>
                          <m:r>
                            <w:rPr>
                              <w:rFonts w:ascii="Cambria Math" w:hAnsi="Cambria Math" w:cstheme="minorHAnsi"/>
                            </w:rPr>
                            <m:t>2</m:t>
                          </m:r>
                        </m:sup>
                      </m:sSubSup>
                      <m:r>
                        <w:rPr>
                          <w:rFonts w:ascii="Cambria Math" w:hAnsi="Cambria Math" w:cstheme="minorHAnsi"/>
                        </w:rPr>
                        <m:t>)</m:t>
                      </m:r>
                    </m:e>
                    <m:sup>
                      <m:r>
                        <w:rPr>
                          <w:rFonts w:ascii="Cambria Math" w:hAnsi="Cambria Math" w:cstheme="minorHAnsi"/>
                        </w:rPr>
                        <m:t>3/2</m:t>
                      </m:r>
                    </m:sup>
                  </m:sSup>
                </m:den>
              </m:f>
            </m:oMath>
            <w:r>
              <w:rPr>
                <w:rFonts w:cstheme="minorHAnsi"/>
              </w:rPr>
              <w:t xml:space="preserve"> </w:t>
            </w:r>
          </w:p>
        </w:tc>
        <w:tc>
          <w:tcPr>
            <w:tcW w:w="621" w:type="dxa"/>
            <w:vAlign w:val="center"/>
          </w:tcPr>
          <w:p w:rsidR="00A03DE7" w:rsidRDefault="00A03DE7" w:rsidP="003F1006">
            <w:pPr>
              <w:jc w:val="center"/>
              <w:rPr>
                <w:rFonts w:cstheme="minorHAnsi"/>
              </w:rPr>
            </w:pPr>
            <w:r>
              <w:rPr>
                <w:rFonts w:cstheme="minorHAnsi"/>
              </w:rPr>
              <w:t>(</w:t>
            </w:r>
            <w:fldSimple w:instr=" SEQ Eq \* MERGEFORMAT ">
              <w:r w:rsidR="00D719F4" w:rsidRPr="00D719F4">
                <w:rPr>
                  <w:rFonts w:cstheme="minorHAnsi"/>
                  <w:noProof/>
                </w:rPr>
                <w:t>12</w:t>
              </w:r>
            </w:fldSimple>
            <w:r>
              <w:rPr>
                <w:rFonts w:cstheme="minorHAnsi"/>
              </w:rPr>
              <w:t>)</w:t>
            </w:r>
          </w:p>
        </w:tc>
      </w:tr>
    </w:tbl>
    <w:p w:rsidR="007D79AB" w:rsidRDefault="007D79AB" w:rsidP="00A03DE7">
      <w:pPr>
        <w:ind w:firstLine="720"/>
        <w:jc w:val="both"/>
        <w:rPr>
          <w:rFonts w:cstheme="minorHAnsi"/>
          <w:iCs/>
        </w:rPr>
      </w:pPr>
      <w:r w:rsidRPr="00AC3D9B">
        <w:rPr>
          <w:rFonts w:cstheme="minorHAnsi"/>
          <w:iCs/>
        </w:rPr>
        <w:t>In Geometric active contour, a second advection term is added to the surface propagation which is able to attract the computed contour to the target tumor boundary.</w:t>
      </w:r>
    </w:p>
    <w:tbl>
      <w:tblPr>
        <w:tblStyle w:val="TableGrid"/>
        <w:tblW w:w="864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28"/>
        <w:gridCol w:w="7200"/>
        <w:gridCol w:w="621"/>
      </w:tblGrid>
      <w:tr w:rsidR="002F3E72" w:rsidTr="003F1006">
        <w:trPr>
          <w:trHeight w:val="395"/>
        </w:trPr>
        <w:tc>
          <w:tcPr>
            <w:tcW w:w="828" w:type="dxa"/>
            <w:vAlign w:val="center"/>
          </w:tcPr>
          <w:p w:rsidR="002F3E72" w:rsidRDefault="002F3E72" w:rsidP="00727C16">
            <w:pPr>
              <w:jc w:val="center"/>
              <w:rPr>
                <w:rFonts w:cstheme="minorHAnsi"/>
              </w:rPr>
            </w:pPr>
          </w:p>
        </w:tc>
        <w:tc>
          <w:tcPr>
            <w:tcW w:w="7200" w:type="dxa"/>
            <w:vAlign w:val="center"/>
          </w:tcPr>
          <w:p w:rsidR="002F3E72" w:rsidRPr="002F3E72" w:rsidRDefault="00D719F4" w:rsidP="002F3E72">
            <w:pPr>
              <w:jc w:val="center"/>
              <w:rPr>
                <w:rFonts w:ascii="Cambria Math" w:hAnsi="Cambria Math" w:cstheme="minorHAnsi"/>
                <w:i/>
                <w:iCs/>
              </w:rPr>
            </w:pPr>
            <m:oMath>
              <m:f>
                <m:fPr>
                  <m:ctrlPr>
                    <w:rPr>
                      <w:rFonts w:ascii="Cambria Math" w:hAnsi="Cambria Math" w:cstheme="minorHAnsi"/>
                      <w:i/>
                      <w:iCs/>
                    </w:rPr>
                  </m:ctrlPr>
                </m:fPr>
                <m:num>
                  <m:r>
                    <w:rPr>
                      <w:rFonts w:ascii="Cambria Math" w:hAnsi="Cambria Math" w:cstheme="minorHAnsi"/>
                    </w:rPr>
                    <m:t>∂ψ</m:t>
                  </m:r>
                </m:num>
                <m:den>
                  <m:r>
                    <w:rPr>
                      <w:rFonts w:ascii="Cambria Math" w:hAnsi="Cambria Math" w:cstheme="minorHAnsi"/>
                    </w:rPr>
                    <m:t>∂t</m:t>
                  </m:r>
                </m:den>
              </m:f>
              <m:r>
                <w:rPr>
                  <w:rFonts w:ascii="Cambria Math" w:hAnsi="Cambria Math" w:cstheme="minorHAnsi"/>
                </w:rPr>
                <m:t>=-</m:t>
              </m:r>
              <m:sSub>
                <m:sSubPr>
                  <m:ctrlPr>
                    <w:rPr>
                      <w:rFonts w:ascii="Cambria Math" w:hAnsi="Cambria Math" w:cstheme="minorHAnsi"/>
                      <w:i/>
                      <w:iCs/>
                    </w:rPr>
                  </m:ctrlPr>
                </m:sSubPr>
                <m:e>
                  <m:r>
                    <w:rPr>
                      <w:rFonts w:ascii="Cambria Math" w:hAnsi="Cambria Math" w:cstheme="minorHAnsi"/>
                    </w:rPr>
                    <m:t>F</m:t>
                  </m:r>
                </m:e>
                <m:sub>
                  <m:r>
                    <w:rPr>
                      <w:rFonts w:ascii="Cambria Math" w:hAnsi="Cambria Math" w:cstheme="minorHAnsi"/>
                    </w:rPr>
                    <m:t>A</m:t>
                  </m:r>
                </m:sub>
              </m:sSub>
              <m:d>
                <m:dPr>
                  <m:begChr m:val="|"/>
                  <m:endChr m:val="|"/>
                  <m:ctrlPr>
                    <w:rPr>
                      <w:rFonts w:ascii="Cambria Math" w:hAnsi="Cambria Math" w:cstheme="minorHAnsi"/>
                      <w:i/>
                      <w:iCs/>
                    </w:rPr>
                  </m:ctrlPr>
                </m:dPr>
                <m:e>
                  <m:r>
                    <w:rPr>
                      <w:rFonts w:ascii="Cambria Math" w:hAnsi="Cambria Math" w:cstheme="minorHAnsi"/>
                    </w:rPr>
                    <m:t>∇ψ</m:t>
                  </m:r>
                </m:e>
              </m:d>
              <m:r>
                <w:rPr>
                  <w:rFonts w:ascii="Cambria Math" w:hAnsi="Cambria Math" w:cstheme="minorHAnsi"/>
                </w:rPr>
                <m:t>-αg</m:t>
              </m:r>
              <m:d>
                <m:dPr>
                  <m:ctrlPr>
                    <w:rPr>
                      <w:rFonts w:ascii="Cambria Math" w:hAnsi="Cambria Math" w:cstheme="minorHAnsi"/>
                      <w:i/>
                      <w:iCs/>
                    </w:rPr>
                  </m:ctrlPr>
                </m:dPr>
                <m:e>
                  <m:r>
                    <w:rPr>
                      <w:rFonts w:ascii="Cambria Math" w:hAnsi="Cambria Math" w:cstheme="minorHAnsi"/>
                    </w:rPr>
                    <m:t>I</m:t>
                  </m:r>
                </m:e>
              </m:d>
              <m:d>
                <m:dPr>
                  <m:begChr m:val="|"/>
                  <m:endChr m:val="|"/>
                  <m:ctrlPr>
                    <w:rPr>
                      <w:rFonts w:ascii="Cambria Math" w:hAnsi="Cambria Math" w:cstheme="minorHAnsi"/>
                      <w:i/>
                      <w:iCs/>
                    </w:rPr>
                  </m:ctrlPr>
                </m:dPr>
                <m:e>
                  <m:r>
                    <w:rPr>
                      <w:rFonts w:ascii="Cambria Math" w:hAnsi="Cambria Math" w:cstheme="minorHAnsi"/>
                    </w:rPr>
                    <m:t>∇ψ</m:t>
                  </m:r>
                </m:e>
              </m:d>
              <m:r>
                <w:rPr>
                  <w:rFonts w:ascii="Cambria Math" w:hAnsi="Cambria Math" w:cstheme="minorHAnsi"/>
                </w:rPr>
                <m:t>-</m:t>
              </m:r>
              <m:sSub>
                <m:sSubPr>
                  <m:ctrlPr>
                    <w:rPr>
                      <w:rFonts w:ascii="Cambria Math" w:hAnsi="Cambria Math" w:cstheme="minorHAnsi"/>
                      <w:i/>
                      <w:iCs/>
                    </w:rPr>
                  </m:ctrlPr>
                </m:sSubPr>
                <m:e>
                  <m:r>
                    <w:rPr>
                      <w:rFonts w:ascii="Cambria Math" w:hAnsi="Cambria Math" w:cstheme="minorHAnsi"/>
                    </w:rPr>
                    <m:t>F</m:t>
                  </m:r>
                </m:e>
                <m:sub>
                  <m:r>
                    <w:rPr>
                      <w:rFonts w:ascii="Cambria Math" w:hAnsi="Cambria Math" w:cstheme="minorHAnsi"/>
                    </w:rPr>
                    <m:t>G</m:t>
                  </m:r>
                </m:sub>
              </m:sSub>
              <m:d>
                <m:dPr>
                  <m:begChr m:val="|"/>
                  <m:endChr m:val="|"/>
                  <m:ctrlPr>
                    <w:rPr>
                      <w:rFonts w:ascii="Cambria Math" w:hAnsi="Cambria Math" w:cstheme="minorHAnsi"/>
                      <w:i/>
                      <w:iCs/>
                    </w:rPr>
                  </m:ctrlPr>
                </m:dPr>
                <m:e>
                  <m:r>
                    <w:rPr>
                      <w:rFonts w:ascii="Cambria Math" w:hAnsi="Cambria Math" w:cstheme="minorHAnsi"/>
                    </w:rPr>
                    <m:t>∇ψ</m:t>
                  </m:r>
                </m:e>
              </m:d>
              <m:r>
                <w:rPr>
                  <w:rFonts w:ascii="Cambria Math" w:hAnsi="Cambria Math" w:cstheme="minorHAnsi"/>
                </w:rPr>
                <m:t>-</m:t>
              </m:r>
              <m:sSub>
                <m:sSubPr>
                  <m:ctrlPr>
                    <w:rPr>
                      <w:rFonts w:ascii="Cambria Math" w:hAnsi="Cambria Math" w:cstheme="minorHAnsi"/>
                      <w:i/>
                      <w:iCs/>
                    </w:rPr>
                  </m:ctrlPr>
                </m:sSubPr>
                <m:e>
                  <m:r>
                    <w:rPr>
                      <w:rFonts w:ascii="Cambria Math" w:hAnsi="Cambria Math" w:cstheme="minorHAnsi"/>
                    </w:rPr>
                    <m:t>F</m:t>
                  </m:r>
                </m:e>
                <m:sub>
                  <m:r>
                    <w:rPr>
                      <w:rFonts w:ascii="Cambria Math" w:hAnsi="Cambria Math" w:cstheme="minorHAnsi"/>
                    </w:rPr>
                    <m:t>k</m:t>
                  </m:r>
                </m:sub>
              </m:sSub>
              <m:r>
                <w:rPr>
                  <w:rFonts w:ascii="Cambria Math" w:hAnsi="Cambria Math" w:cstheme="minorHAnsi"/>
                </w:rPr>
                <m:t>k</m:t>
              </m:r>
              <m:d>
                <m:dPr>
                  <m:begChr m:val="|"/>
                  <m:endChr m:val="|"/>
                  <m:ctrlPr>
                    <w:rPr>
                      <w:rFonts w:ascii="Cambria Math" w:hAnsi="Cambria Math" w:cstheme="minorHAnsi"/>
                      <w:i/>
                      <w:iCs/>
                    </w:rPr>
                  </m:ctrlPr>
                </m:dPr>
                <m:e>
                  <m:r>
                    <w:rPr>
                      <w:rFonts w:ascii="Cambria Math" w:hAnsi="Cambria Math" w:cstheme="minorHAnsi"/>
                    </w:rPr>
                    <m:t>∇ψ</m:t>
                  </m:r>
                </m:e>
              </m:d>
            </m:oMath>
            <w:r w:rsidR="002F3E72">
              <w:rPr>
                <w:rFonts w:ascii="Cambria Math" w:hAnsi="Cambria Math" w:cstheme="minorHAnsi"/>
                <w:i/>
                <w:iCs/>
              </w:rPr>
              <w:t xml:space="preserve"> </w:t>
            </w:r>
          </w:p>
        </w:tc>
        <w:tc>
          <w:tcPr>
            <w:tcW w:w="621" w:type="dxa"/>
            <w:vAlign w:val="center"/>
          </w:tcPr>
          <w:p w:rsidR="002F3E72" w:rsidRDefault="002F3E72" w:rsidP="003F1006">
            <w:pPr>
              <w:jc w:val="center"/>
              <w:rPr>
                <w:rFonts w:cstheme="minorHAnsi"/>
              </w:rPr>
            </w:pPr>
            <w:r>
              <w:rPr>
                <w:rFonts w:cstheme="minorHAnsi"/>
              </w:rPr>
              <w:t>(</w:t>
            </w:r>
            <w:fldSimple w:instr=" SEQ Eq \* MERGEFORMAT ">
              <w:r w:rsidR="00D719F4" w:rsidRPr="00D719F4">
                <w:rPr>
                  <w:rFonts w:cstheme="minorHAnsi"/>
                  <w:noProof/>
                </w:rPr>
                <w:t>13</w:t>
              </w:r>
            </w:fldSimple>
            <w:r>
              <w:rPr>
                <w:rFonts w:cstheme="minorHAnsi"/>
              </w:rPr>
              <w:t>)</w:t>
            </w:r>
          </w:p>
        </w:tc>
      </w:tr>
    </w:tbl>
    <w:p w:rsidR="007D79AB" w:rsidRDefault="007D79AB" w:rsidP="002F3E72">
      <w:pPr>
        <w:ind w:firstLine="720"/>
        <w:jc w:val="both"/>
        <w:rPr>
          <w:rFonts w:cstheme="minorHAnsi"/>
          <w:iCs/>
        </w:rPr>
      </w:pPr>
      <w:r w:rsidRPr="00AC3D9B">
        <w:rPr>
          <w:rFonts w:cstheme="minorHAnsi"/>
          <w:iCs/>
        </w:rPr>
        <w:t>For the last algorithm, threshold level set is a combination of both region growing and level set algorithms. A pre-determined threshold interval [LT, UT] is used to identify the tumor, while the smoothness of the propagation surface stops the leakage that usually happens in region growing algorithms.</w:t>
      </w:r>
    </w:p>
    <w:p w:rsidR="00001919" w:rsidRPr="00001919" w:rsidRDefault="00001919" w:rsidP="00001919">
      <w:pPr>
        <w:ind w:firstLine="720"/>
        <w:jc w:val="both"/>
        <w:rPr>
          <w:rFonts w:cstheme="minorHAnsi"/>
          <w:iCs/>
        </w:rPr>
      </w:pPr>
      <w:r w:rsidRPr="00001919">
        <w:rPr>
          <w:rFonts w:cstheme="minorHAnsi"/>
          <w:iCs/>
        </w:rPr>
        <w:t xml:space="preserve">The sample segmentation images of all the above discussed eight segmentation techniques are shown </w:t>
      </w:r>
      <w:r w:rsidRPr="00327436">
        <w:rPr>
          <w:rFonts w:cstheme="minorHAnsi"/>
          <w:iCs/>
        </w:rPr>
        <w:t>in the</w:t>
      </w:r>
      <w:r w:rsidR="00EB05FB" w:rsidRPr="00327436">
        <w:rPr>
          <w:rFonts w:cstheme="minorHAnsi"/>
          <w:iCs/>
        </w:rPr>
        <w:t xml:space="preserve"> </w:t>
      </w:r>
      <w:r w:rsidR="009647D4" w:rsidRPr="00327436">
        <w:rPr>
          <w:rFonts w:cstheme="minorHAnsi"/>
          <w:iCs/>
        </w:rPr>
        <w:fldChar w:fldCharType="begin"/>
      </w:r>
      <w:r w:rsidR="00EB05FB" w:rsidRPr="00327436">
        <w:rPr>
          <w:rFonts w:cstheme="minorHAnsi"/>
          <w:iCs/>
        </w:rPr>
        <w:instrText xml:space="preserve"> REF _Ref467066934 \h </w:instrText>
      </w:r>
      <w:r w:rsidR="009647D4" w:rsidRPr="00327436">
        <w:rPr>
          <w:rFonts w:cstheme="minorHAnsi"/>
          <w:iCs/>
        </w:rPr>
      </w:r>
      <w:r w:rsidR="009647D4" w:rsidRPr="00327436">
        <w:rPr>
          <w:rFonts w:cstheme="minorHAnsi"/>
          <w:iCs/>
        </w:rPr>
        <w:fldChar w:fldCharType="separate"/>
      </w:r>
      <w:r w:rsidR="00D719F4" w:rsidRPr="0042606E">
        <w:t xml:space="preserve">Figure </w:t>
      </w:r>
      <w:r w:rsidR="00D719F4">
        <w:rPr>
          <w:noProof/>
        </w:rPr>
        <w:t>3</w:t>
      </w:r>
      <w:r w:rsidR="009647D4" w:rsidRPr="00327436">
        <w:rPr>
          <w:rFonts w:cstheme="minorHAnsi"/>
          <w:iCs/>
        </w:rPr>
        <w:fldChar w:fldCharType="end"/>
      </w:r>
      <w:r w:rsidRPr="00327436">
        <w:rPr>
          <w:rFonts w:cstheme="minorHAnsi"/>
          <w:iCs/>
        </w:rPr>
        <w:t>.</w:t>
      </w:r>
    </w:p>
    <w:p w:rsidR="00001919" w:rsidRDefault="00001919" w:rsidP="002F3E72">
      <w:pPr>
        <w:ind w:firstLine="720"/>
        <w:jc w:val="both"/>
        <w:rPr>
          <w:rFonts w:cstheme="minorHAnsi"/>
          <w:iCs/>
        </w:rPr>
      </w:pPr>
    </w:p>
    <w:p w:rsidR="00EA62C0" w:rsidRDefault="00EA62C0" w:rsidP="00EA62C0">
      <w:pPr>
        <w:keepNext/>
        <w:jc w:val="center"/>
      </w:pPr>
      <w:r w:rsidRPr="00EA62C0">
        <w:rPr>
          <w:noProof/>
          <w:lang w:bidi="ar-SA"/>
        </w:rPr>
        <w:lastRenderedPageBreak/>
        <w:drawing>
          <wp:inline distT="0" distB="0" distL="0" distR="0" wp14:anchorId="6E9AAD0E" wp14:editId="3EEDF3A3">
            <wp:extent cx="1092322" cy="1097280"/>
            <wp:effectExtent l="19050" t="0" r="0" b="0"/>
            <wp:docPr id="1064" name="Picture 1063" descr="ConnectedThreshold2-Cut.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onnectedThreshold2-Cut.png"/>
                    <pic:cNvPicPr/>
                  </pic:nvPicPr>
                  <pic:blipFill>
                    <a:blip r:embed="rId15" cstate="print"/>
                    <a:stretch>
                      <a:fillRect/>
                    </a:stretch>
                  </pic:blipFill>
                  <pic:spPr>
                    <a:xfrm>
                      <a:off x="0" y="0"/>
                      <a:ext cx="1092322" cy="1097280"/>
                    </a:xfrm>
                    <a:prstGeom prst="rect">
                      <a:avLst/>
                    </a:prstGeom>
                  </pic:spPr>
                </pic:pic>
              </a:graphicData>
            </a:graphic>
          </wp:inline>
        </w:drawing>
      </w:r>
      <w:r w:rsidRPr="00EA62C0">
        <w:t xml:space="preserve">        </w:t>
      </w:r>
      <w:r w:rsidRPr="00EA62C0">
        <w:rPr>
          <w:noProof/>
          <w:lang w:bidi="ar-SA"/>
        </w:rPr>
        <w:drawing>
          <wp:inline distT="0" distB="0" distL="0" distR="0" wp14:anchorId="49A8904D" wp14:editId="62B4BCE0">
            <wp:extent cx="1095820" cy="1097280"/>
            <wp:effectExtent l="19050" t="0" r="9080" b="0"/>
            <wp:docPr id="1065" name="Picture 1064" descr="NghbThreshold2-Cut.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NghbThreshold2-Cut.jpg"/>
                    <pic:cNvPicPr/>
                  </pic:nvPicPr>
                  <pic:blipFill>
                    <a:blip r:embed="rId16" cstate="print"/>
                    <a:stretch>
                      <a:fillRect/>
                    </a:stretch>
                  </pic:blipFill>
                  <pic:spPr>
                    <a:xfrm>
                      <a:off x="0" y="0"/>
                      <a:ext cx="1095820" cy="1097280"/>
                    </a:xfrm>
                    <a:prstGeom prst="rect">
                      <a:avLst/>
                    </a:prstGeom>
                  </pic:spPr>
                </pic:pic>
              </a:graphicData>
            </a:graphic>
          </wp:inline>
        </w:drawing>
      </w:r>
      <w:r w:rsidRPr="00EA62C0">
        <w:t xml:space="preserve">       </w:t>
      </w:r>
      <w:r w:rsidRPr="00EA62C0">
        <w:rPr>
          <w:noProof/>
          <w:lang w:bidi="ar-SA"/>
        </w:rPr>
        <w:drawing>
          <wp:inline distT="0" distB="0" distL="0" distR="0" wp14:anchorId="4ABED496" wp14:editId="15EE57F6">
            <wp:extent cx="1095790" cy="1097280"/>
            <wp:effectExtent l="19050" t="0" r="9110" b="0"/>
            <wp:docPr id="1066" name="Picture 1065" descr="Canny3-Cut.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nny3-Cut.jpg"/>
                    <pic:cNvPicPr/>
                  </pic:nvPicPr>
                  <pic:blipFill>
                    <a:blip r:embed="rId17" cstate="print"/>
                    <a:stretch>
                      <a:fillRect/>
                    </a:stretch>
                  </pic:blipFill>
                  <pic:spPr>
                    <a:xfrm>
                      <a:off x="0" y="0"/>
                      <a:ext cx="1095790" cy="1097280"/>
                    </a:xfrm>
                    <a:prstGeom prst="rect">
                      <a:avLst/>
                    </a:prstGeom>
                  </pic:spPr>
                </pic:pic>
              </a:graphicData>
            </a:graphic>
          </wp:inline>
        </w:drawing>
      </w:r>
      <w:r w:rsidRPr="00EA62C0">
        <w:t xml:space="preserve">       </w:t>
      </w:r>
      <w:r w:rsidRPr="00EA62C0">
        <w:rPr>
          <w:noProof/>
          <w:lang w:bidi="ar-SA"/>
        </w:rPr>
        <w:drawing>
          <wp:inline distT="0" distB="0" distL="0" distR="0" wp14:anchorId="73B12732" wp14:editId="6E399728">
            <wp:extent cx="1091075" cy="1097280"/>
            <wp:effectExtent l="19050" t="0" r="0" b="0"/>
            <wp:docPr id="1069" name="Picture 1068" descr="DownSample2-Cut.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ownSample2-Cut.jpg"/>
                    <pic:cNvPicPr/>
                  </pic:nvPicPr>
                  <pic:blipFill>
                    <a:blip r:embed="rId18" cstate="print"/>
                    <a:stretch>
                      <a:fillRect/>
                    </a:stretch>
                  </pic:blipFill>
                  <pic:spPr>
                    <a:xfrm>
                      <a:off x="0" y="0"/>
                      <a:ext cx="1091075" cy="1097280"/>
                    </a:xfrm>
                    <a:prstGeom prst="rect">
                      <a:avLst/>
                    </a:prstGeom>
                  </pic:spPr>
                </pic:pic>
              </a:graphicData>
            </a:graphic>
          </wp:inline>
        </w:drawing>
      </w:r>
    </w:p>
    <w:p w:rsidR="00960EF3" w:rsidRPr="00960EF3" w:rsidRDefault="00960EF3" w:rsidP="00960EF3">
      <w:pPr>
        <w:keepNext/>
        <w:jc w:val="center"/>
      </w:pPr>
      <w:r>
        <w:t xml:space="preserve"> (a</w:t>
      </w:r>
      <w:r w:rsidRPr="00960EF3">
        <w:t xml:space="preserve">)                                </w:t>
      </w:r>
      <w:r>
        <w:t>(b</w:t>
      </w:r>
      <w:r w:rsidRPr="00960EF3">
        <w:t xml:space="preserve">)                              </w:t>
      </w:r>
      <w:r>
        <w:t>(c</w:t>
      </w:r>
      <w:r w:rsidRPr="00960EF3">
        <w:t xml:space="preserve">)                               </w:t>
      </w:r>
      <w:r>
        <w:t>(d</w:t>
      </w:r>
      <w:r w:rsidRPr="00960EF3">
        <w:t xml:space="preserve">) </w:t>
      </w:r>
    </w:p>
    <w:p w:rsidR="0042606E" w:rsidRDefault="00EA62C0" w:rsidP="0042606E">
      <w:pPr>
        <w:keepNext/>
        <w:jc w:val="center"/>
      </w:pPr>
      <w:r w:rsidRPr="00EA62C0">
        <w:t xml:space="preserve"> </w:t>
      </w:r>
      <w:r w:rsidRPr="00EA62C0">
        <w:rPr>
          <w:noProof/>
          <w:lang w:bidi="ar-SA"/>
        </w:rPr>
        <w:drawing>
          <wp:inline distT="0" distB="0" distL="0" distR="0" wp14:anchorId="3268CC3F" wp14:editId="79706A52">
            <wp:extent cx="1095821" cy="1097280"/>
            <wp:effectExtent l="19050" t="0" r="9079" b="0"/>
            <wp:docPr id="1070" name="Picture 1069" descr="Fast Marching2-Cut.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ast Marching2-Cut.png"/>
                    <pic:cNvPicPr/>
                  </pic:nvPicPr>
                  <pic:blipFill>
                    <a:blip r:embed="rId19" cstate="print"/>
                    <a:stretch>
                      <a:fillRect/>
                    </a:stretch>
                  </pic:blipFill>
                  <pic:spPr>
                    <a:xfrm>
                      <a:off x="0" y="0"/>
                      <a:ext cx="1095821" cy="1097280"/>
                    </a:xfrm>
                    <a:prstGeom prst="rect">
                      <a:avLst/>
                    </a:prstGeom>
                  </pic:spPr>
                </pic:pic>
              </a:graphicData>
            </a:graphic>
          </wp:inline>
        </w:drawing>
      </w:r>
      <w:r w:rsidRPr="00EA62C0">
        <w:t xml:space="preserve">        </w:t>
      </w:r>
      <w:r w:rsidRPr="00EA62C0">
        <w:rPr>
          <w:noProof/>
          <w:lang w:bidi="ar-SA"/>
        </w:rPr>
        <w:drawing>
          <wp:inline distT="0" distB="0" distL="0" distR="0" wp14:anchorId="68ABB908" wp14:editId="1EE661D1">
            <wp:extent cx="1095820" cy="1097280"/>
            <wp:effectExtent l="19050" t="0" r="9080" b="0"/>
            <wp:docPr id="1071" name="Picture 1070" descr="Geometric2-Cut.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eometric2-Cut.png"/>
                    <pic:cNvPicPr/>
                  </pic:nvPicPr>
                  <pic:blipFill>
                    <a:blip r:embed="rId20" cstate="print"/>
                    <a:stretch>
                      <a:fillRect/>
                    </a:stretch>
                  </pic:blipFill>
                  <pic:spPr>
                    <a:xfrm>
                      <a:off x="0" y="0"/>
                      <a:ext cx="1095820" cy="1097280"/>
                    </a:xfrm>
                    <a:prstGeom prst="rect">
                      <a:avLst/>
                    </a:prstGeom>
                  </pic:spPr>
                </pic:pic>
              </a:graphicData>
            </a:graphic>
          </wp:inline>
        </w:drawing>
      </w:r>
      <w:r w:rsidRPr="00EA62C0">
        <w:t xml:space="preserve">      </w:t>
      </w:r>
      <w:r w:rsidRPr="00EA62C0">
        <w:rPr>
          <w:noProof/>
          <w:lang w:bidi="ar-SA"/>
        </w:rPr>
        <w:drawing>
          <wp:inline distT="0" distB="0" distL="0" distR="0" wp14:anchorId="074356B6" wp14:editId="3D62380B">
            <wp:extent cx="1091075" cy="1097280"/>
            <wp:effectExtent l="19050" t="0" r="0" b="0"/>
            <wp:docPr id="1072" name="Picture 1071" descr="shapeDetection2-Cut.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hapeDetection2-Cut.png"/>
                    <pic:cNvPicPr/>
                  </pic:nvPicPr>
                  <pic:blipFill>
                    <a:blip r:embed="rId21" cstate="print"/>
                    <a:stretch>
                      <a:fillRect/>
                    </a:stretch>
                  </pic:blipFill>
                  <pic:spPr>
                    <a:xfrm>
                      <a:off x="0" y="0"/>
                      <a:ext cx="1091075" cy="1097280"/>
                    </a:xfrm>
                    <a:prstGeom prst="rect">
                      <a:avLst/>
                    </a:prstGeom>
                  </pic:spPr>
                </pic:pic>
              </a:graphicData>
            </a:graphic>
          </wp:inline>
        </w:drawing>
      </w:r>
      <w:r w:rsidRPr="00EA62C0">
        <w:t xml:space="preserve">        </w:t>
      </w:r>
      <w:r w:rsidRPr="00EA62C0">
        <w:rPr>
          <w:noProof/>
          <w:lang w:bidi="ar-SA"/>
        </w:rPr>
        <w:drawing>
          <wp:inline distT="0" distB="0" distL="0" distR="0" wp14:anchorId="7C0CD31C" wp14:editId="130BE691">
            <wp:extent cx="1095821" cy="1097280"/>
            <wp:effectExtent l="19050" t="0" r="9079" b="0"/>
            <wp:docPr id="1073" name="Picture 1072" descr="Threshold3-Cut.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hreshold3-Cut.png"/>
                    <pic:cNvPicPr/>
                  </pic:nvPicPr>
                  <pic:blipFill>
                    <a:blip r:embed="rId22" cstate="print"/>
                    <a:stretch>
                      <a:fillRect/>
                    </a:stretch>
                  </pic:blipFill>
                  <pic:spPr>
                    <a:xfrm>
                      <a:off x="0" y="0"/>
                      <a:ext cx="1095821" cy="1097280"/>
                    </a:xfrm>
                    <a:prstGeom prst="rect">
                      <a:avLst/>
                    </a:prstGeom>
                  </pic:spPr>
                </pic:pic>
              </a:graphicData>
            </a:graphic>
          </wp:inline>
        </w:drawing>
      </w:r>
    </w:p>
    <w:p w:rsidR="007254B3" w:rsidRDefault="00EA62C0" w:rsidP="006F7022">
      <w:pPr>
        <w:keepNext/>
        <w:jc w:val="both"/>
      </w:pPr>
      <w:r w:rsidRPr="00EA62C0">
        <w:t xml:space="preserve">            </w:t>
      </w:r>
      <w:r>
        <w:t xml:space="preserve">  </w:t>
      </w:r>
      <w:r w:rsidRPr="00EA62C0">
        <w:t>(e)</w:t>
      </w:r>
      <w:r>
        <w:t xml:space="preserve">                                </w:t>
      </w:r>
      <w:r w:rsidRPr="00EA62C0">
        <w:t xml:space="preserve">(f) </w:t>
      </w:r>
      <w:r>
        <w:t xml:space="preserve">                             </w:t>
      </w:r>
      <w:r w:rsidRPr="00EA62C0">
        <w:t xml:space="preserve">(g) </w:t>
      </w:r>
      <w:r>
        <w:t xml:space="preserve">                              </w:t>
      </w:r>
      <w:r w:rsidRPr="00EA62C0">
        <w:t xml:space="preserve">(h) </w:t>
      </w:r>
    </w:p>
    <w:p w:rsidR="007254B3" w:rsidRDefault="0042606E" w:rsidP="0042606E">
      <w:pPr>
        <w:pStyle w:val="Caption"/>
        <w:jc w:val="both"/>
        <w:rPr>
          <w:b w:val="0"/>
          <w:color w:val="auto"/>
          <w:sz w:val="24"/>
          <w:szCs w:val="24"/>
          <w:lang w:eastAsia="zh-CN"/>
        </w:rPr>
      </w:pPr>
      <w:bookmarkStart w:id="30" w:name="_Ref467066934"/>
      <w:bookmarkStart w:id="31" w:name="_Toc467168361"/>
      <w:r w:rsidRPr="0042606E">
        <w:rPr>
          <w:color w:val="auto"/>
          <w:sz w:val="24"/>
          <w:szCs w:val="24"/>
        </w:rPr>
        <w:t xml:space="preserve">Figure </w:t>
      </w:r>
      <w:r w:rsidR="009647D4" w:rsidRPr="0042606E">
        <w:rPr>
          <w:color w:val="auto"/>
          <w:sz w:val="24"/>
          <w:szCs w:val="24"/>
        </w:rPr>
        <w:fldChar w:fldCharType="begin"/>
      </w:r>
      <w:r w:rsidRPr="0042606E">
        <w:rPr>
          <w:color w:val="auto"/>
          <w:sz w:val="24"/>
          <w:szCs w:val="24"/>
        </w:rPr>
        <w:instrText xml:space="preserve"> SEQ Figure \* ARABIC </w:instrText>
      </w:r>
      <w:r w:rsidR="009647D4" w:rsidRPr="0042606E">
        <w:rPr>
          <w:color w:val="auto"/>
          <w:sz w:val="24"/>
          <w:szCs w:val="24"/>
        </w:rPr>
        <w:fldChar w:fldCharType="separate"/>
      </w:r>
      <w:r w:rsidR="00D719F4">
        <w:rPr>
          <w:noProof/>
          <w:color w:val="auto"/>
          <w:sz w:val="24"/>
          <w:szCs w:val="24"/>
        </w:rPr>
        <w:t>3</w:t>
      </w:r>
      <w:r w:rsidR="009647D4" w:rsidRPr="0042606E">
        <w:rPr>
          <w:color w:val="auto"/>
          <w:sz w:val="24"/>
          <w:szCs w:val="24"/>
        </w:rPr>
        <w:fldChar w:fldCharType="end"/>
      </w:r>
      <w:bookmarkEnd w:id="30"/>
      <w:r w:rsidRPr="0042606E">
        <w:rPr>
          <w:color w:val="auto"/>
          <w:sz w:val="24"/>
          <w:szCs w:val="24"/>
        </w:rPr>
        <w:t>:</w:t>
      </w:r>
      <w:r w:rsidRPr="0042606E">
        <w:rPr>
          <w:b w:val="0"/>
          <w:color w:val="auto"/>
          <w:sz w:val="24"/>
          <w:szCs w:val="24"/>
        </w:rPr>
        <w:t xml:space="preserve"> Segmentation samples of (a) connected (b) neighborhood (c) canny (d) multi-canny (e) fast marching (f) shape detection (g) geometric (h) threshold segmentation algorithms</w:t>
      </w:r>
      <w:bookmarkEnd w:id="31"/>
    </w:p>
    <w:p w:rsidR="00AC5A4A" w:rsidRPr="00AC5A4A" w:rsidRDefault="00AC5A4A" w:rsidP="00AC5A4A">
      <w:pPr>
        <w:pStyle w:val="TableofFigures"/>
        <w:rPr>
          <w:lang w:eastAsia="zh-CN"/>
        </w:rPr>
      </w:pPr>
    </w:p>
    <w:p w:rsidR="007D79AB" w:rsidRDefault="007D79AB" w:rsidP="00FB7A07">
      <w:pPr>
        <w:pStyle w:val="Heading2"/>
      </w:pPr>
      <w:bookmarkStart w:id="32" w:name="_Toc468963703"/>
      <w:r w:rsidRPr="007319C7">
        <w:t>Shape/volume based features</w:t>
      </w:r>
      <w:bookmarkEnd w:id="32"/>
    </w:p>
    <w:p w:rsidR="007D79AB" w:rsidRDefault="00B72ADF" w:rsidP="007D79AB">
      <w:pPr>
        <w:ind w:firstLine="720"/>
        <w:jc w:val="both"/>
        <w:rPr>
          <w:rFonts w:asciiTheme="majorHAnsi" w:hAnsiTheme="majorHAnsi" w:cstheme="majorHAnsi"/>
          <w:iCs/>
        </w:rPr>
      </w:pPr>
      <w:r>
        <w:rPr>
          <w:rFonts w:asciiTheme="majorHAnsi" w:hAnsiTheme="majorHAnsi" w:cstheme="majorHAnsi"/>
          <w:iCs/>
        </w:rPr>
        <w:t xml:space="preserve">This </w:t>
      </w:r>
      <w:r w:rsidR="007D79AB">
        <w:rPr>
          <w:rFonts w:asciiTheme="majorHAnsi" w:hAnsiTheme="majorHAnsi" w:cstheme="majorHAnsi"/>
          <w:iCs/>
        </w:rPr>
        <w:t xml:space="preserve">group includes 10 </w:t>
      </w:r>
      <w:r w:rsidR="007D79AB" w:rsidRPr="000B7A9E">
        <w:rPr>
          <w:rFonts w:asciiTheme="majorHAnsi" w:hAnsiTheme="majorHAnsi" w:cstheme="majorHAnsi"/>
          <w:iCs/>
          <w:noProof/>
        </w:rPr>
        <w:t>shape</w:t>
      </w:r>
      <w:r w:rsidR="007D79AB">
        <w:rPr>
          <w:rFonts w:asciiTheme="majorHAnsi" w:hAnsiTheme="majorHAnsi" w:cstheme="majorHAnsi"/>
          <w:iCs/>
        </w:rPr>
        <w:t xml:space="preserve"> and/or volume </w:t>
      </w:r>
      <w:r w:rsidR="007D79AB" w:rsidRPr="0091463E">
        <w:rPr>
          <w:rFonts w:asciiTheme="majorHAnsi" w:hAnsiTheme="majorHAnsi" w:cstheme="majorHAnsi"/>
          <w:iCs/>
        </w:rPr>
        <w:t xml:space="preserve">based </w:t>
      </w:r>
      <w:r w:rsidR="007D79AB">
        <w:rPr>
          <w:rFonts w:asciiTheme="majorHAnsi" w:hAnsiTheme="majorHAnsi" w:cstheme="majorHAnsi"/>
          <w:iCs/>
        </w:rPr>
        <w:t xml:space="preserve">features (F1-F10) </w:t>
      </w:r>
      <w:r w:rsidR="009647D4">
        <w:rPr>
          <w:rFonts w:asciiTheme="majorHAnsi" w:hAnsiTheme="majorHAnsi" w:cstheme="majorHAnsi"/>
          <w:iCs/>
        </w:rPr>
        <w:fldChar w:fldCharType="begin" w:fldLock="1"/>
      </w:r>
      <w:r w:rsidR="00535701">
        <w:rPr>
          <w:rFonts w:asciiTheme="majorHAnsi" w:hAnsiTheme="majorHAnsi" w:cstheme="majorHAnsi"/>
          <w:iCs/>
        </w:rPr>
        <w:instrText>ADDIN CSL_CITATION { "citationItems" : [ { "id" : "ITEM-1", "itemData" : { "DOI" : "10.1118/1.597775", "ISSN" : "0094-2405", "PMID" : "8994165", "abstract" : "As research efforts for developing computer-aided diagnosis (CAD) schemes of digitized mammograms increase and interscheme results are compared, the desire to establish an acceptable consistent reporting protocol of the distribution of abnormal characteristic is becoming an issue. \"Mass contrast\" is very important and frequently reported in current CAD studies. In this report, 100 verified mass regions were analyzed systemically using 6 different definitions of \"mass contrast.\" Measured variability in mass contrast was demonstrated by the distribution shift in this group masses. The need for universally accepted and largely standardized descriptors of objects of interest is clearly demonstrated.", "author" : [ { "dropping-particle" : "", "family" : "Zheng", "given" : "B", "non-dropping-particle" : "", "parse-names" : false, "suffix" : "" }, { "dropping-particle" : "", "family" : "Chang", "given" : "Y H", "non-dropping-particle" : "", "parse-names" : false, "suffix" : "" }, { "dropping-particle" : "", "family" : "Gur", "given" : "D", "non-dropping-particle" : "", "parse-names" : false, "suffix" : "" } ], "container-title" : "Medical physics", "id" : "ITEM-1", "issue" : "12", "issued" : { "date-parts" : [ [ "1996" ] ] }, "page" : "2007-9", "title" : "On the reporting of mass contrast in CAD research.", "type" : "article-journal", "volume" : "23" }, "uris" : [ "http://www.mendeley.com/documents/?uuid=bcbaedf1-6585-4610-81f2-ad4c9aae61b7" ] }, { "id" : "ITEM-2", "itemData" : { "author" : [ { "dropping-particle" : "", "family" : "Brake", "given" : "Guido M", "non-dropping-particle" : "", "parse-names" : false, "suffix" : "" }, { "dropping-particle" : "", "family" : "Karssemeijer", "given" : "Nico", "non-dropping-particle" : "", "parse-names" : false, "suffix" : "" }, { "dropping-particle" : "", "family" : "Hendriks", "given" : "Jan H C L", "non-dropping-particle" : "", "parse-names" : false, "suffix" : "" } ], "container-title" : "Physics in Medicine and Biology", "id" : "ITEM-2", "issued" : { "date-parts" : [ [ "2000" ] ] }, "page" : "2843-2587", "title" : "An automatic method to discriminate malignant masses from normal tissue in digital mammograms An automatic method to discriminate malignant masses from normal tissue in digital mammograms", "type" : "article-journal", "volume" : "45" }, "uris" : [ "http://www.mendeley.com/documents/?uuid=57286168-bfa9-4bec-9b8d-edecf4b8f916" ] }, { "id" : "ITEM-3", "itemData" : { "DOI" : "10.1118/1.2143139", "ISBN" : "0094-2405 (Print)\\r0094-2405 (Linking)", "ISSN" : "00942405", "PMID" : "16485416", "abstract" : "The purpose of this study was to develop and test a method for selecting \"visually similar\" regions of interest depicting breast masses from a reference library to be used in an interactive computer-aided diagnosis (CAD) environment. A reference library including 1000 malignant mass regions and 2000 benign and CAD-generated false-positive regions was established. When a suspicious mass region is identified, the scheme segments the region and searches for similar regions from the reference library using a multifeature based k-nearest neighbor (KNN) algorithm. To improve selection of reference images, we added an interactive step. All actual masses in the reference library were subjectively rated on a scale from 1 to 9 as to their \"visual margins speculations\". When an observer identifies a suspected mass region during a case interpretation he/she first rates the margins and the computerized search is then limited only to regions rated as having similar levels of spiculation (within +/-1 scale difference). In an observer preference study including 85 test regions, two sets of the six \"similar\" reference regions selected by the KNN with and without the interactive step were displayed side by side with each test region. Four radiologists and five nonclinician observers selected the more appropriate (\"similar\") reference set in a two alternative forced choice preference experiment. All four radiologists and five nonclinician observers preferred the sets of regions selected by the interactive method with an average frequency of 76.8% and 74.6%, respectively. The overall preference for the interactive method was highly significant (p &lt; 0.001). The study demonstrated that a simple interactive approach that includes subjectively perceived ratings of one feature alone namely, a rating of margin \"spiculation,\" could substantially improve the selection of \"visually similar\" reference images.", "author" : [ { "dropping-particle" : "", "family" : "Zheng", "given" : "Bin", "non-dropping-particle" : "", "parse-names" : false, "suffix" : "" }, { "dropping-particle" : "", "family" : "Lu", "given" : "Amy", "non-dropping-particle" : "", "parse-names" : false, "suffix" : "" }, { "dropping-particle" : "", "family" : "Hardesty", "given" : "Lara a", "non-dropping-particle" : "", "parse-names" : false, "suffix" : "" }, { "dropping-particle" : "", "family" : "Sumkin", "given" : "Jules H", "non-dropping-particle" : "", "parse-names" : false, "suffix" : "" }, { "dropping-particle" : "", "family" : "Hakim", "given" : "Christiane M", "non-dropping-particle" : "", "parse-names" : false, "suffix" : "" }, { "dropping-particle" : "", "family" : "Ganott", "given" : "Marie a", "non-dropping-particle" : "", "parse-names" : false, "suffix" : "" }, { "dropping-particle" : "", "family" : "Gur", "given" : "David", "non-dropping-particle" : "", "parse-names" : false, "suffix" : "" } ], "container-title" : "Medical physics", "id" : "ITEM-3", "issue" : "1", "issued" : { "date-parts" : [ [ "2006" ] ] }, "page" : "111-117", "title" : "A method to improve visual similarity of breast masses for an interactive computer-aided diagnosis environment.", "type" : "article-journal", "volume" : "33" }, "uris" : [ "http://www.mendeley.com/documents/?uuid=56e56a06-21c4-4b5b-919f-84ab5ed082bd" ] } ], "mendeley" : { "formattedCitation" : "[14], [16], [17]", "manualFormatting" : "[14-17]", "plainTextFormattedCitation" : "[14], [16], [17]", "previouslyFormattedCitation" : "[14], [16], [17]" }, "properties" : { "noteIndex" : 0 }, "schema" : "https://github.com/citation-style-language/schema/raw/master/csl-citation.json" }</w:instrText>
      </w:r>
      <w:r w:rsidR="009647D4">
        <w:rPr>
          <w:rFonts w:asciiTheme="majorHAnsi" w:hAnsiTheme="majorHAnsi" w:cstheme="majorHAnsi"/>
          <w:iCs/>
        </w:rPr>
        <w:fldChar w:fldCharType="separate"/>
      </w:r>
      <w:r w:rsidR="007D79AB">
        <w:rPr>
          <w:rFonts w:asciiTheme="majorHAnsi" w:hAnsiTheme="majorHAnsi" w:cstheme="majorHAnsi"/>
          <w:iCs/>
          <w:noProof/>
        </w:rPr>
        <w:t>[14-</w:t>
      </w:r>
      <w:r w:rsidR="007D79AB" w:rsidRPr="000B580D">
        <w:rPr>
          <w:rFonts w:asciiTheme="majorHAnsi" w:hAnsiTheme="majorHAnsi" w:cstheme="majorHAnsi"/>
          <w:iCs/>
          <w:noProof/>
        </w:rPr>
        <w:t>17]</w:t>
      </w:r>
      <w:r w:rsidR="009647D4">
        <w:rPr>
          <w:rFonts w:asciiTheme="majorHAnsi" w:hAnsiTheme="majorHAnsi" w:cstheme="majorHAnsi"/>
          <w:iCs/>
        </w:rPr>
        <w:fldChar w:fldCharType="end"/>
      </w:r>
      <w:r w:rsidR="007D79AB">
        <w:rPr>
          <w:rFonts w:asciiTheme="majorHAnsi" w:hAnsiTheme="majorHAnsi" w:cstheme="majorHAnsi"/>
          <w:iCs/>
        </w:rPr>
        <w:t xml:space="preserve">. These features </w:t>
      </w:r>
      <w:r>
        <w:rPr>
          <w:rFonts w:asciiTheme="majorHAnsi" w:hAnsiTheme="majorHAnsi" w:cstheme="majorHAnsi"/>
          <w:iCs/>
        </w:rPr>
        <w:t>estimate tumor characteristics including</w:t>
      </w:r>
      <w:r w:rsidR="007D79AB">
        <w:rPr>
          <w:rFonts w:asciiTheme="majorHAnsi" w:hAnsiTheme="majorHAnsi" w:cstheme="majorHAnsi"/>
          <w:iCs/>
        </w:rPr>
        <w:t xml:space="preserve"> shape, </w:t>
      </w:r>
      <w:r w:rsidR="007D79AB" w:rsidRPr="000B7A9E">
        <w:rPr>
          <w:rFonts w:asciiTheme="majorHAnsi" w:hAnsiTheme="majorHAnsi" w:cstheme="majorHAnsi"/>
          <w:iCs/>
          <w:noProof/>
        </w:rPr>
        <w:t>volume</w:t>
      </w:r>
      <w:r w:rsidR="007D79AB">
        <w:rPr>
          <w:rFonts w:asciiTheme="majorHAnsi" w:hAnsiTheme="majorHAnsi" w:cstheme="majorHAnsi"/>
          <w:iCs/>
          <w:noProof/>
        </w:rPr>
        <w:t>,</w:t>
      </w:r>
      <w:r w:rsidR="007D79AB">
        <w:rPr>
          <w:rFonts w:asciiTheme="majorHAnsi" w:hAnsiTheme="majorHAnsi" w:cstheme="majorHAnsi"/>
          <w:iCs/>
        </w:rPr>
        <w:t xml:space="preserve"> and related geometric distortions. </w:t>
      </w:r>
    </w:p>
    <w:p w:rsidR="007D79AB" w:rsidRDefault="007D79AB" w:rsidP="007D79AB">
      <w:pPr>
        <w:numPr>
          <w:ilvl w:val="0"/>
          <w:numId w:val="6"/>
        </w:numPr>
        <w:jc w:val="both"/>
        <w:rPr>
          <w:rFonts w:asciiTheme="majorHAnsi" w:hAnsiTheme="majorHAnsi" w:cstheme="majorHAnsi"/>
          <w:iCs/>
        </w:rPr>
      </w:pPr>
      <w:r w:rsidRPr="00B843B9">
        <w:rPr>
          <w:rFonts w:asciiTheme="majorHAnsi" w:hAnsiTheme="majorHAnsi" w:cstheme="majorHAnsi"/>
          <w:b/>
          <w:iCs/>
        </w:rPr>
        <w:t xml:space="preserve">Convexity: </w:t>
      </w:r>
      <w:r w:rsidRPr="00B843B9">
        <w:rPr>
          <w:rFonts w:asciiTheme="majorHAnsi" w:hAnsiTheme="majorHAnsi" w:cstheme="majorHAnsi"/>
          <w:iCs/>
        </w:rPr>
        <w:t>It describes the smoothness of edges of the tumor, which can be calculated as follows:</w:t>
      </w:r>
    </w:p>
    <w:tbl>
      <w:tblPr>
        <w:tblStyle w:val="TableGrid"/>
        <w:tblW w:w="864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28"/>
        <w:gridCol w:w="7200"/>
        <w:gridCol w:w="621"/>
      </w:tblGrid>
      <w:tr w:rsidR="005C0CFB" w:rsidTr="003F1006">
        <w:trPr>
          <w:trHeight w:val="395"/>
        </w:trPr>
        <w:tc>
          <w:tcPr>
            <w:tcW w:w="828" w:type="dxa"/>
            <w:vAlign w:val="center"/>
          </w:tcPr>
          <w:p w:rsidR="005C0CFB" w:rsidRDefault="005C0CFB" w:rsidP="00727C16">
            <w:pPr>
              <w:jc w:val="center"/>
              <w:rPr>
                <w:rFonts w:cstheme="minorHAnsi"/>
              </w:rPr>
            </w:pPr>
          </w:p>
        </w:tc>
        <w:tc>
          <w:tcPr>
            <w:tcW w:w="7200" w:type="dxa"/>
            <w:vAlign w:val="center"/>
          </w:tcPr>
          <w:p w:rsidR="005C0CFB" w:rsidRDefault="005C0CFB" w:rsidP="00727C16">
            <w:pPr>
              <w:jc w:val="center"/>
              <w:rPr>
                <w:rFonts w:cstheme="minorHAnsi"/>
              </w:rPr>
            </w:pPr>
            <m:oMath>
              <m:r>
                <w:rPr>
                  <w:rFonts w:ascii="Cambria Math" w:hAnsi="Cambria Math" w:cstheme="minorHAnsi"/>
                </w:rPr>
                <m:t xml:space="preserve">convexity=  </m:t>
              </m:r>
              <m:f>
                <m:fPr>
                  <m:ctrlPr>
                    <w:rPr>
                      <w:rFonts w:ascii="Cambria Math" w:hAnsi="Cambria Math" w:cstheme="minorHAnsi"/>
                      <w:i/>
                      <w:iCs/>
                      <w:vertAlign w:val="subscript"/>
                    </w:rPr>
                  </m:ctrlPr>
                </m:fPr>
                <m:num>
                  <m:r>
                    <w:rPr>
                      <w:rFonts w:ascii="Cambria Math" w:hAnsi="Cambria Math" w:cstheme="minorHAnsi"/>
                      <w:vertAlign w:val="subscript"/>
                    </w:rPr>
                    <m:t>Tumor region area</m:t>
                  </m:r>
                </m:num>
                <m:den>
                  <m:r>
                    <w:rPr>
                      <w:rFonts w:ascii="Cambria Math" w:hAnsi="Cambria Math" w:cstheme="minorHAnsi"/>
                      <w:vertAlign w:val="subscript"/>
                    </w:rPr>
                    <m:t>Convex region area</m:t>
                  </m:r>
                </m:den>
              </m:f>
            </m:oMath>
            <w:r>
              <w:rPr>
                <w:rFonts w:cstheme="minorHAnsi"/>
              </w:rPr>
              <w:t xml:space="preserve"> </w:t>
            </w:r>
          </w:p>
        </w:tc>
        <w:tc>
          <w:tcPr>
            <w:tcW w:w="621" w:type="dxa"/>
            <w:vAlign w:val="center"/>
          </w:tcPr>
          <w:p w:rsidR="005C0CFB" w:rsidRDefault="005C0CFB" w:rsidP="003F1006">
            <w:pPr>
              <w:jc w:val="center"/>
              <w:rPr>
                <w:rFonts w:cstheme="minorHAnsi"/>
              </w:rPr>
            </w:pPr>
            <w:r>
              <w:rPr>
                <w:rFonts w:cstheme="minorHAnsi"/>
              </w:rPr>
              <w:t>(</w:t>
            </w:r>
            <w:fldSimple w:instr=" SEQ Eq \* MERGEFORMAT ">
              <w:r w:rsidR="00D719F4" w:rsidRPr="00D719F4">
                <w:rPr>
                  <w:rFonts w:cstheme="minorHAnsi"/>
                  <w:noProof/>
                </w:rPr>
                <w:t>14</w:t>
              </w:r>
            </w:fldSimple>
            <w:r>
              <w:rPr>
                <w:rFonts w:cstheme="minorHAnsi"/>
              </w:rPr>
              <w:t>)</w:t>
            </w:r>
          </w:p>
        </w:tc>
      </w:tr>
    </w:tbl>
    <w:p w:rsidR="007D79AB" w:rsidRPr="001F563C" w:rsidRDefault="007D79AB" w:rsidP="001F563C">
      <w:pPr>
        <w:pStyle w:val="ListParagraph"/>
        <w:numPr>
          <w:ilvl w:val="0"/>
          <w:numId w:val="6"/>
        </w:numPr>
        <w:rPr>
          <w:b/>
        </w:rPr>
      </w:pPr>
      <w:r w:rsidRPr="001F563C">
        <w:rPr>
          <w:b/>
        </w:rPr>
        <w:t xml:space="preserve">Tumor volume: </w:t>
      </w:r>
      <w:r w:rsidRPr="001F563C">
        <w:t>This is the total volume of all the tumor voxels</w:t>
      </w:r>
      <w:r w:rsidR="00A40BCD" w:rsidRPr="001F563C">
        <w:t>.</w:t>
      </w:r>
    </w:p>
    <w:p w:rsidR="007D79AB" w:rsidRDefault="007D79AB" w:rsidP="007D79AB">
      <w:pPr>
        <w:pStyle w:val="ListParagraph"/>
        <w:numPr>
          <w:ilvl w:val="0"/>
          <w:numId w:val="6"/>
        </w:numPr>
        <w:jc w:val="both"/>
        <w:rPr>
          <w:rFonts w:asciiTheme="majorHAnsi" w:hAnsiTheme="majorHAnsi" w:cstheme="majorHAnsi"/>
          <w:iCs/>
        </w:rPr>
      </w:pPr>
      <w:r w:rsidRPr="00F51A69">
        <w:rPr>
          <w:rFonts w:asciiTheme="majorHAnsi" w:hAnsiTheme="majorHAnsi" w:cstheme="majorHAnsi"/>
          <w:b/>
          <w:iCs/>
        </w:rPr>
        <w:t xml:space="preserve">Max </w:t>
      </w:r>
      <w:r>
        <w:rPr>
          <w:rFonts w:asciiTheme="majorHAnsi" w:hAnsiTheme="majorHAnsi" w:cstheme="majorHAnsi"/>
          <w:b/>
          <w:iCs/>
        </w:rPr>
        <w:t>radius</w:t>
      </w:r>
      <w:r w:rsidRPr="00F51A69">
        <w:rPr>
          <w:rFonts w:asciiTheme="majorHAnsi" w:hAnsiTheme="majorHAnsi" w:cstheme="majorHAnsi"/>
          <w:b/>
          <w:iCs/>
        </w:rPr>
        <w:t>:</w:t>
      </w:r>
      <w:r w:rsidRPr="00F51A69">
        <w:rPr>
          <w:rFonts w:asciiTheme="majorHAnsi" w:hAnsiTheme="majorHAnsi" w:cstheme="majorHAnsi"/>
          <w:iCs/>
        </w:rPr>
        <w:t xml:space="preserve"> we comp</w:t>
      </w:r>
      <w:r>
        <w:rPr>
          <w:rFonts w:asciiTheme="majorHAnsi" w:hAnsiTheme="majorHAnsi" w:cstheme="majorHAnsi"/>
          <w:iCs/>
        </w:rPr>
        <w:t xml:space="preserve">uted all the possible </w:t>
      </w:r>
      <w:bookmarkStart w:id="33" w:name="OLE_LINK5"/>
      <w:bookmarkStart w:id="34" w:name="OLE_LINK6"/>
      <w:r>
        <w:rPr>
          <w:rFonts w:asciiTheme="majorHAnsi" w:hAnsiTheme="majorHAnsi" w:cstheme="majorHAnsi"/>
          <w:iCs/>
        </w:rPr>
        <w:t>radii</w:t>
      </w:r>
      <w:bookmarkEnd w:id="33"/>
      <w:bookmarkEnd w:id="34"/>
      <w:r>
        <w:rPr>
          <w:rFonts w:asciiTheme="majorHAnsi" w:hAnsiTheme="majorHAnsi" w:cstheme="majorHAnsi"/>
          <w:iCs/>
        </w:rPr>
        <w:t xml:space="preserve"> between the </w:t>
      </w:r>
      <w:r w:rsidRPr="004F0BE8">
        <w:rPr>
          <w:rFonts w:asciiTheme="majorHAnsi" w:hAnsiTheme="majorHAnsi" w:cstheme="majorHAnsi"/>
          <w:iCs/>
          <w:noProof/>
        </w:rPr>
        <w:t>cent</w:t>
      </w:r>
      <w:r>
        <w:rPr>
          <w:rFonts w:asciiTheme="majorHAnsi" w:hAnsiTheme="majorHAnsi" w:cstheme="majorHAnsi"/>
          <w:iCs/>
          <w:noProof/>
        </w:rPr>
        <w:t xml:space="preserve">er </w:t>
      </w:r>
      <w:r>
        <w:rPr>
          <w:rFonts w:asciiTheme="majorHAnsi" w:hAnsiTheme="majorHAnsi" w:cstheme="majorHAnsi"/>
          <w:iCs/>
        </w:rPr>
        <w:t xml:space="preserve">and all tumor surface pixels. Then the maximum of </w:t>
      </w:r>
      <w:r w:rsidRPr="0008462C">
        <w:rPr>
          <w:rFonts w:asciiTheme="majorHAnsi" w:hAnsiTheme="majorHAnsi" w:cstheme="majorHAnsi"/>
          <w:iCs/>
          <w:noProof/>
        </w:rPr>
        <w:t>radii</w:t>
      </w:r>
      <w:r>
        <w:rPr>
          <w:rFonts w:asciiTheme="majorHAnsi" w:hAnsiTheme="majorHAnsi" w:cstheme="majorHAnsi"/>
          <w:iCs/>
        </w:rPr>
        <w:t xml:space="preserve"> is considered as the </w:t>
      </w:r>
      <w:r w:rsidRPr="004F0BE8">
        <w:rPr>
          <w:rFonts w:asciiTheme="majorHAnsi" w:hAnsiTheme="majorHAnsi" w:cstheme="majorHAnsi"/>
          <w:iCs/>
          <w:noProof/>
        </w:rPr>
        <w:t>max</w:t>
      </w:r>
      <w:r>
        <w:rPr>
          <w:rFonts w:asciiTheme="majorHAnsi" w:hAnsiTheme="majorHAnsi" w:cstheme="majorHAnsi"/>
          <w:iCs/>
        </w:rPr>
        <w:t xml:space="preserve"> radius.</w:t>
      </w:r>
    </w:p>
    <w:p w:rsidR="007D79AB" w:rsidRDefault="007D79AB" w:rsidP="007D79AB">
      <w:pPr>
        <w:pStyle w:val="ListParagraph"/>
        <w:numPr>
          <w:ilvl w:val="0"/>
          <w:numId w:val="6"/>
        </w:numPr>
        <w:jc w:val="both"/>
        <w:rPr>
          <w:rFonts w:asciiTheme="majorHAnsi" w:hAnsiTheme="majorHAnsi" w:cstheme="majorHAnsi"/>
          <w:iCs/>
        </w:rPr>
      </w:pPr>
      <w:r w:rsidRPr="006D56D3">
        <w:rPr>
          <w:rFonts w:asciiTheme="majorHAnsi" w:hAnsiTheme="majorHAnsi" w:cstheme="majorHAnsi"/>
          <w:b/>
          <w:iCs/>
        </w:rPr>
        <w:lastRenderedPageBreak/>
        <w:t>STD RL:</w:t>
      </w:r>
      <w:r>
        <w:rPr>
          <w:rFonts w:asciiTheme="majorHAnsi" w:hAnsiTheme="majorHAnsi" w:cstheme="majorHAnsi"/>
          <w:iCs/>
        </w:rPr>
        <w:t xml:space="preserve"> It is the ratio of standard deviation and average of all the radii between center and tumor </w:t>
      </w:r>
      <w:r w:rsidRPr="0022675B">
        <w:rPr>
          <w:rFonts w:asciiTheme="majorHAnsi" w:hAnsiTheme="majorHAnsi" w:cstheme="majorHAnsi"/>
          <w:iCs/>
        </w:rPr>
        <w:t>surface</w:t>
      </w:r>
      <w:r>
        <w:rPr>
          <w:rFonts w:asciiTheme="majorHAnsi" w:hAnsiTheme="majorHAnsi" w:cstheme="majorHAnsi"/>
          <w:iCs/>
        </w:rPr>
        <w:t xml:space="preserve"> pixels.</w:t>
      </w:r>
    </w:p>
    <w:tbl>
      <w:tblPr>
        <w:tblStyle w:val="TableGrid"/>
        <w:tblW w:w="864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28"/>
        <w:gridCol w:w="7200"/>
        <w:gridCol w:w="621"/>
      </w:tblGrid>
      <w:tr w:rsidR="005C0CFB" w:rsidTr="003F1006">
        <w:trPr>
          <w:trHeight w:val="395"/>
        </w:trPr>
        <w:tc>
          <w:tcPr>
            <w:tcW w:w="828" w:type="dxa"/>
            <w:vAlign w:val="center"/>
          </w:tcPr>
          <w:p w:rsidR="005C0CFB" w:rsidRDefault="005C0CFB" w:rsidP="00727C16">
            <w:pPr>
              <w:jc w:val="center"/>
              <w:rPr>
                <w:rFonts w:cstheme="minorHAnsi"/>
              </w:rPr>
            </w:pPr>
          </w:p>
        </w:tc>
        <w:tc>
          <w:tcPr>
            <w:tcW w:w="7200" w:type="dxa"/>
            <w:vAlign w:val="center"/>
          </w:tcPr>
          <w:p w:rsidR="005C0CFB" w:rsidRDefault="005C0CFB" w:rsidP="00727C16">
            <w:pPr>
              <w:jc w:val="center"/>
              <w:rPr>
                <w:rFonts w:cstheme="minorHAnsi"/>
              </w:rPr>
            </w:pPr>
            <m:oMath>
              <m:r>
                <w:rPr>
                  <w:rFonts w:ascii="Cambria Math" w:hAnsi="Cambria Math" w:cstheme="minorHAnsi"/>
                </w:rPr>
                <m:t>STD RL=</m:t>
              </m:r>
              <m:f>
                <m:fPr>
                  <m:ctrlPr>
                    <w:rPr>
                      <w:rFonts w:ascii="Cambria Math" w:hAnsi="Cambria Math" w:cstheme="minorHAnsi"/>
                      <w:i/>
                      <w:iCs/>
                    </w:rPr>
                  </m:ctrlPr>
                </m:fPr>
                <m:num>
                  <m:rad>
                    <m:radPr>
                      <m:degHide m:val="1"/>
                      <m:ctrlPr>
                        <w:rPr>
                          <w:rFonts w:ascii="Cambria Math" w:hAnsi="Cambria Math" w:cstheme="minorHAnsi"/>
                          <w:i/>
                          <w:iCs/>
                        </w:rPr>
                      </m:ctrlPr>
                    </m:radPr>
                    <m:deg/>
                    <m:e>
                      <m:f>
                        <m:fPr>
                          <m:ctrlPr>
                            <w:rPr>
                              <w:rFonts w:ascii="Cambria Math" w:hAnsi="Cambria Math" w:cstheme="minorHAnsi"/>
                              <w:i/>
                              <w:iCs/>
                            </w:rPr>
                          </m:ctrlPr>
                        </m:fPr>
                        <m:num>
                          <m:nary>
                            <m:naryPr>
                              <m:chr m:val="∑"/>
                              <m:limLoc m:val="undOvr"/>
                              <m:ctrlPr>
                                <w:rPr>
                                  <w:rFonts w:ascii="Cambria Math" w:hAnsi="Cambria Math" w:cstheme="minorHAnsi"/>
                                  <w:i/>
                                  <w:iCs/>
                                </w:rPr>
                              </m:ctrlPr>
                            </m:naryPr>
                            <m:sub>
                              <m:r>
                                <w:rPr>
                                  <w:rFonts w:ascii="Cambria Math" w:hAnsi="Cambria Math" w:cstheme="minorHAnsi"/>
                                </w:rPr>
                                <m:t>i=1</m:t>
                              </m:r>
                            </m:sub>
                            <m:sup>
                              <m:r>
                                <w:rPr>
                                  <w:rFonts w:ascii="Cambria Math" w:hAnsi="Cambria Math" w:cstheme="minorHAnsi"/>
                                </w:rPr>
                                <m:t>N</m:t>
                              </m:r>
                            </m:sup>
                            <m:e>
                              <m:sSup>
                                <m:sSupPr>
                                  <m:ctrlPr>
                                    <w:rPr>
                                      <w:rFonts w:ascii="Cambria Math" w:hAnsi="Cambria Math" w:cstheme="minorHAnsi"/>
                                      <w:i/>
                                      <w:iCs/>
                                    </w:rPr>
                                  </m:ctrlPr>
                                </m:sSupPr>
                                <m:e>
                                  <m:d>
                                    <m:dPr>
                                      <m:ctrlPr>
                                        <w:rPr>
                                          <w:rFonts w:ascii="Cambria Math" w:hAnsi="Cambria Math" w:cstheme="minorHAnsi"/>
                                          <w:i/>
                                          <w:iCs/>
                                        </w:rPr>
                                      </m:ctrlPr>
                                    </m:dPr>
                                    <m:e>
                                      <m:sSub>
                                        <m:sSubPr>
                                          <m:ctrlPr>
                                            <w:rPr>
                                              <w:rFonts w:ascii="Cambria Math" w:hAnsi="Cambria Math" w:cstheme="minorHAnsi"/>
                                              <w:i/>
                                              <w:iCs/>
                                            </w:rPr>
                                          </m:ctrlPr>
                                        </m:sSubPr>
                                        <m:e>
                                          <m:r>
                                            <w:rPr>
                                              <w:rFonts w:ascii="Cambria Math" w:hAnsi="Cambria Math" w:cstheme="minorHAnsi"/>
                                            </w:rPr>
                                            <m:t>I</m:t>
                                          </m:r>
                                        </m:e>
                                        <m:sub>
                                          <m:r>
                                            <w:rPr>
                                              <w:rFonts w:ascii="Cambria Math" w:hAnsi="Cambria Math" w:cstheme="minorHAnsi"/>
                                            </w:rPr>
                                            <m:t>i</m:t>
                                          </m:r>
                                        </m:sub>
                                      </m:sSub>
                                      <m:r>
                                        <w:rPr>
                                          <w:rFonts w:ascii="Cambria Math" w:hAnsi="Cambria Math" w:cstheme="minorHAnsi"/>
                                        </w:rPr>
                                        <m:t>-</m:t>
                                      </m:r>
                                      <m:bar>
                                        <m:barPr>
                                          <m:pos m:val="top"/>
                                          <m:ctrlPr>
                                            <w:rPr>
                                              <w:rFonts w:ascii="Cambria Math" w:hAnsi="Cambria Math" w:cstheme="minorHAnsi"/>
                                              <w:i/>
                                              <w:iCs/>
                                            </w:rPr>
                                          </m:ctrlPr>
                                        </m:barPr>
                                        <m:e>
                                          <m:r>
                                            <w:rPr>
                                              <w:rFonts w:ascii="Cambria Math" w:hAnsi="Cambria Math" w:cstheme="minorHAnsi"/>
                                            </w:rPr>
                                            <m:t>R</m:t>
                                          </m:r>
                                        </m:e>
                                      </m:bar>
                                      <m:sSub>
                                        <m:sSubPr>
                                          <m:ctrlPr>
                                            <w:rPr>
                                              <w:rFonts w:ascii="Cambria Math" w:hAnsi="Cambria Math" w:cstheme="minorHAnsi"/>
                                              <w:i/>
                                              <w:iCs/>
                                            </w:rPr>
                                          </m:ctrlPr>
                                        </m:sSubPr>
                                        <m:e>
                                          <m:r>
                                            <w:rPr>
                                              <w:rFonts w:ascii="Cambria Math" w:hAnsi="Cambria Math" w:cstheme="minorHAnsi"/>
                                            </w:rPr>
                                            <m:t> </m:t>
                                          </m:r>
                                        </m:e>
                                        <m:sub>
                                          <m:r>
                                            <w:rPr>
                                              <w:rFonts w:ascii="Cambria Math" w:hAnsi="Cambria Math" w:cstheme="minorHAnsi"/>
                                              <w:vertAlign w:val="subscript"/>
                                            </w:rPr>
                                            <m:t>i</m:t>
                                          </m:r>
                                        </m:sub>
                                      </m:sSub>
                                    </m:e>
                                  </m:d>
                                </m:e>
                                <m:sup>
                                  <m:r>
                                    <w:rPr>
                                      <w:rFonts w:ascii="Cambria Math" w:hAnsi="Cambria Math" w:cstheme="minorHAnsi"/>
                                    </w:rPr>
                                    <m:t>2</m:t>
                                  </m:r>
                                </m:sup>
                              </m:sSup>
                            </m:e>
                          </m:nary>
                        </m:num>
                        <m:den>
                          <m:r>
                            <w:rPr>
                              <w:rFonts w:ascii="Cambria Math" w:hAnsi="Cambria Math" w:cstheme="minorHAnsi"/>
                            </w:rPr>
                            <m:t>N-1</m:t>
                          </m:r>
                        </m:den>
                      </m:f>
                    </m:e>
                  </m:rad>
                </m:num>
                <m:den>
                  <m:f>
                    <m:fPr>
                      <m:ctrlPr>
                        <w:rPr>
                          <w:rFonts w:ascii="Cambria Math" w:hAnsi="Cambria Math" w:cstheme="minorHAnsi"/>
                          <w:i/>
                          <w:iCs/>
                        </w:rPr>
                      </m:ctrlPr>
                    </m:fPr>
                    <m:num>
                      <m:r>
                        <w:rPr>
                          <w:rFonts w:ascii="Cambria Math" w:hAnsi="Cambria Math" w:cstheme="minorHAnsi"/>
                        </w:rPr>
                        <m:t>1</m:t>
                      </m:r>
                    </m:num>
                    <m:den>
                      <m:r>
                        <w:rPr>
                          <w:rFonts w:ascii="Cambria Math" w:hAnsi="Cambria Math" w:cstheme="minorHAnsi"/>
                        </w:rPr>
                        <m:t>N</m:t>
                      </m:r>
                    </m:den>
                  </m:f>
                  <m:nary>
                    <m:naryPr>
                      <m:chr m:val="∑"/>
                      <m:ctrlPr>
                        <w:rPr>
                          <w:rFonts w:ascii="Cambria Math" w:hAnsi="Cambria Math" w:cstheme="minorHAnsi"/>
                          <w:i/>
                          <w:iCs/>
                        </w:rPr>
                      </m:ctrlPr>
                    </m:naryPr>
                    <m:sub>
                      <m:r>
                        <w:rPr>
                          <w:rFonts w:ascii="Cambria Math" w:hAnsi="Cambria Math" w:cstheme="minorHAnsi"/>
                        </w:rPr>
                        <m:t>i=1</m:t>
                      </m:r>
                    </m:sub>
                    <m:sup>
                      <m:r>
                        <w:rPr>
                          <w:rFonts w:ascii="Cambria Math" w:hAnsi="Cambria Math" w:cstheme="minorHAnsi"/>
                        </w:rPr>
                        <m:t>N</m:t>
                      </m:r>
                    </m:sup>
                    <m:e>
                      <m:r>
                        <w:rPr>
                          <w:rFonts w:ascii="Cambria Math" w:hAnsi="Cambria Math" w:cstheme="minorHAnsi"/>
                        </w:rPr>
                        <m:t>R</m:t>
                      </m:r>
                      <m:sSub>
                        <m:sSubPr>
                          <m:ctrlPr>
                            <w:rPr>
                              <w:rFonts w:ascii="Cambria Math" w:hAnsi="Cambria Math" w:cstheme="minorHAnsi"/>
                              <w:i/>
                              <w:iCs/>
                            </w:rPr>
                          </m:ctrlPr>
                        </m:sSubPr>
                        <m:e>
                          <m:r>
                            <w:rPr>
                              <w:rFonts w:ascii="Cambria Math" w:hAnsi="Cambria Math" w:cstheme="minorHAnsi"/>
                            </w:rPr>
                            <m:t> </m:t>
                          </m:r>
                        </m:e>
                        <m:sub>
                          <m:r>
                            <w:rPr>
                              <w:rFonts w:ascii="Cambria Math" w:hAnsi="Cambria Math" w:cstheme="minorHAnsi"/>
                              <w:vertAlign w:val="subscript"/>
                            </w:rPr>
                            <m:t>i</m:t>
                          </m:r>
                        </m:sub>
                      </m:sSub>
                    </m:e>
                  </m:nary>
                </m:den>
              </m:f>
              <m:r>
                <w:rPr>
                  <w:rFonts w:ascii="Cambria Math" w:hAnsi="Cambria Math" w:cstheme="minorHAnsi"/>
                </w:rPr>
                <m:t xml:space="preserve">= </m:t>
              </m:r>
              <m:f>
                <m:fPr>
                  <m:ctrlPr>
                    <w:rPr>
                      <w:rFonts w:ascii="Cambria Math" w:hAnsi="Cambria Math" w:cstheme="minorHAnsi"/>
                      <w:i/>
                      <w:iCs/>
                    </w:rPr>
                  </m:ctrlPr>
                </m:fPr>
                <m:num>
                  <m:r>
                    <w:rPr>
                      <w:rFonts w:ascii="Cambria Math" w:hAnsi="Cambria Math" w:cstheme="minorHAnsi"/>
                    </w:rPr>
                    <m:t>STD of radii</m:t>
                  </m:r>
                </m:num>
                <m:den>
                  <m:r>
                    <w:rPr>
                      <w:rFonts w:ascii="Cambria Math" w:hAnsi="Cambria Math" w:cstheme="minorHAnsi"/>
                    </w:rPr>
                    <m:t>mean of radii</m:t>
                  </m:r>
                </m:den>
              </m:f>
            </m:oMath>
            <w:r>
              <w:rPr>
                <w:rFonts w:cstheme="minorHAnsi"/>
              </w:rPr>
              <w:t xml:space="preserve"> </w:t>
            </w:r>
          </w:p>
        </w:tc>
        <w:tc>
          <w:tcPr>
            <w:tcW w:w="621" w:type="dxa"/>
            <w:vAlign w:val="center"/>
          </w:tcPr>
          <w:p w:rsidR="005C0CFB" w:rsidRDefault="005C0CFB" w:rsidP="003F1006">
            <w:pPr>
              <w:jc w:val="center"/>
              <w:rPr>
                <w:rFonts w:cstheme="minorHAnsi"/>
              </w:rPr>
            </w:pPr>
            <w:r>
              <w:rPr>
                <w:rFonts w:cstheme="minorHAnsi"/>
              </w:rPr>
              <w:t>(</w:t>
            </w:r>
            <w:fldSimple w:instr=" SEQ Eq \* MERGEFORMAT ">
              <w:r w:rsidR="00D719F4" w:rsidRPr="00D719F4">
                <w:rPr>
                  <w:rFonts w:cstheme="minorHAnsi"/>
                  <w:noProof/>
                </w:rPr>
                <w:t>15</w:t>
              </w:r>
            </w:fldSimple>
            <w:r>
              <w:rPr>
                <w:rFonts w:cstheme="minorHAnsi"/>
              </w:rPr>
              <w:t>)</w:t>
            </w:r>
          </w:p>
        </w:tc>
      </w:tr>
    </w:tbl>
    <w:p w:rsidR="007D79AB" w:rsidRPr="007625D6" w:rsidRDefault="007D79AB" w:rsidP="007D79AB">
      <w:pPr>
        <w:pStyle w:val="ListParagraph"/>
        <w:numPr>
          <w:ilvl w:val="0"/>
          <w:numId w:val="6"/>
        </w:numPr>
        <w:jc w:val="both"/>
        <w:rPr>
          <w:rFonts w:asciiTheme="majorHAnsi" w:hAnsiTheme="majorHAnsi" w:cstheme="majorHAnsi"/>
          <w:iCs/>
        </w:rPr>
      </w:pPr>
      <w:r>
        <w:rPr>
          <w:rFonts w:asciiTheme="majorHAnsi" w:hAnsiTheme="majorHAnsi" w:cstheme="majorHAnsi"/>
          <w:b/>
          <w:iCs/>
        </w:rPr>
        <w:t xml:space="preserve">Surface area: </w:t>
      </w:r>
      <w:r w:rsidRPr="00AD30EA">
        <w:rPr>
          <w:rFonts w:asciiTheme="majorHAnsi" w:hAnsiTheme="majorHAnsi" w:cstheme="majorHAnsi"/>
          <w:iCs/>
        </w:rPr>
        <w:t xml:space="preserve">In order to simplify the computation, the tumor is approximated by generalized cylinder. Accordingly, the surface area of the generalized cylinder is used as an estimation of the tumor surface area. </w:t>
      </w:r>
    </w:p>
    <w:p w:rsidR="007D79AB" w:rsidRPr="00706B44" w:rsidRDefault="007D79AB" w:rsidP="007D79AB">
      <w:pPr>
        <w:pStyle w:val="ListParagraph"/>
        <w:numPr>
          <w:ilvl w:val="0"/>
          <w:numId w:val="6"/>
        </w:numPr>
        <w:jc w:val="both"/>
        <w:rPr>
          <w:rFonts w:asciiTheme="majorHAnsi" w:hAnsiTheme="majorHAnsi" w:cstheme="majorHAnsi"/>
          <w:b/>
          <w:iCs/>
        </w:rPr>
      </w:pPr>
      <w:r>
        <w:rPr>
          <w:rFonts w:asciiTheme="majorHAnsi" w:hAnsiTheme="majorHAnsi" w:cstheme="majorHAnsi"/>
          <w:b/>
          <w:iCs/>
        </w:rPr>
        <w:t>Compactness1</w:t>
      </w:r>
      <w:r w:rsidRPr="00706B44">
        <w:rPr>
          <w:rFonts w:asciiTheme="majorHAnsi" w:hAnsiTheme="majorHAnsi" w:cstheme="majorHAnsi"/>
          <w:b/>
          <w:iCs/>
        </w:rPr>
        <w:t xml:space="preserve">: </w:t>
      </w:r>
    </w:p>
    <w:tbl>
      <w:tblPr>
        <w:tblStyle w:val="TableGrid"/>
        <w:tblW w:w="864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28"/>
        <w:gridCol w:w="7200"/>
        <w:gridCol w:w="621"/>
      </w:tblGrid>
      <w:tr w:rsidR="005C0CFB" w:rsidTr="003F1006">
        <w:trPr>
          <w:trHeight w:val="395"/>
        </w:trPr>
        <w:tc>
          <w:tcPr>
            <w:tcW w:w="828" w:type="dxa"/>
            <w:vAlign w:val="center"/>
          </w:tcPr>
          <w:p w:rsidR="005C0CFB" w:rsidRDefault="005C0CFB" w:rsidP="00727C16">
            <w:pPr>
              <w:jc w:val="center"/>
              <w:rPr>
                <w:rFonts w:cstheme="minorHAnsi"/>
              </w:rPr>
            </w:pPr>
          </w:p>
        </w:tc>
        <w:tc>
          <w:tcPr>
            <w:tcW w:w="7200" w:type="dxa"/>
            <w:vAlign w:val="center"/>
          </w:tcPr>
          <w:p w:rsidR="005C0CFB" w:rsidRDefault="005C0CFB" w:rsidP="00727C16">
            <w:pPr>
              <w:jc w:val="center"/>
              <w:rPr>
                <w:rFonts w:cstheme="minorHAnsi"/>
              </w:rPr>
            </w:pPr>
            <m:oMath>
              <m:r>
                <w:rPr>
                  <w:rFonts w:ascii="Cambria Math" w:hAnsi="Cambria Math" w:cstheme="minorHAnsi"/>
                </w:rPr>
                <m:t xml:space="preserve">compactness1= </m:t>
              </m:r>
              <m:f>
                <m:fPr>
                  <m:ctrlPr>
                    <w:rPr>
                      <w:rFonts w:ascii="Cambria Math" w:hAnsi="Cambria Math" w:cstheme="minorHAnsi"/>
                      <w:i/>
                      <w:iCs/>
                    </w:rPr>
                  </m:ctrlPr>
                </m:fPr>
                <m:num>
                  <m:r>
                    <w:rPr>
                      <w:rFonts w:ascii="Cambria Math" w:hAnsi="Cambria Math" w:cstheme="minorHAnsi"/>
                    </w:rPr>
                    <m:t>V</m:t>
                  </m:r>
                </m:num>
                <m:den>
                  <m:rad>
                    <m:radPr>
                      <m:degHide m:val="1"/>
                      <m:ctrlPr>
                        <w:rPr>
                          <w:rFonts w:ascii="Cambria Math" w:hAnsi="Cambria Math" w:cstheme="minorHAnsi"/>
                          <w:i/>
                          <w:iCs/>
                        </w:rPr>
                      </m:ctrlPr>
                    </m:radPr>
                    <m:deg/>
                    <m:e>
                      <m:r>
                        <w:rPr>
                          <w:rFonts w:ascii="Cambria Math" w:hAnsi="Cambria Math" w:cstheme="minorHAnsi"/>
                        </w:rPr>
                        <m:t xml:space="preserve">  π</m:t>
                      </m:r>
                    </m:e>
                  </m:rad>
                  <m:sSup>
                    <m:sSupPr>
                      <m:ctrlPr>
                        <w:rPr>
                          <w:rFonts w:ascii="Cambria Math" w:hAnsi="Cambria Math" w:cstheme="minorHAnsi"/>
                          <w:i/>
                          <w:iCs/>
                        </w:rPr>
                      </m:ctrlPr>
                    </m:sSupPr>
                    <m:e>
                      <m:r>
                        <w:rPr>
                          <w:rFonts w:ascii="Cambria Math" w:hAnsi="Cambria Math" w:cstheme="minorHAnsi"/>
                        </w:rPr>
                        <m:t>A</m:t>
                      </m:r>
                    </m:e>
                    <m:sup>
                      <m:f>
                        <m:fPr>
                          <m:ctrlPr>
                            <w:rPr>
                              <w:rFonts w:ascii="Cambria Math" w:hAnsi="Cambria Math" w:cstheme="minorHAnsi"/>
                              <w:i/>
                              <w:iCs/>
                            </w:rPr>
                          </m:ctrlPr>
                        </m:fPr>
                        <m:num>
                          <m:r>
                            <w:rPr>
                              <w:rFonts w:ascii="Cambria Math" w:hAnsi="Cambria Math" w:cstheme="minorHAnsi"/>
                            </w:rPr>
                            <m:t>2</m:t>
                          </m:r>
                        </m:num>
                        <m:den>
                          <m:r>
                            <w:rPr>
                              <w:rFonts w:ascii="Cambria Math" w:hAnsi="Cambria Math" w:cstheme="minorHAnsi"/>
                            </w:rPr>
                            <m:t>3</m:t>
                          </m:r>
                        </m:den>
                      </m:f>
                    </m:sup>
                  </m:sSup>
                </m:den>
              </m:f>
            </m:oMath>
            <w:r>
              <w:rPr>
                <w:rFonts w:cstheme="minorHAnsi"/>
              </w:rPr>
              <w:t xml:space="preserve"> </w:t>
            </w:r>
          </w:p>
        </w:tc>
        <w:tc>
          <w:tcPr>
            <w:tcW w:w="621" w:type="dxa"/>
            <w:vAlign w:val="center"/>
          </w:tcPr>
          <w:p w:rsidR="005C0CFB" w:rsidRDefault="005C0CFB" w:rsidP="003F1006">
            <w:pPr>
              <w:jc w:val="center"/>
              <w:rPr>
                <w:rFonts w:cstheme="minorHAnsi"/>
              </w:rPr>
            </w:pPr>
            <w:r>
              <w:rPr>
                <w:rFonts w:cstheme="minorHAnsi"/>
              </w:rPr>
              <w:t>(</w:t>
            </w:r>
            <w:fldSimple w:instr=" SEQ Eq \* MERGEFORMAT ">
              <w:r w:rsidR="00D719F4" w:rsidRPr="00D719F4">
                <w:rPr>
                  <w:rFonts w:cstheme="minorHAnsi"/>
                  <w:noProof/>
                </w:rPr>
                <w:t>16</w:t>
              </w:r>
            </w:fldSimple>
            <w:r>
              <w:rPr>
                <w:rFonts w:cstheme="minorHAnsi"/>
              </w:rPr>
              <w:t>)</w:t>
            </w:r>
          </w:p>
        </w:tc>
      </w:tr>
    </w:tbl>
    <w:p w:rsidR="007D79AB" w:rsidRPr="00706B44" w:rsidRDefault="007D79AB" w:rsidP="00420A75">
      <w:pPr>
        <w:pStyle w:val="ListParagraph"/>
        <w:numPr>
          <w:ilvl w:val="0"/>
          <w:numId w:val="6"/>
        </w:numPr>
        <w:jc w:val="both"/>
        <w:rPr>
          <w:rFonts w:asciiTheme="majorHAnsi" w:hAnsiTheme="majorHAnsi" w:cstheme="majorHAnsi"/>
          <w:b/>
          <w:iCs/>
        </w:rPr>
      </w:pPr>
      <w:r>
        <w:rPr>
          <w:rFonts w:asciiTheme="majorHAnsi" w:hAnsiTheme="majorHAnsi" w:cstheme="majorHAnsi"/>
          <w:b/>
          <w:iCs/>
        </w:rPr>
        <w:t>Compactness2</w:t>
      </w:r>
      <w:r w:rsidRPr="00706B44">
        <w:rPr>
          <w:rFonts w:asciiTheme="majorHAnsi" w:hAnsiTheme="majorHAnsi" w:cstheme="majorHAnsi"/>
          <w:b/>
          <w:iCs/>
        </w:rPr>
        <w:t>:</w:t>
      </w:r>
    </w:p>
    <w:tbl>
      <w:tblPr>
        <w:tblStyle w:val="TableGrid"/>
        <w:tblW w:w="864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28"/>
        <w:gridCol w:w="7200"/>
        <w:gridCol w:w="621"/>
      </w:tblGrid>
      <w:tr w:rsidR="005C0CFB" w:rsidTr="003F1006">
        <w:trPr>
          <w:trHeight w:val="395"/>
        </w:trPr>
        <w:tc>
          <w:tcPr>
            <w:tcW w:w="828" w:type="dxa"/>
            <w:vAlign w:val="center"/>
          </w:tcPr>
          <w:p w:rsidR="005C0CFB" w:rsidRDefault="005C0CFB" w:rsidP="00727C16">
            <w:pPr>
              <w:jc w:val="center"/>
              <w:rPr>
                <w:rFonts w:cstheme="minorHAnsi"/>
              </w:rPr>
            </w:pPr>
          </w:p>
        </w:tc>
        <w:tc>
          <w:tcPr>
            <w:tcW w:w="7200" w:type="dxa"/>
            <w:vAlign w:val="center"/>
          </w:tcPr>
          <w:p w:rsidR="005C0CFB" w:rsidRDefault="005C0CFB" w:rsidP="00727C16">
            <w:pPr>
              <w:jc w:val="center"/>
              <w:rPr>
                <w:rFonts w:cstheme="minorHAnsi"/>
              </w:rPr>
            </w:pPr>
            <m:oMath>
              <m:r>
                <w:rPr>
                  <w:rFonts w:ascii="Cambria Math" w:hAnsi="Cambria Math" w:cstheme="minorHAnsi"/>
                </w:rPr>
                <m:t xml:space="preserve">compactness2= </m:t>
              </m:r>
              <m:f>
                <m:fPr>
                  <m:ctrlPr>
                    <w:rPr>
                      <w:rFonts w:ascii="Cambria Math" w:hAnsi="Cambria Math" w:cstheme="minorHAnsi"/>
                      <w:i/>
                    </w:rPr>
                  </m:ctrlPr>
                </m:fPr>
                <m:num>
                  <m:r>
                    <w:rPr>
                      <w:rFonts w:ascii="Cambria Math" w:hAnsi="Cambria Math" w:cstheme="minorHAnsi"/>
                    </w:rPr>
                    <m:t>36 π</m:t>
                  </m:r>
                  <m:sSup>
                    <m:sSupPr>
                      <m:ctrlPr>
                        <w:rPr>
                          <w:rFonts w:ascii="Cambria Math" w:hAnsi="Cambria Math" w:cstheme="minorHAnsi"/>
                          <w:i/>
                        </w:rPr>
                      </m:ctrlPr>
                    </m:sSupPr>
                    <m:e>
                      <m:r>
                        <w:rPr>
                          <w:rFonts w:ascii="Cambria Math" w:hAnsi="Cambria Math" w:cstheme="minorHAnsi"/>
                        </w:rPr>
                        <m:t>V</m:t>
                      </m:r>
                    </m:e>
                    <m:sup>
                      <m:r>
                        <w:rPr>
                          <w:rFonts w:ascii="Cambria Math" w:hAnsi="Cambria Math" w:cstheme="minorHAnsi"/>
                        </w:rPr>
                        <m:t>2</m:t>
                      </m:r>
                    </m:sup>
                  </m:sSup>
                </m:num>
                <m:den>
                  <m:sSup>
                    <m:sSupPr>
                      <m:ctrlPr>
                        <w:rPr>
                          <w:rFonts w:ascii="Cambria Math" w:hAnsi="Cambria Math" w:cstheme="minorHAnsi"/>
                          <w:i/>
                        </w:rPr>
                      </m:ctrlPr>
                    </m:sSupPr>
                    <m:e>
                      <m:r>
                        <w:rPr>
                          <w:rFonts w:ascii="Cambria Math" w:hAnsi="Cambria Math" w:cstheme="minorHAnsi"/>
                        </w:rPr>
                        <m:t>A</m:t>
                      </m:r>
                    </m:e>
                    <m:sup>
                      <m:r>
                        <w:rPr>
                          <w:rFonts w:ascii="Cambria Math" w:hAnsi="Cambria Math" w:cstheme="minorHAnsi"/>
                        </w:rPr>
                        <m:t>3</m:t>
                      </m:r>
                    </m:sup>
                  </m:sSup>
                </m:den>
              </m:f>
            </m:oMath>
            <w:r>
              <w:rPr>
                <w:rFonts w:cstheme="minorHAnsi"/>
              </w:rPr>
              <w:t xml:space="preserve"> </w:t>
            </w:r>
          </w:p>
        </w:tc>
        <w:tc>
          <w:tcPr>
            <w:tcW w:w="621" w:type="dxa"/>
            <w:vAlign w:val="center"/>
          </w:tcPr>
          <w:p w:rsidR="005C0CFB" w:rsidRDefault="005C0CFB" w:rsidP="003F1006">
            <w:pPr>
              <w:jc w:val="center"/>
              <w:rPr>
                <w:rFonts w:cstheme="minorHAnsi"/>
              </w:rPr>
            </w:pPr>
            <w:r>
              <w:rPr>
                <w:rFonts w:cstheme="minorHAnsi"/>
              </w:rPr>
              <w:t>(</w:t>
            </w:r>
            <w:fldSimple w:instr=" SEQ Eq \* MERGEFORMAT ">
              <w:r w:rsidR="00D719F4" w:rsidRPr="00D719F4">
                <w:rPr>
                  <w:rFonts w:cstheme="minorHAnsi"/>
                  <w:noProof/>
                </w:rPr>
                <w:t>17</w:t>
              </w:r>
            </w:fldSimple>
            <w:r>
              <w:rPr>
                <w:rFonts w:cstheme="minorHAnsi"/>
              </w:rPr>
              <w:t>)</w:t>
            </w:r>
          </w:p>
        </w:tc>
      </w:tr>
    </w:tbl>
    <w:p w:rsidR="007D79AB" w:rsidRPr="00A40BCD" w:rsidRDefault="007D79AB" w:rsidP="00420A75">
      <w:pPr>
        <w:pStyle w:val="ListParagraph"/>
        <w:numPr>
          <w:ilvl w:val="0"/>
          <w:numId w:val="6"/>
        </w:numPr>
        <w:jc w:val="both"/>
        <w:rPr>
          <w:rFonts w:asciiTheme="majorHAnsi" w:hAnsiTheme="majorHAnsi" w:cstheme="majorHAnsi"/>
          <w:iCs/>
        </w:rPr>
      </w:pPr>
      <w:r>
        <w:rPr>
          <w:rFonts w:asciiTheme="majorHAnsi" w:hAnsiTheme="majorHAnsi" w:cstheme="majorHAnsi"/>
          <w:b/>
          <w:iCs/>
        </w:rPr>
        <w:t>Spherical disproportion:</w:t>
      </w:r>
      <w:r w:rsidR="00A40BCD">
        <w:rPr>
          <w:rFonts w:asciiTheme="majorHAnsi" w:hAnsiTheme="majorHAnsi" w:cstheme="majorHAnsi"/>
          <w:b/>
          <w:iCs/>
        </w:rPr>
        <w:t xml:space="preserve"> </w:t>
      </w:r>
      <w:r w:rsidRPr="0038375D">
        <w:t>It measures the difference between the tumor surface and a sphere with equivalent radius:</w:t>
      </w:r>
    </w:p>
    <w:tbl>
      <w:tblPr>
        <w:tblStyle w:val="TableGrid"/>
        <w:tblW w:w="864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28"/>
        <w:gridCol w:w="7200"/>
        <w:gridCol w:w="621"/>
      </w:tblGrid>
      <w:tr w:rsidR="005C0CFB" w:rsidTr="003F1006">
        <w:trPr>
          <w:trHeight w:val="395"/>
        </w:trPr>
        <w:tc>
          <w:tcPr>
            <w:tcW w:w="828" w:type="dxa"/>
            <w:vAlign w:val="center"/>
          </w:tcPr>
          <w:p w:rsidR="005C0CFB" w:rsidRDefault="005C0CFB" w:rsidP="00727C16">
            <w:pPr>
              <w:jc w:val="center"/>
              <w:rPr>
                <w:rFonts w:cstheme="minorHAnsi"/>
              </w:rPr>
            </w:pPr>
          </w:p>
        </w:tc>
        <w:tc>
          <w:tcPr>
            <w:tcW w:w="7200" w:type="dxa"/>
            <w:vAlign w:val="center"/>
          </w:tcPr>
          <w:p w:rsidR="005C0CFB" w:rsidRPr="005C0CFB" w:rsidRDefault="005C0CFB" w:rsidP="005C0CFB">
            <w:pPr>
              <w:pStyle w:val="ListParagraph"/>
              <w:tabs>
                <w:tab w:val="left" w:pos="720"/>
              </w:tabs>
              <w:spacing w:line="360" w:lineRule="auto"/>
              <w:ind w:left="1080"/>
              <w:jc w:val="center"/>
              <w:rPr>
                <w:color w:val="FF0000"/>
              </w:rPr>
            </w:pPr>
            <m:oMath>
              <m:r>
                <w:rPr>
                  <w:rFonts w:ascii="Cambria Math" w:hAnsi="Cambria Math"/>
                </w:rPr>
                <m:t xml:space="preserve">spherical disproportion= </m:t>
              </m:r>
              <m:f>
                <m:fPr>
                  <m:ctrlPr>
                    <w:rPr>
                      <w:rFonts w:ascii="Cambria Math" w:hAnsi="Cambria Math"/>
                      <w:i/>
                    </w:rPr>
                  </m:ctrlPr>
                </m:fPr>
                <m:num>
                  <m:r>
                    <w:rPr>
                      <w:rFonts w:ascii="Cambria Math" w:hAnsi="Cambria Math"/>
                    </w:rPr>
                    <m:t>A</m:t>
                  </m:r>
                </m:num>
                <m:den>
                  <m:r>
                    <w:rPr>
                      <w:rFonts w:ascii="Cambria Math" w:hAnsi="Cambria Math"/>
                    </w:rPr>
                    <m:t>4π</m:t>
                  </m:r>
                  <m:sSup>
                    <m:sSupPr>
                      <m:ctrlPr>
                        <w:rPr>
                          <w:rFonts w:ascii="Cambria Math" w:hAnsi="Cambria Math"/>
                          <w:i/>
                        </w:rPr>
                      </m:ctrlPr>
                    </m:sSupPr>
                    <m:e>
                      <m:r>
                        <w:rPr>
                          <w:rFonts w:ascii="Cambria Math" w:hAnsi="Cambria Math"/>
                        </w:rPr>
                        <m:t>R</m:t>
                      </m:r>
                    </m:e>
                    <m:sup>
                      <m:r>
                        <w:rPr>
                          <w:rFonts w:ascii="Cambria Math" w:hAnsi="Cambria Math"/>
                        </w:rPr>
                        <m:t>2</m:t>
                      </m:r>
                    </m:sup>
                  </m:sSup>
                </m:den>
              </m:f>
            </m:oMath>
            <w:r>
              <w:rPr>
                <w:color w:val="FF0000"/>
              </w:rPr>
              <w:t xml:space="preserve"> </w:t>
            </w:r>
          </w:p>
        </w:tc>
        <w:tc>
          <w:tcPr>
            <w:tcW w:w="621" w:type="dxa"/>
            <w:vAlign w:val="center"/>
          </w:tcPr>
          <w:p w:rsidR="005C0CFB" w:rsidRDefault="005C0CFB" w:rsidP="003F1006">
            <w:pPr>
              <w:jc w:val="center"/>
              <w:rPr>
                <w:rFonts w:cstheme="minorHAnsi"/>
              </w:rPr>
            </w:pPr>
            <w:r>
              <w:rPr>
                <w:rFonts w:cstheme="minorHAnsi"/>
              </w:rPr>
              <w:t>(</w:t>
            </w:r>
            <w:fldSimple w:instr=" SEQ Eq \* MERGEFORMAT ">
              <w:r w:rsidR="00D719F4" w:rsidRPr="00D719F4">
                <w:rPr>
                  <w:rFonts w:cstheme="minorHAnsi"/>
                  <w:noProof/>
                </w:rPr>
                <w:t>18</w:t>
              </w:r>
            </w:fldSimple>
            <w:r>
              <w:rPr>
                <w:rFonts w:cstheme="minorHAnsi"/>
              </w:rPr>
              <w:t>)</w:t>
            </w:r>
          </w:p>
        </w:tc>
      </w:tr>
    </w:tbl>
    <w:p w:rsidR="007D79AB" w:rsidRPr="00A40BCD" w:rsidRDefault="007D79AB" w:rsidP="00420A75">
      <w:pPr>
        <w:pStyle w:val="ListParagraph"/>
        <w:numPr>
          <w:ilvl w:val="0"/>
          <w:numId w:val="6"/>
        </w:numPr>
        <w:spacing w:line="360" w:lineRule="auto"/>
        <w:jc w:val="both"/>
        <w:rPr>
          <w:b/>
        </w:rPr>
      </w:pPr>
      <w:r>
        <w:rPr>
          <w:b/>
        </w:rPr>
        <w:t>Sphericity:</w:t>
      </w:r>
      <w:r w:rsidR="00A40BCD">
        <w:rPr>
          <w:b/>
        </w:rPr>
        <w:t xml:space="preserve"> </w:t>
      </w:r>
      <w:r>
        <w:t xml:space="preserve">This feature is a measurement of the shape distortion of the tumor when comparing with the sphere, which is computed as follows: </w:t>
      </w:r>
    </w:p>
    <w:tbl>
      <w:tblPr>
        <w:tblStyle w:val="TableGrid"/>
        <w:tblW w:w="864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28"/>
        <w:gridCol w:w="7200"/>
        <w:gridCol w:w="621"/>
      </w:tblGrid>
      <w:tr w:rsidR="002F4E66" w:rsidTr="003F1006">
        <w:trPr>
          <w:trHeight w:val="395"/>
        </w:trPr>
        <w:tc>
          <w:tcPr>
            <w:tcW w:w="828" w:type="dxa"/>
            <w:vAlign w:val="center"/>
          </w:tcPr>
          <w:p w:rsidR="002F4E66" w:rsidRDefault="002F4E66" w:rsidP="00727C16">
            <w:pPr>
              <w:jc w:val="center"/>
              <w:rPr>
                <w:rFonts w:cstheme="minorHAnsi"/>
              </w:rPr>
            </w:pPr>
          </w:p>
        </w:tc>
        <w:tc>
          <w:tcPr>
            <w:tcW w:w="7200" w:type="dxa"/>
            <w:vAlign w:val="center"/>
          </w:tcPr>
          <w:p w:rsidR="002F4E66" w:rsidRPr="002F4E66" w:rsidRDefault="002F4E66" w:rsidP="002F4E66">
            <w:pPr>
              <w:jc w:val="center"/>
              <w:rPr>
                <w:rFonts w:ascii="Cambria Math" w:hAnsi="Cambria Math" w:cstheme="minorHAnsi"/>
                <w:i/>
                <w:iCs/>
              </w:rPr>
            </w:pPr>
            <m:oMath>
              <m:r>
                <w:rPr>
                  <w:rFonts w:ascii="Cambria Math" w:hAnsi="Cambria Math" w:cstheme="minorHAnsi"/>
                </w:rPr>
                <m:t xml:space="preserve">Sphericity = </m:t>
              </m:r>
              <m:f>
                <m:fPr>
                  <m:ctrlPr>
                    <w:rPr>
                      <w:rFonts w:ascii="Cambria Math" w:hAnsi="Cambria Math" w:cstheme="minorHAnsi"/>
                      <w:i/>
                    </w:rPr>
                  </m:ctrlPr>
                </m:fPr>
                <m:num>
                  <m:sSup>
                    <m:sSupPr>
                      <m:ctrlPr>
                        <w:rPr>
                          <w:rFonts w:ascii="Cambria Math" w:hAnsi="Cambria Math" w:cstheme="minorHAnsi"/>
                          <w:i/>
                        </w:rPr>
                      </m:ctrlPr>
                    </m:sSupPr>
                    <m:e>
                      <m:r>
                        <w:rPr>
                          <w:rFonts w:ascii="Cambria Math" w:hAnsi="Cambria Math" w:cstheme="minorHAnsi"/>
                        </w:rPr>
                        <m:t>π</m:t>
                      </m:r>
                    </m:e>
                    <m:sup>
                      <m:f>
                        <m:fPr>
                          <m:ctrlPr>
                            <w:rPr>
                              <w:rFonts w:ascii="Cambria Math" w:hAnsi="Cambria Math" w:cstheme="minorHAnsi"/>
                              <w:i/>
                            </w:rPr>
                          </m:ctrlPr>
                        </m:fPr>
                        <m:num>
                          <m:r>
                            <w:rPr>
                              <w:rFonts w:ascii="Cambria Math" w:hAnsi="Cambria Math" w:cstheme="minorHAnsi"/>
                            </w:rPr>
                            <m:t>1</m:t>
                          </m:r>
                        </m:num>
                        <m:den>
                          <m:r>
                            <w:rPr>
                              <w:rFonts w:ascii="Cambria Math" w:hAnsi="Cambria Math" w:cstheme="minorHAnsi"/>
                            </w:rPr>
                            <m:t>3</m:t>
                          </m:r>
                        </m:den>
                      </m:f>
                    </m:sup>
                  </m:sSup>
                  <m:sSup>
                    <m:sSupPr>
                      <m:ctrlPr>
                        <w:rPr>
                          <w:rFonts w:ascii="Cambria Math" w:hAnsi="Cambria Math" w:cstheme="minorHAnsi"/>
                          <w:i/>
                        </w:rPr>
                      </m:ctrlPr>
                    </m:sSupPr>
                    <m:e>
                      <m:d>
                        <m:dPr>
                          <m:ctrlPr>
                            <w:rPr>
                              <w:rFonts w:ascii="Cambria Math" w:hAnsi="Cambria Math" w:cstheme="minorHAnsi"/>
                              <w:i/>
                            </w:rPr>
                          </m:ctrlPr>
                        </m:dPr>
                        <m:e>
                          <m:r>
                            <w:rPr>
                              <w:rFonts w:ascii="Cambria Math" w:hAnsi="Cambria Math" w:cstheme="minorHAnsi"/>
                            </w:rPr>
                            <m:t>6V</m:t>
                          </m:r>
                        </m:e>
                      </m:d>
                    </m:e>
                    <m:sup>
                      <m:f>
                        <m:fPr>
                          <m:ctrlPr>
                            <w:rPr>
                              <w:rFonts w:ascii="Cambria Math" w:hAnsi="Cambria Math" w:cstheme="minorHAnsi"/>
                              <w:i/>
                            </w:rPr>
                          </m:ctrlPr>
                        </m:fPr>
                        <m:num>
                          <m:r>
                            <w:rPr>
                              <w:rFonts w:ascii="Cambria Math" w:hAnsi="Cambria Math" w:cstheme="minorHAnsi"/>
                            </w:rPr>
                            <m:t>2</m:t>
                          </m:r>
                        </m:num>
                        <m:den>
                          <m:r>
                            <w:rPr>
                              <w:rFonts w:ascii="Cambria Math" w:hAnsi="Cambria Math" w:cstheme="minorHAnsi"/>
                            </w:rPr>
                            <m:t>3</m:t>
                          </m:r>
                        </m:den>
                      </m:f>
                    </m:sup>
                  </m:sSup>
                  <m:r>
                    <w:rPr>
                      <w:rFonts w:ascii="Cambria Math" w:hAnsi="Cambria Math" w:cstheme="minorHAnsi"/>
                    </w:rPr>
                    <m:t xml:space="preserve"> </m:t>
                  </m:r>
                </m:num>
                <m:den>
                  <m:r>
                    <w:rPr>
                      <w:rFonts w:ascii="Cambria Math" w:hAnsi="Cambria Math" w:cstheme="minorHAnsi"/>
                    </w:rPr>
                    <m:t>A</m:t>
                  </m:r>
                </m:den>
              </m:f>
            </m:oMath>
            <w:r w:rsidRPr="002F4E66">
              <w:rPr>
                <w:rFonts w:ascii="Cambria Math" w:hAnsi="Cambria Math" w:cstheme="minorHAnsi"/>
                <w:i/>
                <w:iCs/>
              </w:rPr>
              <w:t xml:space="preserve"> </w:t>
            </w:r>
          </w:p>
        </w:tc>
        <w:tc>
          <w:tcPr>
            <w:tcW w:w="621" w:type="dxa"/>
            <w:vAlign w:val="center"/>
          </w:tcPr>
          <w:p w:rsidR="002F4E66" w:rsidRDefault="002F4E66" w:rsidP="003F1006">
            <w:pPr>
              <w:jc w:val="center"/>
              <w:rPr>
                <w:rFonts w:cstheme="minorHAnsi"/>
              </w:rPr>
            </w:pPr>
            <w:r>
              <w:rPr>
                <w:rFonts w:cstheme="minorHAnsi"/>
              </w:rPr>
              <w:t>(</w:t>
            </w:r>
            <w:fldSimple w:instr=" SEQ Eq \* MERGEFORMAT ">
              <w:r w:rsidR="00D719F4" w:rsidRPr="00D719F4">
                <w:rPr>
                  <w:rFonts w:cstheme="minorHAnsi"/>
                  <w:noProof/>
                </w:rPr>
                <w:t>19</w:t>
              </w:r>
            </w:fldSimple>
            <w:r>
              <w:rPr>
                <w:rFonts w:cstheme="minorHAnsi"/>
              </w:rPr>
              <w:t>)</w:t>
            </w:r>
          </w:p>
        </w:tc>
      </w:tr>
    </w:tbl>
    <w:p w:rsidR="00782C41" w:rsidRDefault="007D79AB" w:rsidP="00782C41">
      <w:pPr>
        <w:pStyle w:val="ListParagraph"/>
        <w:numPr>
          <w:ilvl w:val="0"/>
          <w:numId w:val="6"/>
        </w:numPr>
        <w:jc w:val="both"/>
        <w:rPr>
          <w:rFonts w:asciiTheme="majorHAnsi" w:hAnsiTheme="majorHAnsi" w:cstheme="majorHAnsi"/>
          <w:iCs/>
        </w:rPr>
      </w:pPr>
      <w:r w:rsidRPr="002454C0">
        <w:rPr>
          <w:rFonts w:asciiTheme="majorHAnsi" w:hAnsiTheme="majorHAnsi" w:cstheme="majorHAnsi"/>
          <w:b/>
          <w:iCs/>
        </w:rPr>
        <w:t>S</w:t>
      </w:r>
      <w:r>
        <w:rPr>
          <w:rFonts w:asciiTheme="majorHAnsi" w:hAnsiTheme="majorHAnsi" w:cstheme="majorHAnsi"/>
          <w:b/>
          <w:iCs/>
        </w:rPr>
        <w:t>urface area to tumor volume</w:t>
      </w:r>
      <w:r w:rsidRPr="002454C0">
        <w:rPr>
          <w:rFonts w:asciiTheme="majorHAnsi" w:hAnsiTheme="majorHAnsi" w:cstheme="majorHAnsi"/>
          <w:b/>
          <w:iCs/>
        </w:rPr>
        <w:t>:</w:t>
      </w:r>
      <w:r>
        <w:rPr>
          <w:rFonts w:asciiTheme="majorHAnsi" w:hAnsiTheme="majorHAnsi" w:cstheme="majorHAnsi"/>
          <w:iCs/>
        </w:rPr>
        <w:t xml:space="preserve"> It is the ratio of s</w:t>
      </w:r>
      <w:r w:rsidR="00856108">
        <w:rPr>
          <w:rFonts w:asciiTheme="majorHAnsi" w:hAnsiTheme="majorHAnsi" w:cstheme="majorHAnsi"/>
          <w:iCs/>
        </w:rPr>
        <w:t>urface area to the tumor volume.</w:t>
      </w:r>
    </w:p>
    <w:p w:rsidR="002D0807" w:rsidRDefault="002D0807" w:rsidP="002D0807"/>
    <w:p w:rsidR="003329C2" w:rsidRDefault="003329C2" w:rsidP="002D0807"/>
    <w:p w:rsidR="002D0807" w:rsidRPr="002D0807" w:rsidRDefault="002D0807" w:rsidP="002D0807"/>
    <w:p w:rsidR="00F958F1" w:rsidRPr="00F958F1" w:rsidRDefault="008A2EB1" w:rsidP="00FB7A07">
      <w:pPr>
        <w:pStyle w:val="Heading2"/>
      </w:pPr>
      <w:bookmarkStart w:id="35" w:name="_Toc468963704"/>
      <w:r>
        <w:lastRenderedPageBreak/>
        <w:t>Density features</w:t>
      </w:r>
      <w:bookmarkEnd w:id="35"/>
    </w:p>
    <w:p w:rsidR="003329C2" w:rsidRPr="00182D73" w:rsidRDefault="00182D73" w:rsidP="003329C2">
      <w:pPr>
        <w:ind w:firstLine="720"/>
        <w:jc w:val="both"/>
      </w:pPr>
      <w:r w:rsidRPr="00182D73">
        <w:t>These features are computed based on pixel intensitie</w:t>
      </w:r>
      <w:r>
        <w:t>s</w:t>
      </w:r>
      <w:r w:rsidRPr="00182D73">
        <w:t xml:space="preserve"> within the tumor and/or surrounding boundary pixels and describe their distribution </w:t>
      </w:r>
      <w:r w:rsidR="009647D4" w:rsidRPr="00182D73">
        <w:fldChar w:fldCharType="begin" w:fldLock="1"/>
      </w:r>
      <w:r w:rsidR="00950782">
        <w:instrText>ADDIN CSL_CITATION { "citationItems" : [ { "id" : "ITEM-1", "itemData" : { "DOI" : "10.1038/ncomms5006", "ISBN" : "2041-1723 (Electronic)\\r2041-1723 (Linking)", "ISSN" : "2041-1723", "PMID" : "24892406", "abstract" : "Human cancers exhibit strong phenotypic differences that can be visualized noninvasively by medical imaging. Radiomics refers to the comprehensive quantification of tumour phenotypes by applying a large number of quantitative image features. Here we present a radiomic analysis of 440 features quantifying tumour image intensity, shape and texture, which are extracted from computed tomography data of 1,019 patients with lung or head-and-neck cancer. We find that a large number of radiomic features have prognostic power in independent data sets of lung and head-and-neck cancer patients, many of which were not identified as significant before. Radiogenomics analysis reveals that a prognostic radiomic signature, capturing intratumour heterogeneity, is associated with underlying gene-expression patterns. These data suggest that radiomics identifies a general prognostic phenotype existing in both lung and head-and-neck cancer. This may have a clinical impact as imaging is routinely used in clinical practice, providing an unprecedented opportunity to improve decision-support in cancer treatment at low cost.", "author" : [ { "dropping-particle" : "", "family" : "Aerts", "given" : "H J", "non-dropping-particle" : "", "parse-names" : false, "suffix" : "" }, { "dropping-particle" : "", "family" : "Velazquez", "given" : "E R", "non-dropping-particle" : "", "parse-names" : false, "suffix" : "" }, { "dropping-particle" : "", "family" : "Leijenaar", "given" : "R T", "non-dropping-particle" : "", "parse-names" : false, "suffix" : "" }, { "dropping-particle" : "", "family" : "Parmar", "given" : "C", "non-dropping-particle" : "", "parse-names" : false, "suffix" : "" }, { "dropping-particle" : "", "family" : "Grossmann", "given" : "P", "non-dropping-particle" : "", "parse-names" : false, "suffix" : "" }, { "dropping-particle" : "", "family" : "Carvalho", "given" : "S", "non-dropping-particle" : "", "parse-names" : false, "suffix" : "" }, { "dropping-particle" : "", "family" : "Bussink", "given" : "J", "non-dropping-particle" : "", "parse-names" : false, "suffix" : "" }, { "dropping-particle" : "", "family" : "Monshouwer", "given" : "R", "non-dropping-particle" : "", "parse-names" : false, "suffix" : "" }, { "dropping-particle" : "", "family" : "Haibe-Kains", "given" : "B", "non-dropping-particle" : "", "parse-names" : false, "suffix" : "" }, { "dropping-particle" : "", "family" : "Rietveld", "given" : "D", "non-dropping-particle" : "", "parse-names" : false, "suffix" : "" }, { "dropping-particle" : "", "family" : "Hoebers", "given" : "F", "non-dropping-particle" : "", "parse-names" : false, "suffix" : "" }, { "dropping-particle" : "", "family" : "Rietbergen", "given" : "M M", "non-dropping-particle" : "", "parse-names" : false, "suffix" : "" }, { "dropping-particle" : "", "family" : "Leemans", "given" : "C R", "non-dropping-particle" : "", "parse-names" : false, "suffix" : "" }, { "dropping-particle" : "", "family" : "Dekker", "given" : "A", "non-dropping-particle" : "", "parse-names" : false, "suffix" : "" }, { "dropping-particle" : "", "family" : "Quackenbush", "given" : "J", "non-dropping-particle" : "", "parse-names" : false, "suffix" : "" }, { "dropping-particle" : "", "family" : "Gillies", "given" : "R J", "non-dropping-particle" : "", "parse-names" : false, "suffix" : "" }, { "dropping-particle" : "", "family" : "Lambin", "given" : "P", "non-dropping-particle" : "", "parse-names" : false, "suffix" : "" } ], "container-title" : "Nat Commun", "id" : "ITEM-1", "issued" : { "date-parts" : [ [ "2014" ] ] }, "page" : "4006", "title" : "Decoding tumour phenotype by noninvasive imaging using a quantitative radiomics approach", "type" : "article-journal", "volume" : "5" }, "uris" : [ "http://www.mendeley.com/documents/?uuid=b69f70c4-94c1-4225-874b-d8471652d846" ] } ], "mendeley" : { "formattedCitation" : "[18]", "plainTextFormattedCitation" : "[18]", "previouslyFormattedCitation" : "[18]" }, "properties" : { "noteIndex" : 0 }, "schema" : "https://github.com/citation-style-language/schema/raw/master/csl-citation.json" }</w:instrText>
      </w:r>
      <w:r w:rsidR="009647D4" w:rsidRPr="00182D73">
        <w:fldChar w:fldCharType="separate"/>
      </w:r>
      <w:r w:rsidRPr="00182D73">
        <w:rPr>
          <w:noProof/>
        </w:rPr>
        <w:t>[18]</w:t>
      </w:r>
      <w:r w:rsidR="009647D4" w:rsidRPr="00182D73">
        <w:fldChar w:fldCharType="end"/>
      </w:r>
      <w:r w:rsidRPr="00182D73">
        <w:t>. This subgroup consists o</w:t>
      </w:r>
      <w:r w:rsidR="003329C2">
        <w:t>f 21 features (F11-F31)</w:t>
      </w:r>
      <w:r w:rsidR="00EE52CB">
        <w:t>, among</w:t>
      </w:r>
      <w:r w:rsidRPr="00182D73">
        <w:t xml:space="preserve"> which (F11-F15) are computed based on the 2D central slice and the rest of them are computed based on 3D tumors which are discussed below:</w:t>
      </w:r>
    </w:p>
    <w:p w:rsidR="00523D85" w:rsidRPr="00B72ADF" w:rsidRDefault="00534DF1" w:rsidP="003329C2">
      <w:pPr>
        <w:pStyle w:val="ListParagraph"/>
        <w:numPr>
          <w:ilvl w:val="0"/>
          <w:numId w:val="18"/>
        </w:numPr>
        <w:spacing w:before="240"/>
        <w:jc w:val="both"/>
        <w:rPr>
          <w:color w:val="FF0000"/>
        </w:rPr>
      </w:pPr>
      <w:r w:rsidRPr="00B72ADF">
        <w:rPr>
          <w:b/>
        </w:rPr>
        <w:t>ISO-intensity</w:t>
      </w:r>
      <w:r w:rsidR="00072399" w:rsidRPr="00B72ADF">
        <w:rPr>
          <w:b/>
        </w:rPr>
        <w:t>:</w:t>
      </w:r>
      <w:r w:rsidR="00072399">
        <w:t xml:space="preserve"> </w:t>
      </w:r>
      <w:r w:rsidR="00182D73" w:rsidRPr="00182D73">
        <w:t xml:space="preserve">The feature computes the density of all the outer ring (boundary) pixels for which the intensity is </w:t>
      </w:r>
      <w:r w:rsidR="00531D44" w:rsidRPr="00182D73">
        <w:t>higher than</w:t>
      </w:r>
      <w:r w:rsidR="00182D73" w:rsidRPr="00182D73">
        <w:t xml:space="preserve"> the</w:t>
      </w:r>
      <w:r w:rsidR="00182D73" w:rsidRPr="00B72ADF">
        <w:t xml:space="preserve"> threshold </w:t>
      </w:r>
      <w:r w:rsidR="00531D44" w:rsidRPr="00B72ADF">
        <w:t>determined by</w:t>
      </w:r>
      <w:r w:rsidR="00182D73" w:rsidRPr="00B72ADF">
        <w:t xml:space="preserve"> the pixels inside the tumor</w:t>
      </w:r>
      <w:r w:rsidR="00CD7201" w:rsidRPr="00B72ADF">
        <w:t>.</w:t>
      </w:r>
      <w:r w:rsidR="00F426BA" w:rsidRPr="00B72ADF">
        <w:t xml:space="preserve"> </w:t>
      </w:r>
      <w:r w:rsidR="003B0105" w:rsidRPr="00B72ADF">
        <w:t>(where,10</w:t>
      </w:r>
      <w:r w:rsidR="003B0105" w:rsidRPr="00B72ADF">
        <w:rPr>
          <w:vertAlign w:val="superscript"/>
        </w:rPr>
        <w:t>th</w:t>
      </w:r>
      <w:r w:rsidR="003B0105" w:rsidRPr="00B72ADF">
        <w:t xml:space="preserve"> percentile </w:t>
      </w:r>
      <w:r w:rsidR="0095206F" w:rsidRPr="00B72ADF">
        <w:t xml:space="preserve">intensity </w:t>
      </w:r>
      <w:r w:rsidR="003B0105" w:rsidRPr="00B72ADF">
        <w:t>of pixel</w:t>
      </w:r>
      <w:r w:rsidR="00895E96" w:rsidRPr="00B72ADF">
        <w:t xml:space="preserve"> values</w:t>
      </w:r>
      <w:r w:rsidR="003B0105" w:rsidRPr="00B72ADF">
        <w:t xml:space="preserve"> inside the tumor</w:t>
      </w:r>
      <w:r w:rsidR="00ED7767" w:rsidRPr="00B72ADF">
        <w:t xml:space="preserve"> is the</w:t>
      </w:r>
      <w:r w:rsidR="003B0105" w:rsidRPr="00B72ADF">
        <w:t xml:space="preserve"> threshold)</w:t>
      </w:r>
    </w:p>
    <w:p w:rsidR="00A44DE4" w:rsidRDefault="00695D4A" w:rsidP="00B72ADF">
      <w:pPr>
        <w:pStyle w:val="ListParagraph"/>
        <w:numPr>
          <w:ilvl w:val="0"/>
          <w:numId w:val="18"/>
        </w:numPr>
        <w:jc w:val="both"/>
      </w:pPr>
      <w:r w:rsidRPr="00445723">
        <w:rPr>
          <w:b/>
        </w:rPr>
        <w:t xml:space="preserve">Fluctuation </w:t>
      </w:r>
      <w:r w:rsidR="00D6017C">
        <w:rPr>
          <w:b/>
        </w:rPr>
        <w:t>m</w:t>
      </w:r>
      <w:r w:rsidR="00534DF1">
        <w:rPr>
          <w:b/>
        </w:rPr>
        <w:t>ean</w:t>
      </w:r>
      <w:r w:rsidRPr="00445723">
        <w:rPr>
          <w:b/>
        </w:rPr>
        <w:t>:</w:t>
      </w:r>
      <w:r>
        <w:t xml:space="preserve"> </w:t>
      </w:r>
      <w:r w:rsidR="00D6017C" w:rsidRPr="00D6017C">
        <w:t>The fluctuation is defined as the maximum absolute difference between the target (Central) pixel and all the neighbor pixels within its 5×5</w:t>
      </w:r>
      <w:r w:rsidR="00D6017C">
        <w:t xml:space="preserve"> neighborhood.</w:t>
      </w:r>
      <w:r w:rsidR="00D6017C" w:rsidRPr="00D6017C">
        <w:t xml:space="preserve"> Thus fluctuation mean is the average fluctuation value for all the tumor pixels.</w:t>
      </w:r>
    </w:p>
    <w:p w:rsidR="006B2FA6" w:rsidRPr="00BA435E" w:rsidRDefault="00231B71" w:rsidP="00B72ADF">
      <w:pPr>
        <w:pStyle w:val="ListParagraph"/>
        <w:numPr>
          <w:ilvl w:val="0"/>
          <w:numId w:val="18"/>
        </w:numPr>
        <w:jc w:val="both"/>
        <w:rPr>
          <w:iCs/>
        </w:rPr>
      </w:pPr>
      <w:r w:rsidRPr="00BB4ED3">
        <w:rPr>
          <w:b/>
        </w:rPr>
        <w:t>Flu</w:t>
      </w:r>
      <w:r w:rsidR="00534DF1">
        <w:rPr>
          <w:b/>
        </w:rPr>
        <w:t>ctuation standard deviation</w:t>
      </w:r>
      <w:r w:rsidRPr="00BB4ED3">
        <w:rPr>
          <w:b/>
        </w:rPr>
        <w:t>:</w:t>
      </w:r>
      <w:r>
        <w:t xml:space="preserve"> </w:t>
      </w:r>
      <w:r w:rsidR="00D6017C">
        <w:t>This feature is the standard deviation of fluctuation value of all the tumor pixels.</w:t>
      </w:r>
    </w:p>
    <w:p w:rsidR="00D6017C" w:rsidRPr="00D6017C" w:rsidRDefault="00534DF1" w:rsidP="00DF0CA1">
      <w:pPr>
        <w:pStyle w:val="ListParagraph"/>
        <w:numPr>
          <w:ilvl w:val="0"/>
          <w:numId w:val="18"/>
        </w:numPr>
        <w:jc w:val="both"/>
        <w:rPr>
          <w:iCs/>
        </w:rPr>
      </w:pPr>
      <w:r w:rsidRPr="00D6017C">
        <w:rPr>
          <w:b/>
        </w:rPr>
        <w:t>Gradient Mean</w:t>
      </w:r>
      <w:r w:rsidR="00BA435E" w:rsidRPr="00D6017C">
        <w:rPr>
          <w:b/>
        </w:rPr>
        <w:t>:</w:t>
      </w:r>
      <w:r w:rsidR="00BA435E">
        <w:t xml:space="preserve"> </w:t>
      </w:r>
      <w:r w:rsidR="00D6017C" w:rsidRPr="00D6017C">
        <w:t xml:space="preserve">It is defined as the average gradient value of all the tumor boundary pixels. </w:t>
      </w:r>
    </w:p>
    <w:p w:rsidR="00AD085D" w:rsidRDefault="00534DF1" w:rsidP="00DF0CA1">
      <w:pPr>
        <w:pStyle w:val="ListParagraph"/>
        <w:numPr>
          <w:ilvl w:val="0"/>
          <w:numId w:val="18"/>
        </w:numPr>
        <w:jc w:val="both"/>
        <w:rPr>
          <w:rFonts w:cstheme="minorHAnsi"/>
          <w:iCs/>
        </w:rPr>
      </w:pPr>
      <w:r>
        <w:rPr>
          <w:rFonts w:cstheme="minorHAnsi"/>
          <w:b/>
          <w:iCs/>
        </w:rPr>
        <w:t>Gradient standard deviation</w:t>
      </w:r>
      <w:r w:rsidR="00700EC7" w:rsidRPr="00BB4ED3">
        <w:rPr>
          <w:rFonts w:cstheme="minorHAnsi"/>
          <w:b/>
          <w:iCs/>
        </w:rPr>
        <w:t>:</w:t>
      </w:r>
      <w:r w:rsidR="00700EC7">
        <w:rPr>
          <w:rFonts w:cstheme="minorHAnsi"/>
          <w:iCs/>
        </w:rPr>
        <w:t xml:space="preserve"> </w:t>
      </w:r>
      <w:r w:rsidR="00700EC7" w:rsidRPr="00E60824">
        <w:rPr>
          <w:rFonts w:cstheme="minorHAnsi"/>
          <w:iCs/>
        </w:rPr>
        <w:t>This feature</w:t>
      </w:r>
      <w:r w:rsidR="00700EC7">
        <w:rPr>
          <w:rFonts w:cstheme="minorHAnsi"/>
          <w:iCs/>
        </w:rPr>
        <w:t xml:space="preserve"> is the</w:t>
      </w:r>
      <w:r w:rsidR="00D6017C">
        <w:rPr>
          <w:rFonts w:cstheme="minorHAnsi"/>
          <w:iCs/>
        </w:rPr>
        <w:t xml:space="preserve"> standard deviation of gradient value</w:t>
      </w:r>
      <w:r w:rsidR="00700EC7">
        <w:rPr>
          <w:rFonts w:cstheme="minorHAnsi"/>
          <w:iCs/>
        </w:rPr>
        <w:t xml:space="preserve"> of all boundary pixels.</w:t>
      </w:r>
    </w:p>
    <w:p w:rsidR="00400FF1" w:rsidRDefault="00534DF1" w:rsidP="00DF0CA1">
      <w:pPr>
        <w:pStyle w:val="ListParagraph"/>
        <w:numPr>
          <w:ilvl w:val="0"/>
          <w:numId w:val="18"/>
        </w:numPr>
        <w:jc w:val="both"/>
        <w:rPr>
          <w:rFonts w:cstheme="minorHAnsi"/>
          <w:iCs/>
        </w:rPr>
      </w:pPr>
      <w:r>
        <w:rPr>
          <w:rFonts w:cstheme="minorHAnsi"/>
          <w:b/>
          <w:iCs/>
        </w:rPr>
        <w:t>Density</w:t>
      </w:r>
      <w:r w:rsidR="00400FF1" w:rsidRPr="00BB4ED3">
        <w:rPr>
          <w:rFonts w:cstheme="minorHAnsi"/>
          <w:b/>
          <w:iCs/>
        </w:rPr>
        <w:t>:</w:t>
      </w:r>
      <w:r w:rsidR="00400FF1">
        <w:rPr>
          <w:rFonts w:cstheme="minorHAnsi"/>
          <w:iCs/>
        </w:rPr>
        <w:t xml:space="preserve"> This feature </w:t>
      </w:r>
      <w:r w:rsidR="007F1AF5">
        <w:rPr>
          <w:rFonts w:cstheme="minorHAnsi"/>
          <w:iCs/>
        </w:rPr>
        <w:t>computes</w:t>
      </w:r>
      <w:r w:rsidR="00400FF1">
        <w:rPr>
          <w:rFonts w:cstheme="minorHAnsi"/>
          <w:iCs/>
        </w:rPr>
        <w:t xml:space="preserve"> the average intensity of all the pixel</w:t>
      </w:r>
      <w:r w:rsidR="00C57F0A">
        <w:rPr>
          <w:rFonts w:cstheme="minorHAnsi"/>
          <w:iCs/>
        </w:rPr>
        <w:t xml:space="preserve"> values</w:t>
      </w:r>
      <w:r w:rsidR="00400FF1">
        <w:rPr>
          <w:rFonts w:cstheme="minorHAnsi"/>
          <w:iCs/>
        </w:rPr>
        <w:t xml:space="preserve"> </w:t>
      </w:r>
      <w:r w:rsidR="00A23C02">
        <w:rPr>
          <w:rFonts w:cstheme="minorHAnsi"/>
          <w:iCs/>
        </w:rPr>
        <w:t>within</w:t>
      </w:r>
      <w:r w:rsidR="00400FF1">
        <w:rPr>
          <w:rFonts w:cstheme="minorHAnsi"/>
          <w:iCs/>
        </w:rPr>
        <w:t xml:space="preserve"> the tumor.</w:t>
      </w:r>
    </w:p>
    <w:p w:rsidR="00400FF1" w:rsidRDefault="00ED7F33" w:rsidP="00DF0CA1">
      <w:pPr>
        <w:pStyle w:val="ListParagraph"/>
        <w:numPr>
          <w:ilvl w:val="0"/>
          <w:numId w:val="18"/>
        </w:numPr>
        <w:jc w:val="both"/>
        <w:rPr>
          <w:rFonts w:cstheme="minorHAnsi"/>
          <w:iCs/>
        </w:rPr>
      </w:pPr>
      <w:r>
        <w:rPr>
          <w:rFonts w:cstheme="minorHAnsi"/>
          <w:b/>
          <w:iCs/>
        </w:rPr>
        <w:t>Standard deviation</w:t>
      </w:r>
      <w:r w:rsidR="00B72ADF">
        <w:rPr>
          <w:rFonts w:cstheme="minorHAnsi"/>
          <w:b/>
          <w:iCs/>
        </w:rPr>
        <w:t xml:space="preserve"> of density</w:t>
      </w:r>
      <w:r w:rsidR="00830567">
        <w:rPr>
          <w:rFonts w:cstheme="minorHAnsi"/>
          <w:b/>
          <w:iCs/>
        </w:rPr>
        <w:t xml:space="preserve">: </w:t>
      </w:r>
      <w:r w:rsidR="00830567">
        <w:rPr>
          <w:rFonts w:cstheme="minorHAnsi"/>
          <w:iCs/>
        </w:rPr>
        <w:t xml:space="preserve">It </w:t>
      </w:r>
      <w:r w:rsidR="007F1AF5">
        <w:rPr>
          <w:rFonts w:cstheme="minorHAnsi"/>
          <w:iCs/>
        </w:rPr>
        <w:t>computes</w:t>
      </w:r>
      <w:r w:rsidR="00830567">
        <w:rPr>
          <w:rFonts w:cstheme="minorHAnsi"/>
          <w:iCs/>
        </w:rPr>
        <w:t xml:space="preserve"> the standard deviation of all the pixel</w:t>
      </w:r>
      <w:r w:rsidR="00D456E6">
        <w:rPr>
          <w:rFonts w:cstheme="minorHAnsi"/>
          <w:iCs/>
        </w:rPr>
        <w:t xml:space="preserve"> values</w:t>
      </w:r>
      <w:r w:rsidR="00830567">
        <w:rPr>
          <w:rFonts w:cstheme="minorHAnsi"/>
          <w:iCs/>
        </w:rPr>
        <w:t xml:space="preserve"> </w:t>
      </w:r>
      <w:r w:rsidR="0080408E">
        <w:rPr>
          <w:rFonts w:cstheme="minorHAnsi"/>
          <w:iCs/>
        </w:rPr>
        <w:t>within</w:t>
      </w:r>
      <w:r w:rsidR="00830567">
        <w:rPr>
          <w:rFonts w:cstheme="minorHAnsi"/>
          <w:iCs/>
        </w:rPr>
        <w:t xml:space="preserve"> the tumor.</w:t>
      </w:r>
    </w:p>
    <w:p w:rsidR="0078136D" w:rsidRPr="00221B86" w:rsidRDefault="00A57ECA" w:rsidP="00B72ADF">
      <w:pPr>
        <w:pStyle w:val="ListParagraph"/>
        <w:numPr>
          <w:ilvl w:val="0"/>
          <w:numId w:val="18"/>
        </w:numPr>
        <w:jc w:val="both"/>
        <w:rPr>
          <w:rFonts w:cstheme="minorHAnsi"/>
          <w:b/>
          <w:iCs/>
        </w:rPr>
      </w:pPr>
      <w:r w:rsidRPr="00A57ECA">
        <w:rPr>
          <w:b/>
        </w:rPr>
        <w:lastRenderedPageBreak/>
        <w:t>Mean contrast</w:t>
      </w:r>
      <w:r>
        <w:rPr>
          <w:b/>
        </w:rPr>
        <w:t xml:space="preserve">: </w:t>
      </w:r>
      <w:r w:rsidR="007F1AF5" w:rsidRPr="007F1AF5">
        <w:t>For this feature,</w:t>
      </w:r>
      <w:r w:rsidR="007F1AF5">
        <w:rPr>
          <w:b/>
        </w:rPr>
        <w:t xml:space="preserve"> </w:t>
      </w:r>
      <w:r w:rsidR="007F1AF5">
        <w:t>we initially compute an inner ring within the tumor and an outer ring surrounding the tumor then, the intensi</w:t>
      </w:r>
      <w:r w:rsidR="000B615F">
        <w:t>ty ratio of the inner ring</w:t>
      </w:r>
      <w:r w:rsidR="007F1AF5">
        <w:t xml:space="preserve"> to surrounding </w:t>
      </w:r>
      <w:r w:rsidR="007F1AF5" w:rsidRPr="000521A7">
        <w:t>outer ring</w:t>
      </w:r>
      <w:r w:rsidR="007F1AF5">
        <w:t xml:space="preserve"> is computed as follows:</w:t>
      </w:r>
    </w:p>
    <w:tbl>
      <w:tblPr>
        <w:tblStyle w:val="TableGrid"/>
        <w:tblW w:w="864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28"/>
        <w:gridCol w:w="7200"/>
        <w:gridCol w:w="621"/>
      </w:tblGrid>
      <w:tr w:rsidR="00221B86" w:rsidTr="003F1006">
        <w:trPr>
          <w:trHeight w:val="395"/>
        </w:trPr>
        <w:tc>
          <w:tcPr>
            <w:tcW w:w="828" w:type="dxa"/>
            <w:vAlign w:val="center"/>
          </w:tcPr>
          <w:p w:rsidR="00221B86" w:rsidRDefault="00221B86" w:rsidP="00727C16">
            <w:pPr>
              <w:jc w:val="center"/>
              <w:rPr>
                <w:rFonts w:cstheme="minorHAnsi"/>
              </w:rPr>
            </w:pPr>
          </w:p>
        </w:tc>
        <w:tc>
          <w:tcPr>
            <w:tcW w:w="7200" w:type="dxa"/>
            <w:vAlign w:val="center"/>
          </w:tcPr>
          <w:p w:rsidR="00221B86" w:rsidRDefault="00221B86" w:rsidP="00727C16">
            <w:pPr>
              <w:jc w:val="center"/>
              <w:rPr>
                <w:rFonts w:cstheme="minorHAnsi"/>
              </w:rPr>
            </w:pPr>
            <m:oMath>
              <m:r>
                <w:rPr>
                  <w:rFonts w:ascii="Cambria Math" w:hAnsi="Cambria Math" w:cstheme="minorHAnsi"/>
                </w:rPr>
                <m:t xml:space="preserve">mean contrast= </m:t>
              </m:r>
              <m:f>
                <m:fPr>
                  <m:ctrlPr>
                    <w:rPr>
                      <w:rFonts w:ascii="Cambria Math" w:hAnsi="Cambria Math" w:cstheme="minorHAnsi"/>
                      <w:i/>
                      <w:iCs/>
                    </w:rPr>
                  </m:ctrlPr>
                </m:fPr>
                <m:num>
                  <m:r>
                    <w:rPr>
                      <w:rFonts w:ascii="Cambria Math" w:hAnsi="Cambria Math" w:cstheme="minorHAnsi"/>
                    </w:rPr>
                    <m:t>mean of inner ring tumor pixels (</m:t>
                  </m:r>
                  <m:bar>
                    <m:barPr>
                      <m:pos m:val="top"/>
                      <m:ctrlPr>
                        <w:rPr>
                          <w:rFonts w:ascii="Cambria Math" w:hAnsi="Cambria Math" w:cstheme="minorHAnsi"/>
                          <w:i/>
                          <w:iCs/>
                        </w:rPr>
                      </m:ctrlPr>
                    </m:barPr>
                    <m:e>
                      <m:sSub>
                        <m:sSubPr>
                          <m:ctrlPr>
                            <w:rPr>
                              <w:rFonts w:ascii="Cambria Math" w:hAnsi="Cambria Math" w:cstheme="minorHAnsi"/>
                              <w:i/>
                              <w:iCs/>
                            </w:rPr>
                          </m:ctrlPr>
                        </m:sSubPr>
                        <m:e>
                          <m:r>
                            <w:rPr>
                              <w:rFonts w:ascii="Cambria Math" w:hAnsi="Cambria Math" w:cstheme="minorHAnsi"/>
                            </w:rPr>
                            <m:t>I</m:t>
                          </m:r>
                        </m:e>
                        <m:sub>
                          <m:r>
                            <w:rPr>
                              <w:rFonts w:ascii="Cambria Math" w:hAnsi="Cambria Math" w:cstheme="minorHAnsi"/>
                              <w:vertAlign w:val="subscript"/>
                            </w:rPr>
                            <m:t>inner</m:t>
                          </m:r>
                        </m:sub>
                      </m:sSub>
                    </m:e>
                  </m:bar>
                  <m:r>
                    <w:rPr>
                      <w:rFonts w:ascii="Cambria Math" w:hAnsi="Cambria Math" w:cstheme="minorHAnsi"/>
                    </w:rPr>
                    <m:t>)</m:t>
                  </m:r>
                </m:num>
                <m:den>
                  <m:r>
                    <w:rPr>
                      <w:rFonts w:ascii="Cambria Math" w:hAnsi="Cambria Math" w:cstheme="minorHAnsi"/>
                    </w:rPr>
                    <m:t>mean of outer ring boundary pixels (</m:t>
                  </m:r>
                  <m:bar>
                    <m:barPr>
                      <m:pos m:val="top"/>
                      <m:ctrlPr>
                        <w:rPr>
                          <w:rFonts w:ascii="Cambria Math" w:hAnsi="Cambria Math" w:cstheme="minorHAnsi"/>
                          <w:i/>
                          <w:iCs/>
                        </w:rPr>
                      </m:ctrlPr>
                    </m:barPr>
                    <m:e>
                      <m:sSub>
                        <m:sSubPr>
                          <m:ctrlPr>
                            <w:rPr>
                              <w:rFonts w:ascii="Cambria Math" w:hAnsi="Cambria Math" w:cstheme="minorHAnsi"/>
                              <w:i/>
                              <w:iCs/>
                            </w:rPr>
                          </m:ctrlPr>
                        </m:sSubPr>
                        <m:e>
                          <m:r>
                            <w:rPr>
                              <w:rFonts w:ascii="Cambria Math" w:hAnsi="Cambria Math" w:cstheme="minorHAnsi"/>
                            </w:rPr>
                            <m:t>I</m:t>
                          </m:r>
                        </m:e>
                        <m:sub>
                          <m:r>
                            <w:rPr>
                              <w:rFonts w:ascii="Cambria Math" w:hAnsi="Cambria Math" w:cstheme="minorHAnsi"/>
                              <w:vertAlign w:val="subscript"/>
                            </w:rPr>
                            <m:t>outer</m:t>
                          </m:r>
                        </m:sub>
                      </m:sSub>
                    </m:e>
                  </m:bar>
                  <m:r>
                    <w:rPr>
                      <w:rFonts w:ascii="Cambria Math" w:hAnsi="Cambria Math" w:cstheme="minorHAnsi"/>
                    </w:rPr>
                    <m:t>)</m:t>
                  </m:r>
                </m:den>
              </m:f>
            </m:oMath>
            <w:r>
              <w:rPr>
                <w:rFonts w:cstheme="minorHAnsi"/>
              </w:rPr>
              <w:t xml:space="preserve"> </w:t>
            </w:r>
          </w:p>
        </w:tc>
        <w:tc>
          <w:tcPr>
            <w:tcW w:w="621" w:type="dxa"/>
            <w:vAlign w:val="center"/>
          </w:tcPr>
          <w:p w:rsidR="00221B86" w:rsidRDefault="00221B86" w:rsidP="003F1006">
            <w:pPr>
              <w:jc w:val="center"/>
              <w:rPr>
                <w:rFonts w:cstheme="minorHAnsi"/>
              </w:rPr>
            </w:pPr>
            <w:r>
              <w:rPr>
                <w:rFonts w:cstheme="minorHAnsi"/>
              </w:rPr>
              <w:t>(</w:t>
            </w:r>
            <w:fldSimple w:instr=" SEQ Eq \* MERGEFORMAT ">
              <w:r w:rsidR="00D719F4" w:rsidRPr="00D719F4">
                <w:rPr>
                  <w:rFonts w:cstheme="minorHAnsi"/>
                  <w:noProof/>
                </w:rPr>
                <w:t>20</w:t>
              </w:r>
            </w:fldSimple>
            <w:r>
              <w:rPr>
                <w:rFonts w:cstheme="minorHAnsi"/>
              </w:rPr>
              <w:t>)</w:t>
            </w:r>
          </w:p>
        </w:tc>
      </w:tr>
    </w:tbl>
    <w:p w:rsidR="00375DD2" w:rsidRDefault="00534DF1" w:rsidP="00B72ADF">
      <w:pPr>
        <w:pStyle w:val="ListParagraph"/>
        <w:numPr>
          <w:ilvl w:val="0"/>
          <w:numId w:val="18"/>
        </w:numPr>
        <w:jc w:val="both"/>
      </w:pPr>
      <w:r>
        <w:rPr>
          <w:b/>
        </w:rPr>
        <w:t>Contrast</w:t>
      </w:r>
      <w:r w:rsidR="00375DD2">
        <w:rPr>
          <w:b/>
        </w:rPr>
        <w:t xml:space="preserve">: </w:t>
      </w:r>
      <w:r w:rsidR="00375DD2">
        <w:t>It is the difference between</w:t>
      </w:r>
      <w:r w:rsidR="000107EE">
        <w:t xml:space="preserve"> the</w:t>
      </w:r>
      <w:r w:rsidR="004A41F8">
        <w:t xml:space="preserve"> </w:t>
      </w:r>
      <w:r w:rsidR="00375DD2" w:rsidRPr="000107EE">
        <w:rPr>
          <w:noProof/>
        </w:rPr>
        <w:t>mean</w:t>
      </w:r>
      <w:r w:rsidR="00375DD2">
        <w:t xml:space="preserve"> of </w:t>
      </w:r>
      <w:r w:rsidR="009B768D">
        <w:t xml:space="preserve">inner ring </w:t>
      </w:r>
      <w:r w:rsidR="00375DD2">
        <w:t xml:space="preserve">tumor pixels and </w:t>
      </w:r>
      <w:r w:rsidR="000107EE" w:rsidRPr="000107EE">
        <w:rPr>
          <w:noProof/>
        </w:rPr>
        <w:t>the</w:t>
      </w:r>
      <w:r w:rsidR="000107EE">
        <w:rPr>
          <w:noProof/>
        </w:rPr>
        <w:t xml:space="preserve"> </w:t>
      </w:r>
      <w:r w:rsidR="00375DD2" w:rsidRPr="000107EE">
        <w:rPr>
          <w:noProof/>
        </w:rPr>
        <w:t>mean</w:t>
      </w:r>
      <w:r w:rsidR="00375DD2">
        <w:t xml:space="preserve"> of </w:t>
      </w:r>
      <w:r w:rsidR="009B768D">
        <w:t xml:space="preserve">surrounding outer ring </w:t>
      </w:r>
      <w:r w:rsidR="00375DD2">
        <w:t>boundary pixels.</w:t>
      </w:r>
      <w:r w:rsidR="007F1AF5">
        <w:t xml:space="preserve"> </w:t>
      </w:r>
    </w:p>
    <w:tbl>
      <w:tblPr>
        <w:tblStyle w:val="TableGrid"/>
        <w:tblW w:w="864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28"/>
        <w:gridCol w:w="7200"/>
        <w:gridCol w:w="621"/>
      </w:tblGrid>
      <w:tr w:rsidR="00221B86" w:rsidTr="003F1006">
        <w:trPr>
          <w:trHeight w:val="395"/>
        </w:trPr>
        <w:tc>
          <w:tcPr>
            <w:tcW w:w="828" w:type="dxa"/>
            <w:vAlign w:val="center"/>
          </w:tcPr>
          <w:p w:rsidR="00221B86" w:rsidRDefault="00221B86" w:rsidP="00727C16">
            <w:pPr>
              <w:jc w:val="center"/>
              <w:rPr>
                <w:rFonts w:cstheme="minorHAnsi"/>
              </w:rPr>
            </w:pPr>
          </w:p>
        </w:tc>
        <w:tc>
          <w:tcPr>
            <w:tcW w:w="7200" w:type="dxa"/>
            <w:vAlign w:val="center"/>
          </w:tcPr>
          <w:p w:rsidR="00221B86" w:rsidRDefault="00221B86" w:rsidP="00727C16">
            <w:pPr>
              <w:jc w:val="center"/>
              <w:rPr>
                <w:rFonts w:cstheme="minorHAnsi"/>
              </w:rPr>
            </w:pPr>
            <m:oMath>
              <m:r>
                <w:rPr>
                  <w:rFonts w:ascii="Cambria Math" w:hAnsi="Cambria Math" w:cstheme="minorHAnsi"/>
                </w:rPr>
                <m:t xml:space="preserve">contrast= </m:t>
              </m:r>
              <m:bar>
                <m:barPr>
                  <m:pos m:val="top"/>
                  <m:ctrlPr>
                    <w:rPr>
                      <w:rFonts w:ascii="Cambria Math" w:hAnsi="Cambria Math" w:cstheme="minorHAnsi"/>
                      <w:i/>
                      <w:iCs/>
                    </w:rPr>
                  </m:ctrlPr>
                </m:barPr>
                <m:e>
                  <m:sSub>
                    <m:sSubPr>
                      <m:ctrlPr>
                        <w:rPr>
                          <w:rFonts w:ascii="Cambria Math" w:hAnsi="Cambria Math" w:cstheme="minorHAnsi"/>
                          <w:i/>
                          <w:iCs/>
                        </w:rPr>
                      </m:ctrlPr>
                    </m:sSubPr>
                    <m:e>
                      <m:r>
                        <w:rPr>
                          <w:rFonts w:ascii="Cambria Math" w:hAnsi="Cambria Math" w:cstheme="minorHAnsi"/>
                        </w:rPr>
                        <m:t>I</m:t>
                      </m:r>
                    </m:e>
                    <m:sub>
                      <m:r>
                        <w:rPr>
                          <w:rFonts w:ascii="Cambria Math" w:hAnsi="Cambria Math" w:cstheme="minorHAnsi"/>
                          <w:vertAlign w:val="subscript"/>
                        </w:rPr>
                        <m:t>inner</m:t>
                      </m:r>
                    </m:sub>
                  </m:sSub>
                </m:e>
              </m:bar>
              <m:r>
                <w:rPr>
                  <w:rFonts w:ascii="Cambria Math" w:hAnsi="Cambria Math" w:cstheme="minorHAnsi"/>
                </w:rPr>
                <m:t>-</m:t>
              </m:r>
              <m:bar>
                <m:barPr>
                  <m:pos m:val="top"/>
                  <m:ctrlPr>
                    <w:rPr>
                      <w:rFonts w:ascii="Cambria Math" w:hAnsi="Cambria Math" w:cstheme="minorHAnsi"/>
                      <w:i/>
                      <w:iCs/>
                    </w:rPr>
                  </m:ctrlPr>
                </m:barPr>
                <m:e>
                  <m:sSub>
                    <m:sSubPr>
                      <m:ctrlPr>
                        <w:rPr>
                          <w:rFonts w:ascii="Cambria Math" w:hAnsi="Cambria Math" w:cstheme="minorHAnsi"/>
                          <w:i/>
                          <w:iCs/>
                        </w:rPr>
                      </m:ctrlPr>
                    </m:sSubPr>
                    <m:e>
                      <m:r>
                        <w:rPr>
                          <w:rFonts w:ascii="Cambria Math" w:hAnsi="Cambria Math" w:cstheme="minorHAnsi"/>
                        </w:rPr>
                        <m:t>I</m:t>
                      </m:r>
                    </m:e>
                    <m:sub>
                      <m:r>
                        <w:rPr>
                          <w:rFonts w:ascii="Cambria Math" w:hAnsi="Cambria Math" w:cstheme="minorHAnsi"/>
                          <w:vertAlign w:val="subscript"/>
                        </w:rPr>
                        <m:t>outer</m:t>
                      </m:r>
                    </m:sub>
                  </m:sSub>
                </m:e>
              </m:bar>
            </m:oMath>
            <w:r>
              <w:rPr>
                <w:rFonts w:cstheme="minorHAnsi"/>
              </w:rPr>
              <w:t xml:space="preserve"> </w:t>
            </w:r>
          </w:p>
        </w:tc>
        <w:tc>
          <w:tcPr>
            <w:tcW w:w="621" w:type="dxa"/>
            <w:vAlign w:val="center"/>
          </w:tcPr>
          <w:p w:rsidR="00221B86" w:rsidRDefault="00221B86" w:rsidP="003F1006">
            <w:pPr>
              <w:jc w:val="center"/>
              <w:rPr>
                <w:rFonts w:cstheme="minorHAnsi"/>
              </w:rPr>
            </w:pPr>
            <w:r>
              <w:rPr>
                <w:rFonts w:cstheme="minorHAnsi"/>
              </w:rPr>
              <w:t>(</w:t>
            </w:r>
            <w:fldSimple w:instr=" SEQ Eq \* MERGEFORMAT ">
              <w:r w:rsidR="00D719F4" w:rsidRPr="00D719F4">
                <w:rPr>
                  <w:rFonts w:cstheme="minorHAnsi"/>
                  <w:noProof/>
                </w:rPr>
                <w:t>21</w:t>
              </w:r>
            </w:fldSimple>
            <w:r>
              <w:rPr>
                <w:rFonts w:cstheme="minorHAnsi"/>
              </w:rPr>
              <w:t>)</w:t>
            </w:r>
          </w:p>
        </w:tc>
      </w:tr>
    </w:tbl>
    <w:p w:rsidR="006136C5" w:rsidRDefault="00534DF1" w:rsidP="00B72ADF">
      <w:pPr>
        <w:pStyle w:val="ListParagraph"/>
        <w:numPr>
          <w:ilvl w:val="0"/>
          <w:numId w:val="18"/>
        </w:numPr>
        <w:jc w:val="both"/>
        <w:rPr>
          <w:rFonts w:asciiTheme="majorHAnsi" w:hAnsiTheme="majorHAnsi" w:cstheme="majorHAnsi"/>
          <w:iCs/>
        </w:rPr>
      </w:pPr>
      <w:r>
        <w:rPr>
          <w:rFonts w:asciiTheme="majorHAnsi" w:hAnsiTheme="majorHAnsi" w:cstheme="majorHAnsi"/>
          <w:b/>
          <w:iCs/>
        </w:rPr>
        <w:t>Skewness</w:t>
      </w:r>
      <w:r w:rsidR="006136C5" w:rsidRPr="00BB63F4">
        <w:rPr>
          <w:rFonts w:asciiTheme="majorHAnsi" w:hAnsiTheme="majorHAnsi" w:cstheme="majorHAnsi"/>
          <w:b/>
          <w:iCs/>
        </w:rPr>
        <w:t>:</w:t>
      </w:r>
      <w:r w:rsidR="006136C5" w:rsidRPr="00BB63F4">
        <w:rPr>
          <w:rFonts w:asciiTheme="majorHAnsi" w:hAnsiTheme="majorHAnsi" w:cstheme="majorHAnsi"/>
          <w:iCs/>
        </w:rPr>
        <w:t xml:space="preserve"> </w:t>
      </w:r>
      <w:r w:rsidR="0058155A" w:rsidRPr="00BB63F4">
        <w:rPr>
          <w:rFonts w:asciiTheme="majorHAnsi" w:hAnsiTheme="majorHAnsi" w:cstheme="majorHAnsi"/>
          <w:iCs/>
        </w:rPr>
        <w:t xml:space="preserve">Skewness </w:t>
      </w:r>
      <w:r w:rsidR="0078743A">
        <w:rPr>
          <w:rFonts w:asciiTheme="majorHAnsi" w:hAnsiTheme="majorHAnsi" w:cstheme="majorHAnsi"/>
          <w:iCs/>
        </w:rPr>
        <w:t>measures</w:t>
      </w:r>
      <w:r w:rsidR="004A41F8" w:rsidRPr="00BB63F4">
        <w:rPr>
          <w:rFonts w:asciiTheme="majorHAnsi" w:hAnsiTheme="majorHAnsi" w:cstheme="majorHAnsi"/>
          <w:iCs/>
        </w:rPr>
        <w:t xml:space="preserve"> the</w:t>
      </w:r>
      <w:r w:rsidR="0058155A" w:rsidRPr="00BB63F4">
        <w:rPr>
          <w:rFonts w:asciiTheme="majorHAnsi" w:hAnsiTheme="majorHAnsi" w:cstheme="majorHAnsi"/>
          <w:iCs/>
        </w:rPr>
        <w:t xml:space="preserve"> </w:t>
      </w:r>
      <w:r w:rsidR="0058155A" w:rsidRPr="00BB63F4">
        <w:rPr>
          <w:rFonts w:asciiTheme="majorHAnsi" w:hAnsiTheme="majorHAnsi" w:cstheme="majorHAnsi"/>
          <w:iCs/>
          <w:noProof/>
        </w:rPr>
        <w:t>asymmetry</w:t>
      </w:r>
      <w:r w:rsidR="0058155A" w:rsidRPr="00BB63F4">
        <w:rPr>
          <w:rFonts w:asciiTheme="majorHAnsi" w:hAnsiTheme="majorHAnsi" w:cstheme="majorHAnsi"/>
          <w:iCs/>
        </w:rPr>
        <w:t xml:space="preserve"> of the probability distribution </w:t>
      </w:r>
      <w:r w:rsidR="004B2EAF" w:rsidRPr="00BB63F4">
        <w:rPr>
          <w:rFonts w:asciiTheme="majorHAnsi" w:hAnsiTheme="majorHAnsi" w:cstheme="majorHAnsi"/>
          <w:iCs/>
        </w:rPr>
        <w:t xml:space="preserve">curve </w:t>
      </w:r>
      <w:r w:rsidR="0083145B" w:rsidRPr="00BB63F4">
        <w:rPr>
          <w:rFonts w:asciiTheme="majorHAnsi" w:hAnsiTheme="majorHAnsi" w:cstheme="majorHAnsi"/>
          <w:iCs/>
        </w:rPr>
        <w:t>of</w:t>
      </w:r>
      <w:r w:rsidR="0058155A" w:rsidRPr="00BB63F4">
        <w:rPr>
          <w:rFonts w:asciiTheme="majorHAnsi" w:hAnsiTheme="majorHAnsi" w:cstheme="majorHAnsi"/>
          <w:iCs/>
        </w:rPr>
        <w:t xml:space="preserve"> all the tumor pixel</w:t>
      </w:r>
      <w:r w:rsidR="00AC49EF" w:rsidRPr="00BB63F4">
        <w:rPr>
          <w:rFonts w:asciiTheme="majorHAnsi" w:hAnsiTheme="majorHAnsi" w:cstheme="majorHAnsi"/>
          <w:iCs/>
        </w:rPr>
        <w:t xml:space="preserve"> values</w:t>
      </w:r>
      <w:r w:rsidR="0058155A" w:rsidRPr="00BB63F4">
        <w:rPr>
          <w:rFonts w:asciiTheme="majorHAnsi" w:hAnsiTheme="majorHAnsi" w:cstheme="majorHAnsi"/>
          <w:iCs/>
        </w:rPr>
        <w:t xml:space="preserve"> </w:t>
      </w:r>
      <w:r w:rsidR="006975A6" w:rsidRPr="00BB63F4">
        <w:rPr>
          <w:rFonts w:asciiTheme="majorHAnsi" w:hAnsiTheme="majorHAnsi" w:cstheme="majorHAnsi"/>
          <w:iCs/>
        </w:rPr>
        <w:t>about</w:t>
      </w:r>
      <w:r w:rsidR="006B1E02" w:rsidRPr="00BB63F4">
        <w:rPr>
          <w:rFonts w:asciiTheme="majorHAnsi" w:hAnsiTheme="majorHAnsi" w:cstheme="majorHAnsi"/>
          <w:iCs/>
        </w:rPr>
        <w:t xml:space="preserve"> its mean</w:t>
      </w:r>
      <w:r w:rsidR="00510F06" w:rsidRPr="00BB63F4">
        <w:rPr>
          <w:rFonts w:asciiTheme="majorHAnsi" w:hAnsiTheme="majorHAnsi" w:cstheme="majorHAnsi"/>
          <w:iCs/>
        </w:rPr>
        <w:t>.</w:t>
      </w:r>
    </w:p>
    <w:tbl>
      <w:tblPr>
        <w:tblStyle w:val="TableGrid"/>
        <w:tblW w:w="864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28"/>
        <w:gridCol w:w="7200"/>
        <w:gridCol w:w="621"/>
      </w:tblGrid>
      <w:tr w:rsidR="00221B86" w:rsidTr="003F1006">
        <w:trPr>
          <w:trHeight w:val="395"/>
        </w:trPr>
        <w:tc>
          <w:tcPr>
            <w:tcW w:w="828" w:type="dxa"/>
            <w:vAlign w:val="center"/>
          </w:tcPr>
          <w:p w:rsidR="00221B86" w:rsidRDefault="00221B86" w:rsidP="00727C16">
            <w:pPr>
              <w:jc w:val="center"/>
              <w:rPr>
                <w:rFonts w:cstheme="minorHAnsi"/>
              </w:rPr>
            </w:pPr>
          </w:p>
        </w:tc>
        <w:tc>
          <w:tcPr>
            <w:tcW w:w="7200" w:type="dxa"/>
            <w:vAlign w:val="center"/>
          </w:tcPr>
          <w:p w:rsidR="00221B86" w:rsidRDefault="00221B86" w:rsidP="00727C16">
            <w:pPr>
              <w:jc w:val="center"/>
              <w:rPr>
                <w:rFonts w:cstheme="minorHAnsi"/>
              </w:rPr>
            </w:pPr>
            <m:oMath>
              <m:r>
                <w:rPr>
                  <w:rFonts w:ascii="Cambria Math" w:hAnsi="Cambria Math" w:cstheme="majorHAnsi"/>
                </w:rPr>
                <m:t>skewness</m:t>
              </m:r>
              <m:r>
                <m:rPr>
                  <m:sty m:val="bi"/>
                </m:rPr>
                <w:rPr>
                  <w:rFonts w:ascii="Cambria Math" w:hAnsi="Cambria Math" w:cstheme="majorHAnsi"/>
                </w:rPr>
                <m:t xml:space="preserve">= </m:t>
              </m:r>
              <m:rad>
                <m:radPr>
                  <m:degHide m:val="1"/>
                  <m:ctrlPr>
                    <w:rPr>
                      <w:rFonts w:ascii="Cambria Math" w:hAnsi="Cambria Math" w:cstheme="majorHAnsi"/>
                      <w:b/>
                      <w:i/>
                      <w:iCs/>
                    </w:rPr>
                  </m:ctrlPr>
                </m:radPr>
                <m:deg/>
                <m:e>
                  <m:r>
                    <w:rPr>
                      <w:rFonts w:ascii="Cambria Math" w:hAnsi="Cambria Math" w:cstheme="majorHAnsi"/>
                    </w:rPr>
                    <m:t>N</m:t>
                  </m:r>
                </m:e>
              </m:rad>
              <m:r>
                <m:rPr>
                  <m:sty m:val="bi"/>
                </m:rPr>
                <w:rPr>
                  <w:rFonts w:ascii="Cambria Math" w:hAnsi="Cambria Math" w:cstheme="majorHAnsi"/>
                </w:rPr>
                <m:t>*</m:t>
              </m:r>
              <m:f>
                <m:fPr>
                  <m:ctrlPr>
                    <w:rPr>
                      <w:rFonts w:ascii="Cambria Math" w:hAnsi="Cambria Math" w:cstheme="majorHAnsi"/>
                      <w:b/>
                      <w:i/>
                      <w:iCs/>
                    </w:rPr>
                  </m:ctrlPr>
                </m:fPr>
                <m:num>
                  <m:nary>
                    <m:naryPr>
                      <m:chr m:val="∑"/>
                      <m:limLoc m:val="undOvr"/>
                      <m:ctrlPr>
                        <w:rPr>
                          <w:rFonts w:ascii="Cambria Math" w:hAnsi="Cambria Math" w:cstheme="majorHAnsi"/>
                          <w:b/>
                          <w:i/>
                          <w:iCs/>
                        </w:rPr>
                      </m:ctrlPr>
                    </m:naryPr>
                    <m:sub>
                      <m:r>
                        <m:rPr>
                          <m:sty m:val="bi"/>
                        </m:rPr>
                        <w:rPr>
                          <w:rFonts w:ascii="Cambria Math" w:hAnsi="Cambria Math" w:cstheme="majorHAnsi"/>
                        </w:rPr>
                        <m:t>i=1</m:t>
                      </m:r>
                    </m:sub>
                    <m:sup>
                      <m:r>
                        <m:rPr>
                          <m:sty m:val="bi"/>
                        </m:rPr>
                        <w:rPr>
                          <w:rFonts w:ascii="Cambria Math" w:hAnsi="Cambria Math" w:cstheme="majorHAnsi"/>
                        </w:rPr>
                        <m:t>N</m:t>
                      </m:r>
                    </m:sup>
                    <m:e>
                      <m:sSup>
                        <m:sSupPr>
                          <m:ctrlPr>
                            <w:rPr>
                              <w:rFonts w:ascii="Cambria Math" w:hAnsi="Cambria Math" w:cstheme="majorHAnsi"/>
                              <w:b/>
                              <w:i/>
                              <w:iCs/>
                            </w:rPr>
                          </m:ctrlPr>
                        </m:sSupPr>
                        <m:e>
                          <m:d>
                            <m:dPr>
                              <m:ctrlPr>
                                <w:rPr>
                                  <w:rFonts w:ascii="Cambria Math" w:hAnsi="Cambria Math" w:cstheme="majorHAnsi"/>
                                  <w:b/>
                                  <w:i/>
                                  <w:iCs/>
                                </w:rPr>
                              </m:ctrlPr>
                            </m:dPr>
                            <m:e>
                              <m:sSub>
                                <m:sSubPr>
                                  <m:ctrlPr>
                                    <w:rPr>
                                      <w:rFonts w:ascii="Cambria Math" w:hAnsi="Cambria Math" w:cstheme="majorHAnsi"/>
                                      <w:b/>
                                      <w:i/>
                                      <w:iCs/>
                                    </w:rPr>
                                  </m:ctrlPr>
                                </m:sSubPr>
                                <m:e>
                                  <m:r>
                                    <m:rPr>
                                      <m:sty m:val="bi"/>
                                    </m:rPr>
                                    <w:rPr>
                                      <w:rFonts w:ascii="Cambria Math" w:hAnsi="Cambria Math" w:cstheme="majorHAnsi"/>
                                    </w:rPr>
                                    <m:t>I</m:t>
                                  </m:r>
                                </m:e>
                                <m:sub>
                                  <m:r>
                                    <m:rPr>
                                      <m:sty m:val="bi"/>
                                    </m:rPr>
                                    <w:rPr>
                                      <w:rFonts w:ascii="Cambria Math" w:hAnsi="Cambria Math" w:cstheme="majorHAnsi"/>
                                    </w:rPr>
                                    <m:t>i</m:t>
                                  </m:r>
                                </m:sub>
                              </m:sSub>
                              <m:r>
                                <m:rPr>
                                  <m:sty m:val="bi"/>
                                </m:rPr>
                                <w:rPr>
                                  <w:rFonts w:ascii="Cambria Math" w:hAnsi="Cambria Math" w:cstheme="majorHAnsi"/>
                                </w:rPr>
                                <m:t>-</m:t>
                              </m:r>
                              <m:bar>
                                <m:barPr>
                                  <m:pos m:val="top"/>
                                  <m:ctrlPr>
                                    <w:rPr>
                                      <w:rFonts w:ascii="Cambria Math" w:hAnsi="Cambria Math" w:cstheme="majorHAnsi"/>
                                      <w:b/>
                                      <w:i/>
                                      <w:iCs/>
                                    </w:rPr>
                                  </m:ctrlPr>
                                </m:barPr>
                                <m:e>
                                  <m:r>
                                    <m:rPr>
                                      <m:sty m:val="bi"/>
                                    </m:rPr>
                                    <w:rPr>
                                      <w:rFonts w:ascii="Cambria Math" w:hAnsi="Cambria Math" w:cstheme="majorHAnsi"/>
                                    </w:rPr>
                                    <m:t>I</m:t>
                                  </m:r>
                                </m:e>
                              </m:bar>
                            </m:e>
                          </m:d>
                        </m:e>
                        <m:sup>
                          <m:r>
                            <m:rPr>
                              <m:sty m:val="bi"/>
                            </m:rPr>
                            <w:rPr>
                              <w:rFonts w:ascii="Cambria Math" w:hAnsi="Cambria Math" w:cstheme="majorHAnsi"/>
                            </w:rPr>
                            <m:t>3</m:t>
                          </m:r>
                        </m:sup>
                      </m:sSup>
                    </m:e>
                  </m:nary>
                </m:num>
                <m:den>
                  <m:nary>
                    <m:naryPr>
                      <m:chr m:val="∑"/>
                      <m:limLoc m:val="undOvr"/>
                      <m:ctrlPr>
                        <w:rPr>
                          <w:rFonts w:ascii="Cambria Math" w:hAnsi="Cambria Math" w:cstheme="majorHAnsi"/>
                          <w:b/>
                          <w:i/>
                          <w:iCs/>
                        </w:rPr>
                      </m:ctrlPr>
                    </m:naryPr>
                    <m:sub>
                      <m:r>
                        <m:rPr>
                          <m:sty m:val="bi"/>
                        </m:rPr>
                        <w:rPr>
                          <w:rFonts w:ascii="Cambria Math" w:hAnsi="Cambria Math" w:cstheme="majorHAnsi"/>
                        </w:rPr>
                        <m:t>i=1</m:t>
                      </m:r>
                    </m:sub>
                    <m:sup>
                      <m:r>
                        <m:rPr>
                          <m:sty m:val="bi"/>
                        </m:rPr>
                        <w:rPr>
                          <w:rFonts w:ascii="Cambria Math" w:hAnsi="Cambria Math" w:cstheme="majorHAnsi"/>
                        </w:rPr>
                        <m:t>N</m:t>
                      </m:r>
                    </m:sup>
                    <m:e>
                      <m:sSup>
                        <m:sSupPr>
                          <m:ctrlPr>
                            <w:rPr>
                              <w:rFonts w:ascii="Cambria Math" w:hAnsi="Cambria Math" w:cstheme="majorHAnsi"/>
                              <w:b/>
                              <w:i/>
                              <w:iCs/>
                            </w:rPr>
                          </m:ctrlPr>
                        </m:sSupPr>
                        <m:e>
                          <m:d>
                            <m:dPr>
                              <m:ctrlPr>
                                <w:rPr>
                                  <w:rFonts w:ascii="Cambria Math" w:hAnsi="Cambria Math" w:cstheme="majorHAnsi"/>
                                  <w:b/>
                                  <w:i/>
                                  <w:iCs/>
                                </w:rPr>
                              </m:ctrlPr>
                            </m:dPr>
                            <m:e>
                              <m:sSub>
                                <m:sSubPr>
                                  <m:ctrlPr>
                                    <w:rPr>
                                      <w:rFonts w:ascii="Cambria Math" w:hAnsi="Cambria Math" w:cstheme="majorHAnsi"/>
                                      <w:b/>
                                      <w:i/>
                                      <w:iCs/>
                                    </w:rPr>
                                  </m:ctrlPr>
                                </m:sSubPr>
                                <m:e>
                                  <m:r>
                                    <m:rPr>
                                      <m:sty m:val="bi"/>
                                    </m:rPr>
                                    <w:rPr>
                                      <w:rFonts w:ascii="Cambria Math" w:hAnsi="Cambria Math" w:cstheme="majorHAnsi"/>
                                    </w:rPr>
                                    <m:t>I</m:t>
                                  </m:r>
                                </m:e>
                                <m:sub>
                                  <m:r>
                                    <m:rPr>
                                      <m:sty m:val="bi"/>
                                    </m:rPr>
                                    <w:rPr>
                                      <w:rFonts w:ascii="Cambria Math" w:hAnsi="Cambria Math" w:cstheme="majorHAnsi"/>
                                    </w:rPr>
                                    <m:t>i</m:t>
                                  </m:r>
                                </m:sub>
                              </m:sSub>
                              <m:r>
                                <m:rPr>
                                  <m:sty m:val="bi"/>
                                </m:rPr>
                                <w:rPr>
                                  <w:rFonts w:ascii="Cambria Math" w:hAnsi="Cambria Math" w:cstheme="majorHAnsi"/>
                                </w:rPr>
                                <m:t>-</m:t>
                              </m:r>
                              <m:bar>
                                <m:barPr>
                                  <m:pos m:val="top"/>
                                  <m:ctrlPr>
                                    <w:rPr>
                                      <w:rFonts w:ascii="Cambria Math" w:hAnsi="Cambria Math" w:cstheme="majorHAnsi"/>
                                      <w:b/>
                                      <w:i/>
                                      <w:iCs/>
                                    </w:rPr>
                                  </m:ctrlPr>
                                </m:barPr>
                                <m:e>
                                  <m:r>
                                    <m:rPr>
                                      <m:sty m:val="bi"/>
                                    </m:rPr>
                                    <w:rPr>
                                      <w:rFonts w:ascii="Cambria Math" w:hAnsi="Cambria Math" w:cstheme="majorHAnsi"/>
                                    </w:rPr>
                                    <m:t>I</m:t>
                                  </m:r>
                                </m:e>
                              </m:bar>
                            </m:e>
                          </m:d>
                        </m:e>
                        <m:sup>
                          <m:f>
                            <m:fPr>
                              <m:ctrlPr>
                                <w:rPr>
                                  <w:rFonts w:ascii="Cambria Math" w:hAnsi="Cambria Math" w:cstheme="majorHAnsi"/>
                                  <w:b/>
                                  <w:i/>
                                  <w:iCs/>
                                </w:rPr>
                              </m:ctrlPr>
                            </m:fPr>
                            <m:num>
                              <m:r>
                                <m:rPr>
                                  <m:sty m:val="bi"/>
                                </m:rPr>
                                <w:rPr>
                                  <w:rFonts w:ascii="Cambria Math" w:hAnsi="Cambria Math" w:cstheme="majorHAnsi"/>
                                </w:rPr>
                                <m:t>3</m:t>
                              </m:r>
                            </m:num>
                            <m:den>
                              <m:r>
                                <m:rPr>
                                  <m:sty m:val="bi"/>
                                </m:rPr>
                                <w:rPr>
                                  <w:rFonts w:ascii="Cambria Math" w:hAnsi="Cambria Math" w:cstheme="majorHAnsi"/>
                                </w:rPr>
                                <m:t>2</m:t>
                              </m:r>
                            </m:den>
                          </m:f>
                        </m:sup>
                      </m:sSup>
                    </m:e>
                  </m:nary>
                </m:den>
              </m:f>
            </m:oMath>
            <w:r>
              <w:rPr>
                <w:rFonts w:cstheme="minorHAnsi"/>
              </w:rPr>
              <w:t xml:space="preserve"> </w:t>
            </w:r>
          </w:p>
        </w:tc>
        <w:tc>
          <w:tcPr>
            <w:tcW w:w="621" w:type="dxa"/>
            <w:vAlign w:val="center"/>
          </w:tcPr>
          <w:p w:rsidR="00221B86" w:rsidRDefault="00221B86" w:rsidP="003F1006">
            <w:pPr>
              <w:jc w:val="center"/>
              <w:rPr>
                <w:rFonts w:cstheme="minorHAnsi"/>
              </w:rPr>
            </w:pPr>
            <w:r>
              <w:rPr>
                <w:rFonts w:cstheme="minorHAnsi"/>
              </w:rPr>
              <w:t>(</w:t>
            </w:r>
            <w:fldSimple w:instr=" SEQ Eq \* MERGEFORMAT ">
              <w:r w:rsidR="00D719F4" w:rsidRPr="00D719F4">
                <w:rPr>
                  <w:rFonts w:cstheme="minorHAnsi"/>
                  <w:noProof/>
                </w:rPr>
                <w:t>22</w:t>
              </w:r>
            </w:fldSimple>
            <w:r>
              <w:rPr>
                <w:rFonts w:cstheme="minorHAnsi"/>
              </w:rPr>
              <w:t>)</w:t>
            </w:r>
          </w:p>
        </w:tc>
      </w:tr>
    </w:tbl>
    <w:p w:rsidR="0078743A" w:rsidRPr="00E55528" w:rsidRDefault="00534DF1" w:rsidP="00B72ADF">
      <w:pPr>
        <w:pStyle w:val="ListParagraph"/>
        <w:numPr>
          <w:ilvl w:val="0"/>
          <w:numId w:val="18"/>
        </w:numPr>
        <w:jc w:val="both"/>
        <w:rPr>
          <w:rFonts w:asciiTheme="majorHAnsi" w:hAnsiTheme="majorHAnsi" w:cstheme="majorHAnsi"/>
          <w:iCs/>
        </w:rPr>
      </w:pPr>
      <w:r w:rsidRPr="00E55528">
        <w:rPr>
          <w:rFonts w:asciiTheme="majorHAnsi" w:hAnsiTheme="majorHAnsi" w:cstheme="majorHAnsi"/>
          <w:b/>
          <w:iCs/>
        </w:rPr>
        <w:t>Kurtosis</w:t>
      </w:r>
      <w:r w:rsidR="006975A6" w:rsidRPr="00E55528">
        <w:rPr>
          <w:rFonts w:asciiTheme="majorHAnsi" w:hAnsiTheme="majorHAnsi" w:cstheme="majorHAnsi"/>
          <w:b/>
          <w:iCs/>
        </w:rPr>
        <w:t>:</w:t>
      </w:r>
      <w:r w:rsidR="0078743A" w:rsidRPr="00E55528">
        <w:rPr>
          <w:rFonts w:asciiTheme="majorHAnsi" w:hAnsiTheme="majorHAnsi" w:cstheme="majorHAnsi"/>
          <w:b/>
          <w:iCs/>
        </w:rPr>
        <w:t xml:space="preserve"> </w:t>
      </w:r>
      <w:r w:rsidR="0078743A" w:rsidRPr="00E55528">
        <w:rPr>
          <w:rFonts w:asciiTheme="majorHAnsi" w:hAnsiTheme="majorHAnsi" w:cstheme="majorHAnsi"/>
          <w:iCs/>
        </w:rPr>
        <w:t xml:space="preserve">Kurtosis measures the "tailed-ness" of the tumor density distribution when comparing to the standard normal distribution: </w:t>
      </w:r>
    </w:p>
    <w:tbl>
      <w:tblPr>
        <w:tblStyle w:val="TableGrid"/>
        <w:tblW w:w="864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28"/>
        <w:gridCol w:w="7200"/>
        <w:gridCol w:w="621"/>
      </w:tblGrid>
      <w:tr w:rsidR="00221B86" w:rsidTr="003F1006">
        <w:trPr>
          <w:trHeight w:val="395"/>
        </w:trPr>
        <w:tc>
          <w:tcPr>
            <w:tcW w:w="828" w:type="dxa"/>
            <w:vAlign w:val="center"/>
          </w:tcPr>
          <w:p w:rsidR="00221B86" w:rsidRDefault="00221B86" w:rsidP="00727C16">
            <w:pPr>
              <w:jc w:val="center"/>
              <w:rPr>
                <w:rFonts w:cstheme="minorHAnsi"/>
              </w:rPr>
            </w:pPr>
          </w:p>
        </w:tc>
        <w:tc>
          <w:tcPr>
            <w:tcW w:w="7200" w:type="dxa"/>
            <w:vAlign w:val="center"/>
          </w:tcPr>
          <w:p w:rsidR="00221B86" w:rsidRDefault="00221B86" w:rsidP="00727C16">
            <w:pPr>
              <w:jc w:val="center"/>
              <w:rPr>
                <w:rFonts w:cstheme="minorHAnsi"/>
              </w:rPr>
            </w:pPr>
            <m:oMath>
              <m:r>
                <w:rPr>
                  <w:rFonts w:ascii="Cambria Math" w:hAnsi="Cambria Math" w:cstheme="majorHAnsi"/>
                </w:rPr>
                <m:t>kurtosis= N</m:t>
              </m:r>
              <m:r>
                <m:rPr>
                  <m:sty m:val="bi"/>
                </m:rPr>
                <w:rPr>
                  <w:rFonts w:ascii="Cambria Math" w:hAnsi="Cambria Math" w:cstheme="majorHAnsi"/>
                </w:rPr>
                <m:t>*</m:t>
              </m:r>
              <m:f>
                <m:fPr>
                  <m:ctrlPr>
                    <w:rPr>
                      <w:rFonts w:ascii="Cambria Math" w:hAnsi="Cambria Math" w:cstheme="majorHAnsi"/>
                      <w:b/>
                      <w:i/>
                      <w:iCs/>
                    </w:rPr>
                  </m:ctrlPr>
                </m:fPr>
                <m:num>
                  <m:nary>
                    <m:naryPr>
                      <m:chr m:val="∑"/>
                      <m:limLoc m:val="undOvr"/>
                      <m:ctrlPr>
                        <w:rPr>
                          <w:rFonts w:ascii="Cambria Math" w:hAnsi="Cambria Math" w:cstheme="majorHAnsi"/>
                          <w:b/>
                          <w:i/>
                          <w:iCs/>
                        </w:rPr>
                      </m:ctrlPr>
                    </m:naryPr>
                    <m:sub>
                      <m:r>
                        <m:rPr>
                          <m:sty m:val="bi"/>
                        </m:rPr>
                        <w:rPr>
                          <w:rFonts w:ascii="Cambria Math" w:hAnsi="Cambria Math" w:cstheme="majorHAnsi"/>
                        </w:rPr>
                        <m:t>i=1</m:t>
                      </m:r>
                    </m:sub>
                    <m:sup>
                      <m:r>
                        <m:rPr>
                          <m:sty m:val="bi"/>
                        </m:rPr>
                        <w:rPr>
                          <w:rFonts w:ascii="Cambria Math" w:hAnsi="Cambria Math" w:cstheme="majorHAnsi"/>
                        </w:rPr>
                        <m:t>N</m:t>
                      </m:r>
                    </m:sup>
                    <m:e>
                      <m:sSup>
                        <m:sSupPr>
                          <m:ctrlPr>
                            <w:rPr>
                              <w:rFonts w:ascii="Cambria Math" w:hAnsi="Cambria Math" w:cstheme="majorHAnsi"/>
                              <w:b/>
                              <w:i/>
                              <w:iCs/>
                            </w:rPr>
                          </m:ctrlPr>
                        </m:sSupPr>
                        <m:e>
                          <m:d>
                            <m:dPr>
                              <m:ctrlPr>
                                <w:rPr>
                                  <w:rFonts w:ascii="Cambria Math" w:hAnsi="Cambria Math" w:cstheme="majorHAnsi"/>
                                  <w:b/>
                                  <w:i/>
                                  <w:iCs/>
                                </w:rPr>
                              </m:ctrlPr>
                            </m:dPr>
                            <m:e>
                              <m:sSub>
                                <m:sSubPr>
                                  <m:ctrlPr>
                                    <w:rPr>
                                      <w:rFonts w:ascii="Cambria Math" w:hAnsi="Cambria Math" w:cstheme="majorHAnsi"/>
                                      <w:b/>
                                      <w:i/>
                                      <w:iCs/>
                                    </w:rPr>
                                  </m:ctrlPr>
                                </m:sSubPr>
                                <m:e>
                                  <m:r>
                                    <m:rPr>
                                      <m:sty m:val="bi"/>
                                    </m:rPr>
                                    <w:rPr>
                                      <w:rFonts w:ascii="Cambria Math" w:hAnsi="Cambria Math" w:cstheme="majorHAnsi"/>
                                    </w:rPr>
                                    <m:t>I</m:t>
                                  </m:r>
                                </m:e>
                                <m:sub>
                                  <m:r>
                                    <m:rPr>
                                      <m:sty m:val="bi"/>
                                    </m:rPr>
                                    <w:rPr>
                                      <w:rFonts w:ascii="Cambria Math" w:hAnsi="Cambria Math" w:cstheme="majorHAnsi"/>
                                    </w:rPr>
                                    <m:t>i</m:t>
                                  </m:r>
                                </m:sub>
                              </m:sSub>
                              <m:r>
                                <m:rPr>
                                  <m:sty m:val="bi"/>
                                </m:rPr>
                                <w:rPr>
                                  <w:rFonts w:ascii="Cambria Math" w:hAnsi="Cambria Math" w:cstheme="majorHAnsi"/>
                                </w:rPr>
                                <m:t>-</m:t>
                              </m:r>
                              <m:bar>
                                <m:barPr>
                                  <m:pos m:val="top"/>
                                  <m:ctrlPr>
                                    <w:rPr>
                                      <w:rFonts w:ascii="Cambria Math" w:hAnsi="Cambria Math" w:cstheme="majorHAnsi"/>
                                      <w:b/>
                                      <w:i/>
                                      <w:iCs/>
                                    </w:rPr>
                                  </m:ctrlPr>
                                </m:barPr>
                                <m:e>
                                  <m:r>
                                    <m:rPr>
                                      <m:sty m:val="bi"/>
                                    </m:rPr>
                                    <w:rPr>
                                      <w:rFonts w:ascii="Cambria Math" w:hAnsi="Cambria Math" w:cstheme="majorHAnsi"/>
                                    </w:rPr>
                                    <m:t>I</m:t>
                                  </m:r>
                                </m:e>
                              </m:bar>
                            </m:e>
                          </m:d>
                        </m:e>
                        <m:sup>
                          <m:r>
                            <m:rPr>
                              <m:sty m:val="bi"/>
                            </m:rPr>
                            <w:rPr>
                              <w:rFonts w:ascii="Cambria Math" w:hAnsi="Cambria Math" w:cstheme="majorHAnsi"/>
                            </w:rPr>
                            <m:t>4</m:t>
                          </m:r>
                        </m:sup>
                      </m:sSup>
                    </m:e>
                  </m:nary>
                </m:num>
                <m:den>
                  <m:sSup>
                    <m:sSupPr>
                      <m:ctrlPr>
                        <w:rPr>
                          <w:rFonts w:ascii="Cambria Math" w:hAnsi="Cambria Math" w:cstheme="majorHAnsi"/>
                          <w:b/>
                          <w:i/>
                          <w:iCs/>
                        </w:rPr>
                      </m:ctrlPr>
                    </m:sSupPr>
                    <m:e>
                      <m:r>
                        <m:rPr>
                          <m:sty m:val="bi"/>
                        </m:rPr>
                        <w:rPr>
                          <w:rFonts w:ascii="Cambria Math" w:hAnsi="Cambria Math" w:cstheme="majorHAnsi"/>
                        </w:rPr>
                        <m:t>(</m:t>
                      </m:r>
                      <m:nary>
                        <m:naryPr>
                          <m:chr m:val="∑"/>
                          <m:limLoc m:val="undOvr"/>
                          <m:ctrlPr>
                            <w:rPr>
                              <w:rFonts w:ascii="Cambria Math" w:hAnsi="Cambria Math" w:cstheme="majorHAnsi"/>
                              <w:b/>
                              <w:i/>
                              <w:iCs/>
                            </w:rPr>
                          </m:ctrlPr>
                        </m:naryPr>
                        <m:sub>
                          <m:r>
                            <m:rPr>
                              <m:sty m:val="bi"/>
                            </m:rPr>
                            <w:rPr>
                              <w:rFonts w:ascii="Cambria Math" w:hAnsi="Cambria Math" w:cstheme="majorHAnsi"/>
                            </w:rPr>
                            <m:t>i=1</m:t>
                          </m:r>
                        </m:sub>
                        <m:sup>
                          <m:r>
                            <m:rPr>
                              <m:sty m:val="bi"/>
                            </m:rPr>
                            <w:rPr>
                              <w:rFonts w:ascii="Cambria Math" w:hAnsi="Cambria Math" w:cstheme="majorHAnsi"/>
                            </w:rPr>
                            <m:t>N</m:t>
                          </m:r>
                        </m:sup>
                        <m:e>
                          <m:sSup>
                            <m:sSupPr>
                              <m:ctrlPr>
                                <w:rPr>
                                  <w:rFonts w:ascii="Cambria Math" w:hAnsi="Cambria Math" w:cstheme="majorHAnsi"/>
                                  <w:b/>
                                  <w:i/>
                                  <w:iCs/>
                                </w:rPr>
                              </m:ctrlPr>
                            </m:sSupPr>
                            <m:e>
                              <m:d>
                                <m:dPr>
                                  <m:ctrlPr>
                                    <w:rPr>
                                      <w:rFonts w:ascii="Cambria Math" w:hAnsi="Cambria Math" w:cstheme="majorHAnsi"/>
                                      <w:b/>
                                      <w:i/>
                                      <w:iCs/>
                                    </w:rPr>
                                  </m:ctrlPr>
                                </m:dPr>
                                <m:e>
                                  <m:sSub>
                                    <m:sSubPr>
                                      <m:ctrlPr>
                                        <w:rPr>
                                          <w:rFonts w:ascii="Cambria Math" w:hAnsi="Cambria Math" w:cstheme="majorHAnsi"/>
                                          <w:b/>
                                          <w:i/>
                                          <w:iCs/>
                                        </w:rPr>
                                      </m:ctrlPr>
                                    </m:sSubPr>
                                    <m:e>
                                      <m:r>
                                        <m:rPr>
                                          <m:sty m:val="bi"/>
                                        </m:rPr>
                                        <w:rPr>
                                          <w:rFonts w:ascii="Cambria Math" w:hAnsi="Cambria Math" w:cstheme="majorHAnsi"/>
                                        </w:rPr>
                                        <m:t>I</m:t>
                                      </m:r>
                                    </m:e>
                                    <m:sub>
                                      <m:r>
                                        <m:rPr>
                                          <m:sty m:val="bi"/>
                                        </m:rPr>
                                        <w:rPr>
                                          <w:rFonts w:ascii="Cambria Math" w:hAnsi="Cambria Math" w:cstheme="majorHAnsi"/>
                                        </w:rPr>
                                        <m:t>i</m:t>
                                      </m:r>
                                    </m:sub>
                                  </m:sSub>
                                  <m:r>
                                    <m:rPr>
                                      <m:sty m:val="bi"/>
                                    </m:rPr>
                                    <w:rPr>
                                      <w:rFonts w:ascii="Cambria Math" w:hAnsi="Cambria Math" w:cstheme="majorHAnsi"/>
                                    </w:rPr>
                                    <m:t>-</m:t>
                                  </m:r>
                                  <m:bar>
                                    <m:barPr>
                                      <m:pos m:val="top"/>
                                      <m:ctrlPr>
                                        <w:rPr>
                                          <w:rFonts w:ascii="Cambria Math" w:hAnsi="Cambria Math" w:cstheme="majorHAnsi"/>
                                          <w:b/>
                                          <w:i/>
                                          <w:iCs/>
                                        </w:rPr>
                                      </m:ctrlPr>
                                    </m:barPr>
                                    <m:e>
                                      <m:r>
                                        <m:rPr>
                                          <m:sty m:val="bi"/>
                                        </m:rPr>
                                        <w:rPr>
                                          <w:rFonts w:ascii="Cambria Math" w:hAnsi="Cambria Math" w:cstheme="majorHAnsi"/>
                                        </w:rPr>
                                        <m:t>I</m:t>
                                      </m:r>
                                    </m:e>
                                  </m:bar>
                                </m:e>
                              </m:d>
                            </m:e>
                            <m:sup>
                              <m:r>
                                <m:rPr>
                                  <m:sty m:val="bi"/>
                                </m:rPr>
                                <w:rPr>
                                  <w:rFonts w:ascii="Cambria Math" w:hAnsi="Cambria Math" w:cstheme="majorHAnsi"/>
                                </w:rPr>
                                <m:t>2</m:t>
                              </m:r>
                            </m:sup>
                          </m:sSup>
                          <m:r>
                            <m:rPr>
                              <m:sty m:val="bi"/>
                            </m:rPr>
                            <w:rPr>
                              <w:rFonts w:ascii="Cambria Math" w:hAnsi="Cambria Math" w:cstheme="majorHAnsi"/>
                            </w:rPr>
                            <m:t xml:space="preserve">) </m:t>
                          </m:r>
                        </m:e>
                      </m:nary>
                    </m:e>
                    <m:sup>
                      <m:r>
                        <m:rPr>
                          <m:sty m:val="bi"/>
                        </m:rPr>
                        <w:rPr>
                          <w:rFonts w:ascii="Cambria Math" w:hAnsi="Cambria Math" w:cstheme="majorHAnsi"/>
                        </w:rPr>
                        <m:t>2</m:t>
                      </m:r>
                    </m:sup>
                  </m:sSup>
                </m:den>
              </m:f>
            </m:oMath>
            <w:r>
              <w:rPr>
                <w:rFonts w:cstheme="minorHAnsi"/>
              </w:rPr>
              <w:t xml:space="preserve"> </w:t>
            </w:r>
          </w:p>
        </w:tc>
        <w:tc>
          <w:tcPr>
            <w:tcW w:w="621" w:type="dxa"/>
            <w:vAlign w:val="center"/>
          </w:tcPr>
          <w:p w:rsidR="00221B86" w:rsidRDefault="00221B86" w:rsidP="003F1006">
            <w:pPr>
              <w:jc w:val="center"/>
              <w:rPr>
                <w:rFonts w:cstheme="minorHAnsi"/>
              </w:rPr>
            </w:pPr>
            <w:r>
              <w:rPr>
                <w:rFonts w:cstheme="minorHAnsi"/>
              </w:rPr>
              <w:t>(</w:t>
            </w:r>
            <w:fldSimple w:instr=" SEQ Eq \* MERGEFORMAT ">
              <w:r w:rsidR="00D719F4" w:rsidRPr="00D719F4">
                <w:rPr>
                  <w:rFonts w:cstheme="minorHAnsi"/>
                  <w:noProof/>
                </w:rPr>
                <w:t>23</w:t>
              </w:r>
            </w:fldSimple>
            <w:r>
              <w:rPr>
                <w:rFonts w:cstheme="minorHAnsi"/>
              </w:rPr>
              <w:t>)</w:t>
            </w:r>
          </w:p>
        </w:tc>
      </w:tr>
    </w:tbl>
    <w:p w:rsidR="0078743A" w:rsidRDefault="00534DF1" w:rsidP="00B72ADF">
      <w:pPr>
        <w:pStyle w:val="ListParagraph"/>
        <w:numPr>
          <w:ilvl w:val="0"/>
          <w:numId w:val="18"/>
        </w:numPr>
        <w:jc w:val="both"/>
        <w:rPr>
          <w:rFonts w:asciiTheme="majorHAnsi" w:hAnsiTheme="majorHAnsi" w:cstheme="majorHAnsi"/>
          <w:iCs/>
        </w:rPr>
      </w:pPr>
      <w:r>
        <w:rPr>
          <w:rFonts w:asciiTheme="majorHAnsi" w:hAnsiTheme="majorHAnsi" w:cstheme="majorHAnsi"/>
          <w:b/>
          <w:iCs/>
        </w:rPr>
        <w:t>STD ratio</w:t>
      </w:r>
      <w:r w:rsidR="009622A6" w:rsidRPr="009661FE">
        <w:rPr>
          <w:rFonts w:asciiTheme="majorHAnsi" w:hAnsiTheme="majorHAnsi" w:cstheme="majorHAnsi"/>
          <w:b/>
          <w:iCs/>
        </w:rPr>
        <w:t>:</w:t>
      </w:r>
      <w:r w:rsidR="009622A6">
        <w:rPr>
          <w:rFonts w:asciiTheme="majorHAnsi" w:hAnsiTheme="majorHAnsi" w:cstheme="majorHAnsi"/>
          <w:iCs/>
        </w:rPr>
        <w:t xml:space="preserve"> </w:t>
      </w:r>
      <w:r w:rsidR="0078743A">
        <w:rPr>
          <w:rFonts w:asciiTheme="majorHAnsi" w:hAnsiTheme="majorHAnsi" w:cstheme="majorHAnsi"/>
          <w:iCs/>
        </w:rPr>
        <w:t xml:space="preserve">It is defined as the ratio of STD of tumor intensity to the boundary intensity. </w:t>
      </w:r>
    </w:p>
    <w:p w:rsidR="0078743A" w:rsidRDefault="00534DF1" w:rsidP="00B72ADF">
      <w:pPr>
        <w:pStyle w:val="ListParagraph"/>
        <w:numPr>
          <w:ilvl w:val="0"/>
          <w:numId w:val="18"/>
        </w:numPr>
        <w:jc w:val="both"/>
        <w:rPr>
          <w:rFonts w:asciiTheme="majorHAnsi" w:hAnsiTheme="majorHAnsi" w:cstheme="majorHAnsi"/>
          <w:iCs/>
        </w:rPr>
      </w:pPr>
      <w:r w:rsidRPr="0078743A">
        <w:rPr>
          <w:rFonts w:asciiTheme="majorHAnsi" w:hAnsiTheme="majorHAnsi" w:cstheme="majorHAnsi"/>
          <w:b/>
          <w:iCs/>
        </w:rPr>
        <w:t>Energy</w:t>
      </w:r>
      <w:r w:rsidR="0016401D" w:rsidRPr="0078743A">
        <w:rPr>
          <w:rFonts w:asciiTheme="majorHAnsi" w:hAnsiTheme="majorHAnsi" w:cstheme="majorHAnsi"/>
          <w:b/>
          <w:iCs/>
        </w:rPr>
        <w:t xml:space="preserve">: </w:t>
      </w:r>
      <w:r w:rsidR="0078743A" w:rsidRPr="0078743A">
        <w:rPr>
          <w:rFonts w:asciiTheme="majorHAnsi" w:hAnsiTheme="majorHAnsi" w:cstheme="majorHAnsi"/>
          <w:iCs/>
        </w:rPr>
        <w:t>It is a sum of the squared tumor pixel values.</w:t>
      </w:r>
    </w:p>
    <w:tbl>
      <w:tblPr>
        <w:tblStyle w:val="TableGrid"/>
        <w:tblW w:w="864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28"/>
        <w:gridCol w:w="7200"/>
        <w:gridCol w:w="621"/>
      </w:tblGrid>
      <w:tr w:rsidR="00221B86" w:rsidTr="003F1006">
        <w:trPr>
          <w:trHeight w:val="395"/>
        </w:trPr>
        <w:tc>
          <w:tcPr>
            <w:tcW w:w="828" w:type="dxa"/>
            <w:vAlign w:val="center"/>
          </w:tcPr>
          <w:p w:rsidR="00221B86" w:rsidRDefault="00221B86" w:rsidP="00727C16">
            <w:pPr>
              <w:jc w:val="center"/>
              <w:rPr>
                <w:rFonts w:cstheme="minorHAnsi"/>
              </w:rPr>
            </w:pPr>
          </w:p>
        </w:tc>
        <w:tc>
          <w:tcPr>
            <w:tcW w:w="7200" w:type="dxa"/>
            <w:vAlign w:val="center"/>
          </w:tcPr>
          <w:p w:rsidR="00221B86" w:rsidRDefault="00221B86" w:rsidP="00727C16">
            <w:pPr>
              <w:jc w:val="center"/>
              <w:rPr>
                <w:rFonts w:cstheme="minorHAnsi"/>
              </w:rPr>
            </w:pPr>
            <m:oMath>
              <m:r>
                <w:rPr>
                  <w:rFonts w:ascii="Cambria Math" w:hAnsi="Cambria Math" w:cstheme="majorHAnsi"/>
                </w:rPr>
                <m:t xml:space="preserve">Energy= </m:t>
              </m:r>
              <m:nary>
                <m:naryPr>
                  <m:chr m:val="∑"/>
                  <m:limLoc m:val="undOvr"/>
                  <m:ctrlPr>
                    <w:rPr>
                      <w:rFonts w:ascii="Cambria Math" w:hAnsi="Cambria Math" w:cstheme="majorHAnsi"/>
                      <w:i/>
                      <w:iCs/>
                    </w:rPr>
                  </m:ctrlPr>
                </m:naryPr>
                <m:sub>
                  <m:r>
                    <w:rPr>
                      <w:rFonts w:ascii="Cambria Math" w:hAnsi="Cambria Math" w:cstheme="majorHAnsi"/>
                    </w:rPr>
                    <m:t>i=1</m:t>
                  </m:r>
                </m:sub>
                <m:sup>
                  <m:r>
                    <w:rPr>
                      <w:rFonts w:ascii="Cambria Math" w:hAnsi="Cambria Math" w:cstheme="majorHAnsi"/>
                    </w:rPr>
                    <m:t>N</m:t>
                  </m:r>
                </m:sup>
                <m:e>
                  <m:sSubSup>
                    <m:sSubSupPr>
                      <m:ctrlPr>
                        <w:rPr>
                          <w:rFonts w:ascii="Cambria Math" w:hAnsi="Cambria Math" w:cstheme="majorHAnsi"/>
                          <w:i/>
                          <w:iCs/>
                        </w:rPr>
                      </m:ctrlPr>
                    </m:sSubSupPr>
                    <m:e>
                      <m:r>
                        <w:rPr>
                          <w:rFonts w:ascii="Cambria Math" w:hAnsi="Cambria Math" w:cstheme="majorHAnsi"/>
                        </w:rPr>
                        <m:t>I</m:t>
                      </m:r>
                    </m:e>
                    <m:sub>
                      <m:r>
                        <w:rPr>
                          <w:rFonts w:ascii="Cambria Math" w:hAnsi="Cambria Math" w:cstheme="majorHAnsi"/>
                        </w:rPr>
                        <m:t>i</m:t>
                      </m:r>
                    </m:sub>
                    <m:sup>
                      <m:r>
                        <w:rPr>
                          <w:rFonts w:ascii="Cambria Math" w:hAnsi="Cambria Math" w:cstheme="majorHAnsi"/>
                        </w:rPr>
                        <m:t>2</m:t>
                      </m:r>
                    </m:sup>
                  </m:sSubSup>
                </m:e>
              </m:nary>
              <m:r>
                <w:rPr>
                  <w:rFonts w:ascii="Cambria Math" w:hAnsi="Cambria Math" w:cstheme="majorHAnsi"/>
                </w:rPr>
                <m:t xml:space="preserve"> </m:t>
              </m:r>
            </m:oMath>
            <w:r>
              <w:rPr>
                <w:rFonts w:cstheme="minorHAnsi"/>
              </w:rPr>
              <w:t xml:space="preserve"> </w:t>
            </w:r>
          </w:p>
        </w:tc>
        <w:tc>
          <w:tcPr>
            <w:tcW w:w="621" w:type="dxa"/>
            <w:vAlign w:val="center"/>
          </w:tcPr>
          <w:p w:rsidR="00221B86" w:rsidRDefault="00221B86" w:rsidP="003F1006">
            <w:pPr>
              <w:jc w:val="center"/>
              <w:rPr>
                <w:rFonts w:cstheme="minorHAnsi"/>
              </w:rPr>
            </w:pPr>
            <w:r>
              <w:rPr>
                <w:rFonts w:cstheme="minorHAnsi"/>
              </w:rPr>
              <w:t>(</w:t>
            </w:r>
            <w:fldSimple w:instr=" SEQ Eq \* MERGEFORMAT ">
              <w:r w:rsidR="00D719F4" w:rsidRPr="00D719F4">
                <w:rPr>
                  <w:rFonts w:cstheme="minorHAnsi"/>
                  <w:noProof/>
                </w:rPr>
                <w:t>24</w:t>
              </w:r>
            </w:fldSimple>
            <w:r>
              <w:rPr>
                <w:rFonts w:cstheme="minorHAnsi"/>
              </w:rPr>
              <w:t>)</w:t>
            </w:r>
          </w:p>
        </w:tc>
      </w:tr>
    </w:tbl>
    <w:p w:rsidR="00A70896" w:rsidRPr="00221B86" w:rsidRDefault="00534DF1" w:rsidP="00B72ADF">
      <w:pPr>
        <w:pStyle w:val="ListParagraph"/>
        <w:numPr>
          <w:ilvl w:val="0"/>
          <w:numId w:val="18"/>
        </w:numPr>
        <w:jc w:val="both"/>
        <w:rPr>
          <w:rFonts w:asciiTheme="majorHAnsi" w:hAnsiTheme="majorHAnsi" w:cstheme="majorHAnsi"/>
          <w:iCs/>
        </w:rPr>
      </w:pPr>
      <w:r>
        <w:rPr>
          <w:b/>
        </w:rPr>
        <w:t>Entropy</w:t>
      </w:r>
      <w:r w:rsidR="00125F29">
        <w:rPr>
          <w:b/>
        </w:rPr>
        <w:t>:</w:t>
      </w:r>
      <w:r w:rsidR="00E436DD">
        <w:rPr>
          <w:b/>
        </w:rPr>
        <w:t xml:space="preserve"> </w:t>
      </w:r>
      <w:r w:rsidR="00BC1C25" w:rsidRPr="00BC1C25">
        <w:t>This feature describes the randomness/ uncertainty in an image.</w:t>
      </w:r>
    </w:p>
    <w:tbl>
      <w:tblPr>
        <w:tblStyle w:val="TableGrid"/>
        <w:tblW w:w="864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28"/>
        <w:gridCol w:w="7200"/>
        <w:gridCol w:w="621"/>
      </w:tblGrid>
      <w:tr w:rsidR="00221B86" w:rsidTr="003F1006">
        <w:trPr>
          <w:trHeight w:val="395"/>
        </w:trPr>
        <w:tc>
          <w:tcPr>
            <w:tcW w:w="828" w:type="dxa"/>
            <w:vAlign w:val="center"/>
          </w:tcPr>
          <w:p w:rsidR="00221B86" w:rsidRDefault="00221B86" w:rsidP="00727C16">
            <w:pPr>
              <w:jc w:val="center"/>
              <w:rPr>
                <w:rFonts w:cstheme="minorHAnsi"/>
              </w:rPr>
            </w:pPr>
          </w:p>
        </w:tc>
        <w:tc>
          <w:tcPr>
            <w:tcW w:w="7200" w:type="dxa"/>
            <w:vAlign w:val="center"/>
          </w:tcPr>
          <w:p w:rsidR="00221B86" w:rsidRDefault="00221B86" w:rsidP="00727C16">
            <w:pPr>
              <w:jc w:val="center"/>
              <w:rPr>
                <w:rFonts w:cstheme="minorHAnsi"/>
              </w:rPr>
            </w:pPr>
            <m:oMath>
              <m:r>
                <w:rPr>
                  <w:rFonts w:ascii="Cambria Math" w:hAnsi="Cambria Math" w:cstheme="majorHAnsi"/>
                </w:rPr>
                <m:t xml:space="preserve">Entropy= </m:t>
              </m:r>
              <m:nary>
                <m:naryPr>
                  <m:chr m:val="∑"/>
                  <m:limLoc m:val="undOvr"/>
                  <m:ctrlPr>
                    <w:rPr>
                      <w:rFonts w:ascii="Cambria Math" w:hAnsi="Cambria Math" w:cstheme="majorHAnsi"/>
                      <w:i/>
                      <w:iCs/>
                    </w:rPr>
                  </m:ctrlPr>
                </m:naryPr>
                <m:sub>
                  <m:r>
                    <w:rPr>
                      <w:rFonts w:ascii="Cambria Math" w:hAnsi="Cambria Math" w:cstheme="majorHAnsi"/>
                    </w:rPr>
                    <m:t>i=1</m:t>
                  </m:r>
                </m:sub>
                <m:sup>
                  <m:sSub>
                    <m:sSubPr>
                      <m:ctrlPr>
                        <w:rPr>
                          <w:rFonts w:ascii="Cambria Math" w:hAnsi="Cambria Math" w:cstheme="majorHAnsi"/>
                          <w:i/>
                          <w:iCs/>
                        </w:rPr>
                      </m:ctrlPr>
                    </m:sSubPr>
                    <m:e>
                      <m:r>
                        <w:rPr>
                          <w:rFonts w:ascii="Cambria Math" w:hAnsi="Cambria Math" w:cstheme="majorHAnsi"/>
                        </w:rPr>
                        <m:t>N</m:t>
                      </m:r>
                    </m:e>
                    <m:sub>
                      <m:r>
                        <w:rPr>
                          <w:rFonts w:ascii="Cambria Math" w:hAnsi="Cambria Math" w:cstheme="majorHAnsi"/>
                        </w:rPr>
                        <m:t>l</m:t>
                      </m:r>
                    </m:sub>
                  </m:sSub>
                </m:sup>
                <m:e>
                  <m:sSub>
                    <m:sSubPr>
                      <m:ctrlPr>
                        <w:rPr>
                          <w:rFonts w:ascii="Cambria Math" w:hAnsi="Cambria Math" w:cstheme="majorHAnsi"/>
                          <w:i/>
                          <w:iCs/>
                        </w:rPr>
                      </m:ctrlPr>
                    </m:sSubPr>
                    <m:e>
                      <m:r>
                        <w:rPr>
                          <w:rFonts w:ascii="Cambria Math" w:hAnsi="Cambria Math" w:cstheme="majorHAnsi"/>
                        </w:rPr>
                        <m:t>P</m:t>
                      </m:r>
                    </m:e>
                    <m:sub>
                      <m:r>
                        <w:rPr>
                          <w:rFonts w:ascii="Cambria Math" w:hAnsi="Cambria Math" w:cstheme="majorHAnsi"/>
                        </w:rPr>
                        <m:t>i</m:t>
                      </m:r>
                    </m:sub>
                  </m:sSub>
                  <m:func>
                    <m:funcPr>
                      <m:ctrlPr>
                        <w:rPr>
                          <w:rFonts w:ascii="Cambria Math" w:hAnsi="Cambria Math" w:cstheme="majorHAnsi"/>
                          <w:i/>
                          <w:iCs/>
                        </w:rPr>
                      </m:ctrlPr>
                    </m:funcPr>
                    <m:fName>
                      <m:sSub>
                        <m:sSubPr>
                          <m:ctrlPr>
                            <w:rPr>
                              <w:rFonts w:ascii="Cambria Math" w:hAnsi="Cambria Math" w:cstheme="majorHAnsi"/>
                              <w:i/>
                              <w:iCs/>
                            </w:rPr>
                          </m:ctrlPr>
                        </m:sSubPr>
                        <m:e>
                          <m:r>
                            <w:rPr>
                              <w:rFonts w:ascii="Cambria Math" w:hAnsi="Cambria Math" w:cstheme="majorHAnsi"/>
                            </w:rPr>
                            <m:t>log</m:t>
                          </m:r>
                        </m:e>
                        <m:sub>
                          <m:r>
                            <w:rPr>
                              <w:rFonts w:ascii="Cambria Math" w:hAnsi="Cambria Math" w:cstheme="majorHAnsi"/>
                            </w:rPr>
                            <m:t>2</m:t>
                          </m:r>
                        </m:sub>
                      </m:sSub>
                    </m:fName>
                    <m:e>
                      <m:sSub>
                        <m:sSubPr>
                          <m:ctrlPr>
                            <w:rPr>
                              <w:rFonts w:ascii="Cambria Math" w:hAnsi="Cambria Math" w:cstheme="majorHAnsi"/>
                              <w:i/>
                              <w:iCs/>
                            </w:rPr>
                          </m:ctrlPr>
                        </m:sSubPr>
                        <m:e>
                          <m:r>
                            <w:rPr>
                              <w:rFonts w:ascii="Cambria Math" w:hAnsi="Cambria Math" w:cstheme="majorHAnsi"/>
                            </w:rPr>
                            <m:t>P</m:t>
                          </m:r>
                        </m:e>
                        <m:sub>
                          <m:r>
                            <w:rPr>
                              <w:rFonts w:ascii="Cambria Math" w:hAnsi="Cambria Math" w:cstheme="majorHAnsi"/>
                            </w:rPr>
                            <m:t>i</m:t>
                          </m:r>
                        </m:sub>
                      </m:sSub>
                    </m:e>
                  </m:func>
                </m:e>
              </m:nary>
            </m:oMath>
            <w:r>
              <w:rPr>
                <w:rFonts w:cstheme="minorHAnsi"/>
              </w:rPr>
              <w:t xml:space="preserve"> </w:t>
            </w:r>
          </w:p>
        </w:tc>
        <w:tc>
          <w:tcPr>
            <w:tcW w:w="621" w:type="dxa"/>
            <w:vAlign w:val="center"/>
          </w:tcPr>
          <w:p w:rsidR="00221B86" w:rsidRDefault="00221B86" w:rsidP="003F1006">
            <w:pPr>
              <w:jc w:val="center"/>
              <w:rPr>
                <w:rFonts w:cstheme="minorHAnsi"/>
              </w:rPr>
            </w:pPr>
            <w:r>
              <w:rPr>
                <w:rFonts w:cstheme="minorHAnsi"/>
              </w:rPr>
              <w:t>(</w:t>
            </w:r>
            <w:fldSimple w:instr=" SEQ Eq \* MERGEFORMAT ">
              <w:r w:rsidR="00D719F4" w:rsidRPr="00D719F4">
                <w:rPr>
                  <w:rFonts w:cstheme="minorHAnsi"/>
                  <w:noProof/>
                </w:rPr>
                <w:t>25</w:t>
              </w:r>
            </w:fldSimple>
            <w:r>
              <w:rPr>
                <w:rFonts w:cstheme="minorHAnsi"/>
              </w:rPr>
              <w:t>)</w:t>
            </w:r>
          </w:p>
        </w:tc>
      </w:tr>
    </w:tbl>
    <w:p w:rsidR="00751C7B" w:rsidRPr="00751C7B" w:rsidRDefault="005D6A37" w:rsidP="00DF0CA1">
      <w:pPr>
        <w:spacing w:line="360" w:lineRule="auto"/>
        <w:ind w:left="720"/>
        <w:jc w:val="both"/>
        <w:rPr>
          <w:rFonts w:asciiTheme="majorHAnsi" w:hAnsiTheme="majorHAnsi" w:cstheme="majorHAnsi"/>
          <w:iCs/>
        </w:rPr>
      </w:pPr>
      <w:r>
        <w:rPr>
          <w:rFonts w:asciiTheme="majorHAnsi" w:hAnsiTheme="majorHAnsi" w:cstheme="majorHAnsi"/>
          <w:iCs/>
        </w:rPr>
        <w:t>W</w:t>
      </w:r>
      <w:r w:rsidR="00751C7B">
        <w:rPr>
          <w:rFonts w:asciiTheme="majorHAnsi" w:hAnsiTheme="majorHAnsi" w:cstheme="majorHAnsi"/>
          <w:iCs/>
        </w:rPr>
        <w:t xml:space="preserve">here </w:t>
      </w:r>
      <m:oMath>
        <m:r>
          <w:rPr>
            <w:rFonts w:ascii="Cambria Math" w:hAnsi="Cambria Math" w:cstheme="majorHAnsi"/>
          </w:rPr>
          <m:t>P</m:t>
        </m:r>
      </m:oMath>
      <w:r w:rsidR="00751C7B">
        <w:rPr>
          <w:rFonts w:asciiTheme="majorHAnsi" w:hAnsiTheme="majorHAnsi" w:cstheme="majorHAnsi"/>
          <w:iCs/>
        </w:rPr>
        <w:t xml:space="preserve"> is first order histogram of tumor pixels with </w:t>
      </w:r>
      <m:oMath>
        <m:sSub>
          <m:sSubPr>
            <m:ctrlPr>
              <w:rPr>
                <w:rFonts w:ascii="Cambria Math" w:hAnsi="Cambria Math" w:cstheme="majorHAnsi"/>
                <w:i/>
                <w:iCs/>
              </w:rPr>
            </m:ctrlPr>
          </m:sSubPr>
          <m:e>
            <m:r>
              <w:rPr>
                <w:rFonts w:ascii="Cambria Math" w:hAnsi="Cambria Math" w:cstheme="majorHAnsi"/>
              </w:rPr>
              <m:t>N</m:t>
            </m:r>
          </m:e>
          <m:sub>
            <m:r>
              <w:rPr>
                <w:rFonts w:ascii="Cambria Math" w:hAnsi="Cambria Math" w:cstheme="majorHAnsi"/>
                <w:vertAlign w:val="subscript"/>
              </w:rPr>
              <m:t>l</m:t>
            </m:r>
          </m:sub>
        </m:sSub>
      </m:oMath>
      <w:r w:rsidR="00751C7B">
        <w:rPr>
          <w:rFonts w:asciiTheme="majorHAnsi" w:hAnsiTheme="majorHAnsi" w:cstheme="majorHAnsi"/>
          <w:iCs/>
        </w:rPr>
        <w:t xml:space="preserve"> discrete intensity levels</w:t>
      </w:r>
      <w:r w:rsidR="007729BE">
        <w:rPr>
          <w:rFonts w:asciiTheme="majorHAnsi" w:hAnsiTheme="majorHAnsi" w:cstheme="majorHAnsi"/>
          <w:iCs/>
        </w:rPr>
        <w:t>.</w:t>
      </w:r>
    </w:p>
    <w:p w:rsidR="003329C2" w:rsidRPr="003329C2" w:rsidRDefault="003329C2" w:rsidP="003329C2">
      <w:pPr>
        <w:jc w:val="both"/>
        <w:rPr>
          <w:rFonts w:asciiTheme="majorHAnsi" w:hAnsiTheme="majorHAnsi" w:cstheme="majorHAnsi"/>
          <w:iCs/>
        </w:rPr>
      </w:pPr>
    </w:p>
    <w:p w:rsidR="00125F29" w:rsidRDefault="00534DF1" w:rsidP="00B72ADF">
      <w:pPr>
        <w:pStyle w:val="ListParagraph"/>
        <w:numPr>
          <w:ilvl w:val="0"/>
          <w:numId w:val="18"/>
        </w:numPr>
        <w:jc w:val="both"/>
        <w:rPr>
          <w:rFonts w:asciiTheme="majorHAnsi" w:hAnsiTheme="majorHAnsi" w:cstheme="majorHAnsi"/>
          <w:iCs/>
        </w:rPr>
      </w:pPr>
      <w:r>
        <w:rPr>
          <w:rFonts w:asciiTheme="majorHAnsi" w:hAnsiTheme="majorHAnsi" w:cstheme="majorHAnsi"/>
          <w:b/>
          <w:iCs/>
        </w:rPr>
        <w:lastRenderedPageBreak/>
        <w:t>Max</w:t>
      </w:r>
      <w:r w:rsidR="007F104F">
        <w:rPr>
          <w:rFonts w:asciiTheme="majorHAnsi" w:hAnsiTheme="majorHAnsi" w:cstheme="majorHAnsi"/>
          <w:b/>
          <w:iCs/>
        </w:rPr>
        <w:t xml:space="preserve">: </w:t>
      </w:r>
      <w:r w:rsidR="007F104F">
        <w:rPr>
          <w:rFonts w:asciiTheme="majorHAnsi" w:hAnsiTheme="majorHAnsi" w:cstheme="majorHAnsi"/>
          <w:iCs/>
        </w:rPr>
        <w:t>It is the maximum value of all the tumor pixels</w:t>
      </w:r>
    </w:p>
    <w:p w:rsidR="005926E5" w:rsidRDefault="00534DF1" w:rsidP="00B72ADF">
      <w:pPr>
        <w:pStyle w:val="ListParagraph"/>
        <w:numPr>
          <w:ilvl w:val="0"/>
          <w:numId w:val="18"/>
        </w:numPr>
        <w:jc w:val="both"/>
        <w:rPr>
          <w:rFonts w:asciiTheme="majorHAnsi" w:hAnsiTheme="majorHAnsi" w:cstheme="majorHAnsi"/>
          <w:iCs/>
        </w:rPr>
      </w:pPr>
      <w:r>
        <w:rPr>
          <w:rFonts w:asciiTheme="majorHAnsi" w:hAnsiTheme="majorHAnsi" w:cstheme="majorHAnsi"/>
          <w:b/>
          <w:iCs/>
        </w:rPr>
        <w:t>Mean absolute deviation</w:t>
      </w:r>
      <w:r w:rsidR="00CA328C">
        <w:rPr>
          <w:rFonts w:asciiTheme="majorHAnsi" w:hAnsiTheme="majorHAnsi" w:cstheme="majorHAnsi"/>
          <w:b/>
          <w:iCs/>
        </w:rPr>
        <w:t xml:space="preserve">: </w:t>
      </w:r>
      <w:r w:rsidR="00502327">
        <w:rPr>
          <w:rFonts w:asciiTheme="majorHAnsi" w:hAnsiTheme="majorHAnsi" w:cstheme="majorHAnsi"/>
          <w:iCs/>
        </w:rPr>
        <w:t xml:space="preserve">It is defined as the mean absolute deviation between the </w:t>
      </w:r>
      <w:r w:rsidR="00502327" w:rsidRPr="009B11FA">
        <w:rPr>
          <w:rFonts w:asciiTheme="majorHAnsi" w:hAnsiTheme="majorHAnsi" w:cstheme="majorHAnsi"/>
          <w:iCs/>
        </w:rPr>
        <w:t xml:space="preserve">tumor pixel value </w:t>
      </w:r>
      <w:r w:rsidR="00502327">
        <w:rPr>
          <w:rFonts w:asciiTheme="majorHAnsi" w:hAnsiTheme="majorHAnsi" w:cstheme="majorHAnsi"/>
          <w:iCs/>
        </w:rPr>
        <w:t xml:space="preserve">and the average tumor intensity: </w:t>
      </w:r>
    </w:p>
    <w:tbl>
      <w:tblPr>
        <w:tblStyle w:val="TableGrid"/>
        <w:tblW w:w="864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28"/>
        <w:gridCol w:w="7200"/>
        <w:gridCol w:w="621"/>
      </w:tblGrid>
      <w:tr w:rsidR="00221B86" w:rsidTr="003F1006">
        <w:trPr>
          <w:trHeight w:val="395"/>
        </w:trPr>
        <w:tc>
          <w:tcPr>
            <w:tcW w:w="828" w:type="dxa"/>
            <w:vAlign w:val="center"/>
          </w:tcPr>
          <w:p w:rsidR="00221B86" w:rsidRDefault="00221B86" w:rsidP="00727C16">
            <w:pPr>
              <w:jc w:val="center"/>
              <w:rPr>
                <w:rFonts w:cstheme="minorHAnsi"/>
              </w:rPr>
            </w:pPr>
          </w:p>
        </w:tc>
        <w:tc>
          <w:tcPr>
            <w:tcW w:w="7200" w:type="dxa"/>
            <w:vAlign w:val="center"/>
          </w:tcPr>
          <w:p w:rsidR="00221B86" w:rsidRDefault="00221B86" w:rsidP="00727C16">
            <w:pPr>
              <w:jc w:val="center"/>
              <w:rPr>
                <w:rFonts w:cstheme="minorHAnsi"/>
              </w:rPr>
            </w:pPr>
            <m:oMath>
              <m:r>
                <w:rPr>
                  <w:rFonts w:ascii="Cambria Math" w:hAnsi="Cambria Math" w:cstheme="majorHAnsi"/>
                </w:rPr>
                <m:t xml:space="preserve">Mean absolute deviation= </m:t>
              </m:r>
              <m:f>
                <m:fPr>
                  <m:ctrlPr>
                    <w:rPr>
                      <w:rFonts w:ascii="Cambria Math" w:hAnsi="Cambria Math" w:cstheme="majorHAnsi"/>
                      <w:i/>
                      <w:iCs/>
                    </w:rPr>
                  </m:ctrlPr>
                </m:fPr>
                <m:num>
                  <m:r>
                    <w:rPr>
                      <w:rFonts w:ascii="Cambria Math" w:hAnsi="Cambria Math" w:cstheme="majorHAnsi"/>
                    </w:rPr>
                    <m:t>1</m:t>
                  </m:r>
                </m:num>
                <m:den>
                  <m:r>
                    <w:rPr>
                      <w:rFonts w:ascii="Cambria Math" w:hAnsi="Cambria Math" w:cstheme="majorHAnsi"/>
                    </w:rPr>
                    <m:t>N</m:t>
                  </m:r>
                </m:den>
              </m:f>
              <m:nary>
                <m:naryPr>
                  <m:chr m:val="∑"/>
                  <m:limLoc m:val="undOvr"/>
                  <m:ctrlPr>
                    <w:rPr>
                      <w:rFonts w:ascii="Cambria Math" w:hAnsi="Cambria Math" w:cstheme="majorHAnsi"/>
                      <w:i/>
                      <w:iCs/>
                    </w:rPr>
                  </m:ctrlPr>
                </m:naryPr>
                <m:sub>
                  <m:r>
                    <w:rPr>
                      <w:rFonts w:ascii="Cambria Math" w:hAnsi="Cambria Math" w:cstheme="majorHAnsi"/>
                    </w:rPr>
                    <m:t>i=1</m:t>
                  </m:r>
                </m:sub>
                <m:sup>
                  <m:r>
                    <w:rPr>
                      <w:rFonts w:ascii="Cambria Math" w:hAnsi="Cambria Math" w:cstheme="majorHAnsi"/>
                    </w:rPr>
                    <m:t>N</m:t>
                  </m:r>
                </m:sup>
                <m:e>
                  <m:r>
                    <w:rPr>
                      <w:rFonts w:ascii="Cambria Math" w:hAnsi="Cambria Math" w:cstheme="majorHAnsi"/>
                    </w:rPr>
                    <m:t>|</m:t>
                  </m:r>
                  <m:sSub>
                    <m:sSubPr>
                      <m:ctrlPr>
                        <w:rPr>
                          <w:rFonts w:ascii="Cambria Math" w:hAnsi="Cambria Math" w:cstheme="majorHAnsi"/>
                          <w:i/>
                          <w:iCs/>
                        </w:rPr>
                      </m:ctrlPr>
                    </m:sSubPr>
                    <m:e>
                      <m:r>
                        <w:rPr>
                          <w:rFonts w:ascii="Cambria Math" w:hAnsi="Cambria Math" w:cstheme="majorHAnsi"/>
                        </w:rPr>
                        <m:t>I</m:t>
                      </m:r>
                    </m:e>
                    <m:sub>
                      <m:r>
                        <w:rPr>
                          <w:rFonts w:ascii="Cambria Math" w:hAnsi="Cambria Math" w:cstheme="majorHAnsi"/>
                        </w:rPr>
                        <m:t>i</m:t>
                      </m:r>
                    </m:sub>
                  </m:sSub>
                  <m:r>
                    <w:rPr>
                      <w:rFonts w:ascii="Cambria Math" w:hAnsi="Cambria Math" w:cstheme="majorHAnsi"/>
                    </w:rPr>
                    <m:t>-</m:t>
                  </m:r>
                  <m:bar>
                    <m:barPr>
                      <m:pos m:val="top"/>
                      <m:ctrlPr>
                        <w:rPr>
                          <w:rFonts w:ascii="Cambria Math" w:hAnsi="Cambria Math" w:cstheme="majorHAnsi"/>
                          <w:i/>
                          <w:iCs/>
                        </w:rPr>
                      </m:ctrlPr>
                    </m:barPr>
                    <m:e>
                      <m:r>
                        <w:rPr>
                          <w:rFonts w:ascii="Cambria Math" w:hAnsi="Cambria Math" w:cstheme="majorHAnsi"/>
                        </w:rPr>
                        <m:t>I</m:t>
                      </m:r>
                    </m:e>
                  </m:bar>
                  <m:r>
                    <w:rPr>
                      <w:rFonts w:ascii="Cambria Math" w:hAnsi="Cambria Math" w:cstheme="majorHAnsi"/>
                    </w:rPr>
                    <m:t>|</m:t>
                  </m:r>
                </m:e>
              </m:nary>
            </m:oMath>
            <w:r>
              <w:rPr>
                <w:rFonts w:cstheme="minorHAnsi"/>
              </w:rPr>
              <w:t xml:space="preserve"> </w:t>
            </w:r>
          </w:p>
        </w:tc>
        <w:tc>
          <w:tcPr>
            <w:tcW w:w="621" w:type="dxa"/>
            <w:vAlign w:val="center"/>
          </w:tcPr>
          <w:p w:rsidR="00221B86" w:rsidRDefault="00221B86" w:rsidP="003F1006">
            <w:pPr>
              <w:jc w:val="center"/>
              <w:rPr>
                <w:rFonts w:cstheme="minorHAnsi"/>
              </w:rPr>
            </w:pPr>
            <w:r>
              <w:rPr>
                <w:rFonts w:cstheme="minorHAnsi"/>
              </w:rPr>
              <w:t>(</w:t>
            </w:r>
            <w:fldSimple w:instr=" SEQ Eq \* MERGEFORMAT ">
              <w:r w:rsidR="00D719F4" w:rsidRPr="00D719F4">
                <w:rPr>
                  <w:rFonts w:cstheme="minorHAnsi"/>
                  <w:noProof/>
                </w:rPr>
                <w:t>26</w:t>
              </w:r>
            </w:fldSimple>
            <w:r>
              <w:rPr>
                <w:rFonts w:cstheme="minorHAnsi"/>
              </w:rPr>
              <w:t>)</w:t>
            </w:r>
          </w:p>
        </w:tc>
      </w:tr>
    </w:tbl>
    <w:p w:rsidR="009C7213" w:rsidRDefault="00534DF1" w:rsidP="00B72ADF">
      <w:pPr>
        <w:pStyle w:val="ListParagraph"/>
        <w:numPr>
          <w:ilvl w:val="0"/>
          <w:numId w:val="18"/>
        </w:numPr>
        <w:jc w:val="both"/>
        <w:rPr>
          <w:rFonts w:asciiTheme="majorHAnsi" w:hAnsiTheme="majorHAnsi" w:cstheme="majorHAnsi"/>
          <w:iCs/>
        </w:rPr>
      </w:pPr>
      <w:r>
        <w:rPr>
          <w:rFonts w:asciiTheme="majorHAnsi" w:hAnsiTheme="majorHAnsi" w:cstheme="majorHAnsi"/>
          <w:b/>
          <w:iCs/>
        </w:rPr>
        <w:t>Median</w:t>
      </w:r>
      <w:r w:rsidR="00027BE2" w:rsidRPr="008671E0">
        <w:rPr>
          <w:rFonts w:asciiTheme="majorHAnsi" w:hAnsiTheme="majorHAnsi" w:cstheme="majorHAnsi"/>
          <w:b/>
          <w:iCs/>
        </w:rPr>
        <w:t>:</w:t>
      </w:r>
      <w:r w:rsidR="00027BE2">
        <w:rPr>
          <w:rFonts w:asciiTheme="majorHAnsi" w:hAnsiTheme="majorHAnsi" w:cstheme="majorHAnsi"/>
          <w:iCs/>
        </w:rPr>
        <w:t xml:space="preserve"> It is </w:t>
      </w:r>
      <w:r w:rsidR="00294402">
        <w:rPr>
          <w:rFonts w:asciiTheme="majorHAnsi" w:hAnsiTheme="majorHAnsi" w:cstheme="majorHAnsi"/>
          <w:iCs/>
        </w:rPr>
        <w:t>the</w:t>
      </w:r>
      <w:r w:rsidR="00027BE2">
        <w:rPr>
          <w:rFonts w:asciiTheme="majorHAnsi" w:hAnsiTheme="majorHAnsi" w:cstheme="majorHAnsi"/>
          <w:iCs/>
        </w:rPr>
        <w:t xml:space="preserve"> </w:t>
      </w:r>
      <w:r w:rsidR="00027BE2" w:rsidRPr="00294402">
        <w:rPr>
          <w:rFonts w:asciiTheme="majorHAnsi" w:hAnsiTheme="majorHAnsi" w:cstheme="majorHAnsi"/>
          <w:iCs/>
          <w:noProof/>
        </w:rPr>
        <w:t>median</w:t>
      </w:r>
      <w:r w:rsidR="00027BE2">
        <w:rPr>
          <w:rFonts w:asciiTheme="majorHAnsi" w:hAnsiTheme="majorHAnsi" w:cstheme="majorHAnsi"/>
          <w:iCs/>
        </w:rPr>
        <w:t xml:space="preserve"> value of all the tumor pixel</w:t>
      </w:r>
      <w:r w:rsidR="00AB16F5">
        <w:rPr>
          <w:rFonts w:asciiTheme="majorHAnsi" w:hAnsiTheme="majorHAnsi" w:cstheme="majorHAnsi"/>
          <w:iCs/>
        </w:rPr>
        <w:t>s</w:t>
      </w:r>
      <w:r w:rsidR="00027BE2">
        <w:rPr>
          <w:rFonts w:asciiTheme="majorHAnsi" w:hAnsiTheme="majorHAnsi" w:cstheme="majorHAnsi"/>
          <w:iCs/>
        </w:rPr>
        <w:t>.</w:t>
      </w:r>
    </w:p>
    <w:p w:rsidR="00670AF4" w:rsidRDefault="00534DF1" w:rsidP="00B72ADF">
      <w:pPr>
        <w:pStyle w:val="ListParagraph"/>
        <w:numPr>
          <w:ilvl w:val="0"/>
          <w:numId w:val="18"/>
        </w:numPr>
        <w:jc w:val="both"/>
        <w:rPr>
          <w:rFonts w:asciiTheme="majorHAnsi" w:hAnsiTheme="majorHAnsi" w:cstheme="majorHAnsi"/>
          <w:iCs/>
        </w:rPr>
      </w:pPr>
      <w:r>
        <w:rPr>
          <w:rFonts w:asciiTheme="majorHAnsi" w:hAnsiTheme="majorHAnsi" w:cstheme="majorHAnsi"/>
          <w:b/>
          <w:iCs/>
        </w:rPr>
        <w:t>Min</w:t>
      </w:r>
      <w:r w:rsidR="008B3BA8" w:rsidRPr="00BB79D4">
        <w:rPr>
          <w:rFonts w:asciiTheme="majorHAnsi" w:hAnsiTheme="majorHAnsi" w:cstheme="majorHAnsi"/>
          <w:b/>
          <w:iCs/>
        </w:rPr>
        <w:t>:</w:t>
      </w:r>
      <w:r w:rsidR="008B3BA8">
        <w:rPr>
          <w:rFonts w:asciiTheme="majorHAnsi" w:hAnsiTheme="majorHAnsi" w:cstheme="majorHAnsi"/>
          <w:iCs/>
        </w:rPr>
        <w:t xml:space="preserve"> It is </w:t>
      </w:r>
      <w:r w:rsidR="00294402">
        <w:rPr>
          <w:rFonts w:asciiTheme="majorHAnsi" w:hAnsiTheme="majorHAnsi" w:cstheme="majorHAnsi"/>
          <w:iCs/>
        </w:rPr>
        <w:t>the</w:t>
      </w:r>
      <w:r w:rsidR="008B3BA8">
        <w:rPr>
          <w:rFonts w:asciiTheme="majorHAnsi" w:hAnsiTheme="majorHAnsi" w:cstheme="majorHAnsi"/>
          <w:iCs/>
        </w:rPr>
        <w:t xml:space="preserve"> </w:t>
      </w:r>
      <w:r w:rsidR="008B3BA8" w:rsidRPr="00294402">
        <w:rPr>
          <w:rFonts w:asciiTheme="majorHAnsi" w:hAnsiTheme="majorHAnsi" w:cstheme="majorHAnsi"/>
          <w:iCs/>
          <w:noProof/>
        </w:rPr>
        <w:t>minimum</w:t>
      </w:r>
      <w:r w:rsidR="008B3BA8">
        <w:rPr>
          <w:rFonts w:asciiTheme="majorHAnsi" w:hAnsiTheme="majorHAnsi" w:cstheme="majorHAnsi"/>
          <w:iCs/>
        </w:rPr>
        <w:t xml:space="preserve"> value of all the tumor pixel</w:t>
      </w:r>
      <w:r w:rsidR="00AB16F5">
        <w:rPr>
          <w:rFonts w:asciiTheme="majorHAnsi" w:hAnsiTheme="majorHAnsi" w:cstheme="majorHAnsi"/>
          <w:iCs/>
        </w:rPr>
        <w:t>s</w:t>
      </w:r>
      <w:r w:rsidR="008B3BA8">
        <w:rPr>
          <w:rFonts w:asciiTheme="majorHAnsi" w:hAnsiTheme="majorHAnsi" w:cstheme="majorHAnsi"/>
          <w:iCs/>
        </w:rPr>
        <w:t>.</w:t>
      </w:r>
    </w:p>
    <w:p w:rsidR="008B3BA8" w:rsidRDefault="00534DF1" w:rsidP="00B72ADF">
      <w:pPr>
        <w:pStyle w:val="ListParagraph"/>
        <w:numPr>
          <w:ilvl w:val="0"/>
          <w:numId w:val="18"/>
        </w:numPr>
        <w:jc w:val="both"/>
        <w:rPr>
          <w:rFonts w:asciiTheme="majorHAnsi" w:hAnsiTheme="majorHAnsi" w:cstheme="majorHAnsi"/>
          <w:iCs/>
        </w:rPr>
      </w:pPr>
      <w:r>
        <w:rPr>
          <w:rFonts w:asciiTheme="majorHAnsi" w:hAnsiTheme="majorHAnsi" w:cstheme="majorHAnsi"/>
          <w:b/>
          <w:iCs/>
        </w:rPr>
        <w:t>Range</w:t>
      </w:r>
      <w:r w:rsidR="007328D0" w:rsidRPr="00BB79D4">
        <w:rPr>
          <w:rFonts w:asciiTheme="majorHAnsi" w:hAnsiTheme="majorHAnsi" w:cstheme="majorHAnsi"/>
          <w:b/>
          <w:iCs/>
        </w:rPr>
        <w:t>:</w:t>
      </w:r>
      <w:r w:rsidR="007328D0">
        <w:rPr>
          <w:rFonts w:asciiTheme="majorHAnsi" w:hAnsiTheme="majorHAnsi" w:cstheme="majorHAnsi"/>
          <w:iCs/>
        </w:rPr>
        <w:t xml:space="preserve"> It measure</w:t>
      </w:r>
      <w:r w:rsidR="004518E3">
        <w:rPr>
          <w:rFonts w:asciiTheme="majorHAnsi" w:hAnsiTheme="majorHAnsi" w:cstheme="majorHAnsi"/>
          <w:iCs/>
        </w:rPr>
        <w:t>s</w:t>
      </w:r>
      <w:r w:rsidR="007328D0">
        <w:rPr>
          <w:rFonts w:asciiTheme="majorHAnsi" w:hAnsiTheme="majorHAnsi" w:cstheme="majorHAnsi"/>
          <w:iCs/>
        </w:rPr>
        <w:t xml:space="preserve"> </w:t>
      </w:r>
      <w:r w:rsidR="007328D0" w:rsidRPr="00294402">
        <w:rPr>
          <w:rFonts w:asciiTheme="majorHAnsi" w:hAnsiTheme="majorHAnsi" w:cstheme="majorHAnsi"/>
          <w:iCs/>
          <w:noProof/>
        </w:rPr>
        <w:t>difference</w:t>
      </w:r>
      <w:r w:rsidR="007328D0">
        <w:rPr>
          <w:rFonts w:asciiTheme="majorHAnsi" w:hAnsiTheme="majorHAnsi" w:cstheme="majorHAnsi"/>
          <w:iCs/>
        </w:rPr>
        <w:t xml:space="preserve"> between</w:t>
      </w:r>
      <w:r w:rsidR="00294402">
        <w:rPr>
          <w:rFonts w:asciiTheme="majorHAnsi" w:hAnsiTheme="majorHAnsi" w:cstheme="majorHAnsi"/>
          <w:iCs/>
        </w:rPr>
        <w:t xml:space="preserve"> the</w:t>
      </w:r>
      <w:r w:rsidR="007328D0">
        <w:rPr>
          <w:rFonts w:asciiTheme="majorHAnsi" w:hAnsiTheme="majorHAnsi" w:cstheme="majorHAnsi"/>
          <w:iCs/>
        </w:rPr>
        <w:t xml:space="preserve"> </w:t>
      </w:r>
      <w:r w:rsidR="007328D0" w:rsidRPr="00294402">
        <w:rPr>
          <w:rFonts w:asciiTheme="majorHAnsi" w:hAnsiTheme="majorHAnsi" w:cstheme="majorHAnsi"/>
          <w:iCs/>
          <w:noProof/>
        </w:rPr>
        <w:t>maximum</w:t>
      </w:r>
      <w:r w:rsidR="007328D0">
        <w:rPr>
          <w:rFonts w:asciiTheme="majorHAnsi" w:hAnsiTheme="majorHAnsi" w:cstheme="majorHAnsi"/>
          <w:iCs/>
        </w:rPr>
        <w:t xml:space="preserve"> and</w:t>
      </w:r>
      <w:r w:rsidR="000D6569">
        <w:rPr>
          <w:rFonts w:asciiTheme="majorHAnsi" w:hAnsiTheme="majorHAnsi" w:cstheme="majorHAnsi"/>
          <w:iCs/>
        </w:rPr>
        <w:t xml:space="preserve"> a</w:t>
      </w:r>
      <w:r w:rsidR="007328D0">
        <w:rPr>
          <w:rFonts w:asciiTheme="majorHAnsi" w:hAnsiTheme="majorHAnsi" w:cstheme="majorHAnsi"/>
          <w:iCs/>
        </w:rPr>
        <w:t xml:space="preserve"> </w:t>
      </w:r>
      <w:r w:rsidR="007328D0" w:rsidRPr="000D6569">
        <w:rPr>
          <w:rFonts w:asciiTheme="majorHAnsi" w:hAnsiTheme="majorHAnsi" w:cstheme="majorHAnsi"/>
          <w:iCs/>
          <w:noProof/>
        </w:rPr>
        <w:t>minimum</w:t>
      </w:r>
      <w:r w:rsidR="007328D0">
        <w:rPr>
          <w:rFonts w:asciiTheme="majorHAnsi" w:hAnsiTheme="majorHAnsi" w:cstheme="majorHAnsi"/>
          <w:iCs/>
        </w:rPr>
        <w:t xml:space="preserve"> value of all tumor pixel</w:t>
      </w:r>
      <w:r w:rsidR="00AB16F5">
        <w:rPr>
          <w:rFonts w:asciiTheme="majorHAnsi" w:hAnsiTheme="majorHAnsi" w:cstheme="majorHAnsi"/>
          <w:iCs/>
        </w:rPr>
        <w:t>s</w:t>
      </w:r>
      <w:r w:rsidR="007328D0">
        <w:rPr>
          <w:rFonts w:asciiTheme="majorHAnsi" w:hAnsiTheme="majorHAnsi" w:cstheme="majorHAnsi"/>
          <w:iCs/>
        </w:rPr>
        <w:t>.</w:t>
      </w:r>
    </w:p>
    <w:p w:rsidR="00221B86" w:rsidRPr="00B3634C" w:rsidRDefault="00534DF1" w:rsidP="00625033">
      <w:pPr>
        <w:pStyle w:val="ListParagraph"/>
        <w:numPr>
          <w:ilvl w:val="0"/>
          <w:numId w:val="18"/>
        </w:numPr>
        <w:jc w:val="both"/>
        <w:rPr>
          <w:rFonts w:asciiTheme="majorHAnsi" w:hAnsiTheme="majorHAnsi" w:cstheme="majorHAnsi"/>
          <w:iCs/>
        </w:rPr>
      </w:pPr>
      <w:r>
        <w:rPr>
          <w:rFonts w:asciiTheme="majorHAnsi" w:hAnsiTheme="majorHAnsi" w:cstheme="majorHAnsi"/>
          <w:b/>
          <w:iCs/>
        </w:rPr>
        <w:t>RMS</w:t>
      </w:r>
      <w:r w:rsidR="00F07AFC" w:rsidRPr="00E366C4">
        <w:rPr>
          <w:rFonts w:asciiTheme="majorHAnsi" w:hAnsiTheme="majorHAnsi" w:cstheme="majorHAnsi"/>
          <w:b/>
          <w:iCs/>
        </w:rPr>
        <w:t>:</w:t>
      </w:r>
      <w:r w:rsidR="00F07AFC">
        <w:rPr>
          <w:rFonts w:asciiTheme="majorHAnsi" w:hAnsiTheme="majorHAnsi" w:cstheme="majorHAnsi"/>
          <w:iCs/>
        </w:rPr>
        <w:t xml:space="preserve"> </w:t>
      </w:r>
      <w:r w:rsidR="00793D18">
        <w:rPr>
          <w:rFonts w:asciiTheme="majorHAnsi" w:hAnsiTheme="majorHAnsi" w:cstheme="majorHAnsi"/>
          <w:iCs/>
        </w:rPr>
        <w:t xml:space="preserve">it is </w:t>
      </w:r>
      <w:r w:rsidR="0016389A">
        <w:rPr>
          <w:rFonts w:asciiTheme="majorHAnsi" w:hAnsiTheme="majorHAnsi" w:cstheme="majorHAnsi"/>
          <w:iCs/>
        </w:rPr>
        <w:t>the</w:t>
      </w:r>
      <w:r w:rsidR="00793D18">
        <w:rPr>
          <w:rFonts w:asciiTheme="majorHAnsi" w:hAnsiTheme="majorHAnsi" w:cstheme="majorHAnsi"/>
          <w:iCs/>
        </w:rPr>
        <w:t xml:space="preserve"> root mean</w:t>
      </w:r>
      <w:r w:rsidR="00581BD1">
        <w:rPr>
          <w:rFonts w:asciiTheme="majorHAnsi" w:hAnsiTheme="majorHAnsi" w:cstheme="majorHAnsi"/>
          <w:iCs/>
        </w:rPr>
        <w:t xml:space="preserve"> square value of tumor pixels</w:t>
      </w:r>
      <w:r w:rsidR="00793D18">
        <w:rPr>
          <w:rFonts w:asciiTheme="majorHAnsi" w:hAnsiTheme="majorHAnsi" w:cstheme="majorHAnsi"/>
          <w:iCs/>
        </w:rPr>
        <w:t>.</w:t>
      </w:r>
    </w:p>
    <w:p w:rsidR="0080562E" w:rsidRPr="00221B86" w:rsidRDefault="002B6248" w:rsidP="00B72ADF">
      <w:pPr>
        <w:pStyle w:val="ListParagraph"/>
        <w:numPr>
          <w:ilvl w:val="0"/>
          <w:numId w:val="18"/>
        </w:numPr>
        <w:spacing w:after="240" w:line="360" w:lineRule="auto"/>
        <w:jc w:val="both"/>
      </w:pPr>
      <w:r w:rsidRPr="0080562E">
        <w:rPr>
          <w:rFonts w:asciiTheme="majorHAnsi" w:hAnsiTheme="majorHAnsi" w:cstheme="majorHAnsi"/>
          <w:b/>
          <w:iCs/>
        </w:rPr>
        <w:t>Unifo</w:t>
      </w:r>
      <w:r w:rsidR="00534DF1" w:rsidRPr="0080562E">
        <w:rPr>
          <w:rFonts w:asciiTheme="majorHAnsi" w:hAnsiTheme="majorHAnsi" w:cstheme="majorHAnsi"/>
          <w:b/>
          <w:iCs/>
        </w:rPr>
        <w:t>rmity</w:t>
      </w:r>
      <w:r w:rsidRPr="0080562E">
        <w:rPr>
          <w:rFonts w:asciiTheme="majorHAnsi" w:hAnsiTheme="majorHAnsi" w:cstheme="majorHAnsi"/>
          <w:b/>
          <w:iCs/>
        </w:rPr>
        <w:t xml:space="preserve">: </w:t>
      </w:r>
      <w:r w:rsidR="0080562E" w:rsidRPr="0080562E">
        <w:rPr>
          <w:rFonts w:asciiTheme="majorHAnsi" w:hAnsiTheme="majorHAnsi" w:cstheme="majorHAnsi"/>
          <w:iCs/>
        </w:rPr>
        <w:t>This feature is a measure of histogram randomness and</w:t>
      </w:r>
      <w:r w:rsidR="00EE52CB">
        <w:rPr>
          <w:rFonts w:asciiTheme="majorHAnsi" w:hAnsiTheme="majorHAnsi" w:cstheme="majorHAnsi"/>
          <w:iCs/>
        </w:rPr>
        <w:t xml:space="preserve"> </w:t>
      </w:r>
      <w:r w:rsidR="0080562E" w:rsidRPr="0080562E">
        <w:rPr>
          <w:rFonts w:asciiTheme="majorHAnsi" w:hAnsiTheme="majorHAnsi" w:cstheme="majorHAnsi"/>
          <w:iCs/>
        </w:rPr>
        <w:t>can be computed as follows:</w:t>
      </w:r>
    </w:p>
    <w:tbl>
      <w:tblPr>
        <w:tblStyle w:val="TableGrid"/>
        <w:tblW w:w="864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28"/>
        <w:gridCol w:w="7200"/>
        <w:gridCol w:w="621"/>
      </w:tblGrid>
      <w:tr w:rsidR="00221B86" w:rsidTr="003F1006">
        <w:trPr>
          <w:trHeight w:val="395"/>
        </w:trPr>
        <w:tc>
          <w:tcPr>
            <w:tcW w:w="828" w:type="dxa"/>
            <w:vAlign w:val="center"/>
          </w:tcPr>
          <w:p w:rsidR="00221B86" w:rsidRDefault="00221B86" w:rsidP="00727C16">
            <w:pPr>
              <w:jc w:val="center"/>
              <w:rPr>
                <w:rFonts w:cstheme="minorHAnsi"/>
              </w:rPr>
            </w:pPr>
          </w:p>
        </w:tc>
        <w:tc>
          <w:tcPr>
            <w:tcW w:w="7200" w:type="dxa"/>
            <w:vAlign w:val="center"/>
          </w:tcPr>
          <w:p w:rsidR="00221B86" w:rsidRDefault="00221B86" w:rsidP="00727C16">
            <w:pPr>
              <w:jc w:val="center"/>
              <w:rPr>
                <w:rFonts w:cstheme="minorHAnsi"/>
              </w:rPr>
            </w:pPr>
            <m:oMath>
              <m:r>
                <w:rPr>
                  <w:rFonts w:ascii="Cambria Math" w:hAnsi="Cambria Math" w:cstheme="majorHAnsi"/>
                </w:rPr>
                <m:t xml:space="preserve">Uniformity= </m:t>
              </m:r>
              <m:nary>
                <m:naryPr>
                  <m:chr m:val="∑"/>
                  <m:limLoc m:val="undOvr"/>
                  <m:ctrlPr>
                    <w:rPr>
                      <w:rFonts w:ascii="Cambria Math" w:hAnsi="Cambria Math" w:cstheme="majorHAnsi"/>
                      <w:i/>
                    </w:rPr>
                  </m:ctrlPr>
                </m:naryPr>
                <m:sub>
                  <m:r>
                    <w:rPr>
                      <w:rFonts w:ascii="Cambria Math" w:hAnsi="Cambria Math" w:cstheme="majorHAnsi"/>
                    </w:rPr>
                    <m:t>i=1</m:t>
                  </m:r>
                </m:sub>
                <m:sup>
                  <m:sSub>
                    <m:sSubPr>
                      <m:ctrlPr>
                        <w:rPr>
                          <w:rFonts w:ascii="Cambria Math" w:hAnsi="Cambria Math" w:cstheme="majorHAnsi"/>
                          <w:i/>
                        </w:rPr>
                      </m:ctrlPr>
                    </m:sSubPr>
                    <m:e>
                      <m:r>
                        <w:rPr>
                          <w:rFonts w:ascii="Cambria Math" w:hAnsi="Cambria Math" w:cstheme="majorHAnsi"/>
                        </w:rPr>
                        <m:t>N</m:t>
                      </m:r>
                    </m:e>
                    <m:sub>
                      <m:r>
                        <w:rPr>
                          <w:rFonts w:ascii="Cambria Math" w:hAnsi="Cambria Math" w:cstheme="majorHAnsi"/>
                        </w:rPr>
                        <m:t>l</m:t>
                      </m:r>
                    </m:sub>
                  </m:sSub>
                </m:sup>
                <m:e>
                  <m:sSubSup>
                    <m:sSubSupPr>
                      <m:ctrlPr>
                        <w:rPr>
                          <w:rFonts w:ascii="Cambria Math" w:hAnsi="Cambria Math" w:cstheme="majorHAnsi"/>
                          <w:i/>
                        </w:rPr>
                      </m:ctrlPr>
                    </m:sSubSupPr>
                    <m:e>
                      <m:r>
                        <w:rPr>
                          <w:rFonts w:ascii="Cambria Math" w:hAnsi="Cambria Math" w:cstheme="majorHAnsi"/>
                        </w:rPr>
                        <m:t>P</m:t>
                      </m:r>
                    </m:e>
                    <m:sub>
                      <m:r>
                        <w:rPr>
                          <w:rFonts w:ascii="Cambria Math" w:hAnsi="Cambria Math" w:cstheme="majorHAnsi"/>
                        </w:rPr>
                        <m:t>i</m:t>
                      </m:r>
                    </m:sub>
                    <m:sup>
                      <m:r>
                        <w:rPr>
                          <w:rFonts w:ascii="Cambria Math" w:hAnsi="Cambria Math" w:cstheme="majorHAnsi"/>
                        </w:rPr>
                        <m:t>2</m:t>
                      </m:r>
                    </m:sup>
                  </m:sSubSup>
                </m:e>
              </m:nary>
            </m:oMath>
            <w:r>
              <w:rPr>
                <w:rFonts w:cstheme="minorHAnsi"/>
              </w:rPr>
              <w:t xml:space="preserve"> </w:t>
            </w:r>
          </w:p>
        </w:tc>
        <w:tc>
          <w:tcPr>
            <w:tcW w:w="621" w:type="dxa"/>
            <w:vAlign w:val="center"/>
          </w:tcPr>
          <w:p w:rsidR="00221B86" w:rsidRDefault="00221B86" w:rsidP="003F1006">
            <w:pPr>
              <w:jc w:val="center"/>
              <w:rPr>
                <w:rFonts w:cstheme="minorHAnsi"/>
              </w:rPr>
            </w:pPr>
            <w:r>
              <w:rPr>
                <w:rFonts w:cstheme="minorHAnsi"/>
              </w:rPr>
              <w:t>(</w:t>
            </w:r>
            <w:fldSimple w:instr=" SEQ Eq \* MERGEFORMAT ">
              <w:r w:rsidR="00D719F4" w:rsidRPr="00D719F4">
                <w:rPr>
                  <w:rFonts w:cstheme="minorHAnsi"/>
                  <w:noProof/>
                </w:rPr>
                <w:t>27</w:t>
              </w:r>
            </w:fldSimple>
            <w:r>
              <w:rPr>
                <w:rFonts w:cstheme="minorHAnsi"/>
              </w:rPr>
              <w:t>)</w:t>
            </w:r>
          </w:p>
        </w:tc>
      </w:tr>
    </w:tbl>
    <w:p w:rsidR="00FB7A07" w:rsidRDefault="00FB7A07" w:rsidP="00936976"/>
    <w:p w:rsidR="00DD0F0E" w:rsidRDefault="00DA4F55" w:rsidP="00FB7A07">
      <w:pPr>
        <w:pStyle w:val="Heading2"/>
      </w:pPr>
      <w:bookmarkStart w:id="36" w:name="_Toc468963705"/>
      <w:r>
        <w:t>Texture based</w:t>
      </w:r>
      <w:r w:rsidR="004B4B23">
        <w:t xml:space="preserve"> </w:t>
      </w:r>
      <w:r w:rsidR="009456F1">
        <w:t>features</w:t>
      </w:r>
      <w:bookmarkEnd w:id="36"/>
    </w:p>
    <w:p w:rsidR="00950782" w:rsidRPr="00950782" w:rsidRDefault="00950782" w:rsidP="00950782">
      <w:pPr>
        <w:ind w:firstLine="720"/>
        <w:jc w:val="both"/>
        <w:rPr>
          <w:rFonts w:asciiTheme="majorHAnsi" w:hAnsiTheme="majorHAnsi" w:cstheme="majorHAnsi"/>
          <w:iCs/>
        </w:rPr>
      </w:pPr>
      <w:r w:rsidRPr="00950782">
        <w:rPr>
          <w:rFonts w:asciiTheme="majorHAnsi" w:hAnsiTheme="majorHAnsi" w:cstheme="majorHAnsi"/>
          <w:iCs/>
        </w:rPr>
        <w:t>These features are computed using the gray level run length (GLRL)</w:t>
      </w:r>
      <w:r>
        <w:rPr>
          <w:rFonts w:asciiTheme="majorHAnsi" w:hAnsiTheme="majorHAnsi" w:cstheme="majorHAnsi"/>
          <w:iCs/>
        </w:rPr>
        <w:t>.</w:t>
      </w:r>
      <w:r w:rsidRPr="00950782">
        <w:rPr>
          <w:rFonts w:asciiTheme="majorHAnsi" w:hAnsiTheme="majorHAnsi" w:cstheme="majorHAnsi"/>
          <w:iCs/>
        </w:rPr>
        <w:t xml:space="preserve"> Gray level run is the number of consecutive elements with the same gray level in a certain direction (i.e. 0</w:t>
      </w:r>
      <w:r w:rsidRPr="00950782">
        <w:rPr>
          <w:rFonts w:asciiTheme="majorHAnsi" w:hAnsiTheme="majorHAnsi" w:cstheme="majorHAnsi"/>
          <w:iCs/>
          <w:vertAlign w:val="superscript"/>
        </w:rPr>
        <w:t>°</w:t>
      </w:r>
      <w:r w:rsidRPr="00950782">
        <w:rPr>
          <w:rFonts w:asciiTheme="majorHAnsi" w:hAnsiTheme="majorHAnsi" w:cstheme="majorHAnsi"/>
          <w:iCs/>
        </w:rPr>
        <w:t>, 45</w:t>
      </w:r>
      <w:r w:rsidRPr="00950782">
        <w:rPr>
          <w:rFonts w:asciiTheme="majorHAnsi" w:hAnsiTheme="majorHAnsi" w:cstheme="majorHAnsi"/>
          <w:iCs/>
          <w:vertAlign w:val="superscript"/>
        </w:rPr>
        <w:t>°</w:t>
      </w:r>
      <w:r w:rsidRPr="00950782">
        <w:rPr>
          <w:rFonts w:asciiTheme="majorHAnsi" w:hAnsiTheme="majorHAnsi" w:cstheme="majorHAnsi"/>
          <w:iCs/>
        </w:rPr>
        <w:t>, 90</w:t>
      </w:r>
      <w:r w:rsidRPr="00950782">
        <w:rPr>
          <w:rFonts w:asciiTheme="majorHAnsi" w:hAnsiTheme="majorHAnsi" w:cstheme="majorHAnsi"/>
          <w:iCs/>
          <w:vertAlign w:val="superscript"/>
        </w:rPr>
        <w:t>°</w:t>
      </w:r>
      <w:r w:rsidRPr="00950782">
        <w:rPr>
          <w:rFonts w:asciiTheme="majorHAnsi" w:hAnsiTheme="majorHAnsi" w:cstheme="majorHAnsi"/>
          <w:iCs/>
        </w:rPr>
        <w:t>, and 135</w:t>
      </w:r>
      <w:r w:rsidRPr="00950782">
        <w:rPr>
          <w:rFonts w:asciiTheme="majorHAnsi" w:hAnsiTheme="majorHAnsi" w:cstheme="majorHAnsi"/>
          <w:iCs/>
          <w:vertAlign w:val="superscript"/>
        </w:rPr>
        <w:t>°</w:t>
      </w:r>
      <w:r w:rsidRPr="00950782">
        <w:rPr>
          <w:rFonts w:asciiTheme="majorHAnsi" w:hAnsiTheme="majorHAnsi" w:cstheme="majorHAnsi"/>
          <w:iCs/>
        </w:rPr>
        <w:t xml:space="preserve">), while the run length is the </w:t>
      </w:r>
      <w:r>
        <w:rPr>
          <w:rFonts w:asciiTheme="majorHAnsi" w:hAnsiTheme="majorHAnsi" w:cstheme="majorHAnsi"/>
          <w:iCs/>
        </w:rPr>
        <w:t>n</w:t>
      </w:r>
      <w:r w:rsidR="003B5CB9">
        <w:rPr>
          <w:rFonts w:asciiTheme="majorHAnsi" w:hAnsiTheme="majorHAnsi" w:cstheme="majorHAnsi"/>
          <w:iCs/>
        </w:rPr>
        <w:t>umber of the gray level run.</w:t>
      </w:r>
    </w:p>
    <w:p w:rsidR="00DF0CA1" w:rsidRDefault="00950782" w:rsidP="002D0807">
      <w:pPr>
        <w:ind w:firstLine="720"/>
        <w:jc w:val="both"/>
        <w:rPr>
          <w:rFonts w:asciiTheme="majorHAnsi" w:hAnsiTheme="majorHAnsi" w:cstheme="majorHAnsi"/>
          <w:iCs/>
        </w:rPr>
      </w:pPr>
      <w:r w:rsidRPr="00950782">
        <w:rPr>
          <w:rFonts w:asciiTheme="majorHAnsi" w:hAnsiTheme="majorHAnsi" w:cstheme="majorHAnsi"/>
          <w:iCs/>
        </w:rPr>
        <w:t>The run length provides mea</w:t>
      </w:r>
      <w:r>
        <w:rPr>
          <w:rFonts w:asciiTheme="majorHAnsi" w:hAnsiTheme="majorHAnsi" w:cstheme="majorHAnsi"/>
          <w:iCs/>
        </w:rPr>
        <w:t>n</w:t>
      </w:r>
      <w:r w:rsidR="00EE52CB">
        <w:rPr>
          <w:rFonts w:asciiTheme="majorHAnsi" w:hAnsiTheme="majorHAnsi" w:cstheme="majorHAnsi"/>
          <w:iCs/>
        </w:rPr>
        <w:t xml:space="preserve">ingful texture information </w:t>
      </w:r>
      <w:r w:rsidRPr="00950782">
        <w:rPr>
          <w:rFonts w:asciiTheme="majorHAnsi" w:hAnsiTheme="majorHAnsi" w:cstheme="majorHAnsi"/>
          <w:iCs/>
        </w:rPr>
        <w:t xml:space="preserve">for tumor classification </w:t>
      </w:r>
      <w:r w:rsidR="009647D4" w:rsidRPr="00950782">
        <w:rPr>
          <w:rFonts w:asciiTheme="majorHAnsi" w:hAnsiTheme="majorHAnsi" w:cstheme="majorHAnsi"/>
          <w:iCs/>
        </w:rPr>
        <w:fldChar w:fldCharType="begin" w:fldLock="1"/>
      </w:r>
      <w:r>
        <w:rPr>
          <w:rFonts w:asciiTheme="majorHAnsi" w:hAnsiTheme="majorHAnsi" w:cstheme="majorHAnsi"/>
          <w:iCs/>
        </w:rPr>
        <w:instrText>ADDIN CSL_CITATION { "citationItems" : [ { "id" : "ITEM-1", "itemData" : { "DOI" : "10.1109/TSMC.1973.4309314", "ISBN" : "0018-9472", "ISSN" : "0018-9472", "abstract" : "Texture is one of the important characteristics used in identifying objects or regions of interest in an image, whether the image be a photomicrograph, an aerial photograph, or a satellite image. This paper describes some easily computable textural features based on gray-tone spatial dependancies, and illustrates their application in category-identification tasks of three different kinds of image data: photomicrographs of five kinds of sandstones, 1:20 000 panchromatic aerial photographs of eight land-use categories, and Earth Resources Technology Satellite (ERTS) multispecial imagery containing seven land-use categories. We use two kinds of decision rules: one for which the decision regions are convex polyhedra (a piecewise linear decision rule), and one for which the decision regions are rectangular parallelpipeds (a min-max decision rule). In each experiment the data set was divided into two parts, a training set and a test set. Test set identification accuracy is 89 percent for the photomicrographs, 82 percent for the aerial photographic imagery, and 83 percent for the satellite imagery. These results indicate that the easily computable textural features probably have a general applicability for a wide variety of image-classification applications. View full abstract", "author" : [ { "dropping-particle" : "", "family" : "Haralick", "given" : "R M", "non-dropping-particle" : "", "parse-names" : false, "suffix" : "" }, { "dropping-particle" : "", "family" : "Shanmugam", "given" : "K", "non-dropping-particle" : "", "parse-names" : false, "suffix" : "" }, { "dropping-particle" : "", "family" : "Dinstein", "given" : "Its'Hak", "non-dropping-particle" : "", "parse-names" : false, "suffix" : "" } ], "container-title" : "Systems, Man and Cybernetics, IEEE Transactions on", "id" : "ITEM-1", "issue" : "6", "issued" : { "date-parts" : [ [ "1973" ] ] }, "page" : "610-621", "title" : "Textural Features for Image Classification", "type" : "article-journal" }, "uris" : [ "http://www.mendeley.com/documents/?uuid=f59c77ac-ac44-4d00-bbe0-36b02fdbc5db" ] }, { "id" : "ITEM-2", "itemData" : { "DOI" : "10.1109/83.725367", "ISBN" : "1057-7149 (Print)\\r1057-7149 (Linking)", "ISSN" : "10577149", "PMID" : "18276225", "abstract" : "We use a multilevel dominant eigenvector estimation algorithm to develop a new run-length texture feature extraction algorithm that preserves much of the texture information in run-length matrices and significantly improves image classification accuracy over traditional run-length techniques. The advantage of this approach is demonstrated experimentally by the classification of two texture data sets. Comparisons with other methods demonstrate that the run-length matrices contain great discriminatory information and that a good method of extracting such information is of paramount importance to successful classification.", "author" : [ { "dropping-particle" : "", "family" : "Tang", "given" : "Xiaoou", "non-dropping-particle" : "", "parse-names" : false, "suffix" : "" } ], "container-title" : "IEEE Transactions on Image Processing", "id" : "ITEM-2", "issue" : "11", "issued" : { "date-parts" : [ [ "1998" ] ] }, "page" : "1602-1609", "title" : "Texture information in run-length matrices", "type" : "article-journal", "volume" : "7" }, "uris" : [ "http://www.mendeley.com/documents/?uuid=fe4837d6-a6b6-40e8-8869-3aac60c8a076" ] } ], "mendeley" : { "formattedCitation" : "[19], [20]", "manualFormatting" : "[19-20]", "plainTextFormattedCitation" : "[19], [20]", "previouslyFormattedCitation" : "[19], [20]" }, "properties" : { "noteIndex" : 0 }, "schema" : "https://github.com/citation-style-language/schema/raw/master/csl-citation.json" }</w:instrText>
      </w:r>
      <w:r w:rsidR="009647D4" w:rsidRPr="00950782">
        <w:rPr>
          <w:rFonts w:asciiTheme="majorHAnsi" w:hAnsiTheme="majorHAnsi" w:cstheme="majorHAnsi"/>
          <w:iCs/>
        </w:rPr>
        <w:fldChar w:fldCharType="separate"/>
      </w:r>
      <w:r w:rsidRPr="00950782">
        <w:rPr>
          <w:rFonts w:asciiTheme="majorHAnsi" w:hAnsiTheme="majorHAnsi" w:cstheme="majorHAnsi"/>
          <w:iCs/>
          <w:noProof/>
        </w:rPr>
        <w:t>[19-20]</w:t>
      </w:r>
      <w:r w:rsidR="009647D4" w:rsidRPr="00950782">
        <w:rPr>
          <w:rFonts w:asciiTheme="majorHAnsi" w:hAnsiTheme="majorHAnsi" w:cstheme="majorHAnsi"/>
          <w:iCs/>
        </w:rPr>
        <w:fldChar w:fldCharType="end"/>
      </w:r>
      <w:r w:rsidRPr="00950782">
        <w:rPr>
          <w:rFonts w:asciiTheme="majorHAnsi" w:hAnsiTheme="majorHAnsi" w:cstheme="majorHAnsi"/>
          <w:iCs/>
        </w:rPr>
        <w:t xml:space="preserve">. In our study, </w:t>
      </w:r>
      <w:r>
        <w:rPr>
          <w:rFonts w:asciiTheme="majorHAnsi" w:hAnsiTheme="majorHAnsi" w:cstheme="majorHAnsi"/>
          <w:iCs/>
        </w:rPr>
        <w:t>we estimated a tota</w:t>
      </w:r>
      <w:r w:rsidRPr="00950782">
        <w:rPr>
          <w:rFonts w:asciiTheme="majorHAnsi" w:hAnsiTheme="majorHAnsi" w:cstheme="majorHAnsi"/>
          <w:iCs/>
        </w:rPr>
        <w:t xml:space="preserve">l of 11 texture features </w:t>
      </w:r>
      <w:r w:rsidR="009647D4">
        <w:rPr>
          <w:rFonts w:asciiTheme="majorHAnsi" w:hAnsiTheme="majorHAnsi" w:cstheme="majorHAnsi"/>
          <w:iCs/>
        </w:rPr>
        <w:fldChar w:fldCharType="begin" w:fldLock="1"/>
      </w:r>
      <w:r>
        <w:rPr>
          <w:rFonts w:asciiTheme="majorHAnsi" w:hAnsiTheme="majorHAnsi" w:cstheme="majorHAnsi"/>
          <w:iCs/>
        </w:rPr>
        <w:instrText>ADDIN CSL_CITATION { "citationItems" : [ { "id" : "ITEM-1", "itemData" : { "DOI" : "http://dx.doi.org/10.1016/S0146-664X(75)80008-6", "ISBN" : "0146-664X", "ISSN" : "0146-664X", "PMID" : "26919273", "abstract" : "A set of texture features based on gray level run lengths is described. Good classification results are obtained with these features on a set of samples representing nine terrain types.", "author" : [ { "dropping-particle" : "", "family" : "Galloway", "given" : "Mary M.", "non-dropping-particle" : "", "parse-names" : false, "suffix" : "" } ], "container-title" : "Computer Graphics and Image Processing", "id" : "ITEM-1", "issue" : "2", "issued" : { "date-parts" : [ [ "1975" ] ] }, "page" : "172-179", "title" : "Texture analysis using gray level run lengths", "type" : "article-journal", "volume" : "4" }, "uris" : [ "http://www.mendeley.com/documents/?uuid=96fd8c05-0477-401c-bee6-646d8aac84e8" ] }, { "id" : "ITEM-2", "itemData" : { "DOI" : "10.1016/0167-8655(90)90112-F", "ISBN" : "0167-8655", "ISSN" : "01678655", "abstract" : "Most of the texture measures based on run lengths use only the lengths of the runs and their distribution. We propose to use the gray value distribution of the runs to define two new features, viz., low gray level run emphasis (LGRE) and high gray level run emphasis (HGRE). ?? 1990.", "author" : [ { "dropping-particle" : "", "family" : "Chu", "given" : "A.", "non-dropping-particle" : "", "parse-names" : false, "suffix" : "" }, { "dropping-particle" : "", "family" : "Sehgal", "given" : "C. M.", "non-dropping-particle" : "", "parse-names" : false, "suffix" : "" }, { "dropping-particle" : "", "family" : "Greenleaf", "given" : "J. F.", "non-dropping-particle" : "", "parse-names" : false, "suffix" : "" } ], "container-title" : "Pattern Recognition Letters", "id" : "ITEM-2", "issue" : "6", "issued" : { "date-parts" : [ [ "1990" ] ] }, "page" : "415-419", "title" : "Use of gray value distribution of run lengths for texture analysis", "type" : "article-journal", "volume" : "11" }, "uris" : [ "http://www.mendeley.com/documents/?uuid=3ef1a602-37ca-4009-bfb7-7da700d91e16" ] }, { "id" : "ITEM-3", "itemData" : { "DOI" : "10.1016/0167-8655(91)80014-2", "ISBN" : "0167-8655", "ISSN" : "01678655", "abstract" : "Previous run length based texture analysis studies have mostly relied upon the use of run length or gray level distributions of the number of runs for characterizing the textures of images. In this study, some new joint run length-gray level distributions are proposed which offer additional insight into the image characterization problem and serve as effective features for a texturebased classification of images. Experimental evidence is offered to demonstrate the utilitarian value of these new concepts. ?? 1991 Elsevier Science Publishers B.V. (North-Holland).", "author" : [ { "dropping-particle" : "V.", "family" : "Dasarathy", "given" : "Belur", "non-dropping-particle" : "", "parse-names" : false, "suffix" : "" }, { "dropping-particle" : "", "family" : "Holder", "given" : "Edwin B.", "non-dropping-particle" : "", "parse-names" : false, "suffix" : "" } ], "container-title" : "Pattern Recognition Letters", "id" : "ITEM-3", "issue" : "8", "issued" : { "date-parts" : [ [ "1991" ] ] }, "page" : "497-502", "title" : "Image characterizations based on joint gray level-run length distributions", "type" : "article-journal", "volume" : "12" }, "uris" : [ "http://www.mendeley.com/documents/?uuid=996e477f-3cb9-40e3-b5fc-b4bf87125a36" ] } ], "mendeley" : { "formattedCitation" : "[21]\u2013[23]", "manualFormatting" : "[21-23]", "plainTextFormattedCitation" : "[21]\u2013[23]", "previouslyFormattedCitation" : "[21]\u2013[23]" }, "properties" : { "noteIndex" : 0 }, "schema" : "https://github.com/citation-style-language/schema/raw/master/csl-citation.json" }</w:instrText>
      </w:r>
      <w:r w:rsidR="009647D4">
        <w:rPr>
          <w:rFonts w:asciiTheme="majorHAnsi" w:hAnsiTheme="majorHAnsi" w:cstheme="majorHAnsi"/>
          <w:iCs/>
        </w:rPr>
        <w:fldChar w:fldCharType="separate"/>
      </w:r>
      <w:r>
        <w:rPr>
          <w:rFonts w:asciiTheme="majorHAnsi" w:hAnsiTheme="majorHAnsi" w:cstheme="majorHAnsi"/>
          <w:iCs/>
          <w:noProof/>
        </w:rPr>
        <w:t>[21-</w:t>
      </w:r>
      <w:r w:rsidRPr="00950782">
        <w:rPr>
          <w:rFonts w:asciiTheme="majorHAnsi" w:hAnsiTheme="majorHAnsi" w:cstheme="majorHAnsi"/>
          <w:iCs/>
          <w:noProof/>
        </w:rPr>
        <w:t>23]</w:t>
      </w:r>
      <w:r w:rsidR="009647D4">
        <w:rPr>
          <w:rFonts w:asciiTheme="majorHAnsi" w:hAnsiTheme="majorHAnsi" w:cstheme="majorHAnsi"/>
          <w:iCs/>
        </w:rPr>
        <w:fldChar w:fldCharType="end"/>
      </w:r>
      <w:r w:rsidRPr="00950782">
        <w:rPr>
          <w:rFonts w:asciiTheme="majorHAnsi" w:hAnsiTheme="majorHAnsi" w:cstheme="majorHAnsi"/>
          <w:iCs/>
        </w:rPr>
        <w:t xml:space="preserve"> </w:t>
      </w:r>
      <w:r w:rsidR="0069469C">
        <w:rPr>
          <w:rFonts w:asciiTheme="majorHAnsi" w:hAnsiTheme="majorHAnsi" w:cstheme="majorHAnsi"/>
          <w:iCs/>
        </w:rPr>
        <w:t xml:space="preserve">and </w:t>
      </w:r>
      <w:r w:rsidRPr="00950782">
        <w:rPr>
          <w:rFonts w:asciiTheme="majorHAnsi" w:hAnsiTheme="majorHAnsi" w:cstheme="majorHAnsi"/>
          <w:iCs/>
        </w:rPr>
        <w:t>are as follows:</w:t>
      </w:r>
    </w:p>
    <w:p w:rsidR="002D0807" w:rsidRDefault="002D0807" w:rsidP="002D0807">
      <w:pPr>
        <w:ind w:firstLine="720"/>
        <w:jc w:val="both"/>
        <w:rPr>
          <w:rFonts w:asciiTheme="majorHAnsi" w:hAnsiTheme="majorHAnsi" w:cstheme="majorHAnsi"/>
          <w:iCs/>
        </w:rPr>
      </w:pPr>
    </w:p>
    <w:p w:rsidR="003329C2" w:rsidRDefault="003329C2" w:rsidP="002D0807">
      <w:pPr>
        <w:ind w:firstLine="720"/>
        <w:jc w:val="both"/>
        <w:rPr>
          <w:rFonts w:asciiTheme="majorHAnsi" w:hAnsiTheme="majorHAnsi" w:cstheme="majorHAnsi"/>
          <w:iCs/>
        </w:rPr>
      </w:pPr>
    </w:p>
    <w:p w:rsidR="002D0807" w:rsidRPr="003B5CB9" w:rsidRDefault="002D0807" w:rsidP="002D0807">
      <w:pPr>
        <w:ind w:firstLine="720"/>
        <w:jc w:val="both"/>
        <w:rPr>
          <w:rFonts w:asciiTheme="majorHAnsi" w:hAnsiTheme="majorHAnsi" w:cstheme="majorHAnsi"/>
          <w:iCs/>
        </w:rPr>
      </w:pPr>
    </w:p>
    <w:p w:rsidR="004A3ED7" w:rsidRDefault="004A3ED7" w:rsidP="001F563C">
      <w:pPr>
        <w:pStyle w:val="ListParagraph"/>
        <w:numPr>
          <w:ilvl w:val="0"/>
          <w:numId w:val="11"/>
        </w:numPr>
        <w:jc w:val="both"/>
        <w:rPr>
          <w:rFonts w:asciiTheme="majorHAnsi" w:hAnsiTheme="majorHAnsi" w:cstheme="majorHAnsi"/>
          <w:b/>
          <w:iCs/>
        </w:rPr>
      </w:pPr>
      <w:r w:rsidRPr="0042155B">
        <w:rPr>
          <w:rFonts w:asciiTheme="majorHAnsi" w:hAnsiTheme="majorHAnsi" w:cstheme="majorHAnsi"/>
          <w:b/>
          <w:iCs/>
        </w:rPr>
        <w:lastRenderedPageBreak/>
        <w:t>Short Run Emphasis (SRE)</w:t>
      </w:r>
    </w:p>
    <w:tbl>
      <w:tblPr>
        <w:tblStyle w:val="TableGrid"/>
        <w:tblW w:w="864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28"/>
        <w:gridCol w:w="7200"/>
        <w:gridCol w:w="621"/>
      </w:tblGrid>
      <w:tr w:rsidR="00D75982" w:rsidTr="003F1006">
        <w:trPr>
          <w:trHeight w:val="395"/>
        </w:trPr>
        <w:tc>
          <w:tcPr>
            <w:tcW w:w="828" w:type="dxa"/>
            <w:vAlign w:val="center"/>
          </w:tcPr>
          <w:p w:rsidR="00D75982" w:rsidRDefault="00D75982" w:rsidP="00727C16">
            <w:pPr>
              <w:jc w:val="center"/>
              <w:rPr>
                <w:rFonts w:cstheme="minorHAnsi"/>
              </w:rPr>
            </w:pPr>
          </w:p>
        </w:tc>
        <w:tc>
          <w:tcPr>
            <w:tcW w:w="7200" w:type="dxa"/>
            <w:vAlign w:val="center"/>
          </w:tcPr>
          <w:p w:rsidR="00D75982" w:rsidRDefault="00D75982" w:rsidP="00727C16">
            <w:pPr>
              <w:jc w:val="center"/>
              <w:rPr>
                <w:rFonts w:cstheme="minorHAnsi"/>
              </w:rPr>
            </w:pPr>
            <m:oMath>
              <m:r>
                <w:rPr>
                  <w:rFonts w:ascii="Cambria Math" w:hAnsi="Cambria Math" w:cstheme="majorHAnsi"/>
                </w:rPr>
                <m:t xml:space="preserve">SRE= </m:t>
              </m:r>
              <m:f>
                <m:fPr>
                  <m:ctrlPr>
                    <w:rPr>
                      <w:rFonts w:ascii="Cambria Math" w:hAnsi="Cambria Math" w:cstheme="majorHAnsi"/>
                      <w:i/>
                      <w:iCs/>
                    </w:rPr>
                  </m:ctrlPr>
                </m:fPr>
                <m:num>
                  <m:r>
                    <w:rPr>
                      <w:rFonts w:ascii="Cambria Math" w:hAnsi="Cambria Math" w:cstheme="majorHAnsi"/>
                    </w:rPr>
                    <m:t>1</m:t>
                  </m:r>
                </m:num>
                <m:den>
                  <m:sSub>
                    <m:sSubPr>
                      <m:ctrlPr>
                        <w:rPr>
                          <w:rFonts w:ascii="Cambria Math" w:hAnsi="Cambria Math" w:cstheme="majorHAnsi"/>
                          <w:i/>
                          <w:iCs/>
                        </w:rPr>
                      </m:ctrlPr>
                    </m:sSubPr>
                    <m:e>
                      <m:r>
                        <w:rPr>
                          <w:rFonts w:ascii="Cambria Math" w:hAnsi="Cambria Math" w:cstheme="majorHAnsi"/>
                        </w:rPr>
                        <m:t>n</m:t>
                      </m:r>
                    </m:e>
                    <m:sub>
                      <m:r>
                        <w:rPr>
                          <w:rFonts w:ascii="Cambria Math" w:hAnsi="Cambria Math" w:cstheme="majorHAnsi"/>
                        </w:rPr>
                        <m:t>r</m:t>
                      </m:r>
                    </m:sub>
                  </m:sSub>
                </m:den>
              </m:f>
              <m:nary>
                <m:naryPr>
                  <m:chr m:val="∑"/>
                  <m:limLoc m:val="undOvr"/>
                  <m:ctrlPr>
                    <w:rPr>
                      <w:rFonts w:ascii="Cambria Math" w:hAnsi="Cambria Math" w:cstheme="majorHAnsi"/>
                      <w:i/>
                      <w:iCs/>
                    </w:rPr>
                  </m:ctrlPr>
                </m:naryPr>
                <m:sub>
                  <m:r>
                    <w:rPr>
                      <w:rFonts w:ascii="Cambria Math" w:hAnsi="Cambria Math" w:cstheme="majorHAnsi"/>
                    </w:rPr>
                    <m:t>i=1</m:t>
                  </m:r>
                </m:sub>
                <m:sup>
                  <m:r>
                    <w:rPr>
                      <w:rFonts w:ascii="Cambria Math" w:hAnsi="Cambria Math" w:cstheme="majorHAnsi"/>
                    </w:rPr>
                    <m:t>M</m:t>
                  </m:r>
                </m:sup>
                <m:e>
                  <m:nary>
                    <m:naryPr>
                      <m:chr m:val="∑"/>
                      <m:limLoc m:val="undOvr"/>
                      <m:ctrlPr>
                        <w:rPr>
                          <w:rFonts w:ascii="Cambria Math" w:hAnsi="Cambria Math" w:cstheme="majorHAnsi"/>
                          <w:i/>
                          <w:iCs/>
                        </w:rPr>
                      </m:ctrlPr>
                    </m:naryPr>
                    <m:sub>
                      <m:r>
                        <w:rPr>
                          <w:rFonts w:ascii="Cambria Math" w:hAnsi="Cambria Math" w:cstheme="majorHAnsi"/>
                        </w:rPr>
                        <m:t>j=1</m:t>
                      </m:r>
                    </m:sub>
                    <m:sup>
                      <m:r>
                        <w:rPr>
                          <w:rFonts w:ascii="Cambria Math" w:hAnsi="Cambria Math" w:cstheme="majorHAnsi"/>
                        </w:rPr>
                        <m:t>N</m:t>
                      </m:r>
                    </m:sup>
                    <m:e>
                      <m:f>
                        <m:fPr>
                          <m:ctrlPr>
                            <w:rPr>
                              <w:rFonts w:ascii="Cambria Math" w:hAnsi="Cambria Math" w:cstheme="majorHAnsi"/>
                              <w:i/>
                              <w:iCs/>
                            </w:rPr>
                          </m:ctrlPr>
                        </m:fPr>
                        <m:num>
                          <m:r>
                            <w:rPr>
                              <w:rFonts w:ascii="Cambria Math" w:hAnsi="Cambria Math" w:cstheme="majorHAnsi"/>
                            </w:rPr>
                            <m:t>p(i,j)</m:t>
                          </m:r>
                        </m:num>
                        <m:den>
                          <m:sSup>
                            <m:sSupPr>
                              <m:ctrlPr>
                                <w:rPr>
                                  <w:rFonts w:ascii="Cambria Math" w:hAnsi="Cambria Math" w:cstheme="majorHAnsi"/>
                                  <w:i/>
                                  <w:iCs/>
                                </w:rPr>
                              </m:ctrlPr>
                            </m:sSupPr>
                            <m:e>
                              <m:r>
                                <w:rPr>
                                  <w:rFonts w:ascii="Cambria Math" w:hAnsi="Cambria Math" w:cstheme="majorHAnsi"/>
                                </w:rPr>
                                <m:t>j</m:t>
                              </m:r>
                            </m:e>
                            <m:sup>
                              <m:r>
                                <w:rPr>
                                  <w:rFonts w:ascii="Cambria Math" w:hAnsi="Cambria Math" w:cstheme="majorHAnsi"/>
                                </w:rPr>
                                <m:t>2</m:t>
                              </m:r>
                            </m:sup>
                          </m:sSup>
                        </m:den>
                      </m:f>
                    </m:e>
                  </m:nary>
                </m:e>
              </m:nary>
              <m:r>
                <w:rPr>
                  <w:rFonts w:ascii="Cambria Math" w:hAnsi="Cambria Math" w:cstheme="majorHAnsi"/>
                </w:rPr>
                <m:t xml:space="preserve">= </m:t>
              </m:r>
              <m:f>
                <m:fPr>
                  <m:ctrlPr>
                    <w:rPr>
                      <w:rFonts w:ascii="Cambria Math" w:hAnsi="Cambria Math" w:cstheme="majorHAnsi"/>
                      <w:i/>
                      <w:iCs/>
                    </w:rPr>
                  </m:ctrlPr>
                </m:fPr>
                <m:num>
                  <m:r>
                    <w:rPr>
                      <w:rFonts w:ascii="Cambria Math" w:hAnsi="Cambria Math" w:cstheme="majorHAnsi"/>
                    </w:rPr>
                    <m:t>1</m:t>
                  </m:r>
                </m:num>
                <m:den>
                  <m:sSub>
                    <m:sSubPr>
                      <m:ctrlPr>
                        <w:rPr>
                          <w:rFonts w:ascii="Cambria Math" w:hAnsi="Cambria Math" w:cstheme="majorHAnsi"/>
                          <w:i/>
                          <w:iCs/>
                        </w:rPr>
                      </m:ctrlPr>
                    </m:sSubPr>
                    <m:e>
                      <m:r>
                        <w:rPr>
                          <w:rFonts w:ascii="Cambria Math" w:hAnsi="Cambria Math" w:cstheme="majorHAnsi"/>
                        </w:rPr>
                        <m:t>n</m:t>
                      </m:r>
                    </m:e>
                    <m:sub>
                      <m:r>
                        <w:rPr>
                          <w:rFonts w:ascii="Cambria Math" w:hAnsi="Cambria Math" w:cstheme="majorHAnsi"/>
                        </w:rPr>
                        <m:t>r</m:t>
                      </m:r>
                    </m:sub>
                  </m:sSub>
                </m:den>
              </m:f>
              <m:nary>
                <m:naryPr>
                  <m:chr m:val="∑"/>
                  <m:limLoc m:val="undOvr"/>
                  <m:ctrlPr>
                    <w:rPr>
                      <w:rFonts w:ascii="Cambria Math" w:hAnsi="Cambria Math" w:cstheme="majorHAnsi"/>
                      <w:i/>
                      <w:iCs/>
                    </w:rPr>
                  </m:ctrlPr>
                </m:naryPr>
                <m:sub>
                  <m:r>
                    <w:rPr>
                      <w:rFonts w:ascii="Cambria Math" w:hAnsi="Cambria Math" w:cstheme="majorHAnsi"/>
                    </w:rPr>
                    <m:t>j=1</m:t>
                  </m:r>
                </m:sub>
                <m:sup>
                  <m:r>
                    <w:rPr>
                      <w:rFonts w:ascii="Cambria Math" w:hAnsi="Cambria Math" w:cstheme="majorHAnsi"/>
                    </w:rPr>
                    <m:t>N</m:t>
                  </m:r>
                </m:sup>
                <m:e>
                  <m:f>
                    <m:fPr>
                      <m:ctrlPr>
                        <w:rPr>
                          <w:rFonts w:ascii="Cambria Math" w:hAnsi="Cambria Math" w:cstheme="majorHAnsi"/>
                          <w:i/>
                          <w:iCs/>
                        </w:rPr>
                      </m:ctrlPr>
                    </m:fPr>
                    <m:num>
                      <m:sSub>
                        <m:sSubPr>
                          <m:ctrlPr>
                            <w:rPr>
                              <w:rFonts w:ascii="Cambria Math" w:hAnsi="Cambria Math" w:cstheme="majorHAnsi"/>
                              <w:i/>
                              <w:iCs/>
                            </w:rPr>
                          </m:ctrlPr>
                        </m:sSubPr>
                        <m:e>
                          <m:r>
                            <w:rPr>
                              <w:rFonts w:ascii="Cambria Math" w:hAnsi="Cambria Math" w:cstheme="majorHAnsi"/>
                            </w:rPr>
                            <m:t>p</m:t>
                          </m:r>
                        </m:e>
                        <m:sub>
                          <m:r>
                            <w:rPr>
                              <w:rFonts w:ascii="Cambria Math" w:hAnsi="Cambria Math" w:cstheme="majorHAnsi"/>
                            </w:rPr>
                            <m:t>r</m:t>
                          </m:r>
                        </m:sub>
                      </m:sSub>
                      <m:r>
                        <w:rPr>
                          <w:rFonts w:ascii="Cambria Math" w:hAnsi="Cambria Math" w:cstheme="majorHAnsi"/>
                        </w:rPr>
                        <m:t>(j)</m:t>
                      </m:r>
                    </m:num>
                    <m:den>
                      <m:sSup>
                        <m:sSupPr>
                          <m:ctrlPr>
                            <w:rPr>
                              <w:rFonts w:ascii="Cambria Math" w:hAnsi="Cambria Math" w:cstheme="majorHAnsi"/>
                              <w:i/>
                              <w:iCs/>
                            </w:rPr>
                          </m:ctrlPr>
                        </m:sSupPr>
                        <m:e>
                          <m:r>
                            <w:rPr>
                              <w:rFonts w:ascii="Cambria Math" w:hAnsi="Cambria Math" w:cstheme="majorHAnsi"/>
                            </w:rPr>
                            <m:t>j</m:t>
                          </m:r>
                        </m:e>
                        <m:sup>
                          <m:r>
                            <w:rPr>
                              <w:rFonts w:ascii="Cambria Math" w:hAnsi="Cambria Math" w:cstheme="majorHAnsi"/>
                            </w:rPr>
                            <m:t>2</m:t>
                          </m:r>
                        </m:sup>
                      </m:sSup>
                    </m:den>
                  </m:f>
                </m:e>
              </m:nary>
            </m:oMath>
            <w:r>
              <w:rPr>
                <w:rFonts w:cstheme="minorHAnsi"/>
              </w:rPr>
              <w:t xml:space="preserve"> </w:t>
            </w:r>
          </w:p>
        </w:tc>
        <w:tc>
          <w:tcPr>
            <w:tcW w:w="621" w:type="dxa"/>
            <w:vAlign w:val="center"/>
          </w:tcPr>
          <w:p w:rsidR="00D75982" w:rsidRDefault="00D75982" w:rsidP="003F1006">
            <w:pPr>
              <w:jc w:val="center"/>
              <w:rPr>
                <w:rFonts w:cstheme="minorHAnsi"/>
              </w:rPr>
            </w:pPr>
            <w:r>
              <w:rPr>
                <w:rFonts w:cstheme="minorHAnsi"/>
              </w:rPr>
              <w:t>(</w:t>
            </w:r>
            <w:fldSimple w:instr=" SEQ Eq \* MERGEFORMAT ">
              <w:r w:rsidR="00D719F4" w:rsidRPr="00D719F4">
                <w:rPr>
                  <w:rFonts w:cstheme="minorHAnsi"/>
                  <w:noProof/>
                </w:rPr>
                <w:t>28</w:t>
              </w:r>
            </w:fldSimple>
            <w:r>
              <w:rPr>
                <w:rFonts w:cstheme="minorHAnsi"/>
              </w:rPr>
              <w:t>)</w:t>
            </w:r>
          </w:p>
        </w:tc>
      </w:tr>
    </w:tbl>
    <w:p w:rsidR="004A3ED7" w:rsidRDefault="004A3ED7" w:rsidP="001F563C">
      <w:pPr>
        <w:pStyle w:val="ListParagraph"/>
        <w:numPr>
          <w:ilvl w:val="0"/>
          <w:numId w:val="11"/>
        </w:numPr>
        <w:spacing w:line="360" w:lineRule="auto"/>
        <w:jc w:val="both"/>
        <w:rPr>
          <w:b/>
        </w:rPr>
      </w:pPr>
      <w:r w:rsidRPr="00453FFE">
        <w:rPr>
          <w:b/>
        </w:rPr>
        <w:t>Long Run Emphasis (LRE)</w:t>
      </w:r>
    </w:p>
    <w:tbl>
      <w:tblPr>
        <w:tblStyle w:val="TableGrid"/>
        <w:tblW w:w="864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28"/>
        <w:gridCol w:w="7200"/>
        <w:gridCol w:w="621"/>
      </w:tblGrid>
      <w:tr w:rsidR="00D75982" w:rsidTr="003F1006">
        <w:trPr>
          <w:trHeight w:val="395"/>
        </w:trPr>
        <w:tc>
          <w:tcPr>
            <w:tcW w:w="828" w:type="dxa"/>
            <w:vAlign w:val="center"/>
          </w:tcPr>
          <w:p w:rsidR="00D75982" w:rsidRDefault="00D75982" w:rsidP="00727C16">
            <w:pPr>
              <w:jc w:val="center"/>
              <w:rPr>
                <w:rFonts w:cstheme="minorHAnsi"/>
              </w:rPr>
            </w:pPr>
          </w:p>
        </w:tc>
        <w:tc>
          <w:tcPr>
            <w:tcW w:w="7200" w:type="dxa"/>
            <w:vAlign w:val="center"/>
          </w:tcPr>
          <w:p w:rsidR="00D75982" w:rsidRDefault="00D75982" w:rsidP="00727C16">
            <w:pPr>
              <w:jc w:val="center"/>
              <w:rPr>
                <w:rFonts w:cstheme="minorHAnsi"/>
              </w:rPr>
            </w:pPr>
            <m:oMath>
              <m:r>
                <w:rPr>
                  <w:rFonts w:ascii="Cambria Math" w:hAnsi="Cambria Math"/>
                </w:rPr>
                <m:t>LRE=</m:t>
              </m:r>
              <m:f>
                <m:fPr>
                  <m:ctrlPr>
                    <w:rPr>
                      <w:rFonts w:ascii="Cambria Math" w:hAnsi="Cambria Math"/>
                      <w:i/>
                    </w:rPr>
                  </m:ctrlPr>
                </m:fPr>
                <m:num>
                  <m:r>
                    <w:rPr>
                      <w:rFonts w:ascii="Cambria Math" w:hAnsi="Cambria Math"/>
                    </w:rPr>
                    <m:t>1</m:t>
                  </m:r>
                </m:num>
                <m:den>
                  <m:sSub>
                    <m:sSubPr>
                      <m:ctrlPr>
                        <w:rPr>
                          <w:rFonts w:ascii="Cambria Math" w:hAnsi="Cambria Math"/>
                          <w:i/>
                        </w:rPr>
                      </m:ctrlPr>
                    </m:sSubPr>
                    <m:e>
                      <m:r>
                        <w:rPr>
                          <w:rFonts w:ascii="Cambria Math" w:hAnsi="Cambria Math"/>
                        </w:rPr>
                        <m:t>n</m:t>
                      </m:r>
                    </m:e>
                    <m:sub>
                      <m:r>
                        <w:rPr>
                          <w:rFonts w:ascii="Cambria Math" w:hAnsi="Cambria Math"/>
                        </w:rPr>
                        <m:t>r</m:t>
                      </m:r>
                    </m:sub>
                  </m:sSub>
                </m:den>
              </m:f>
              <m:nary>
                <m:naryPr>
                  <m:chr m:val="∑"/>
                  <m:limLoc m:val="undOvr"/>
                  <m:ctrlPr>
                    <w:rPr>
                      <w:rFonts w:ascii="Cambria Math" w:hAnsi="Cambria Math"/>
                      <w:i/>
                    </w:rPr>
                  </m:ctrlPr>
                </m:naryPr>
                <m:sub>
                  <m:r>
                    <w:rPr>
                      <w:rFonts w:ascii="Cambria Math" w:hAnsi="Cambria Math"/>
                    </w:rPr>
                    <m:t>i=1</m:t>
                  </m:r>
                </m:sub>
                <m:sup>
                  <m:r>
                    <w:rPr>
                      <w:rFonts w:ascii="Cambria Math" w:hAnsi="Cambria Math"/>
                    </w:rPr>
                    <m:t>M</m:t>
                  </m:r>
                </m:sup>
                <m:e>
                  <m:nary>
                    <m:naryPr>
                      <m:chr m:val="∑"/>
                      <m:limLoc m:val="undOvr"/>
                      <m:ctrlPr>
                        <w:rPr>
                          <w:rFonts w:ascii="Cambria Math" w:hAnsi="Cambria Math"/>
                          <w:i/>
                        </w:rPr>
                      </m:ctrlPr>
                    </m:naryPr>
                    <m:sub>
                      <m:r>
                        <w:rPr>
                          <w:rFonts w:ascii="Cambria Math" w:hAnsi="Cambria Math"/>
                        </w:rPr>
                        <m:t>j=1</m:t>
                      </m:r>
                    </m:sub>
                    <m:sup>
                      <m:r>
                        <w:rPr>
                          <w:rFonts w:ascii="Cambria Math" w:hAnsi="Cambria Math"/>
                        </w:rPr>
                        <m:t>N</m:t>
                      </m:r>
                    </m:sup>
                    <m:e>
                      <m:r>
                        <w:rPr>
                          <w:rFonts w:ascii="Cambria Math" w:hAnsi="Cambria Math"/>
                        </w:rPr>
                        <m:t>p</m:t>
                      </m:r>
                      <m:d>
                        <m:dPr>
                          <m:ctrlPr>
                            <w:rPr>
                              <w:rFonts w:ascii="Cambria Math" w:hAnsi="Cambria Math"/>
                              <w:i/>
                            </w:rPr>
                          </m:ctrlPr>
                        </m:dPr>
                        <m:e>
                          <m:r>
                            <w:rPr>
                              <w:rFonts w:ascii="Cambria Math" w:hAnsi="Cambria Math"/>
                            </w:rPr>
                            <m:t>i,j</m:t>
                          </m:r>
                        </m:e>
                      </m:d>
                      <m:r>
                        <w:rPr>
                          <w:rFonts w:ascii="Cambria Math" w:hAnsi="Cambria Math"/>
                        </w:rPr>
                        <m:t>.</m:t>
                      </m:r>
                      <m:sSup>
                        <m:sSupPr>
                          <m:ctrlPr>
                            <w:rPr>
                              <w:rFonts w:ascii="Cambria Math" w:hAnsi="Cambria Math"/>
                              <w:i/>
                            </w:rPr>
                          </m:ctrlPr>
                        </m:sSupPr>
                        <m:e>
                          <m:r>
                            <w:rPr>
                              <w:rFonts w:ascii="Cambria Math" w:hAnsi="Cambria Math"/>
                            </w:rPr>
                            <m:t>j</m:t>
                          </m:r>
                        </m:e>
                        <m:sup>
                          <m:r>
                            <w:rPr>
                              <w:rFonts w:ascii="Cambria Math" w:hAnsi="Cambria Math"/>
                            </w:rPr>
                            <m:t>2</m:t>
                          </m:r>
                        </m:sup>
                      </m:sSup>
                    </m:e>
                  </m:nary>
                </m:e>
              </m:nary>
              <m:r>
                <w:rPr>
                  <w:rFonts w:ascii="Cambria Math" w:hAnsi="Cambria Math"/>
                </w:rPr>
                <m:t xml:space="preserve">= </m:t>
              </m:r>
              <m:f>
                <m:fPr>
                  <m:ctrlPr>
                    <w:rPr>
                      <w:rFonts w:ascii="Cambria Math" w:hAnsi="Cambria Math"/>
                      <w:i/>
                    </w:rPr>
                  </m:ctrlPr>
                </m:fPr>
                <m:num>
                  <m:r>
                    <w:rPr>
                      <w:rFonts w:ascii="Cambria Math" w:hAnsi="Cambria Math"/>
                    </w:rPr>
                    <m:t>1</m:t>
                  </m:r>
                </m:num>
                <m:den>
                  <m:sSub>
                    <m:sSubPr>
                      <m:ctrlPr>
                        <w:rPr>
                          <w:rFonts w:ascii="Cambria Math" w:hAnsi="Cambria Math"/>
                          <w:i/>
                        </w:rPr>
                      </m:ctrlPr>
                    </m:sSubPr>
                    <m:e>
                      <m:r>
                        <w:rPr>
                          <w:rFonts w:ascii="Cambria Math" w:hAnsi="Cambria Math"/>
                        </w:rPr>
                        <m:t>n</m:t>
                      </m:r>
                    </m:e>
                    <m:sub>
                      <m:r>
                        <w:rPr>
                          <w:rFonts w:ascii="Cambria Math" w:hAnsi="Cambria Math"/>
                        </w:rPr>
                        <m:t>r</m:t>
                      </m:r>
                    </m:sub>
                  </m:sSub>
                </m:den>
              </m:f>
              <m:nary>
                <m:naryPr>
                  <m:chr m:val="∑"/>
                  <m:limLoc m:val="undOvr"/>
                  <m:ctrlPr>
                    <w:rPr>
                      <w:rFonts w:ascii="Cambria Math" w:hAnsi="Cambria Math"/>
                      <w:i/>
                    </w:rPr>
                  </m:ctrlPr>
                </m:naryPr>
                <m:sub>
                  <m:r>
                    <w:rPr>
                      <w:rFonts w:ascii="Cambria Math" w:hAnsi="Cambria Math"/>
                    </w:rPr>
                    <m:t>j=1</m:t>
                  </m:r>
                </m:sub>
                <m:sup>
                  <m:r>
                    <w:rPr>
                      <w:rFonts w:ascii="Cambria Math" w:hAnsi="Cambria Math"/>
                    </w:rPr>
                    <m:t>N</m:t>
                  </m:r>
                </m:sup>
                <m:e>
                  <m:sSub>
                    <m:sSubPr>
                      <m:ctrlPr>
                        <w:rPr>
                          <w:rFonts w:ascii="Cambria Math" w:hAnsi="Cambria Math"/>
                          <w:i/>
                        </w:rPr>
                      </m:ctrlPr>
                    </m:sSubPr>
                    <m:e>
                      <m:r>
                        <w:rPr>
                          <w:rFonts w:ascii="Cambria Math" w:hAnsi="Cambria Math"/>
                        </w:rPr>
                        <m:t>p</m:t>
                      </m:r>
                    </m:e>
                    <m:sub>
                      <m:r>
                        <w:rPr>
                          <w:rFonts w:ascii="Cambria Math" w:hAnsi="Cambria Math"/>
                        </w:rPr>
                        <m:t>r</m:t>
                      </m:r>
                    </m:sub>
                  </m:sSub>
                  <m:d>
                    <m:dPr>
                      <m:ctrlPr>
                        <w:rPr>
                          <w:rFonts w:ascii="Cambria Math" w:hAnsi="Cambria Math"/>
                          <w:i/>
                        </w:rPr>
                      </m:ctrlPr>
                    </m:dPr>
                    <m:e>
                      <m:r>
                        <w:rPr>
                          <w:rFonts w:ascii="Cambria Math" w:hAnsi="Cambria Math"/>
                        </w:rPr>
                        <m:t>j</m:t>
                      </m:r>
                    </m:e>
                  </m:d>
                  <m:r>
                    <w:rPr>
                      <w:rFonts w:ascii="Cambria Math" w:hAnsi="Cambria Math"/>
                    </w:rPr>
                    <m:t>.</m:t>
                  </m:r>
                  <m:sSup>
                    <m:sSupPr>
                      <m:ctrlPr>
                        <w:rPr>
                          <w:rFonts w:ascii="Cambria Math" w:hAnsi="Cambria Math"/>
                          <w:i/>
                        </w:rPr>
                      </m:ctrlPr>
                    </m:sSupPr>
                    <m:e>
                      <m:r>
                        <w:rPr>
                          <w:rFonts w:ascii="Cambria Math" w:hAnsi="Cambria Math"/>
                        </w:rPr>
                        <m:t>j</m:t>
                      </m:r>
                    </m:e>
                    <m:sup>
                      <m:r>
                        <w:rPr>
                          <w:rFonts w:ascii="Cambria Math" w:hAnsi="Cambria Math"/>
                        </w:rPr>
                        <m:t>2</m:t>
                      </m:r>
                    </m:sup>
                  </m:sSup>
                </m:e>
              </m:nary>
            </m:oMath>
            <w:r>
              <w:rPr>
                <w:rFonts w:cstheme="minorHAnsi"/>
              </w:rPr>
              <w:t xml:space="preserve"> </w:t>
            </w:r>
          </w:p>
        </w:tc>
        <w:tc>
          <w:tcPr>
            <w:tcW w:w="621" w:type="dxa"/>
            <w:vAlign w:val="center"/>
          </w:tcPr>
          <w:p w:rsidR="00D75982" w:rsidRDefault="00D75982" w:rsidP="003F1006">
            <w:pPr>
              <w:jc w:val="center"/>
              <w:rPr>
                <w:rFonts w:cstheme="minorHAnsi"/>
              </w:rPr>
            </w:pPr>
            <w:r>
              <w:rPr>
                <w:rFonts w:cstheme="minorHAnsi"/>
              </w:rPr>
              <w:t>(</w:t>
            </w:r>
            <w:fldSimple w:instr=" SEQ Eq \* MERGEFORMAT ">
              <w:r w:rsidR="00D719F4" w:rsidRPr="00D719F4">
                <w:rPr>
                  <w:rFonts w:cstheme="minorHAnsi"/>
                  <w:noProof/>
                </w:rPr>
                <w:t>29</w:t>
              </w:r>
            </w:fldSimple>
            <w:r>
              <w:rPr>
                <w:rFonts w:cstheme="minorHAnsi"/>
              </w:rPr>
              <w:t>)</w:t>
            </w:r>
          </w:p>
        </w:tc>
      </w:tr>
    </w:tbl>
    <w:p w:rsidR="00D75982" w:rsidRPr="00D75982" w:rsidRDefault="004A3ED7" w:rsidP="00D75982">
      <w:pPr>
        <w:pStyle w:val="ListParagraph"/>
        <w:numPr>
          <w:ilvl w:val="0"/>
          <w:numId w:val="11"/>
        </w:numPr>
        <w:spacing w:line="360" w:lineRule="auto"/>
        <w:jc w:val="both"/>
        <w:rPr>
          <w:b/>
        </w:rPr>
      </w:pPr>
      <w:r w:rsidRPr="00563DC7">
        <w:rPr>
          <w:b/>
        </w:rPr>
        <w:t>Gray-Level Non-uniformity (GLN)</w:t>
      </w:r>
    </w:p>
    <w:tbl>
      <w:tblPr>
        <w:tblStyle w:val="TableGrid"/>
        <w:tblW w:w="864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28"/>
        <w:gridCol w:w="7200"/>
        <w:gridCol w:w="621"/>
      </w:tblGrid>
      <w:tr w:rsidR="0023030E" w:rsidTr="000B615F">
        <w:trPr>
          <w:trHeight w:val="395"/>
        </w:trPr>
        <w:tc>
          <w:tcPr>
            <w:tcW w:w="828" w:type="dxa"/>
            <w:vAlign w:val="center"/>
          </w:tcPr>
          <w:p w:rsidR="0023030E" w:rsidRDefault="000B615F" w:rsidP="00727C16">
            <w:pPr>
              <w:jc w:val="center"/>
              <w:rPr>
                <w:rFonts w:cstheme="minorHAnsi"/>
              </w:rPr>
            </w:pPr>
            <w:r>
              <w:rPr>
                <w:rFonts w:cstheme="minorHAnsi"/>
              </w:rPr>
              <w:t xml:space="preserve">    </w:t>
            </w:r>
          </w:p>
        </w:tc>
        <w:tc>
          <w:tcPr>
            <w:tcW w:w="7200" w:type="dxa"/>
            <w:vAlign w:val="center"/>
          </w:tcPr>
          <w:p w:rsidR="0023030E" w:rsidRPr="000B615F" w:rsidRDefault="0023030E" w:rsidP="000B615F">
            <w:pPr>
              <w:jc w:val="center"/>
              <w:rPr>
                <w:rFonts w:cstheme="minorHAnsi"/>
              </w:rPr>
            </w:pPr>
            <m:oMath>
              <m:r>
                <w:rPr>
                  <w:rFonts w:ascii="Cambria Math" w:hAnsi="Cambria Math"/>
                </w:rPr>
                <m:t xml:space="preserve">GLN= </m:t>
              </m:r>
              <m:f>
                <m:fPr>
                  <m:ctrlPr>
                    <w:rPr>
                      <w:rFonts w:ascii="Cambria Math" w:hAnsi="Cambria Math"/>
                      <w:i/>
                    </w:rPr>
                  </m:ctrlPr>
                </m:fPr>
                <m:num>
                  <m:r>
                    <w:rPr>
                      <w:rFonts w:ascii="Cambria Math" w:hAnsi="Cambria Math"/>
                    </w:rPr>
                    <m:t>1</m:t>
                  </m:r>
                </m:num>
                <m:den>
                  <m:sSub>
                    <m:sSubPr>
                      <m:ctrlPr>
                        <w:rPr>
                          <w:rFonts w:ascii="Cambria Math" w:hAnsi="Cambria Math"/>
                          <w:i/>
                        </w:rPr>
                      </m:ctrlPr>
                    </m:sSubPr>
                    <m:e>
                      <m:r>
                        <w:rPr>
                          <w:rFonts w:ascii="Cambria Math" w:hAnsi="Cambria Math"/>
                        </w:rPr>
                        <m:t>n</m:t>
                      </m:r>
                    </m:e>
                    <m:sub>
                      <m:r>
                        <w:rPr>
                          <w:rFonts w:ascii="Cambria Math" w:hAnsi="Cambria Math"/>
                        </w:rPr>
                        <m:t>r</m:t>
                      </m:r>
                    </m:sub>
                  </m:sSub>
                </m:den>
              </m:f>
              <m:nary>
                <m:naryPr>
                  <m:chr m:val="∑"/>
                  <m:limLoc m:val="undOvr"/>
                  <m:ctrlPr>
                    <w:rPr>
                      <w:rFonts w:ascii="Cambria Math" w:hAnsi="Cambria Math"/>
                      <w:i/>
                    </w:rPr>
                  </m:ctrlPr>
                </m:naryPr>
                <m:sub>
                  <m:r>
                    <w:rPr>
                      <w:rFonts w:ascii="Cambria Math" w:hAnsi="Cambria Math"/>
                    </w:rPr>
                    <m:t>i=1</m:t>
                  </m:r>
                </m:sub>
                <m:sup>
                  <m:r>
                    <w:rPr>
                      <w:rFonts w:ascii="Cambria Math" w:hAnsi="Cambria Math"/>
                    </w:rPr>
                    <m:t>M</m:t>
                  </m:r>
                </m:sup>
                <m:e>
                  <m:sSup>
                    <m:sSupPr>
                      <m:ctrlPr>
                        <w:rPr>
                          <w:rFonts w:ascii="Cambria Math" w:hAnsi="Cambria Math"/>
                          <w:i/>
                        </w:rPr>
                      </m:ctrlPr>
                    </m:sSupPr>
                    <m:e>
                      <m:d>
                        <m:dPr>
                          <m:ctrlPr>
                            <w:rPr>
                              <w:rFonts w:ascii="Cambria Math" w:hAnsi="Cambria Math"/>
                              <w:i/>
                            </w:rPr>
                          </m:ctrlPr>
                        </m:dPr>
                        <m:e>
                          <m:nary>
                            <m:naryPr>
                              <m:chr m:val="∑"/>
                              <m:limLoc m:val="undOvr"/>
                              <m:ctrlPr>
                                <w:rPr>
                                  <w:rFonts w:ascii="Cambria Math" w:hAnsi="Cambria Math"/>
                                  <w:i/>
                                </w:rPr>
                              </m:ctrlPr>
                            </m:naryPr>
                            <m:sub>
                              <m:r>
                                <w:rPr>
                                  <w:rFonts w:ascii="Cambria Math" w:hAnsi="Cambria Math"/>
                                </w:rPr>
                                <m:t>j=1</m:t>
                              </m:r>
                            </m:sub>
                            <m:sup>
                              <m:r>
                                <w:rPr>
                                  <w:rFonts w:ascii="Cambria Math" w:hAnsi="Cambria Math"/>
                                </w:rPr>
                                <m:t>N</m:t>
                              </m:r>
                            </m:sup>
                            <m:e>
                              <m:r>
                                <w:rPr>
                                  <w:rFonts w:ascii="Cambria Math" w:hAnsi="Cambria Math"/>
                                </w:rPr>
                                <m:t>p</m:t>
                              </m:r>
                              <m:d>
                                <m:dPr>
                                  <m:ctrlPr>
                                    <w:rPr>
                                      <w:rFonts w:ascii="Cambria Math" w:hAnsi="Cambria Math"/>
                                      <w:i/>
                                    </w:rPr>
                                  </m:ctrlPr>
                                </m:dPr>
                                <m:e>
                                  <m:r>
                                    <w:rPr>
                                      <w:rFonts w:ascii="Cambria Math" w:hAnsi="Cambria Math"/>
                                    </w:rPr>
                                    <m:t>i,j</m:t>
                                  </m:r>
                                </m:e>
                              </m:d>
                            </m:e>
                          </m:nary>
                        </m:e>
                      </m:d>
                    </m:e>
                    <m:sup>
                      <m:r>
                        <w:rPr>
                          <w:rFonts w:ascii="Cambria Math" w:hAnsi="Cambria Math"/>
                        </w:rPr>
                        <m:t>2</m:t>
                      </m:r>
                    </m:sup>
                  </m:sSup>
                </m:e>
              </m:nary>
              <m:r>
                <w:rPr>
                  <w:rFonts w:ascii="Cambria Math" w:hAnsi="Cambria Math"/>
                </w:rPr>
                <m:t>=</m:t>
              </m:r>
              <m:f>
                <m:fPr>
                  <m:ctrlPr>
                    <w:rPr>
                      <w:rFonts w:ascii="Cambria Math" w:hAnsi="Cambria Math"/>
                      <w:i/>
                    </w:rPr>
                  </m:ctrlPr>
                </m:fPr>
                <m:num>
                  <m:r>
                    <w:rPr>
                      <w:rFonts w:ascii="Cambria Math" w:hAnsi="Cambria Math"/>
                    </w:rPr>
                    <m:t>1</m:t>
                  </m:r>
                </m:num>
                <m:den>
                  <m:sSub>
                    <m:sSubPr>
                      <m:ctrlPr>
                        <w:rPr>
                          <w:rFonts w:ascii="Cambria Math" w:hAnsi="Cambria Math"/>
                          <w:i/>
                        </w:rPr>
                      </m:ctrlPr>
                    </m:sSubPr>
                    <m:e>
                      <m:r>
                        <w:rPr>
                          <w:rFonts w:ascii="Cambria Math" w:hAnsi="Cambria Math"/>
                        </w:rPr>
                        <m:t>n</m:t>
                      </m:r>
                    </m:e>
                    <m:sub>
                      <m:r>
                        <w:rPr>
                          <w:rFonts w:ascii="Cambria Math" w:hAnsi="Cambria Math"/>
                        </w:rPr>
                        <m:t>r</m:t>
                      </m:r>
                    </m:sub>
                  </m:sSub>
                </m:den>
              </m:f>
              <m:nary>
                <m:naryPr>
                  <m:chr m:val="∑"/>
                  <m:limLoc m:val="undOvr"/>
                  <m:ctrlPr>
                    <w:rPr>
                      <w:rFonts w:ascii="Cambria Math" w:hAnsi="Cambria Math"/>
                      <w:i/>
                    </w:rPr>
                  </m:ctrlPr>
                </m:naryPr>
                <m:sub>
                  <m:r>
                    <w:rPr>
                      <w:rFonts w:ascii="Cambria Math" w:hAnsi="Cambria Math"/>
                    </w:rPr>
                    <m:t>i=1</m:t>
                  </m:r>
                </m:sub>
                <m:sup>
                  <m:r>
                    <w:rPr>
                      <w:rFonts w:ascii="Cambria Math" w:hAnsi="Cambria Math"/>
                    </w:rPr>
                    <m:t>M</m:t>
                  </m:r>
                </m:sup>
                <m:e>
                  <m:sSub>
                    <m:sSubPr>
                      <m:ctrlPr>
                        <w:rPr>
                          <w:rFonts w:ascii="Cambria Math" w:hAnsi="Cambria Math"/>
                          <w:i/>
                        </w:rPr>
                      </m:ctrlPr>
                    </m:sSubPr>
                    <m:e>
                      <m:r>
                        <w:rPr>
                          <w:rFonts w:ascii="Cambria Math" w:hAnsi="Cambria Math"/>
                        </w:rPr>
                        <m:t>p</m:t>
                      </m:r>
                    </m:e>
                    <m:sub>
                      <m:r>
                        <w:rPr>
                          <w:rFonts w:ascii="Cambria Math" w:hAnsi="Cambria Math"/>
                        </w:rPr>
                        <m:t>g</m:t>
                      </m:r>
                    </m:sub>
                  </m:sSub>
                  <m:sSup>
                    <m:sSupPr>
                      <m:ctrlPr>
                        <w:rPr>
                          <w:rFonts w:ascii="Cambria Math" w:hAnsi="Cambria Math"/>
                          <w:i/>
                        </w:rPr>
                      </m:ctrlPr>
                    </m:sSupPr>
                    <m:e>
                      <m:d>
                        <m:dPr>
                          <m:ctrlPr>
                            <w:rPr>
                              <w:rFonts w:ascii="Cambria Math" w:hAnsi="Cambria Math"/>
                              <w:i/>
                            </w:rPr>
                          </m:ctrlPr>
                        </m:dPr>
                        <m:e>
                          <m:r>
                            <w:rPr>
                              <w:rFonts w:ascii="Cambria Math" w:hAnsi="Cambria Math"/>
                            </w:rPr>
                            <m:t>i</m:t>
                          </m:r>
                        </m:e>
                      </m:d>
                    </m:e>
                    <m:sup>
                      <m:r>
                        <w:rPr>
                          <w:rFonts w:ascii="Cambria Math" w:hAnsi="Cambria Math"/>
                        </w:rPr>
                        <m:t>2</m:t>
                      </m:r>
                    </m:sup>
                  </m:sSup>
                </m:e>
              </m:nary>
            </m:oMath>
            <w:r w:rsidR="000B615F">
              <w:rPr>
                <w:rFonts w:cstheme="minorHAnsi"/>
              </w:rPr>
              <w:t xml:space="preserve"> </w:t>
            </w:r>
          </w:p>
        </w:tc>
        <w:tc>
          <w:tcPr>
            <w:tcW w:w="621" w:type="dxa"/>
            <w:vAlign w:val="center"/>
          </w:tcPr>
          <w:p w:rsidR="0023030E" w:rsidRDefault="0023030E" w:rsidP="003F1006">
            <w:pPr>
              <w:jc w:val="center"/>
              <w:rPr>
                <w:rFonts w:cstheme="minorHAnsi"/>
              </w:rPr>
            </w:pPr>
            <w:r>
              <w:rPr>
                <w:rFonts w:cstheme="minorHAnsi"/>
              </w:rPr>
              <w:t>(</w:t>
            </w:r>
            <w:fldSimple w:instr=" SEQ Eq \* MERGEFORMAT ">
              <w:r w:rsidR="00D719F4" w:rsidRPr="00D719F4">
                <w:rPr>
                  <w:rFonts w:cstheme="minorHAnsi"/>
                  <w:noProof/>
                </w:rPr>
                <w:t>30</w:t>
              </w:r>
            </w:fldSimple>
            <w:r>
              <w:rPr>
                <w:rFonts w:cstheme="minorHAnsi"/>
              </w:rPr>
              <w:t>)</w:t>
            </w:r>
          </w:p>
        </w:tc>
      </w:tr>
    </w:tbl>
    <w:p w:rsidR="004A3ED7" w:rsidRPr="00563DC7" w:rsidRDefault="004A3ED7" w:rsidP="001F563C">
      <w:pPr>
        <w:pStyle w:val="ListParagraph"/>
        <w:numPr>
          <w:ilvl w:val="0"/>
          <w:numId w:val="11"/>
        </w:numPr>
        <w:spacing w:line="360" w:lineRule="auto"/>
        <w:jc w:val="both"/>
        <w:rPr>
          <w:b/>
        </w:rPr>
      </w:pPr>
      <w:r w:rsidRPr="00563DC7">
        <w:rPr>
          <w:b/>
        </w:rPr>
        <w:t>Run-Length Non-uniformity (RLN)</w:t>
      </w:r>
    </w:p>
    <w:tbl>
      <w:tblPr>
        <w:tblStyle w:val="TableGrid"/>
        <w:tblW w:w="864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28"/>
        <w:gridCol w:w="7200"/>
        <w:gridCol w:w="621"/>
      </w:tblGrid>
      <w:tr w:rsidR="0023030E" w:rsidTr="003F1006">
        <w:trPr>
          <w:trHeight w:val="395"/>
        </w:trPr>
        <w:tc>
          <w:tcPr>
            <w:tcW w:w="828" w:type="dxa"/>
            <w:vAlign w:val="center"/>
          </w:tcPr>
          <w:p w:rsidR="0023030E" w:rsidRDefault="0023030E" w:rsidP="00727C16">
            <w:pPr>
              <w:jc w:val="center"/>
              <w:rPr>
                <w:rFonts w:cstheme="minorHAnsi"/>
              </w:rPr>
            </w:pPr>
          </w:p>
        </w:tc>
        <w:tc>
          <w:tcPr>
            <w:tcW w:w="7200" w:type="dxa"/>
            <w:vAlign w:val="center"/>
          </w:tcPr>
          <w:p w:rsidR="0023030E" w:rsidRDefault="0023030E" w:rsidP="000B615F">
            <w:pPr>
              <w:jc w:val="center"/>
              <w:rPr>
                <w:rFonts w:cstheme="minorHAnsi"/>
              </w:rPr>
            </w:pPr>
            <m:oMath>
              <m:r>
                <w:rPr>
                  <w:rFonts w:ascii="Cambria Math" w:hAnsi="Cambria Math"/>
                </w:rPr>
                <m:t xml:space="preserve">RLN= </m:t>
              </m:r>
              <m:f>
                <m:fPr>
                  <m:ctrlPr>
                    <w:rPr>
                      <w:rFonts w:ascii="Cambria Math" w:hAnsi="Cambria Math"/>
                      <w:i/>
                    </w:rPr>
                  </m:ctrlPr>
                </m:fPr>
                <m:num>
                  <m:r>
                    <w:rPr>
                      <w:rFonts w:ascii="Cambria Math" w:hAnsi="Cambria Math"/>
                    </w:rPr>
                    <m:t>1</m:t>
                  </m:r>
                </m:num>
                <m:den>
                  <m:sSub>
                    <m:sSubPr>
                      <m:ctrlPr>
                        <w:rPr>
                          <w:rFonts w:ascii="Cambria Math" w:hAnsi="Cambria Math"/>
                          <w:i/>
                        </w:rPr>
                      </m:ctrlPr>
                    </m:sSubPr>
                    <m:e>
                      <m:r>
                        <w:rPr>
                          <w:rFonts w:ascii="Cambria Math" w:hAnsi="Cambria Math"/>
                        </w:rPr>
                        <m:t>n</m:t>
                      </m:r>
                    </m:e>
                    <m:sub>
                      <m:r>
                        <w:rPr>
                          <w:rFonts w:ascii="Cambria Math" w:hAnsi="Cambria Math"/>
                        </w:rPr>
                        <m:t>r</m:t>
                      </m:r>
                    </m:sub>
                  </m:sSub>
                </m:den>
              </m:f>
              <m:nary>
                <m:naryPr>
                  <m:chr m:val="∑"/>
                  <m:limLoc m:val="undOvr"/>
                  <m:ctrlPr>
                    <w:rPr>
                      <w:rFonts w:ascii="Cambria Math" w:hAnsi="Cambria Math"/>
                      <w:i/>
                    </w:rPr>
                  </m:ctrlPr>
                </m:naryPr>
                <m:sub>
                  <m:r>
                    <w:rPr>
                      <w:rFonts w:ascii="Cambria Math" w:hAnsi="Cambria Math"/>
                    </w:rPr>
                    <m:t>j=1</m:t>
                  </m:r>
                </m:sub>
                <m:sup>
                  <m:r>
                    <w:rPr>
                      <w:rFonts w:ascii="Cambria Math" w:hAnsi="Cambria Math"/>
                    </w:rPr>
                    <m:t>N</m:t>
                  </m:r>
                </m:sup>
                <m:e>
                  <m:sSup>
                    <m:sSupPr>
                      <m:ctrlPr>
                        <w:rPr>
                          <w:rFonts w:ascii="Cambria Math" w:hAnsi="Cambria Math"/>
                          <w:i/>
                        </w:rPr>
                      </m:ctrlPr>
                    </m:sSupPr>
                    <m:e>
                      <m:d>
                        <m:dPr>
                          <m:ctrlPr>
                            <w:rPr>
                              <w:rFonts w:ascii="Cambria Math" w:hAnsi="Cambria Math"/>
                              <w:i/>
                            </w:rPr>
                          </m:ctrlPr>
                        </m:dPr>
                        <m:e>
                          <m:nary>
                            <m:naryPr>
                              <m:chr m:val="∑"/>
                              <m:limLoc m:val="undOvr"/>
                              <m:ctrlPr>
                                <w:rPr>
                                  <w:rFonts w:ascii="Cambria Math" w:hAnsi="Cambria Math"/>
                                  <w:i/>
                                </w:rPr>
                              </m:ctrlPr>
                            </m:naryPr>
                            <m:sub>
                              <m:r>
                                <w:rPr>
                                  <w:rFonts w:ascii="Cambria Math" w:hAnsi="Cambria Math"/>
                                </w:rPr>
                                <m:t>i=1</m:t>
                              </m:r>
                            </m:sub>
                            <m:sup>
                              <m:r>
                                <w:rPr>
                                  <w:rFonts w:ascii="Cambria Math" w:hAnsi="Cambria Math"/>
                                </w:rPr>
                                <m:t>M</m:t>
                              </m:r>
                            </m:sup>
                            <m:e>
                              <m:r>
                                <w:rPr>
                                  <w:rFonts w:ascii="Cambria Math" w:hAnsi="Cambria Math"/>
                                </w:rPr>
                                <m:t>p</m:t>
                              </m:r>
                              <m:d>
                                <m:dPr>
                                  <m:ctrlPr>
                                    <w:rPr>
                                      <w:rFonts w:ascii="Cambria Math" w:hAnsi="Cambria Math"/>
                                      <w:i/>
                                    </w:rPr>
                                  </m:ctrlPr>
                                </m:dPr>
                                <m:e>
                                  <m:r>
                                    <w:rPr>
                                      <w:rFonts w:ascii="Cambria Math" w:hAnsi="Cambria Math"/>
                                    </w:rPr>
                                    <m:t>i,j</m:t>
                                  </m:r>
                                </m:e>
                              </m:d>
                            </m:e>
                          </m:nary>
                        </m:e>
                      </m:d>
                    </m:e>
                    <m:sup>
                      <m:r>
                        <w:rPr>
                          <w:rFonts w:ascii="Cambria Math" w:hAnsi="Cambria Math"/>
                        </w:rPr>
                        <m:t>2</m:t>
                      </m:r>
                    </m:sup>
                  </m:sSup>
                </m:e>
              </m:nary>
              <m:r>
                <w:rPr>
                  <w:rFonts w:ascii="Cambria Math" w:hAnsi="Cambria Math"/>
                </w:rPr>
                <m:t>=</m:t>
              </m:r>
              <m:f>
                <m:fPr>
                  <m:ctrlPr>
                    <w:rPr>
                      <w:rFonts w:ascii="Cambria Math" w:hAnsi="Cambria Math"/>
                      <w:i/>
                    </w:rPr>
                  </m:ctrlPr>
                </m:fPr>
                <m:num>
                  <m:r>
                    <w:rPr>
                      <w:rFonts w:ascii="Cambria Math" w:hAnsi="Cambria Math"/>
                    </w:rPr>
                    <m:t>1</m:t>
                  </m:r>
                </m:num>
                <m:den>
                  <m:sSub>
                    <m:sSubPr>
                      <m:ctrlPr>
                        <w:rPr>
                          <w:rFonts w:ascii="Cambria Math" w:hAnsi="Cambria Math"/>
                          <w:i/>
                        </w:rPr>
                      </m:ctrlPr>
                    </m:sSubPr>
                    <m:e>
                      <m:r>
                        <w:rPr>
                          <w:rFonts w:ascii="Cambria Math" w:hAnsi="Cambria Math"/>
                        </w:rPr>
                        <m:t>n</m:t>
                      </m:r>
                    </m:e>
                    <m:sub>
                      <m:r>
                        <w:rPr>
                          <w:rFonts w:ascii="Cambria Math" w:hAnsi="Cambria Math"/>
                        </w:rPr>
                        <m:t>r</m:t>
                      </m:r>
                    </m:sub>
                  </m:sSub>
                </m:den>
              </m:f>
              <m:nary>
                <m:naryPr>
                  <m:chr m:val="∑"/>
                  <m:limLoc m:val="undOvr"/>
                  <m:ctrlPr>
                    <w:rPr>
                      <w:rFonts w:ascii="Cambria Math" w:hAnsi="Cambria Math"/>
                      <w:i/>
                    </w:rPr>
                  </m:ctrlPr>
                </m:naryPr>
                <m:sub>
                  <m:r>
                    <w:rPr>
                      <w:rFonts w:ascii="Cambria Math" w:hAnsi="Cambria Math"/>
                    </w:rPr>
                    <m:t>j=1</m:t>
                  </m:r>
                </m:sub>
                <m:sup>
                  <m:r>
                    <w:rPr>
                      <w:rFonts w:ascii="Cambria Math" w:hAnsi="Cambria Math"/>
                    </w:rPr>
                    <m:t>N</m:t>
                  </m:r>
                </m:sup>
                <m:e>
                  <m:sSub>
                    <m:sSubPr>
                      <m:ctrlPr>
                        <w:rPr>
                          <w:rFonts w:ascii="Cambria Math" w:hAnsi="Cambria Math"/>
                          <w:i/>
                        </w:rPr>
                      </m:ctrlPr>
                    </m:sSubPr>
                    <m:e>
                      <m:r>
                        <w:rPr>
                          <w:rFonts w:ascii="Cambria Math" w:hAnsi="Cambria Math"/>
                        </w:rPr>
                        <m:t>p</m:t>
                      </m:r>
                    </m:e>
                    <m:sub>
                      <m:r>
                        <w:rPr>
                          <w:rFonts w:ascii="Cambria Math" w:hAnsi="Cambria Math"/>
                        </w:rPr>
                        <m:t>r</m:t>
                      </m:r>
                    </m:sub>
                  </m:sSub>
                  <m:sSup>
                    <m:sSupPr>
                      <m:ctrlPr>
                        <w:rPr>
                          <w:rFonts w:ascii="Cambria Math" w:hAnsi="Cambria Math"/>
                          <w:i/>
                        </w:rPr>
                      </m:ctrlPr>
                    </m:sSupPr>
                    <m:e>
                      <m:d>
                        <m:dPr>
                          <m:ctrlPr>
                            <w:rPr>
                              <w:rFonts w:ascii="Cambria Math" w:hAnsi="Cambria Math"/>
                              <w:i/>
                            </w:rPr>
                          </m:ctrlPr>
                        </m:dPr>
                        <m:e>
                          <m:r>
                            <w:rPr>
                              <w:rFonts w:ascii="Cambria Math" w:hAnsi="Cambria Math"/>
                            </w:rPr>
                            <m:t>i</m:t>
                          </m:r>
                        </m:e>
                      </m:d>
                    </m:e>
                    <m:sup>
                      <m:r>
                        <w:rPr>
                          <w:rFonts w:ascii="Cambria Math" w:hAnsi="Cambria Math"/>
                        </w:rPr>
                        <m:t>2</m:t>
                      </m:r>
                    </m:sup>
                  </m:sSup>
                </m:e>
              </m:nary>
            </m:oMath>
            <w:r w:rsidR="000B615F">
              <w:rPr>
                <w:rFonts w:cstheme="minorHAnsi"/>
              </w:rPr>
              <w:t xml:space="preserve"> </w:t>
            </w:r>
          </w:p>
        </w:tc>
        <w:tc>
          <w:tcPr>
            <w:tcW w:w="621" w:type="dxa"/>
            <w:vAlign w:val="center"/>
          </w:tcPr>
          <w:p w:rsidR="0023030E" w:rsidRDefault="0023030E" w:rsidP="003F1006">
            <w:pPr>
              <w:jc w:val="center"/>
              <w:rPr>
                <w:rFonts w:cstheme="minorHAnsi"/>
              </w:rPr>
            </w:pPr>
            <w:r>
              <w:rPr>
                <w:rFonts w:cstheme="minorHAnsi"/>
              </w:rPr>
              <w:t>(</w:t>
            </w:r>
            <w:fldSimple w:instr=" SEQ Eq \* MERGEFORMAT ">
              <w:r w:rsidR="00D719F4" w:rsidRPr="00D719F4">
                <w:rPr>
                  <w:rFonts w:cstheme="minorHAnsi"/>
                  <w:noProof/>
                </w:rPr>
                <w:t>31</w:t>
              </w:r>
            </w:fldSimple>
            <w:r>
              <w:rPr>
                <w:rFonts w:cstheme="minorHAnsi"/>
              </w:rPr>
              <w:t>)</w:t>
            </w:r>
          </w:p>
        </w:tc>
      </w:tr>
    </w:tbl>
    <w:p w:rsidR="004A3ED7" w:rsidRDefault="004A3ED7" w:rsidP="001F563C">
      <w:pPr>
        <w:pStyle w:val="ListParagraph"/>
        <w:numPr>
          <w:ilvl w:val="0"/>
          <w:numId w:val="11"/>
        </w:numPr>
        <w:spacing w:line="360" w:lineRule="auto"/>
        <w:jc w:val="both"/>
        <w:rPr>
          <w:b/>
        </w:rPr>
      </w:pPr>
      <w:r w:rsidRPr="00563DC7">
        <w:rPr>
          <w:b/>
        </w:rPr>
        <w:t>Run Percentage (RP)</w:t>
      </w:r>
    </w:p>
    <w:tbl>
      <w:tblPr>
        <w:tblStyle w:val="TableGrid"/>
        <w:tblW w:w="864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28"/>
        <w:gridCol w:w="7200"/>
        <w:gridCol w:w="621"/>
      </w:tblGrid>
      <w:tr w:rsidR="0023030E" w:rsidTr="003F1006">
        <w:trPr>
          <w:trHeight w:val="395"/>
        </w:trPr>
        <w:tc>
          <w:tcPr>
            <w:tcW w:w="828" w:type="dxa"/>
            <w:vAlign w:val="center"/>
          </w:tcPr>
          <w:p w:rsidR="0023030E" w:rsidRDefault="0023030E" w:rsidP="00727C16">
            <w:pPr>
              <w:jc w:val="center"/>
              <w:rPr>
                <w:rFonts w:cstheme="minorHAnsi"/>
              </w:rPr>
            </w:pPr>
          </w:p>
        </w:tc>
        <w:tc>
          <w:tcPr>
            <w:tcW w:w="7200" w:type="dxa"/>
            <w:vAlign w:val="center"/>
          </w:tcPr>
          <w:p w:rsidR="0023030E" w:rsidRPr="0023030E" w:rsidRDefault="0023030E" w:rsidP="0023030E">
            <w:pPr>
              <w:pStyle w:val="ListParagraph"/>
              <w:spacing w:line="360" w:lineRule="auto"/>
              <w:ind w:left="1080" w:hanging="360"/>
              <w:jc w:val="center"/>
            </w:pPr>
            <m:oMath>
              <m:r>
                <w:rPr>
                  <w:rFonts w:ascii="Cambria Math" w:hAnsi="Cambria Math"/>
                </w:rPr>
                <m:t xml:space="preserve">RP= </m:t>
              </m:r>
              <m:f>
                <m:fPr>
                  <m:ctrlPr>
                    <w:rPr>
                      <w:rFonts w:ascii="Cambria Math" w:hAnsi="Cambria Math"/>
                      <w:i/>
                    </w:rPr>
                  </m:ctrlPr>
                </m:fPr>
                <m:num>
                  <m:sSub>
                    <m:sSubPr>
                      <m:ctrlPr>
                        <w:rPr>
                          <w:rFonts w:ascii="Cambria Math" w:hAnsi="Cambria Math"/>
                          <w:i/>
                        </w:rPr>
                      </m:ctrlPr>
                    </m:sSubPr>
                    <m:e>
                      <m:r>
                        <w:rPr>
                          <w:rFonts w:ascii="Cambria Math" w:hAnsi="Cambria Math"/>
                        </w:rPr>
                        <m:t>n</m:t>
                      </m:r>
                    </m:e>
                    <m:sub>
                      <m:r>
                        <w:rPr>
                          <w:rFonts w:ascii="Cambria Math" w:hAnsi="Cambria Math"/>
                        </w:rPr>
                        <m:t>r</m:t>
                      </m:r>
                    </m:sub>
                  </m:sSub>
                </m:num>
                <m:den>
                  <m:sSub>
                    <m:sSubPr>
                      <m:ctrlPr>
                        <w:rPr>
                          <w:rFonts w:ascii="Cambria Math" w:hAnsi="Cambria Math"/>
                          <w:i/>
                        </w:rPr>
                      </m:ctrlPr>
                    </m:sSubPr>
                    <m:e>
                      <m:r>
                        <w:rPr>
                          <w:rFonts w:ascii="Cambria Math" w:hAnsi="Cambria Math"/>
                        </w:rPr>
                        <m:t>n</m:t>
                      </m:r>
                    </m:e>
                    <m:sub>
                      <m:r>
                        <w:rPr>
                          <w:rFonts w:ascii="Cambria Math" w:hAnsi="Cambria Math"/>
                        </w:rPr>
                        <m:t>p</m:t>
                      </m:r>
                    </m:sub>
                  </m:sSub>
                </m:den>
              </m:f>
            </m:oMath>
            <w:r>
              <w:t xml:space="preserve"> </w:t>
            </w:r>
          </w:p>
        </w:tc>
        <w:tc>
          <w:tcPr>
            <w:tcW w:w="621" w:type="dxa"/>
            <w:vAlign w:val="center"/>
          </w:tcPr>
          <w:p w:rsidR="0023030E" w:rsidRDefault="0023030E" w:rsidP="003F1006">
            <w:pPr>
              <w:jc w:val="center"/>
              <w:rPr>
                <w:rFonts w:cstheme="minorHAnsi"/>
              </w:rPr>
            </w:pPr>
            <w:r>
              <w:rPr>
                <w:rFonts w:cstheme="minorHAnsi"/>
              </w:rPr>
              <w:t>(</w:t>
            </w:r>
            <w:fldSimple w:instr=" SEQ Eq \* MERGEFORMAT ">
              <w:r w:rsidR="00D719F4" w:rsidRPr="00D719F4">
                <w:rPr>
                  <w:rFonts w:cstheme="minorHAnsi"/>
                  <w:noProof/>
                </w:rPr>
                <w:t>32</w:t>
              </w:r>
            </w:fldSimple>
            <w:r>
              <w:rPr>
                <w:rFonts w:cstheme="minorHAnsi"/>
              </w:rPr>
              <w:t>)</w:t>
            </w:r>
          </w:p>
        </w:tc>
      </w:tr>
    </w:tbl>
    <w:p w:rsidR="009704BC" w:rsidRPr="000F5DF4" w:rsidRDefault="009704BC" w:rsidP="001F563C">
      <w:pPr>
        <w:pStyle w:val="ListParagraph"/>
        <w:numPr>
          <w:ilvl w:val="0"/>
          <w:numId w:val="11"/>
        </w:numPr>
        <w:spacing w:line="360" w:lineRule="auto"/>
        <w:jc w:val="both"/>
        <w:rPr>
          <w:b/>
        </w:rPr>
      </w:pPr>
      <w:r w:rsidRPr="000F5DF4">
        <w:rPr>
          <w:b/>
        </w:rPr>
        <w:t>Low Gray-Level Run Emphasis (LGRE)</w:t>
      </w:r>
    </w:p>
    <w:tbl>
      <w:tblPr>
        <w:tblStyle w:val="TableGrid"/>
        <w:tblW w:w="864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28"/>
        <w:gridCol w:w="7200"/>
        <w:gridCol w:w="621"/>
      </w:tblGrid>
      <w:tr w:rsidR="00357DFA" w:rsidTr="003F1006">
        <w:trPr>
          <w:trHeight w:val="395"/>
        </w:trPr>
        <w:tc>
          <w:tcPr>
            <w:tcW w:w="828" w:type="dxa"/>
            <w:vAlign w:val="center"/>
          </w:tcPr>
          <w:p w:rsidR="00357DFA" w:rsidRDefault="00357DFA" w:rsidP="00727C16">
            <w:pPr>
              <w:jc w:val="center"/>
              <w:rPr>
                <w:rFonts w:cstheme="minorHAnsi"/>
              </w:rPr>
            </w:pPr>
          </w:p>
        </w:tc>
        <w:tc>
          <w:tcPr>
            <w:tcW w:w="7200" w:type="dxa"/>
            <w:vAlign w:val="center"/>
          </w:tcPr>
          <w:p w:rsidR="00357DFA" w:rsidRDefault="00357DFA" w:rsidP="00727C16">
            <w:pPr>
              <w:jc w:val="center"/>
              <w:rPr>
                <w:rFonts w:cstheme="minorHAnsi"/>
              </w:rPr>
            </w:pPr>
            <m:oMath>
              <m:r>
                <w:rPr>
                  <w:rFonts w:ascii="Cambria Math" w:hAnsi="Cambria Math"/>
                </w:rPr>
                <m:t xml:space="preserve">LGRE= </m:t>
              </m:r>
              <m:f>
                <m:fPr>
                  <m:ctrlPr>
                    <w:rPr>
                      <w:rFonts w:ascii="Cambria Math" w:hAnsi="Cambria Math"/>
                      <w:i/>
                    </w:rPr>
                  </m:ctrlPr>
                </m:fPr>
                <m:num>
                  <m:r>
                    <w:rPr>
                      <w:rFonts w:ascii="Cambria Math" w:hAnsi="Cambria Math"/>
                    </w:rPr>
                    <m:t>1</m:t>
                  </m:r>
                </m:num>
                <m:den>
                  <m:sSub>
                    <m:sSubPr>
                      <m:ctrlPr>
                        <w:rPr>
                          <w:rFonts w:ascii="Cambria Math" w:hAnsi="Cambria Math"/>
                          <w:i/>
                        </w:rPr>
                      </m:ctrlPr>
                    </m:sSubPr>
                    <m:e>
                      <m:r>
                        <w:rPr>
                          <w:rFonts w:ascii="Cambria Math" w:hAnsi="Cambria Math"/>
                        </w:rPr>
                        <m:t>n</m:t>
                      </m:r>
                    </m:e>
                    <m:sub>
                      <m:r>
                        <w:rPr>
                          <w:rFonts w:ascii="Cambria Math" w:hAnsi="Cambria Math"/>
                        </w:rPr>
                        <m:t>r</m:t>
                      </m:r>
                    </m:sub>
                  </m:sSub>
                </m:den>
              </m:f>
              <m:nary>
                <m:naryPr>
                  <m:chr m:val="∑"/>
                  <m:limLoc m:val="undOvr"/>
                  <m:ctrlPr>
                    <w:rPr>
                      <w:rFonts w:ascii="Cambria Math" w:hAnsi="Cambria Math"/>
                      <w:i/>
                    </w:rPr>
                  </m:ctrlPr>
                </m:naryPr>
                <m:sub>
                  <m:r>
                    <w:rPr>
                      <w:rFonts w:ascii="Cambria Math" w:hAnsi="Cambria Math"/>
                    </w:rPr>
                    <m:t>i=1</m:t>
                  </m:r>
                </m:sub>
                <m:sup>
                  <m:r>
                    <w:rPr>
                      <w:rFonts w:ascii="Cambria Math" w:hAnsi="Cambria Math"/>
                    </w:rPr>
                    <m:t>M</m:t>
                  </m:r>
                </m:sup>
                <m:e>
                  <m:nary>
                    <m:naryPr>
                      <m:chr m:val="∑"/>
                      <m:limLoc m:val="undOvr"/>
                      <m:ctrlPr>
                        <w:rPr>
                          <w:rFonts w:ascii="Cambria Math" w:hAnsi="Cambria Math"/>
                          <w:i/>
                        </w:rPr>
                      </m:ctrlPr>
                    </m:naryPr>
                    <m:sub>
                      <m:r>
                        <w:rPr>
                          <w:rFonts w:ascii="Cambria Math" w:hAnsi="Cambria Math"/>
                        </w:rPr>
                        <m:t>j=1</m:t>
                      </m:r>
                    </m:sub>
                    <m:sup>
                      <m:r>
                        <w:rPr>
                          <w:rFonts w:ascii="Cambria Math" w:hAnsi="Cambria Math"/>
                        </w:rPr>
                        <m:t>N</m:t>
                      </m:r>
                    </m:sup>
                    <m:e>
                      <m:f>
                        <m:fPr>
                          <m:ctrlPr>
                            <w:rPr>
                              <w:rFonts w:ascii="Cambria Math" w:hAnsi="Cambria Math"/>
                              <w:i/>
                            </w:rPr>
                          </m:ctrlPr>
                        </m:fPr>
                        <m:num>
                          <m:r>
                            <w:rPr>
                              <w:rFonts w:ascii="Cambria Math" w:hAnsi="Cambria Math"/>
                            </w:rPr>
                            <m:t>p(i,j)</m:t>
                          </m:r>
                        </m:num>
                        <m:den>
                          <m:sSup>
                            <m:sSupPr>
                              <m:ctrlPr>
                                <w:rPr>
                                  <w:rFonts w:ascii="Cambria Math" w:hAnsi="Cambria Math"/>
                                  <w:i/>
                                </w:rPr>
                              </m:ctrlPr>
                            </m:sSupPr>
                            <m:e>
                              <m:r>
                                <w:rPr>
                                  <w:rFonts w:ascii="Cambria Math" w:hAnsi="Cambria Math"/>
                                </w:rPr>
                                <m:t>i</m:t>
                              </m:r>
                            </m:e>
                            <m:sup>
                              <m:r>
                                <w:rPr>
                                  <w:rFonts w:ascii="Cambria Math" w:hAnsi="Cambria Math"/>
                                </w:rPr>
                                <m:t>2</m:t>
                              </m:r>
                            </m:sup>
                          </m:sSup>
                        </m:den>
                      </m:f>
                      <m:r>
                        <w:rPr>
                          <w:rFonts w:ascii="Cambria Math" w:hAnsi="Cambria Math"/>
                        </w:rPr>
                        <m:t xml:space="preserve">= </m:t>
                      </m:r>
                    </m:e>
                  </m:nary>
                </m:e>
              </m:nary>
              <m:f>
                <m:fPr>
                  <m:ctrlPr>
                    <w:rPr>
                      <w:rFonts w:ascii="Cambria Math" w:hAnsi="Cambria Math"/>
                      <w:i/>
                    </w:rPr>
                  </m:ctrlPr>
                </m:fPr>
                <m:num>
                  <m:r>
                    <w:rPr>
                      <w:rFonts w:ascii="Cambria Math" w:hAnsi="Cambria Math"/>
                    </w:rPr>
                    <m:t>1</m:t>
                  </m:r>
                </m:num>
                <m:den>
                  <m:sSub>
                    <m:sSubPr>
                      <m:ctrlPr>
                        <w:rPr>
                          <w:rFonts w:ascii="Cambria Math" w:hAnsi="Cambria Math"/>
                          <w:i/>
                        </w:rPr>
                      </m:ctrlPr>
                    </m:sSubPr>
                    <m:e>
                      <m:r>
                        <w:rPr>
                          <w:rFonts w:ascii="Cambria Math" w:hAnsi="Cambria Math"/>
                        </w:rPr>
                        <m:t>n</m:t>
                      </m:r>
                    </m:e>
                    <m:sub>
                      <m:r>
                        <w:rPr>
                          <w:rFonts w:ascii="Cambria Math" w:hAnsi="Cambria Math"/>
                        </w:rPr>
                        <m:t>r</m:t>
                      </m:r>
                    </m:sub>
                  </m:sSub>
                </m:den>
              </m:f>
              <m:nary>
                <m:naryPr>
                  <m:chr m:val="∑"/>
                  <m:limLoc m:val="undOvr"/>
                  <m:ctrlPr>
                    <w:rPr>
                      <w:rFonts w:ascii="Cambria Math" w:hAnsi="Cambria Math"/>
                      <w:i/>
                    </w:rPr>
                  </m:ctrlPr>
                </m:naryPr>
                <m:sub>
                  <m:r>
                    <w:rPr>
                      <w:rFonts w:ascii="Cambria Math" w:hAnsi="Cambria Math"/>
                    </w:rPr>
                    <m:t>i=1</m:t>
                  </m:r>
                </m:sub>
                <m:sup>
                  <m:r>
                    <w:rPr>
                      <w:rFonts w:ascii="Cambria Math" w:hAnsi="Cambria Math"/>
                    </w:rPr>
                    <m:t>M</m:t>
                  </m:r>
                </m:sup>
                <m:e>
                  <m:f>
                    <m:fPr>
                      <m:ctrlPr>
                        <w:rPr>
                          <w:rFonts w:ascii="Cambria Math" w:hAnsi="Cambria Math"/>
                          <w:i/>
                        </w:rPr>
                      </m:ctrlPr>
                    </m:fPr>
                    <m:num>
                      <m:sSub>
                        <m:sSubPr>
                          <m:ctrlPr>
                            <w:rPr>
                              <w:rFonts w:ascii="Cambria Math" w:hAnsi="Cambria Math"/>
                              <w:i/>
                            </w:rPr>
                          </m:ctrlPr>
                        </m:sSubPr>
                        <m:e>
                          <m:r>
                            <w:rPr>
                              <w:rFonts w:ascii="Cambria Math" w:hAnsi="Cambria Math"/>
                            </w:rPr>
                            <m:t>p</m:t>
                          </m:r>
                        </m:e>
                        <m:sub>
                          <m:r>
                            <w:rPr>
                              <w:rFonts w:ascii="Cambria Math" w:hAnsi="Cambria Math"/>
                            </w:rPr>
                            <m:t>g</m:t>
                          </m:r>
                        </m:sub>
                      </m:sSub>
                      <m:r>
                        <w:rPr>
                          <w:rFonts w:ascii="Cambria Math" w:hAnsi="Cambria Math"/>
                        </w:rPr>
                        <m:t>(i)</m:t>
                      </m:r>
                    </m:num>
                    <m:den>
                      <m:sSup>
                        <m:sSupPr>
                          <m:ctrlPr>
                            <w:rPr>
                              <w:rFonts w:ascii="Cambria Math" w:hAnsi="Cambria Math"/>
                              <w:i/>
                            </w:rPr>
                          </m:ctrlPr>
                        </m:sSupPr>
                        <m:e>
                          <m:r>
                            <w:rPr>
                              <w:rFonts w:ascii="Cambria Math" w:hAnsi="Cambria Math"/>
                            </w:rPr>
                            <m:t>i</m:t>
                          </m:r>
                        </m:e>
                        <m:sup>
                          <m:r>
                            <w:rPr>
                              <w:rFonts w:ascii="Cambria Math" w:hAnsi="Cambria Math"/>
                            </w:rPr>
                            <m:t>2</m:t>
                          </m:r>
                        </m:sup>
                      </m:sSup>
                    </m:den>
                  </m:f>
                </m:e>
              </m:nary>
            </m:oMath>
            <w:r>
              <w:rPr>
                <w:rFonts w:cstheme="minorHAnsi"/>
              </w:rPr>
              <w:t xml:space="preserve"> </w:t>
            </w:r>
          </w:p>
        </w:tc>
        <w:tc>
          <w:tcPr>
            <w:tcW w:w="621" w:type="dxa"/>
            <w:vAlign w:val="center"/>
          </w:tcPr>
          <w:p w:rsidR="00357DFA" w:rsidRDefault="00357DFA" w:rsidP="003F1006">
            <w:pPr>
              <w:jc w:val="center"/>
              <w:rPr>
                <w:rFonts w:cstheme="minorHAnsi"/>
              </w:rPr>
            </w:pPr>
            <w:r>
              <w:rPr>
                <w:rFonts w:cstheme="minorHAnsi"/>
              </w:rPr>
              <w:t>(</w:t>
            </w:r>
            <w:fldSimple w:instr=" SEQ Eq \* MERGEFORMAT ">
              <w:r w:rsidR="00D719F4" w:rsidRPr="00D719F4">
                <w:rPr>
                  <w:rFonts w:cstheme="minorHAnsi"/>
                  <w:noProof/>
                </w:rPr>
                <w:t>33</w:t>
              </w:r>
            </w:fldSimple>
            <w:r>
              <w:rPr>
                <w:rFonts w:cstheme="minorHAnsi"/>
              </w:rPr>
              <w:t>)</w:t>
            </w:r>
          </w:p>
        </w:tc>
      </w:tr>
    </w:tbl>
    <w:p w:rsidR="009704BC" w:rsidRPr="00D75982" w:rsidRDefault="009704BC" w:rsidP="00D75982">
      <w:pPr>
        <w:pStyle w:val="ListParagraph"/>
        <w:numPr>
          <w:ilvl w:val="0"/>
          <w:numId w:val="11"/>
        </w:numPr>
        <w:spacing w:line="360" w:lineRule="auto"/>
        <w:jc w:val="both"/>
        <w:rPr>
          <w:b/>
        </w:rPr>
      </w:pPr>
      <w:r w:rsidRPr="00D75982">
        <w:rPr>
          <w:b/>
        </w:rPr>
        <w:t>High Gray-Level Run Emphasis (HGRE)</w:t>
      </w:r>
    </w:p>
    <w:tbl>
      <w:tblPr>
        <w:tblStyle w:val="TableGrid"/>
        <w:tblW w:w="864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28"/>
        <w:gridCol w:w="7200"/>
        <w:gridCol w:w="621"/>
      </w:tblGrid>
      <w:tr w:rsidR="00357DFA" w:rsidTr="003F1006">
        <w:trPr>
          <w:trHeight w:val="395"/>
        </w:trPr>
        <w:tc>
          <w:tcPr>
            <w:tcW w:w="828" w:type="dxa"/>
            <w:vAlign w:val="center"/>
          </w:tcPr>
          <w:p w:rsidR="00357DFA" w:rsidRDefault="00357DFA" w:rsidP="00727C16">
            <w:pPr>
              <w:jc w:val="center"/>
              <w:rPr>
                <w:rFonts w:cstheme="minorHAnsi"/>
              </w:rPr>
            </w:pPr>
          </w:p>
        </w:tc>
        <w:tc>
          <w:tcPr>
            <w:tcW w:w="7200" w:type="dxa"/>
            <w:vAlign w:val="center"/>
          </w:tcPr>
          <w:p w:rsidR="00357DFA" w:rsidRDefault="00357DFA" w:rsidP="00727C16">
            <w:pPr>
              <w:jc w:val="center"/>
              <w:rPr>
                <w:rFonts w:cstheme="minorHAnsi"/>
              </w:rPr>
            </w:pPr>
            <m:oMath>
              <m:r>
                <w:rPr>
                  <w:rFonts w:ascii="Cambria Math" w:hAnsi="Cambria Math"/>
                </w:rPr>
                <m:t xml:space="preserve">HGRE= </m:t>
              </m:r>
              <m:f>
                <m:fPr>
                  <m:ctrlPr>
                    <w:rPr>
                      <w:rFonts w:ascii="Cambria Math" w:hAnsi="Cambria Math"/>
                      <w:i/>
                    </w:rPr>
                  </m:ctrlPr>
                </m:fPr>
                <m:num>
                  <m:r>
                    <w:rPr>
                      <w:rFonts w:ascii="Cambria Math" w:hAnsi="Cambria Math"/>
                    </w:rPr>
                    <m:t>1</m:t>
                  </m:r>
                </m:num>
                <m:den>
                  <m:sSub>
                    <m:sSubPr>
                      <m:ctrlPr>
                        <w:rPr>
                          <w:rFonts w:ascii="Cambria Math" w:hAnsi="Cambria Math"/>
                          <w:i/>
                        </w:rPr>
                      </m:ctrlPr>
                    </m:sSubPr>
                    <m:e>
                      <m:r>
                        <w:rPr>
                          <w:rFonts w:ascii="Cambria Math" w:hAnsi="Cambria Math"/>
                        </w:rPr>
                        <m:t>n</m:t>
                      </m:r>
                    </m:e>
                    <m:sub>
                      <m:r>
                        <w:rPr>
                          <w:rFonts w:ascii="Cambria Math" w:hAnsi="Cambria Math"/>
                        </w:rPr>
                        <m:t>r</m:t>
                      </m:r>
                    </m:sub>
                  </m:sSub>
                </m:den>
              </m:f>
              <m:nary>
                <m:naryPr>
                  <m:chr m:val="∑"/>
                  <m:limLoc m:val="undOvr"/>
                  <m:ctrlPr>
                    <w:rPr>
                      <w:rFonts w:ascii="Cambria Math" w:hAnsi="Cambria Math"/>
                      <w:i/>
                    </w:rPr>
                  </m:ctrlPr>
                </m:naryPr>
                <m:sub>
                  <m:r>
                    <w:rPr>
                      <w:rFonts w:ascii="Cambria Math" w:hAnsi="Cambria Math"/>
                    </w:rPr>
                    <m:t>i=1</m:t>
                  </m:r>
                </m:sub>
                <m:sup>
                  <m:r>
                    <w:rPr>
                      <w:rFonts w:ascii="Cambria Math" w:hAnsi="Cambria Math"/>
                    </w:rPr>
                    <m:t>M</m:t>
                  </m:r>
                </m:sup>
                <m:e>
                  <m:nary>
                    <m:naryPr>
                      <m:chr m:val="∑"/>
                      <m:limLoc m:val="undOvr"/>
                      <m:ctrlPr>
                        <w:rPr>
                          <w:rFonts w:ascii="Cambria Math" w:hAnsi="Cambria Math"/>
                          <w:i/>
                        </w:rPr>
                      </m:ctrlPr>
                    </m:naryPr>
                    <m:sub>
                      <m:r>
                        <w:rPr>
                          <w:rFonts w:ascii="Cambria Math" w:hAnsi="Cambria Math"/>
                        </w:rPr>
                        <m:t>j=1</m:t>
                      </m:r>
                    </m:sub>
                    <m:sup>
                      <m:r>
                        <w:rPr>
                          <w:rFonts w:ascii="Cambria Math" w:hAnsi="Cambria Math"/>
                        </w:rPr>
                        <m:t>N</m:t>
                      </m:r>
                    </m:sup>
                    <m:e>
                      <m:r>
                        <w:rPr>
                          <w:rFonts w:ascii="Cambria Math" w:hAnsi="Cambria Math"/>
                        </w:rPr>
                        <m:t>p</m:t>
                      </m:r>
                      <m:d>
                        <m:dPr>
                          <m:ctrlPr>
                            <w:rPr>
                              <w:rFonts w:ascii="Cambria Math" w:hAnsi="Cambria Math"/>
                              <w:i/>
                            </w:rPr>
                          </m:ctrlPr>
                        </m:dPr>
                        <m:e>
                          <m:r>
                            <w:rPr>
                              <w:rFonts w:ascii="Cambria Math" w:hAnsi="Cambria Math"/>
                            </w:rPr>
                            <m:t>i,j</m:t>
                          </m:r>
                        </m:e>
                      </m:d>
                      <m:r>
                        <w:rPr>
                          <w:rFonts w:ascii="Cambria Math" w:hAnsi="Cambria Math"/>
                        </w:rPr>
                        <m:t>.</m:t>
                      </m:r>
                      <m:sSup>
                        <m:sSupPr>
                          <m:ctrlPr>
                            <w:rPr>
                              <w:rFonts w:ascii="Cambria Math" w:hAnsi="Cambria Math"/>
                              <w:i/>
                            </w:rPr>
                          </m:ctrlPr>
                        </m:sSupPr>
                        <m:e>
                          <m:r>
                            <w:rPr>
                              <w:rFonts w:ascii="Cambria Math" w:hAnsi="Cambria Math"/>
                            </w:rPr>
                            <m:t>i</m:t>
                          </m:r>
                        </m:e>
                        <m:sup>
                          <m:r>
                            <w:rPr>
                              <w:rFonts w:ascii="Cambria Math" w:hAnsi="Cambria Math"/>
                            </w:rPr>
                            <m:t>2</m:t>
                          </m:r>
                        </m:sup>
                      </m:sSup>
                    </m:e>
                  </m:nary>
                </m:e>
              </m:nary>
              <m:r>
                <w:rPr>
                  <w:rFonts w:ascii="Cambria Math" w:hAnsi="Cambria Math"/>
                </w:rPr>
                <m:t>=</m:t>
              </m:r>
              <m:f>
                <m:fPr>
                  <m:ctrlPr>
                    <w:rPr>
                      <w:rFonts w:ascii="Cambria Math" w:hAnsi="Cambria Math"/>
                      <w:i/>
                    </w:rPr>
                  </m:ctrlPr>
                </m:fPr>
                <m:num>
                  <m:r>
                    <w:rPr>
                      <w:rFonts w:ascii="Cambria Math" w:hAnsi="Cambria Math"/>
                    </w:rPr>
                    <m:t>1</m:t>
                  </m:r>
                </m:num>
                <m:den>
                  <m:sSub>
                    <m:sSubPr>
                      <m:ctrlPr>
                        <w:rPr>
                          <w:rFonts w:ascii="Cambria Math" w:hAnsi="Cambria Math"/>
                          <w:i/>
                        </w:rPr>
                      </m:ctrlPr>
                    </m:sSubPr>
                    <m:e>
                      <m:r>
                        <w:rPr>
                          <w:rFonts w:ascii="Cambria Math" w:hAnsi="Cambria Math"/>
                        </w:rPr>
                        <m:t>n</m:t>
                      </m:r>
                    </m:e>
                    <m:sub>
                      <m:r>
                        <w:rPr>
                          <w:rFonts w:ascii="Cambria Math" w:hAnsi="Cambria Math"/>
                        </w:rPr>
                        <m:t>r</m:t>
                      </m:r>
                    </m:sub>
                  </m:sSub>
                </m:den>
              </m:f>
              <m:nary>
                <m:naryPr>
                  <m:chr m:val="∑"/>
                  <m:limLoc m:val="undOvr"/>
                  <m:ctrlPr>
                    <w:rPr>
                      <w:rFonts w:ascii="Cambria Math" w:hAnsi="Cambria Math"/>
                      <w:i/>
                    </w:rPr>
                  </m:ctrlPr>
                </m:naryPr>
                <m:sub>
                  <m:r>
                    <w:rPr>
                      <w:rFonts w:ascii="Cambria Math" w:hAnsi="Cambria Math"/>
                    </w:rPr>
                    <m:t>i=1</m:t>
                  </m:r>
                </m:sub>
                <m:sup>
                  <m:r>
                    <w:rPr>
                      <w:rFonts w:ascii="Cambria Math" w:hAnsi="Cambria Math"/>
                    </w:rPr>
                    <m:t>M</m:t>
                  </m:r>
                </m:sup>
                <m:e>
                  <m:sSub>
                    <m:sSubPr>
                      <m:ctrlPr>
                        <w:rPr>
                          <w:rFonts w:ascii="Cambria Math" w:hAnsi="Cambria Math"/>
                          <w:i/>
                        </w:rPr>
                      </m:ctrlPr>
                    </m:sSubPr>
                    <m:e>
                      <m:r>
                        <w:rPr>
                          <w:rFonts w:ascii="Cambria Math" w:hAnsi="Cambria Math"/>
                        </w:rPr>
                        <m:t>p</m:t>
                      </m:r>
                    </m:e>
                    <m:sub>
                      <m:r>
                        <w:rPr>
                          <w:rFonts w:ascii="Cambria Math" w:hAnsi="Cambria Math"/>
                        </w:rPr>
                        <m:t>g</m:t>
                      </m:r>
                    </m:sub>
                  </m:sSub>
                  <m:d>
                    <m:dPr>
                      <m:ctrlPr>
                        <w:rPr>
                          <w:rFonts w:ascii="Cambria Math" w:hAnsi="Cambria Math"/>
                          <w:i/>
                        </w:rPr>
                      </m:ctrlPr>
                    </m:dPr>
                    <m:e>
                      <m:r>
                        <w:rPr>
                          <w:rFonts w:ascii="Cambria Math" w:hAnsi="Cambria Math"/>
                        </w:rPr>
                        <m:t>i</m:t>
                      </m:r>
                    </m:e>
                  </m:d>
                  <m:r>
                    <w:rPr>
                      <w:rFonts w:ascii="Cambria Math" w:hAnsi="Cambria Math"/>
                    </w:rPr>
                    <m:t>.</m:t>
                  </m:r>
                  <m:sSup>
                    <m:sSupPr>
                      <m:ctrlPr>
                        <w:rPr>
                          <w:rFonts w:ascii="Cambria Math" w:hAnsi="Cambria Math"/>
                          <w:i/>
                        </w:rPr>
                      </m:ctrlPr>
                    </m:sSupPr>
                    <m:e>
                      <m:r>
                        <w:rPr>
                          <w:rFonts w:ascii="Cambria Math" w:hAnsi="Cambria Math"/>
                        </w:rPr>
                        <m:t>i</m:t>
                      </m:r>
                    </m:e>
                    <m:sup>
                      <m:r>
                        <w:rPr>
                          <w:rFonts w:ascii="Cambria Math" w:hAnsi="Cambria Math"/>
                        </w:rPr>
                        <m:t>2</m:t>
                      </m:r>
                    </m:sup>
                  </m:sSup>
                </m:e>
              </m:nary>
            </m:oMath>
            <w:r>
              <w:rPr>
                <w:rFonts w:cstheme="minorHAnsi"/>
              </w:rPr>
              <w:t xml:space="preserve"> </w:t>
            </w:r>
          </w:p>
        </w:tc>
        <w:tc>
          <w:tcPr>
            <w:tcW w:w="621" w:type="dxa"/>
            <w:vAlign w:val="center"/>
          </w:tcPr>
          <w:p w:rsidR="00357DFA" w:rsidRDefault="00357DFA" w:rsidP="003F1006">
            <w:pPr>
              <w:jc w:val="center"/>
              <w:rPr>
                <w:rFonts w:cstheme="minorHAnsi"/>
              </w:rPr>
            </w:pPr>
            <w:r>
              <w:rPr>
                <w:rFonts w:cstheme="minorHAnsi"/>
              </w:rPr>
              <w:t>(</w:t>
            </w:r>
            <w:fldSimple w:instr=" SEQ Eq \* MERGEFORMAT ">
              <w:r w:rsidR="00D719F4" w:rsidRPr="00D719F4">
                <w:rPr>
                  <w:rFonts w:cstheme="minorHAnsi"/>
                  <w:noProof/>
                </w:rPr>
                <w:t>34</w:t>
              </w:r>
            </w:fldSimple>
            <w:r>
              <w:rPr>
                <w:rFonts w:cstheme="minorHAnsi"/>
              </w:rPr>
              <w:t>)</w:t>
            </w:r>
          </w:p>
        </w:tc>
      </w:tr>
    </w:tbl>
    <w:p w:rsidR="004A2349" w:rsidRPr="00E621A1" w:rsidRDefault="004A2349" w:rsidP="001F563C">
      <w:pPr>
        <w:pStyle w:val="ListParagraph"/>
        <w:numPr>
          <w:ilvl w:val="0"/>
          <w:numId w:val="11"/>
        </w:numPr>
        <w:jc w:val="both"/>
        <w:rPr>
          <w:b/>
        </w:rPr>
      </w:pPr>
      <w:r w:rsidRPr="00E621A1">
        <w:rPr>
          <w:b/>
        </w:rPr>
        <w:t>Short Run Low Gray-Level Emphasis (</w:t>
      </w:r>
      <w:r w:rsidRPr="000B7A9E">
        <w:rPr>
          <w:b/>
          <w:noProof/>
        </w:rPr>
        <w:t>SRLGE</w:t>
      </w:r>
      <w:r w:rsidRPr="00E621A1">
        <w:rPr>
          <w:b/>
        </w:rPr>
        <w:t>)</w:t>
      </w:r>
    </w:p>
    <w:tbl>
      <w:tblPr>
        <w:tblStyle w:val="TableGrid"/>
        <w:tblW w:w="864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28"/>
        <w:gridCol w:w="7200"/>
        <w:gridCol w:w="621"/>
      </w:tblGrid>
      <w:tr w:rsidR="00357DFA" w:rsidTr="003F1006">
        <w:trPr>
          <w:trHeight w:val="395"/>
        </w:trPr>
        <w:tc>
          <w:tcPr>
            <w:tcW w:w="828" w:type="dxa"/>
            <w:vAlign w:val="center"/>
          </w:tcPr>
          <w:p w:rsidR="00357DFA" w:rsidRDefault="00357DFA" w:rsidP="00727C16">
            <w:pPr>
              <w:jc w:val="center"/>
              <w:rPr>
                <w:rFonts w:cstheme="minorHAnsi"/>
              </w:rPr>
            </w:pPr>
          </w:p>
        </w:tc>
        <w:tc>
          <w:tcPr>
            <w:tcW w:w="7200" w:type="dxa"/>
            <w:vAlign w:val="center"/>
          </w:tcPr>
          <w:p w:rsidR="00357DFA" w:rsidRDefault="00357DFA" w:rsidP="00727C16">
            <w:pPr>
              <w:jc w:val="center"/>
              <w:rPr>
                <w:rFonts w:cstheme="minorHAnsi"/>
              </w:rPr>
            </w:pPr>
            <m:oMath>
              <m:r>
                <w:rPr>
                  <w:rFonts w:ascii="Cambria Math" w:hAnsi="Cambria Math"/>
                </w:rPr>
                <m:t xml:space="preserve">SRLGE= </m:t>
              </m:r>
              <m:f>
                <m:fPr>
                  <m:ctrlPr>
                    <w:rPr>
                      <w:rFonts w:ascii="Cambria Math" w:hAnsi="Cambria Math"/>
                      <w:i/>
                    </w:rPr>
                  </m:ctrlPr>
                </m:fPr>
                <m:num>
                  <m:r>
                    <w:rPr>
                      <w:rFonts w:ascii="Cambria Math" w:hAnsi="Cambria Math"/>
                    </w:rPr>
                    <m:t>1</m:t>
                  </m:r>
                </m:num>
                <m:den>
                  <m:sSub>
                    <m:sSubPr>
                      <m:ctrlPr>
                        <w:rPr>
                          <w:rFonts w:ascii="Cambria Math" w:hAnsi="Cambria Math"/>
                          <w:i/>
                        </w:rPr>
                      </m:ctrlPr>
                    </m:sSubPr>
                    <m:e>
                      <m:r>
                        <w:rPr>
                          <w:rFonts w:ascii="Cambria Math" w:hAnsi="Cambria Math"/>
                        </w:rPr>
                        <m:t>n</m:t>
                      </m:r>
                    </m:e>
                    <m:sub>
                      <m:r>
                        <w:rPr>
                          <w:rFonts w:ascii="Cambria Math" w:hAnsi="Cambria Math"/>
                        </w:rPr>
                        <m:t>r</m:t>
                      </m:r>
                    </m:sub>
                  </m:sSub>
                </m:den>
              </m:f>
              <m:nary>
                <m:naryPr>
                  <m:chr m:val="∑"/>
                  <m:limLoc m:val="undOvr"/>
                  <m:ctrlPr>
                    <w:rPr>
                      <w:rFonts w:ascii="Cambria Math" w:hAnsi="Cambria Math"/>
                      <w:i/>
                    </w:rPr>
                  </m:ctrlPr>
                </m:naryPr>
                <m:sub>
                  <m:r>
                    <w:rPr>
                      <w:rFonts w:ascii="Cambria Math" w:hAnsi="Cambria Math"/>
                    </w:rPr>
                    <m:t>i=1</m:t>
                  </m:r>
                </m:sub>
                <m:sup>
                  <m:r>
                    <w:rPr>
                      <w:rFonts w:ascii="Cambria Math" w:hAnsi="Cambria Math"/>
                    </w:rPr>
                    <m:t>M</m:t>
                  </m:r>
                </m:sup>
                <m:e>
                  <m:nary>
                    <m:naryPr>
                      <m:chr m:val="∑"/>
                      <m:limLoc m:val="undOvr"/>
                      <m:ctrlPr>
                        <w:rPr>
                          <w:rFonts w:ascii="Cambria Math" w:hAnsi="Cambria Math"/>
                          <w:i/>
                        </w:rPr>
                      </m:ctrlPr>
                    </m:naryPr>
                    <m:sub>
                      <m:r>
                        <w:rPr>
                          <w:rFonts w:ascii="Cambria Math" w:hAnsi="Cambria Math"/>
                        </w:rPr>
                        <m:t>j=1</m:t>
                      </m:r>
                    </m:sub>
                    <m:sup>
                      <m:r>
                        <w:rPr>
                          <w:rFonts w:ascii="Cambria Math" w:hAnsi="Cambria Math"/>
                        </w:rPr>
                        <m:t>N</m:t>
                      </m:r>
                    </m:sup>
                    <m:e>
                      <m:f>
                        <m:fPr>
                          <m:ctrlPr>
                            <w:rPr>
                              <w:rFonts w:ascii="Cambria Math" w:hAnsi="Cambria Math"/>
                              <w:i/>
                            </w:rPr>
                          </m:ctrlPr>
                        </m:fPr>
                        <m:num>
                          <m:r>
                            <w:rPr>
                              <w:rFonts w:ascii="Cambria Math" w:hAnsi="Cambria Math"/>
                            </w:rPr>
                            <m:t>p(i,j)</m:t>
                          </m:r>
                        </m:num>
                        <m:den>
                          <m:sSup>
                            <m:sSupPr>
                              <m:ctrlPr>
                                <w:rPr>
                                  <w:rFonts w:ascii="Cambria Math" w:hAnsi="Cambria Math"/>
                                  <w:i/>
                                </w:rPr>
                              </m:ctrlPr>
                            </m:sSupPr>
                            <m:e>
                              <m:r>
                                <w:rPr>
                                  <w:rFonts w:ascii="Cambria Math" w:hAnsi="Cambria Math"/>
                                </w:rPr>
                                <m:t>i</m:t>
                              </m:r>
                            </m:e>
                            <m:sup>
                              <m:r>
                                <w:rPr>
                                  <w:rFonts w:ascii="Cambria Math" w:hAnsi="Cambria Math"/>
                                </w:rPr>
                                <m:t>2</m:t>
                              </m:r>
                            </m:sup>
                          </m:sSup>
                          <m:r>
                            <w:rPr>
                              <w:rFonts w:ascii="Cambria Math" w:hAnsi="Cambria Math"/>
                            </w:rPr>
                            <m:t>.</m:t>
                          </m:r>
                          <m:sSup>
                            <m:sSupPr>
                              <m:ctrlPr>
                                <w:rPr>
                                  <w:rFonts w:ascii="Cambria Math" w:hAnsi="Cambria Math"/>
                                  <w:i/>
                                </w:rPr>
                              </m:ctrlPr>
                            </m:sSupPr>
                            <m:e>
                              <m:r>
                                <w:rPr>
                                  <w:rFonts w:ascii="Cambria Math" w:hAnsi="Cambria Math"/>
                                </w:rPr>
                                <m:t>j</m:t>
                              </m:r>
                            </m:e>
                            <m:sup>
                              <m:r>
                                <w:rPr>
                                  <w:rFonts w:ascii="Cambria Math" w:hAnsi="Cambria Math"/>
                                </w:rPr>
                                <m:t>2</m:t>
                              </m:r>
                            </m:sup>
                          </m:sSup>
                        </m:den>
                      </m:f>
                    </m:e>
                  </m:nary>
                </m:e>
              </m:nary>
            </m:oMath>
            <w:r>
              <w:rPr>
                <w:rFonts w:cstheme="minorHAnsi"/>
              </w:rPr>
              <w:t xml:space="preserve"> </w:t>
            </w:r>
          </w:p>
        </w:tc>
        <w:tc>
          <w:tcPr>
            <w:tcW w:w="621" w:type="dxa"/>
            <w:vAlign w:val="center"/>
          </w:tcPr>
          <w:p w:rsidR="00357DFA" w:rsidRDefault="00357DFA" w:rsidP="003F1006">
            <w:pPr>
              <w:jc w:val="center"/>
              <w:rPr>
                <w:rFonts w:cstheme="minorHAnsi"/>
              </w:rPr>
            </w:pPr>
            <w:r>
              <w:rPr>
                <w:rFonts w:cstheme="minorHAnsi"/>
              </w:rPr>
              <w:t>(</w:t>
            </w:r>
            <w:fldSimple w:instr=" SEQ Eq \* MERGEFORMAT ">
              <w:r w:rsidR="00D719F4" w:rsidRPr="00D719F4">
                <w:rPr>
                  <w:rFonts w:cstheme="minorHAnsi"/>
                  <w:noProof/>
                </w:rPr>
                <w:t>35</w:t>
              </w:r>
            </w:fldSimple>
            <w:r>
              <w:rPr>
                <w:rFonts w:cstheme="minorHAnsi"/>
              </w:rPr>
              <w:t>)</w:t>
            </w:r>
          </w:p>
        </w:tc>
      </w:tr>
    </w:tbl>
    <w:p w:rsidR="004A2349" w:rsidRDefault="004A2349" w:rsidP="001F563C">
      <w:pPr>
        <w:pStyle w:val="ListParagraph"/>
        <w:numPr>
          <w:ilvl w:val="0"/>
          <w:numId w:val="11"/>
        </w:numPr>
        <w:jc w:val="both"/>
        <w:rPr>
          <w:b/>
        </w:rPr>
      </w:pPr>
      <w:r w:rsidRPr="00E621A1">
        <w:rPr>
          <w:b/>
        </w:rPr>
        <w:t>Short Run High Gray-Level Emphasis (SRHGE)</w:t>
      </w:r>
    </w:p>
    <w:tbl>
      <w:tblPr>
        <w:tblStyle w:val="TableGrid"/>
        <w:tblW w:w="864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28"/>
        <w:gridCol w:w="7200"/>
        <w:gridCol w:w="621"/>
      </w:tblGrid>
      <w:tr w:rsidR="00357DFA" w:rsidTr="003F1006">
        <w:trPr>
          <w:trHeight w:val="395"/>
        </w:trPr>
        <w:tc>
          <w:tcPr>
            <w:tcW w:w="828" w:type="dxa"/>
            <w:vAlign w:val="center"/>
          </w:tcPr>
          <w:p w:rsidR="00357DFA" w:rsidRDefault="00357DFA" w:rsidP="00727C16">
            <w:pPr>
              <w:jc w:val="center"/>
              <w:rPr>
                <w:rFonts w:cstheme="minorHAnsi"/>
              </w:rPr>
            </w:pPr>
          </w:p>
        </w:tc>
        <w:tc>
          <w:tcPr>
            <w:tcW w:w="7200" w:type="dxa"/>
            <w:vAlign w:val="center"/>
          </w:tcPr>
          <w:p w:rsidR="00357DFA" w:rsidRDefault="00357DFA" w:rsidP="00727C16">
            <w:pPr>
              <w:jc w:val="center"/>
              <w:rPr>
                <w:rFonts w:cstheme="minorHAnsi"/>
              </w:rPr>
            </w:pPr>
            <m:oMath>
              <m:r>
                <w:rPr>
                  <w:rFonts w:ascii="Cambria Math" w:hAnsi="Cambria Math"/>
                </w:rPr>
                <m:t xml:space="preserve">SRHGE= </m:t>
              </m:r>
              <m:f>
                <m:fPr>
                  <m:ctrlPr>
                    <w:rPr>
                      <w:rFonts w:ascii="Cambria Math" w:hAnsi="Cambria Math"/>
                      <w:i/>
                    </w:rPr>
                  </m:ctrlPr>
                </m:fPr>
                <m:num>
                  <m:r>
                    <w:rPr>
                      <w:rFonts w:ascii="Cambria Math" w:hAnsi="Cambria Math"/>
                    </w:rPr>
                    <m:t>1</m:t>
                  </m:r>
                </m:num>
                <m:den>
                  <m:sSub>
                    <m:sSubPr>
                      <m:ctrlPr>
                        <w:rPr>
                          <w:rFonts w:ascii="Cambria Math" w:hAnsi="Cambria Math"/>
                          <w:i/>
                        </w:rPr>
                      </m:ctrlPr>
                    </m:sSubPr>
                    <m:e>
                      <m:r>
                        <w:rPr>
                          <w:rFonts w:ascii="Cambria Math" w:hAnsi="Cambria Math"/>
                        </w:rPr>
                        <m:t>n</m:t>
                      </m:r>
                    </m:e>
                    <m:sub>
                      <m:r>
                        <w:rPr>
                          <w:rFonts w:ascii="Cambria Math" w:hAnsi="Cambria Math"/>
                        </w:rPr>
                        <m:t>r</m:t>
                      </m:r>
                    </m:sub>
                  </m:sSub>
                </m:den>
              </m:f>
              <m:nary>
                <m:naryPr>
                  <m:chr m:val="∑"/>
                  <m:limLoc m:val="undOvr"/>
                  <m:ctrlPr>
                    <w:rPr>
                      <w:rFonts w:ascii="Cambria Math" w:hAnsi="Cambria Math"/>
                      <w:i/>
                    </w:rPr>
                  </m:ctrlPr>
                </m:naryPr>
                <m:sub>
                  <m:r>
                    <w:rPr>
                      <w:rFonts w:ascii="Cambria Math" w:hAnsi="Cambria Math"/>
                    </w:rPr>
                    <m:t>i=1</m:t>
                  </m:r>
                </m:sub>
                <m:sup>
                  <m:r>
                    <w:rPr>
                      <w:rFonts w:ascii="Cambria Math" w:hAnsi="Cambria Math"/>
                    </w:rPr>
                    <m:t>M</m:t>
                  </m:r>
                </m:sup>
                <m:e>
                  <m:nary>
                    <m:naryPr>
                      <m:chr m:val="∑"/>
                      <m:limLoc m:val="undOvr"/>
                      <m:ctrlPr>
                        <w:rPr>
                          <w:rFonts w:ascii="Cambria Math" w:hAnsi="Cambria Math"/>
                          <w:i/>
                        </w:rPr>
                      </m:ctrlPr>
                    </m:naryPr>
                    <m:sub>
                      <m:r>
                        <w:rPr>
                          <w:rFonts w:ascii="Cambria Math" w:hAnsi="Cambria Math"/>
                        </w:rPr>
                        <m:t>j=1</m:t>
                      </m:r>
                    </m:sub>
                    <m:sup>
                      <m:r>
                        <w:rPr>
                          <w:rFonts w:ascii="Cambria Math" w:hAnsi="Cambria Math"/>
                        </w:rPr>
                        <m:t>N</m:t>
                      </m:r>
                    </m:sup>
                    <m:e>
                      <m:f>
                        <m:fPr>
                          <m:ctrlPr>
                            <w:rPr>
                              <w:rFonts w:ascii="Cambria Math" w:hAnsi="Cambria Math"/>
                              <w:i/>
                            </w:rPr>
                          </m:ctrlPr>
                        </m:fPr>
                        <m:num>
                          <m:r>
                            <w:rPr>
                              <w:rFonts w:ascii="Cambria Math" w:hAnsi="Cambria Math"/>
                            </w:rPr>
                            <m:t>p</m:t>
                          </m:r>
                          <m:d>
                            <m:dPr>
                              <m:ctrlPr>
                                <w:rPr>
                                  <w:rFonts w:ascii="Cambria Math" w:hAnsi="Cambria Math"/>
                                  <w:i/>
                                </w:rPr>
                              </m:ctrlPr>
                            </m:dPr>
                            <m:e>
                              <m:r>
                                <w:rPr>
                                  <w:rFonts w:ascii="Cambria Math" w:hAnsi="Cambria Math"/>
                                </w:rPr>
                                <m:t>i,j</m:t>
                              </m:r>
                            </m:e>
                          </m:d>
                          <m:r>
                            <w:rPr>
                              <w:rFonts w:ascii="Cambria Math" w:hAnsi="Cambria Math"/>
                            </w:rPr>
                            <m:t>.</m:t>
                          </m:r>
                          <m:sSup>
                            <m:sSupPr>
                              <m:ctrlPr>
                                <w:rPr>
                                  <w:rFonts w:ascii="Cambria Math" w:hAnsi="Cambria Math"/>
                                  <w:i/>
                                </w:rPr>
                              </m:ctrlPr>
                            </m:sSupPr>
                            <m:e>
                              <m:r>
                                <w:rPr>
                                  <w:rFonts w:ascii="Cambria Math" w:hAnsi="Cambria Math"/>
                                </w:rPr>
                                <m:t>i</m:t>
                              </m:r>
                            </m:e>
                            <m:sup>
                              <m:r>
                                <w:rPr>
                                  <w:rFonts w:ascii="Cambria Math" w:hAnsi="Cambria Math"/>
                                </w:rPr>
                                <m:t>2</m:t>
                              </m:r>
                            </m:sup>
                          </m:sSup>
                        </m:num>
                        <m:den>
                          <m:sSup>
                            <m:sSupPr>
                              <m:ctrlPr>
                                <w:rPr>
                                  <w:rFonts w:ascii="Cambria Math" w:hAnsi="Cambria Math"/>
                                  <w:i/>
                                </w:rPr>
                              </m:ctrlPr>
                            </m:sSupPr>
                            <m:e>
                              <m:r>
                                <w:rPr>
                                  <w:rFonts w:ascii="Cambria Math" w:hAnsi="Cambria Math"/>
                                </w:rPr>
                                <m:t>j</m:t>
                              </m:r>
                            </m:e>
                            <m:sup>
                              <m:r>
                                <w:rPr>
                                  <w:rFonts w:ascii="Cambria Math" w:hAnsi="Cambria Math"/>
                                </w:rPr>
                                <m:t>2</m:t>
                              </m:r>
                            </m:sup>
                          </m:sSup>
                        </m:den>
                      </m:f>
                    </m:e>
                  </m:nary>
                </m:e>
              </m:nary>
            </m:oMath>
            <w:r>
              <w:rPr>
                <w:rFonts w:cstheme="minorHAnsi"/>
              </w:rPr>
              <w:t xml:space="preserve"> </w:t>
            </w:r>
          </w:p>
        </w:tc>
        <w:tc>
          <w:tcPr>
            <w:tcW w:w="621" w:type="dxa"/>
            <w:vAlign w:val="center"/>
          </w:tcPr>
          <w:p w:rsidR="00357DFA" w:rsidRDefault="00357DFA" w:rsidP="003F1006">
            <w:pPr>
              <w:jc w:val="center"/>
              <w:rPr>
                <w:rFonts w:cstheme="minorHAnsi"/>
              </w:rPr>
            </w:pPr>
            <w:r>
              <w:rPr>
                <w:rFonts w:cstheme="minorHAnsi"/>
              </w:rPr>
              <w:t>(</w:t>
            </w:r>
            <w:fldSimple w:instr=" SEQ Eq \* MERGEFORMAT ">
              <w:r w:rsidR="00D719F4" w:rsidRPr="00D719F4">
                <w:rPr>
                  <w:rFonts w:cstheme="minorHAnsi"/>
                  <w:noProof/>
                </w:rPr>
                <w:t>36</w:t>
              </w:r>
            </w:fldSimple>
            <w:r>
              <w:rPr>
                <w:rFonts w:cstheme="minorHAnsi"/>
              </w:rPr>
              <w:t>)</w:t>
            </w:r>
          </w:p>
        </w:tc>
      </w:tr>
    </w:tbl>
    <w:p w:rsidR="004A2349" w:rsidRDefault="004A2349" w:rsidP="001F563C">
      <w:pPr>
        <w:pStyle w:val="ListParagraph"/>
        <w:numPr>
          <w:ilvl w:val="0"/>
          <w:numId w:val="11"/>
        </w:numPr>
        <w:jc w:val="both"/>
        <w:rPr>
          <w:b/>
        </w:rPr>
      </w:pPr>
      <w:r w:rsidRPr="00E621A1">
        <w:rPr>
          <w:b/>
        </w:rPr>
        <w:t>Long Run Low Gray-Level Emphasis (LRLGE)</w:t>
      </w:r>
    </w:p>
    <w:tbl>
      <w:tblPr>
        <w:tblStyle w:val="TableGrid"/>
        <w:tblW w:w="864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28"/>
        <w:gridCol w:w="7200"/>
        <w:gridCol w:w="621"/>
      </w:tblGrid>
      <w:tr w:rsidR="00357DFA" w:rsidTr="003F1006">
        <w:trPr>
          <w:trHeight w:val="395"/>
        </w:trPr>
        <w:tc>
          <w:tcPr>
            <w:tcW w:w="828" w:type="dxa"/>
            <w:vAlign w:val="center"/>
          </w:tcPr>
          <w:p w:rsidR="00357DFA" w:rsidRDefault="00357DFA" w:rsidP="00727C16">
            <w:pPr>
              <w:jc w:val="center"/>
              <w:rPr>
                <w:rFonts w:cstheme="minorHAnsi"/>
              </w:rPr>
            </w:pPr>
          </w:p>
        </w:tc>
        <w:tc>
          <w:tcPr>
            <w:tcW w:w="7200" w:type="dxa"/>
            <w:vAlign w:val="center"/>
          </w:tcPr>
          <w:p w:rsidR="00357DFA" w:rsidRDefault="00357DFA" w:rsidP="00727C16">
            <w:pPr>
              <w:jc w:val="center"/>
              <w:rPr>
                <w:rFonts w:cstheme="minorHAnsi"/>
              </w:rPr>
            </w:pPr>
            <m:oMath>
              <m:r>
                <w:rPr>
                  <w:rFonts w:ascii="Cambria Math" w:hAnsi="Cambria Math"/>
                </w:rPr>
                <m:t xml:space="preserve">LRLGE= </m:t>
              </m:r>
              <m:f>
                <m:fPr>
                  <m:ctrlPr>
                    <w:rPr>
                      <w:rFonts w:ascii="Cambria Math" w:hAnsi="Cambria Math"/>
                      <w:i/>
                    </w:rPr>
                  </m:ctrlPr>
                </m:fPr>
                <m:num>
                  <m:r>
                    <w:rPr>
                      <w:rFonts w:ascii="Cambria Math" w:hAnsi="Cambria Math"/>
                    </w:rPr>
                    <m:t>1</m:t>
                  </m:r>
                </m:num>
                <m:den>
                  <m:sSub>
                    <m:sSubPr>
                      <m:ctrlPr>
                        <w:rPr>
                          <w:rFonts w:ascii="Cambria Math" w:hAnsi="Cambria Math"/>
                          <w:i/>
                        </w:rPr>
                      </m:ctrlPr>
                    </m:sSubPr>
                    <m:e>
                      <m:r>
                        <w:rPr>
                          <w:rFonts w:ascii="Cambria Math" w:hAnsi="Cambria Math"/>
                        </w:rPr>
                        <m:t>n</m:t>
                      </m:r>
                    </m:e>
                    <m:sub>
                      <m:r>
                        <w:rPr>
                          <w:rFonts w:ascii="Cambria Math" w:hAnsi="Cambria Math"/>
                        </w:rPr>
                        <m:t>r</m:t>
                      </m:r>
                    </m:sub>
                  </m:sSub>
                </m:den>
              </m:f>
              <m:nary>
                <m:naryPr>
                  <m:chr m:val="∑"/>
                  <m:limLoc m:val="undOvr"/>
                  <m:ctrlPr>
                    <w:rPr>
                      <w:rFonts w:ascii="Cambria Math" w:hAnsi="Cambria Math"/>
                      <w:i/>
                    </w:rPr>
                  </m:ctrlPr>
                </m:naryPr>
                <m:sub>
                  <m:r>
                    <w:rPr>
                      <w:rFonts w:ascii="Cambria Math" w:hAnsi="Cambria Math"/>
                    </w:rPr>
                    <m:t>i=1</m:t>
                  </m:r>
                </m:sub>
                <m:sup>
                  <m:r>
                    <w:rPr>
                      <w:rFonts w:ascii="Cambria Math" w:hAnsi="Cambria Math"/>
                    </w:rPr>
                    <m:t>M</m:t>
                  </m:r>
                </m:sup>
                <m:e>
                  <m:nary>
                    <m:naryPr>
                      <m:chr m:val="∑"/>
                      <m:limLoc m:val="undOvr"/>
                      <m:ctrlPr>
                        <w:rPr>
                          <w:rFonts w:ascii="Cambria Math" w:hAnsi="Cambria Math"/>
                          <w:i/>
                        </w:rPr>
                      </m:ctrlPr>
                    </m:naryPr>
                    <m:sub>
                      <m:r>
                        <w:rPr>
                          <w:rFonts w:ascii="Cambria Math" w:hAnsi="Cambria Math"/>
                        </w:rPr>
                        <m:t>j=1</m:t>
                      </m:r>
                    </m:sub>
                    <m:sup>
                      <m:r>
                        <w:rPr>
                          <w:rFonts w:ascii="Cambria Math" w:hAnsi="Cambria Math"/>
                        </w:rPr>
                        <m:t>N</m:t>
                      </m:r>
                    </m:sup>
                    <m:e>
                      <m:f>
                        <m:fPr>
                          <m:ctrlPr>
                            <w:rPr>
                              <w:rFonts w:ascii="Cambria Math" w:hAnsi="Cambria Math"/>
                              <w:i/>
                            </w:rPr>
                          </m:ctrlPr>
                        </m:fPr>
                        <m:num>
                          <m:r>
                            <w:rPr>
                              <w:rFonts w:ascii="Cambria Math" w:hAnsi="Cambria Math"/>
                            </w:rPr>
                            <m:t>p</m:t>
                          </m:r>
                          <m:d>
                            <m:dPr>
                              <m:ctrlPr>
                                <w:rPr>
                                  <w:rFonts w:ascii="Cambria Math" w:hAnsi="Cambria Math"/>
                                  <w:i/>
                                </w:rPr>
                              </m:ctrlPr>
                            </m:dPr>
                            <m:e>
                              <m:r>
                                <w:rPr>
                                  <w:rFonts w:ascii="Cambria Math" w:hAnsi="Cambria Math"/>
                                </w:rPr>
                                <m:t>i,j</m:t>
                              </m:r>
                            </m:e>
                          </m:d>
                          <m:r>
                            <w:rPr>
                              <w:rFonts w:ascii="Cambria Math" w:hAnsi="Cambria Math"/>
                            </w:rPr>
                            <m:t>.</m:t>
                          </m:r>
                          <m:sSup>
                            <m:sSupPr>
                              <m:ctrlPr>
                                <w:rPr>
                                  <w:rFonts w:ascii="Cambria Math" w:hAnsi="Cambria Math"/>
                                  <w:i/>
                                </w:rPr>
                              </m:ctrlPr>
                            </m:sSupPr>
                            <m:e>
                              <m:r>
                                <w:rPr>
                                  <w:rFonts w:ascii="Cambria Math" w:hAnsi="Cambria Math"/>
                                </w:rPr>
                                <m:t>j</m:t>
                              </m:r>
                            </m:e>
                            <m:sup>
                              <m:r>
                                <w:rPr>
                                  <w:rFonts w:ascii="Cambria Math" w:hAnsi="Cambria Math"/>
                                </w:rPr>
                                <m:t>2</m:t>
                              </m:r>
                            </m:sup>
                          </m:sSup>
                        </m:num>
                        <m:den>
                          <m:sSup>
                            <m:sSupPr>
                              <m:ctrlPr>
                                <w:rPr>
                                  <w:rFonts w:ascii="Cambria Math" w:hAnsi="Cambria Math"/>
                                  <w:i/>
                                </w:rPr>
                              </m:ctrlPr>
                            </m:sSupPr>
                            <m:e>
                              <m:r>
                                <w:rPr>
                                  <w:rFonts w:ascii="Cambria Math" w:hAnsi="Cambria Math"/>
                                </w:rPr>
                                <m:t>i</m:t>
                              </m:r>
                            </m:e>
                            <m:sup>
                              <m:r>
                                <w:rPr>
                                  <w:rFonts w:ascii="Cambria Math" w:hAnsi="Cambria Math"/>
                                </w:rPr>
                                <m:t>2</m:t>
                              </m:r>
                            </m:sup>
                          </m:sSup>
                        </m:den>
                      </m:f>
                    </m:e>
                  </m:nary>
                </m:e>
              </m:nary>
            </m:oMath>
            <w:r>
              <w:rPr>
                <w:rFonts w:cstheme="minorHAnsi"/>
              </w:rPr>
              <w:t xml:space="preserve"> </w:t>
            </w:r>
          </w:p>
        </w:tc>
        <w:tc>
          <w:tcPr>
            <w:tcW w:w="621" w:type="dxa"/>
            <w:vAlign w:val="center"/>
          </w:tcPr>
          <w:p w:rsidR="00357DFA" w:rsidRDefault="00357DFA" w:rsidP="003F1006">
            <w:pPr>
              <w:jc w:val="center"/>
              <w:rPr>
                <w:rFonts w:cstheme="minorHAnsi"/>
              </w:rPr>
            </w:pPr>
            <w:r>
              <w:rPr>
                <w:rFonts w:cstheme="minorHAnsi"/>
              </w:rPr>
              <w:t>(</w:t>
            </w:r>
            <w:fldSimple w:instr=" SEQ Eq \* MERGEFORMAT ">
              <w:r w:rsidR="00D719F4" w:rsidRPr="00D719F4">
                <w:rPr>
                  <w:rFonts w:cstheme="minorHAnsi"/>
                  <w:noProof/>
                </w:rPr>
                <w:t>37</w:t>
              </w:r>
            </w:fldSimple>
            <w:r>
              <w:rPr>
                <w:rFonts w:cstheme="minorHAnsi"/>
              </w:rPr>
              <w:t>)</w:t>
            </w:r>
          </w:p>
        </w:tc>
      </w:tr>
    </w:tbl>
    <w:p w:rsidR="002E2C8D" w:rsidRDefault="002E2C8D" w:rsidP="002E2C8D"/>
    <w:p w:rsidR="002E2C8D" w:rsidRDefault="002E2C8D" w:rsidP="002E2C8D"/>
    <w:p w:rsidR="004A2349" w:rsidRDefault="004A2349" w:rsidP="001F563C">
      <w:pPr>
        <w:pStyle w:val="ListParagraph"/>
        <w:numPr>
          <w:ilvl w:val="0"/>
          <w:numId w:val="11"/>
        </w:numPr>
        <w:jc w:val="both"/>
        <w:rPr>
          <w:b/>
        </w:rPr>
      </w:pPr>
      <w:r w:rsidRPr="00E621A1">
        <w:rPr>
          <w:b/>
        </w:rPr>
        <w:lastRenderedPageBreak/>
        <w:t>Long Run High Gray-Level Emphasis (LRHGE)</w:t>
      </w:r>
    </w:p>
    <w:tbl>
      <w:tblPr>
        <w:tblStyle w:val="TableGrid"/>
        <w:tblW w:w="864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28"/>
        <w:gridCol w:w="7200"/>
        <w:gridCol w:w="621"/>
      </w:tblGrid>
      <w:tr w:rsidR="00357DFA" w:rsidTr="003F1006">
        <w:trPr>
          <w:trHeight w:val="395"/>
        </w:trPr>
        <w:tc>
          <w:tcPr>
            <w:tcW w:w="828" w:type="dxa"/>
            <w:vAlign w:val="center"/>
          </w:tcPr>
          <w:p w:rsidR="00357DFA" w:rsidRDefault="00357DFA" w:rsidP="00727C16">
            <w:pPr>
              <w:jc w:val="center"/>
              <w:rPr>
                <w:rFonts w:cstheme="minorHAnsi"/>
              </w:rPr>
            </w:pPr>
          </w:p>
        </w:tc>
        <w:tc>
          <w:tcPr>
            <w:tcW w:w="7200" w:type="dxa"/>
            <w:vAlign w:val="center"/>
          </w:tcPr>
          <w:p w:rsidR="00357DFA" w:rsidRDefault="00357DFA" w:rsidP="00727C16">
            <w:pPr>
              <w:jc w:val="center"/>
              <w:rPr>
                <w:rFonts w:cstheme="minorHAnsi"/>
              </w:rPr>
            </w:pPr>
            <m:oMath>
              <m:r>
                <w:rPr>
                  <w:rFonts w:ascii="Cambria Math" w:hAnsi="Cambria Math"/>
                </w:rPr>
                <m:t xml:space="preserve">LRHGE= </m:t>
              </m:r>
              <m:f>
                <m:fPr>
                  <m:ctrlPr>
                    <w:rPr>
                      <w:rFonts w:ascii="Cambria Math" w:hAnsi="Cambria Math"/>
                      <w:i/>
                    </w:rPr>
                  </m:ctrlPr>
                </m:fPr>
                <m:num>
                  <m:r>
                    <w:rPr>
                      <w:rFonts w:ascii="Cambria Math" w:hAnsi="Cambria Math"/>
                    </w:rPr>
                    <m:t>1</m:t>
                  </m:r>
                </m:num>
                <m:den>
                  <m:sSub>
                    <m:sSubPr>
                      <m:ctrlPr>
                        <w:rPr>
                          <w:rFonts w:ascii="Cambria Math" w:hAnsi="Cambria Math"/>
                          <w:i/>
                        </w:rPr>
                      </m:ctrlPr>
                    </m:sSubPr>
                    <m:e>
                      <m:r>
                        <w:rPr>
                          <w:rFonts w:ascii="Cambria Math" w:hAnsi="Cambria Math"/>
                        </w:rPr>
                        <m:t>n</m:t>
                      </m:r>
                    </m:e>
                    <m:sub>
                      <m:r>
                        <w:rPr>
                          <w:rFonts w:ascii="Cambria Math" w:hAnsi="Cambria Math"/>
                        </w:rPr>
                        <m:t>r</m:t>
                      </m:r>
                    </m:sub>
                  </m:sSub>
                </m:den>
              </m:f>
              <m:nary>
                <m:naryPr>
                  <m:chr m:val="∑"/>
                  <m:limLoc m:val="undOvr"/>
                  <m:ctrlPr>
                    <w:rPr>
                      <w:rFonts w:ascii="Cambria Math" w:hAnsi="Cambria Math"/>
                      <w:i/>
                    </w:rPr>
                  </m:ctrlPr>
                </m:naryPr>
                <m:sub>
                  <m:r>
                    <w:rPr>
                      <w:rFonts w:ascii="Cambria Math" w:hAnsi="Cambria Math"/>
                    </w:rPr>
                    <m:t>i=1</m:t>
                  </m:r>
                </m:sub>
                <m:sup>
                  <m:r>
                    <w:rPr>
                      <w:rFonts w:ascii="Cambria Math" w:hAnsi="Cambria Math"/>
                    </w:rPr>
                    <m:t>M</m:t>
                  </m:r>
                </m:sup>
                <m:e>
                  <m:nary>
                    <m:naryPr>
                      <m:chr m:val="∑"/>
                      <m:limLoc m:val="undOvr"/>
                      <m:ctrlPr>
                        <w:rPr>
                          <w:rFonts w:ascii="Cambria Math" w:hAnsi="Cambria Math"/>
                          <w:i/>
                        </w:rPr>
                      </m:ctrlPr>
                    </m:naryPr>
                    <m:sub>
                      <m:r>
                        <w:rPr>
                          <w:rFonts w:ascii="Cambria Math" w:hAnsi="Cambria Math"/>
                        </w:rPr>
                        <m:t>j=1</m:t>
                      </m:r>
                    </m:sub>
                    <m:sup>
                      <m:r>
                        <w:rPr>
                          <w:rFonts w:ascii="Cambria Math" w:hAnsi="Cambria Math"/>
                        </w:rPr>
                        <m:t>N</m:t>
                      </m:r>
                    </m:sup>
                    <m:e>
                      <m:r>
                        <w:rPr>
                          <w:rFonts w:ascii="Cambria Math" w:hAnsi="Cambria Math"/>
                        </w:rPr>
                        <m:t>p</m:t>
                      </m:r>
                      <m:d>
                        <m:dPr>
                          <m:ctrlPr>
                            <w:rPr>
                              <w:rFonts w:ascii="Cambria Math" w:hAnsi="Cambria Math"/>
                              <w:i/>
                            </w:rPr>
                          </m:ctrlPr>
                        </m:dPr>
                        <m:e>
                          <m:r>
                            <w:rPr>
                              <w:rFonts w:ascii="Cambria Math" w:hAnsi="Cambria Math"/>
                            </w:rPr>
                            <m:t>i,j</m:t>
                          </m:r>
                        </m:e>
                      </m:d>
                      <m:r>
                        <w:rPr>
                          <w:rFonts w:ascii="Cambria Math" w:hAnsi="Cambria Math"/>
                        </w:rPr>
                        <m:t>.</m:t>
                      </m:r>
                      <m:sSup>
                        <m:sSupPr>
                          <m:ctrlPr>
                            <w:rPr>
                              <w:rFonts w:ascii="Cambria Math" w:hAnsi="Cambria Math"/>
                              <w:i/>
                            </w:rPr>
                          </m:ctrlPr>
                        </m:sSupPr>
                        <m:e>
                          <m:r>
                            <w:rPr>
                              <w:rFonts w:ascii="Cambria Math" w:hAnsi="Cambria Math"/>
                            </w:rPr>
                            <m:t>i</m:t>
                          </m:r>
                        </m:e>
                        <m:sup>
                          <m:r>
                            <w:rPr>
                              <w:rFonts w:ascii="Cambria Math" w:hAnsi="Cambria Math"/>
                            </w:rPr>
                            <m:t>2</m:t>
                          </m:r>
                        </m:sup>
                      </m:sSup>
                      <m:r>
                        <w:rPr>
                          <w:rFonts w:ascii="Cambria Math" w:hAnsi="Cambria Math"/>
                        </w:rPr>
                        <m:t>.</m:t>
                      </m:r>
                      <m:sSup>
                        <m:sSupPr>
                          <m:ctrlPr>
                            <w:rPr>
                              <w:rFonts w:ascii="Cambria Math" w:hAnsi="Cambria Math"/>
                              <w:i/>
                            </w:rPr>
                          </m:ctrlPr>
                        </m:sSupPr>
                        <m:e>
                          <m:r>
                            <w:rPr>
                              <w:rFonts w:ascii="Cambria Math" w:hAnsi="Cambria Math"/>
                            </w:rPr>
                            <m:t>j</m:t>
                          </m:r>
                        </m:e>
                        <m:sup>
                          <m:r>
                            <w:rPr>
                              <w:rFonts w:ascii="Cambria Math" w:hAnsi="Cambria Math"/>
                            </w:rPr>
                            <m:t>2</m:t>
                          </m:r>
                        </m:sup>
                      </m:sSup>
                    </m:e>
                  </m:nary>
                </m:e>
              </m:nary>
            </m:oMath>
            <w:r>
              <w:rPr>
                <w:rFonts w:cstheme="minorHAnsi"/>
              </w:rPr>
              <w:t xml:space="preserve"> </w:t>
            </w:r>
          </w:p>
        </w:tc>
        <w:tc>
          <w:tcPr>
            <w:tcW w:w="621" w:type="dxa"/>
            <w:vAlign w:val="center"/>
          </w:tcPr>
          <w:p w:rsidR="00357DFA" w:rsidRDefault="00357DFA" w:rsidP="003F1006">
            <w:pPr>
              <w:jc w:val="center"/>
              <w:rPr>
                <w:rFonts w:cstheme="minorHAnsi"/>
              </w:rPr>
            </w:pPr>
            <w:r>
              <w:rPr>
                <w:rFonts w:cstheme="minorHAnsi"/>
              </w:rPr>
              <w:t>(</w:t>
            </w:r>
            <w:fldSimple w:instr=" SEQ Eq \* MERGEFORMAT ">
              <w:r w:rsidR="00D719F4" w:rsidRPr="00D719F4">
                <w:rPr>
                  <w:rFonts w:cstheme="minorHAnsi"/>
                  <w:noProof/>
                </w:rPr>
                <w:t>38</w:t>
              </w:r>
            </w:fldSimple>
            <w:r>
              <w:rPr>
                <w:rFonts w:cstheme="minorHAnsi"/>
              </w:rPr>
              <w:t>)</w:t>
            </w:r>
          </w:p>
        </w:tc>
      </w:tr>
    </w:tbl>
    <w:p w:rsidR="00B3634C" w:rsidRPr="0085163A" w:rsidRDefault="00B3634C" w:rsidP="00B3634C">
      <w:pPr>
        <w:ind w:firstLine="720"/>
        <w:jc w:val="both"/>
      </w:pPr>
      <w:r w:rsidRPr="0085163A">
        <w:t xml:space="preserve">In these formulas, P is a GLRL matrix, in which P (i, j) is the number of runs for gray level i and length j. </w:t>
      </w:r>
      <m:oMath>
        <m:sSub>
          <m:sSubPr>
            <m:ctrlPr>
              <w:rPr>
                <w:rFonts w:ascii="Cambria Math" w:hAnsi="Cambria Math"/>
                <w:i/>
              </w:rPr>
            </m:ctrlPr>
          </m:sSubPr>
          <m:e>
            <m:r>
              <w:rPr>
                <w:rFonts w:ascii="Cambria Math" w:hAnsi="Cambria Math"/>
              </w:rPr>
              <m:t>n</m:t>
            </m:r>
          </m:e>
          <m:sub>
            <m:r>
              <w:rPr>
                <w:rFonts w:ascii="Cambria Math" w:hAnsi="Cambria Math"/>
              </w:rPr>
              <m:t>r</m:t>
            </m:r>
          </m:sub>
        </m:sSub>
      </m:oMath>
      <w:r w:rsidRPr="0085163A">
        <w:rPr>
          <w:vertAlign w:val="subscript"/>
        </w:rPr>
        <w:t xml:space="preserve"> </w:t>
      </w:r>
      <w:r w:rsidRPr="0085163A">
        <w:t xml:space="preserve">is total number of runs, and </w:t>
      </w:r>
      <m:oMath>
        <m:sSub>
          <m:sSubPr>
            <m:ctrlPr>
              <w:rPr>
                <w:rFonts w:ascii="Cambria Math" w:hAnsi="Cambria Math"/>
                <w:i/>
              </w:rPr>
            </m:ctrlPr>
          </m:sSubPr>
          <m:e>
            <m:r>
              <w:rPr>
                <w:rFonts w:ascii="Cambria Math" w:hAnsi="Cambria Math"/>
              </w:rPr>
              <m:t>n</m:t>
            </m:r>
          </m:e>
          <m:sub>
            <m:r>
              <w:rPr>
                <w:rFonts w:ascii="Cambria Math" w:hAnsi="Cambria Math"/>
              </w:rPr>
              <m:t>p</m:t>
            </m:r>
          </m:sub>
        </m:sSub>
      </m:oMath>
      <w:r w:rsidRPr="0085163A">
        <w:t xml:space="preserve"> is the number of distinctive elements in the GLRL matrix P.</w:t>
      </w:r>
    </w:p>
    <w:p w:rsidR="00420A75" w:rsidRDefault="00323DD4" w:rsidP="0085163A">
      <w:pPr>
        <w:ind w:firstLine="720"/>
        <w:jc w:val="both"/>
        <w:rPr>
          <w:rFonts w:ascii="Times New Roman" w:hAnsi="Times New Roman"/>
          <w:lang w:eastAsia="zh-CN"/>
        </w:rPr>
      </w:pPr>
      <w:r>
        <w:t xml:space="preserve">Given that the above 11 GLRL features can be estimated in four different </w:t>
      </w:r>
      <w:r w:rsidRPr="00646ADE">
        <w:rPr>
          <w:noProof/>
        </w:rPr>
        <w:t>direction</w:t>
      </w:r>
      <w:r>
        <w:rPr>
          <w:noProof/>
        </w:rPr>
        <w:t>s</w:t>
      </w:r>
      <w:r w:rsidR="00EE52CB">
        <w:t xml:space="preserve"> (i.e. </w:t>
      </w:r>
      <w:r>
        <w:t>0°, 45°, 90° and 135</w:t>
      </w:r>
      <w:r>
        <w:rPr>
          <w:rFonts w:ascii="Times New Roman" w:hAnsi="Times New Roman"/>
        </w:rPr>
        <w:t>°), thus we finally have 44 GLRL features. (F32-F75 GLRL features in four directions).</w:t>
      </w:r>
    </w:p>
    <w:p w:rsidR="00AC5A4A" w:rsidRPr="00420A75" w:rsidRDefault="00AC5A4A" w:rsidP="0085163A">
      <w:pPr>
        <w:ind w:firstLine="720"/>
        <w:jc w:val="both"/>
        <w:rPr>
          <w:rFonts w:ascii="Times New Roman" w:hAnsi="Times New Roman"/>
          <w:lang w:eastAsia="zh-CN"/>
        </w:rPr>
      </w:pPr>
    </w:p>
    <w:p w:rsidR="00B14AC7" w:rsidRDefault="000A1E6E" w:rsidP="00FB7A07">
      <w:pPr>
        <w:pStyle w:val="Heading2"/>
      </w:pPr>
      <w:bookmarkStart w:id="37" w:name="_Toc468963706"/>
      <w:r>
        <w:t xml:space="preserve">Wavelet </w:t>
      </w:r>
      <w:r w:rsidR="00C83CF0">
        <w:t>f</w:t>
      </w:r>
      <w:r w:rsidR="00DC09B7">
        <w:t>eatures</w:t>
      </w:r>
      <w:bookmarkEnd w:id="37"/>
    </w:p>
    <w:p w:rsidR="00AC5774" w:rsidRDefault="00AC5774" w:rsidP="00C21568">
      <w:pPr>
        <w:ind w:firstLine="720"/>
        <w:jc w:val="both"/>
      </w:pPr>
      <w:r>
        <w:t xml:space="preserve">In this </w:t>
      </w:r>
      <w:r w:rsidRPr="000B7A9E">
        <w:rPr>
          <w:noProof/>
        </w:rPr>
        <w:t>study</w:t>
      </w:r>
      <w:r>
        <w:rPr>
          <w:noProof/>
        </w:rPr>
        <w:t>,</w:t>
      </w:r>
      <w:r>
        <w:t xml:space="preserve"> a </w:t>
      </w:r>
      <w:r w:rsidRPr="00646ADE">
        <w:rPr>
          <w:noProof/>
        </w:rPr>
        <w:t>two</w:t>
      </w:r>
      <w:r>
        <w:rPr>
          <w:noProof/>
        </w:rPr>
        <w:t>-</w:t>
      </w:r>
      <w:r w:rsidRPr="00646ADE">
        <w:rPr>
          <w:noProof/>
        </w:rPr>
        <w:t>dimensional</w:t>
      </w:r>
      <w:r>
        <w:t xml:space="preserve"> wavelet transform (</w:t>
      </w:r>
      <w:r w:rsidRPr="005F53C2">
        <w:rPr>
          <w:bCs/>
        </w:rPr>
        <w:t>"Coiflet 1"</w:t>
      </w:r>
      <w:r>
        <w:rPr>
          <w:bCs/>
        </w:rPr>
        <w:t xml:space="preserve"> filter</w:t>
      </w:r>
      <w:r>
        <w:t xml:space="preserve">) was applied on each image </w:t>
      </w:r>
      <w:r w:rsidR="009647D4">
        <w:fldChar w:fldCharType="begin" w:fldLock="1"/>
      </w:r>
      <w:r w:rsidR="00337A98">
        <w:instrText>ADDIN CSL_CITATION { "citationItems" : [ { "id" : "ITEM-1", "itemData" : { "DOI" : "10.1038/ncomms5006", "ISBN" : "2041-1723 (Electronic)\\r2041-1723 (Linking)", "ISSN" : "2041-1723", "PMID" : "24892406", "abstract" : "Human cancers exhibit strong phenotypic differences that can be visualized noninvasively by medical imaging. Radiomics refers to the comprehensive quantification of tumour phenotypes by applying a large number of quantitative image features. Here we present a radiomic analysis of 440 features quantifying tumour image intensity, shape and texture, which are extracted from computed tomography data of 1,019 patients with lung or head-and-neck cancer. We find that a large number of radiomic features have prognostic power in independent data sets of lung and head-and-neck cancer patients, many of which were not identified as significant before. Radiogenomics analysis reveals that a prognostic radiomic signature, capturing intratumour heterogeneity, is associated with underlying gene-expression patterns. These data suggest that radiomics identifies a general prognostic phenotype existing in both lung and head-and-neck cancer. This may have a clinical impact as imaging is routinely used in clinical practice, providing an unprecedented opportunity to improve decision-support in cancer treatment at low cost.", "author" : [ { "dropping-particle" : "", "family" : "Aerts", "given" : "H J", "non-dropping-particle" : "", "parse-names" : false, "suffix" : "" }, { "dropping-particle" : "", "family" : "Velazquez", "given" : "E R", "non-dropping-particle" : "", "parse-names" : false, "suffix" : "" }, { "dropping-particle" : "", "family" : "Leijenaar", "given" : "R T", "non-dropping-particle" : "", "parse-names" : false, "suffix" : "" }, { "dropping-particle" : "", "family" : "Parmar", "given" : "C", "non-dropping-particle" : "", "parse-names" : false, "suffix" : "" }, { "dropping-particle" : "", "family" : "Grossmann", "given" : "P", "non-dropping-particle" : "", "parse-names" : false, "suffix" : "" }, { "dropping-particle" : "", "family" : "Carvalho", "given" : "S", "non-dropping-particle" : "", "parse-names" : false, "suffix" : "" }, { "dropping-particle" : "", "family" : "Bussink", "given" : "J", "non-dropping-particle" : "", "parse-names" : false, "suffix" : "" }, { "dropping-particle" : "", "family" : "Monshouwer", "given" : "R", "non-dropping-particle" : "", "parse-names" : false, "suffix" : "" }, { "dropping-particle" : "", "family" : "Haibe-Kains", "given" : "B", "non-dropping-particle" : "", "parse-names" : false, "suffix" : "" }, { "dropping-particle" : "", "family" : "Rietveld", "given" : "D", "non-dropping-particle" : "", "parse-names" : false, "suffix" : "" }, { "dropping-particle" : "", "family" : "Hoebers", "given" : "F", "non-dropping-particle" : "", "parse-names" : false, "suffix" : "" }, { "dropping-particle" : "", "family" : "Rietbergen", "given" : "M M", "non-dropping-particle" : "", "parse-names" : false, "suffix" : "" }, { "dropping-particle" : "", "family" : "Leemans", "given" : "C R", "non-dropping-particle" : "", "parse-names" : false, "suffix" : "" }, { "dropping-particle" : "", "family" : "Dekker", "given" : "A", "non-dropping-particle" : "", "parse-names" : false, "suffix" : "" }, { "dropping-particle" : "", "family" : "Quackenbush", "given" : "J", "non-dropping-particle" : "", "parse-names" : false, "suffix" : "" }, { "dropping-particle" : "", "family" : "Gillies", "given" : "R J", "non-dropping-particle" : "", "parse-names" : false, "suffix" : "" }, { "dropping-particle" : "", "family" : "Lambin", "given" : "P", "non-dropping-particle" : "", "parse-names" : false, "suffix" : "" } ], "container-title" : "Nat Commun", "id" : "ITEM-1", "issued" : { "date-parts" : [ [ "2014" ] ] }, "page" : "4006", "title" : "Decoding tumour phenotype by noninvasive imaging using a quantitative radiomics approach", "type" : "article-journal", "volume" : "5" }, "uris" : [ "http://www.mendeley.com/documents/?uuid=b69f70c4-94c1-4225-874b-d8471652d846" ] } ], "mendeley" : { "formattedCitation" : "[18]", "plainTextFormattedCitation" : "[18]", "previouslyFormattedCitation" : "[18]" }, "properties" : { "noteIndex" : 0 }, "schema" : "https://github.com/citation-style-language/schema/raw/master/csl-citation.json" }</w:instrText>
      </w:r>
      <w:r w:rsidR="009647D4">
        <w:fldChar w:fldCharType="separate"/>
      </w:r>
      <w:r w:rsidRPr="00F45BAC">
        <w:rPr>
          <w:noProof/>
        </w:rPr>
        <w:t>[18]</w:t>
      </w:r>
      <w:r w:rsidR="009647D4">
        <w:fldChar w:fldCharType="end"/>
      </w:r>
      <w:r>
        <w:t xml:space="preserve">, which decomposes the original image (I) into four </w:t>
      </w:r>
      <w:r w:rsidR="0085163A">
        <w:t xml:space="preserve">components: </w:t>
      </w:r>
      <w:r>
        <w:t>I</w:t>
      </w:r>
      <w:r w:rsidRPr="00453179">
        <w:rPr>
          <w:vertAlign w:val="subscript"/>
        </w:rPr>
        <w:t>LL</w:t>
      </w:r>
      <w:r>
        <w:t>, I</w:t>
      </w:r>
      <w:r w:rsidRPr="00453179">
        <w:rPr>
          <w:vertAlign w:val="subscript"/>
        </w:rPr>
        <w:t>LH</w:t>
      </w:r>
      <w:r>
        <w:t>, I</w:t>
      </w:r>
      <w:r w:rsidRPr="00453179">
        <w:rPr>
          <w:vertAlign w:val="subscript"/>
        </w:rPr>
        <w:t>HL</w:t>
      </w:r>
      <w:r>
        <w:t xml:space="preserve">, and </w:t>
      </w:r>
      <w:r w:rsidRPr="008C6D62">
        <w:t xml:space="preserve">I </w:t>
      </w:r>
      <w:r w:rsidRPr="008C6D62">
        <w:rPr>
          <w:vertAlign w:val="subscript"/>
        </w:rPr>
        <w:t>HH</w:t>
      </w:r>
      <w:r w:rsidRPr="008C6D62">
        <w:t>, where</w:t>
      </w:r>
      <w:r>
        <w:t xml:space="preserve"> L and H denotes the low and high pass filters respectively. For example, I</w:t>
      </w:r>
      <w:r w:rsidRPr="00047A4B">
        <w:rPr>
          <w:vertAlign w:val="subscript"/>
        </w:rPr>
        <w:t>HL</w:t>
      </w:r>
      <w:r>
        <w:t xml:space="preserve"> is obtained by applying </w:t>
      </w:r>
      <w:r w:rsidRPr="000B7A9E">
        <w:rPr>
          <w:noProof/>
        </w:rPr>
        <w:t>high</w:t>
      </w:r>
      <w:r>
        <w:rPr>
          <w:noProof/>
        </w:rPr>
        <w:t>-</w:t>
      </w:r>
      <w:r w:rsidRPr="000B7A9E">
        <w:rPr>
          <w:noProof/>
        </w:rPr>
        <w:t>pass</w:t>
      </w:r>
      <w:r>
        <w:t xml:space="preserve"> filter along the </w:t>
      </w:r>
      <w:r w:rsidRPr="000B7A9E">
        <w:rPr>
          <w:noProof/>
        </w:rPr>
        <w:t>x-direction</w:t>
      </w:r>
      <w:r>
        <w:t xml:space="preserve"> and low pass filter along y-direction on original CT image (I). </w:t>
      </w:r>
      <w:r w:rsidR="0085163A">
        <w:t>Mathematically, i</w:t>
      </w:r>
      <w:r>
        <w:t xml:space="preserve">t can be </w:t>
      </w:r>
      <w:r w:rsidR="0085163A">
        <w:t>described</w:t>
      </w:r>
      <w:r>
        <w:t xml:space="preserve"> as follows:</w:t>
      </w:r>
    </w:p>
    <w:tbl>
      <w:tblPr>
        <w:tblStyle w:val="TableGrid"/>
        <w:tblW w:w="864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28"/>
        <w:gridCol w:w="7200"/>
        <w:gridCol w:w="621"/>
      </w:tblGrid>
      <w:tr w:rsidR="00A7281D" w:rsidTr="003F1006">
        <w:trPr>
          <w:trHeight w:val="395"/>
        </w:trPr>
        <w:tc>
          <w:tcPr>
            <w:tcW w:w="828" w:type="dxa"/>
            <w:vAlign w:val="center"/>
          </w:tcPr>
          <w:p w:rsidR="00A7281D" w:rsidRDefault="00A7281D" w:rsidP="00727C16">
            <w:pPr>
              <w:jc w:val="center"/>
              <w:rPr>
                <w:rFonts w:cstheme="minorHAnsi"/>
              </w:rPr>
            </w:pPr>
          </w:p>
        </w:tc>
        <w:tc>
          <w:tcPr>
            <w:tcW w:w="7200" w:type="dxa"/>
            <w:vAlign w:val="center"/>
          </w:tcPr>
          <w:p w:rsidR="00A7281D" w:rsidRDefault="00D719F4" w:rsidP="00727C16">
            <w:pPr>
              <w:jc w:val="center"/>
              <w:rPr>
                <w:rFonts w:cstheme="minorHAnsi"/>
              </w:rPr>
            </w:pPr>
            <m:oMath>
              <m:sSub>
                <m:sSubPr>
                  <m:ctrlPr>
                    <w:rPr>
                      <w:rFonts w:ascii="Cambria Math" w:hAnsi="Cambria Math"/>
                      <w:i/>
                    </w:rPr>
                  </m:ctrlPr>
                </m:sSubPr>
                <m:e>
                  <m:r>
                    <w:rPr>
                      <w:rFonts w:ascii="Cambria Math" w:hAnsi="Cambria Math"/>
                    </w:rPr>
                    <m:t>I</m:t>
                  </m:r>
                </m:e>
                <m:sub>
                  <m:r>
                    <w:rPr>
                      <w:rFonts w:ascii="Cambria Math" w:hAnsi="Cambria Math"/>
                    </w:rPr>
                    <m:t>HL</m:t>
                  </m:r>
                </m:sub>
              </m:sSub>
              <m:d>
                <m:dPr>
                  <m:ctrlPr>
                    <w:rPr>
                      <w:rFonts w:ascii="Cambria Math" w:hAnsi="Cambria Math"/>
                      <w:i/>
                    </w:rPr>
                  </m:ctrlPr>
                </m:dPr>
                <m:e>
                  <m:r>
                    <w:rPr>
                      <w:rFonts w:ascii="Cambria Math" w:hAnsi="Cambria Math"/>
                    </w:rPr>
                    <m:t>i,j</m:t>
                  </m:r>
                </m:e>
              </m:d>
              <m:r>
                <w:rPr>
                  <w:rFonts w:ascii="Cambria Math" w:hAnsi="Cambria Math"/>
                </w:rPr>
                <m:t xml:space="preserve">= </m:t>
              </m:r>
              <m:nary>
                <m:naryPr>
                  <m:chr m:val="∑"/>
                  <m:limLoc m:val="undOvr"/>
                  <m:ctrlPr>
                    <w:rPr>
                      <w:rFonts w:ascii="Cambria Math" w:hAnsi="Cambria Math"/>
                      <w:i/>
                    </w:rPr>
                  </m:ctrlPr>
                </m:naryPr>
                <m:sub>
                  <m:r>
                    <w:rPr>
                      <w:rFonts w:ascii="Cambria Math" w:hAnsi="Cambria Math"/>
                    </w:rPr>
                    <m:t>p=1</m:t>
                  </m:r>
                </m:sub>
                <m:sup>
                  <m:sSub>
                    <m:sSubPr>
                      <m:ctrlPr>
                        <w:rPr>
                          <w:rFonts w:ascii="Cambria Math" w:hAnsi="Cambria Math"/>
                          <w:i/>
                        </w:rPr>
                      </m:ctrlPr>
                    </m:sSubPr>
                    <m:e>
                      <m:r>
                        <w:rPr>
                          <w:rFonts w:ascii="Cambria Math" w:hAnsi="Cambria Math"/>
                        </w:rPr>
                        <m:t>N</m:t>
                      </m:r>
                    </m:e>
                    <m:sub>
                      <m:r>
                        <w:rPr>
                          <w:rFonts w:ascii="Cambria Math" w:hAnsi="Cambria Math"/>
                        </w:rPr>
                        <m:t>H</m:t>
                      </m:r>
                    </m:sub>
                  </m:sSub>
                </m:sup>
                <m:e>
                  <m:nary>
                    <m:naryPr>
                      <m:chr m:val="∑"/>
                      <m:limLoc m:val="undOvr"/>
                      <m:ctrlPr>
                        <w:rPr>
                          <w:rFonts w:ascii="Cambria Math" w:hAnsi="Cambria Math"/>
                          <w:i/>
                        </w:rPr>
                      </m:ctrlPr>
                    </m:naryPr>
                    <m:sub>
                      <m:r>
                        <w:rPr>
                          <w:rFonts w:ascii="Cambria Math" w:hAnsi="Cambria Math"/>
                        </w:rPr>
                        <m:t>q=1</m:t>
                      </m:r>
                    </m:sub>
                    <m:sup>
                      <m:sSub>
                        <m:sSubPr>
                          <m:ctrlPr>
                            <w:rPr>
                              <w:rFonts w:ascii="Cambria Math" w:hAnsi="Cambria Math"/>
                              <w:i/>
                            </w:rPr>
                          </m:ctrlPr>
                        </m:sSubPr>
                        <m:e>
                          <m:r>
                            <w:rPr>
                              <w:rFonts w:ascii="Cambria Math" w:hAnsi="Cambria Math"/>
                            </w:rPr>
                            <m:t>N</m:t>
                          </m:r>
                        </m:e>
                        <m:sub>
                          <m:r>
                            <w:rPr>
                              <w:rFonts w:ascii="Cambria Math" w:hAnsi="Cambria Math"/>
                            </w:rPr>
                            <m:t>L</m:t>
                          </m:r>
                        </m:sub>
                      </m:sSub>
                    </m:sup>
                    <m:e>
                      <m:r>
                        <w:rPr>
                          <w:rFonts w:ascii="Cambria Math" w:hAnsi="Cambria Math"/>
                        </w:rPr>
                        <m:t>H(p)L(q)I(i+p,j+q)</m:t>
                      </m:r>
                    </m:e>
                  </m:nary>
                </m:e>
              </m:nary>
            </m:oMath>
            <w:r w:rsidR="00A7281D">
              <w:rPr>
                <w:rFonts w:cstheme="minorHAnsi"/>
              </w:rPr>
              <w:t xml:space="preserve"> </w:t>
            </w:r>
          </w:p>
        </w:tc>
        <w:tc>
          <w:tcPr>
            <w:tcW w:w="621" w:type="dxa"/>
            <w:vAlign w:val="center"/>
          </w:tcPr>
          <w:p w:rsidR="00A7281D" w:rsidRDefault="00A7281D" w:rsidP="003F1006">
            <w:pPr>
              <w:jc w:val="center"/>
              <w:rPr>
                <w:rFonts w:cstheme="minorHAnsi"/>
              </w:rPr>
            </w:pPr>
            <w:r>
              <w:rPr>
                <w:rFonts w:cstheme="minorHAnsi"/>
              </w:rPr>
              <w:t>(</w:t>
            </w:r>
            <w:fldSimple w:instr=" SEQ Eq \* MERGEFORMAT ">
              <w:r w:rsidR="00D719F4" w:rsidRPr="00D719F4">
                <w:rPr>
                  <w:rFonts w:cstheme="minorHAnsi"/>
                  <w:noProof/>
                </w:rPr>
                <w:t>39</w:t>
              </w:r>
            </w:fldSimple>
            <w:r>
              <w:rPr>
                <w:rFonts w:cstheme="minorHAnsi"/>
              </w:rPr>
              <w:t>)</w:t>
            </w:r>
          </w:p>
        </w:tc>
      </w:tr>
    </w:tbl>
    <w:p w:rsidR="0042606E" w:rsidRDefault="006B3F26" w:rsidP="0042606E">
      <w:pPr>
        <w:keepNext/>
        <w:jc w:val="center"/>
      </w:pPr>
      <w:r>
        <w:rPr>
          <w:noProof/>
          <w:lang w:bidi="ar-SA"/>
        </w:rPr>
        <w:lastRenderedPageBreak/>
        <w:drawing>
          <wp:inline distT="0" distB="0" distL="0" distR="0" wp14:anchorId="4CB50CF4" wp14:editId="58BEB9F7">
            <wp:extent cx="3814616" cy="3338423"/>
            <wp:effectExtent l="0" t="0" r="0" b="0"/>
            <wp:docPr id="49" name="Picture 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Wave.jpg"/>
                    <pic:cNvPicPr/>
                  </pic:nvPicPr>
                  <pic:blipFill>
                    <a:blip r:embed="rId23" cstate="print">
                      <a:extLst>
                        <a:ext uri="{28A0092B-C50C-407E-A947-70E740481C1C}">
                          <a14:useLocalDpi xmlns:a14="http://schemas.microsoft.com/office/drawing/2010/main" val="0"/>
                        </a:ext>
                      </a:extLst>
                    </a:blip>
                    <a:stretch>
                      <a:fillRect/>
                    </a:stretch>
                  </pic:blipFill>
                  <pic:spPr>
                    <a:xfrm>
                      <a:off x="0" y="0"/>
                      <a:ext cx="3814616" cy="3338423"/>
                    </a:xfrm>
                    <a:prstGeom prst="rect">
                      <a:avLst/>
                    </a:prstGeom>
                  </pic:spPr>
                </pic:pic>
              </a:graphicData>
            </a:graphic>
          </wp:inline>
        </w:drawing>
      </w:r>
    </w:p>
    <w:p w:rsidR="00FF6FF7" w:rsidRDefault="0042606E" w:rsidP="0042606E">
      <w:pPr>
        <w:pStyle w:val="Caption"/>
        <w:jc w:val="both"/>
        <w:rPr>
          <w:b w:val="0"/>
          <w:color w:val="auto"/>
          <w:sz w:val="24"/>
          <w:szCs w:val="24"/>
        </w:rPr>
      </w:pPr>
      <w:bookmarkStart w:id="38" w:name="_Toc467168362"/>
      <w:r w:rsidRPr="0042606E">
        <w:rPr>
          <w:color w:val="auto"/>
          <w:sz w:val="24"/>
          <w:szCs w:val="24"/>
        </w:rPr>
        <w:t xml:space="preserve">Figure </w:t>
      </w:r>
      <w:r w:rsidR="009647D4" w:rsidRPr="0042606E">
        <w:rPr>
          <w:color w:val="auto"/>
          <w:sz w:val="24"/>
          <w:szCs w:val="24"/>
        </w:rPr>
        <w:fldChar w:fldCharType="begin"/>
      </w:r>
      <w:r w:rsidRPr="0042606E">
        <w:rPr>
          <w:color w:val="auto"/>
          <w:sz w:val="24"/>
          <w:szCs w:val="24"/>
        </w:rPr>
        <w:instrText xml:space="preserve"> SEQ Figure \* ARABIC </w:instrText>
      </w:r>
      <w:r w:rsidR="009647D4" w:rsidRPr="0042606E">
        <w:rPr>
          <w:color w:val="auto"/>
          <w:sz w:val="24"/>
          <w:szCs w:val="24"/>
        </w:rPr>
        <w:fldChar w:fldCharType="separate"/>
      </w:r>
      <w:r w:rsidR="00D719F4">
        <w:rPr>
          <w:noProof/>
          <w:color w:val="auto"/>
          <w:sz w:val="24"/>
          <w:szCs w:val="24"/>
        </w:rPr>
        <w:t>4</w:t>
      </w:r>
      <w:r w:rsidR="009647D4" w:rsidRPr="0042606E">
        <w:rPr>
          <w:color w:val="auto"/>
          <w:sz w:val="24"/>
          <w:szCs w:val="24"/>
        </w:rPr>
        <w:fldChar w:fldCharType="end"/>
      </w:r>
      <w:r w:rsidRPr="0042606E">
        <w:rPr>
          <w:color w:val="auto"/>
          <w:sz w:val="24"/>
          <w:szCs w:val="24"/>
        </w:rPr>
        <w:t>:</w:t>
      </w:r>
      <w:r w:rsidRPr="0042606E">
        <w:rPr>
          <w:b w:val="0"/>
          <w:color w:val="auto"/>
          <w:sz w:val="24"/>
          <w:szCs w:val="24"/>
        </w:rPr>
        <w:t xml:space="preserve"> Wavelet decomposition of target CT slice using wavelet transforms (one-level and un-decimated two-dimensional wavelet transforms using "Coiflet 1" filter)</w:t>
      </w:r>
      <w:bookmarkEnd w:id="38"/>
    </w:p>
    <w:p w:rsidR="00ED0D24" w:rsidRPr="00ED0D24" w:rsidRDefault="00ED0D24" w:rsidP="00ED0D24">
      <w:pPr>
        <w:pStyle w:val="TableofFigures"/>
      </w:pPr>
    </w:p>
    <w:p w:rsidR="0042606E" w:rsidRDefault="004B0F47" w:rsidP="00D74F2A">
      <w:pPr>
        <w:ind w:firstLine="720"/>
        <w:jc w:val="both"/>
      </w:pPr>
      <w:r>
        <w:rPr>
          <w:noProof/>
        </w:rPr>
        <w:t xml:space="preserve">Accordingly, for each </w:t>
      </w:r>
      <w:r w:rsidR="006C481A" w:rsidRPr="006C481A">
        <w:rPr>
          <w:noProof/>
        </w:rPr>
        <w:t>component</w:t>
      </w:r>
      <w:r w:rsidRPr="006C481A">
        <w:rPr>
          <w:noProof/>
        </w:rPr>
        <w:t>,</w:t>
      </w:r>
      <w:r>
        <w:rPr>
          <w:noProof/>
        </w:rPr>
        <w:t xml:space="preserve"> we estimated the same density features as described above. All the features are summarized in</w:t>
      </w:r>
      <w:r w:rsidR="00EB05FB">
        <w:rPr>
          <w:noProof/>
          <w:color w:val="FF0000"/>
        </w:rPr>
        <w:t xml:space="preserve"> </w:t>
      </w:r>
      <w:r w:rsidR="009647D4">
        <w:rPr>
          <w:noProof/>
          <w:color w:val="FF0000"/>
        </w:rPr>
        <w:fldChar w:fldCharType="begin"/>
      </w:r>
      <w:r w:rsidR="00EB05FB">
        <w:rPr>
          <w:noProof/>
          <w:color w:val="FF0000"/>
        </w:rPr>
        <w:instrText xml:space="preserve"> REF _Ref467066993 \h </w:instrText>
      </w:r>
      <w:r w:rsidR="009647D4">
        <w:rPr>
          <w:noProof/>
          <w:color w:val="FF0000"/>
        </w:rPr>
      </w:r>
      <w:r w:rsidR="009647D4">
        <w:rPr>
          <w:noProof/>
          <w:color w:val="FF0000"/>
        </w:rPr>
        <w:fldChar w:fldCharType="separate"/>
      </w:r>
      <w:r w:rsidR="00D719F4" w:rsidRPr="00EB05FB">
        <w:t xml:space="preserve">Table </w:t>
      </w:r>
      <w:r w:rsidR="00D719F4">
        <w:rPr>
          <w:noProof/>
        </w:rPr>
        <w:t>2</w:t>
      </w:r>
      <w:r w:rsidR="009647D4">
        <w:rPr>
          <w:noProof/>
          <w:color w:val="FF0000"/>
        </w:rPr>
        <w:fldChar w:fldCharType="end"/>
      </w:r>
      <w:r>
        <w:t>.</w:t>
      </w:r>
    </w:p>
    <w:p w:rsidR="0042606E" w:rsidRPr="00EB05FB" w:rsidRDefault="0042606E" w:rsidP="00EB05FB">
      <w:pPr>
        <w:pStyle w:val="Caption"/>
        <w:keepNext/>
        <w:spacing w:after="0"/>
        <w:jc w:val="both"/>
        <w:rPr>
          <w:b w:val="0"/>
          <w:color w:val="auto"/>
          <w:sz w:val="24"/>
          <w:szCs w:val="24"/>
        </w:rPr>
      </w:pPr>
      <w:bookmarkStart w:id="39" w:name="_Ref467066993"/>
      <w:bookmarkStart w:id="40" w:name="_Toc467168345"/>
      <w:r w:rsidRPr="00EB05FB">
        <w:rPr>
          <w:color w:val="auto"/>
          <w:sz w:val="24"/>
          <w:szCs w:val="24"/>
        </w:rPr>
        <w:t xml:space="preserve">Table </w:t>
      </w:r>
      <w:r w:rsidR="009647D4" w:rsidRPr="00EB05FB">
        <w:rPr>
          <w:color w:val="auto"/>
          <w:sz w:val="24"/>
          <w:szCs w:val="24"/>
        </w:rPr>
        <w:fldChar w:fldCharType="begin"/>
      </w:r>
      <w:r w:rsidRPr="00EB05FB">
        <w:rPr>
          <w:color w:val="auto"/>
          <w:sz w:val="24"/>
          <w:szCs w:val="24"/>
        </w:rPr>
        <w:instrText xml:space="preserve"> SEQ Table \* ARABIC </w:instrText>
      </w:r>
      <w:r w:rsidR="009647D4" w:rsidRPr="00EB05FB">
        <w:rPr>
          <w:color w:val="auto"/>
          <w:sz w:val="24"/>
          <w:szCs w:val="24"/>
        </w:rPr>
        <w:fldChar w:fldCharType="separate"/>
      </w:r>
      <w:r w:rsidR="00D719F4">
        <w:rPr>
          <w:noProof/>
          <w:color w:val="auto"/>
          <w:sz w:val="24"/>
          <w:szCs w:val="24"/>
        </w:rPr>
        <w:t>2</w:t>
      </w:r>
      <w:r w:rsidR="009647D4" w:rsidRPr="00EB05FB">
        <w:rPr>
          <w:color w:val="auto"/>
          <w:sz w:val="24"/>
          <w:szCs w:val="24"/>
        </w:rPr>
        <w:fldChar w:fldCharType="end"/>
      </w:r>
      <w:bookmarkEnd w:id="39"/>
      <w:r w:rsidRPr="00EB05FB">
        <w:rPr>
          <w:color w:val="auto"/>
          <w:sz w:val="24"/>
          <w:szCs w:val="24"/>
        </w:rPr>
        <w:t>:</w:t>
      </w:r>
      <w:r w:rsidRPr="00EB05FB">
        <w:rPr>
          <w:b w:val="0"/>
          <w:color w:val="auto"/>
          <w:sz w:val="24"/>
          <w:szCs w:val="24"/>
        </w:rPr>
        <w:t xml:space="preserve"> Summary of all the 159 features separated by their feature class</w:t>
      </w:r>
      <w:bookmarkEnd w:id="40"/>
    </w:p>
    <w:tbl>
      <w:tblPr>
        <w:tblW w:w="8476" w:type="dxa"/>
        <w:tblInd w:w="108" w:type="dxa"/>
        <w:tblLook w:val="04A0" w:firstRow="1" w:lastRow="0" w:firstColumn="1" w:lastColumn="0" w:noHBand="0" w:noVBand="1"/>
      </w:tblPr>
      <w:tblGrid>
        <w:gridCol w:w="1049"/>
        <w:gridCol w:w="1143"/>
        <w:gridCol w:w="6284"/>
      </w:tblGrid>
      <w:tr w:rsidR="00437F09" w:rsidRPr="00973D99" w:rsidTr="00973D99">
        <w:trPr>
          <w:trHeight w:val="746"/>
        </w:trPr>
        <w:tc>
          <w:tcPr>
            <w:tcW w:w="1049" w:type="dxa"/>
            <w:tcBorders>
              <w:top w:val="double" w:sz="4" w:space="0" w:color="auto"/>
              <w:bottom w:val="single" w:sz="4" w:space="0" w:color="auto"/>
            </w:tcBorders>
            <w:shd w:val="clear" w:color="auto" w:fill="auto"/>
          </w:tcPr>
          <w:p w:rsidR="00B56F69" w:rsidRPr="00973D99" w:rsidRDefault="00B56F69" w:rsidP="00090293">
            <w:pPr>
              <w:pStyle w:val="Text"/>
              <w:ind w:firstLine="0"/>
              <w:rPr>
                <w:b/>
                <w:sz w:val="22"/>
              </w:rPr>
            </w:pPr>
            <w:r w:rsidRPr="00973D99">
              <w:rPr>
                <w:b/>
                <w:sz w:val="22"/>
              </w:rPr>
              <w:t>Feature class</w:t>
            </w:r>
          </w:p>
        </w:tc>
        <w:tc>
          <w:tcPr>
            <w:tcW w:w="1143" w:type="dxa"/>
            <w:tcBorders>
              <w:top w:val="double" w:sz="4" w:space="0" w:color="auto"/>
              <w:bottom w:val="single" w:sz="4" w:space="0" w:color="auto"/>
            </w:tcBorders>
            <w:shd w:val="clear" w:color="auto" w:fill="auto"/>
          </w:tcPr>
          <w:p w:rsidR="00B56F69" w:rsidRPr="00973D99" w:rsidRDefault="00B56F69" w:rsidP="00A53249">
            <w:pPr>
              <w:pStyle w:val="Text"/>
              <w:ind w:firstLine="0"/>
              <w:jc w:val="center"/>
              <w:rPr>
                <w:b/>
                <w:sz w:val="22"/>
              </w:rPr>
            </w:pPr>
            <w:r w:rsidRPr="00973D99">
              <w:rPr>
                <w:b/>
                <w:sz w:val="22"/>
              </w:rPr>
              <w:t>Feature number</w:t>
            </w:r>
          </w:p>
        </w:tc>
        <w:tc>
          <w:tcPr>
            <w:tcW w:w="6284" w:type="dxa"/>
            <w:tcBorders>
              <w:top w:val="double" w:sz="4" w:space="0" w:color="auto"/>
              <w:bottom w:val="single" w:sz="4" w:space="0" w:color="auto"/>
            </w:tcBorders>
            <w:shd w:val="clear" w:color="auto" w:fill="auto"/>
          </w:tcPr>
          <w:p w:rsidR="00B56F69" w:rsidRPr="00973D99" w:rsidRDefault="00B56F69" w:rsidP="00A53249">
            <w:pPr>
              <w:pStyle w:val="Text"/>
              <w:ind w:firstLine="0"/>
              <w:jc w:val="center"/>
              <w:rPr>
                <w:b/>
                <w:sz w:val="22"/>
              </w:rPr>
            </w:pPr>
            <w:r w:rsidRPr="00973D99">
              <w:rPr>
                <w:b/>
                <w:sz w:val="22"/>
              </w:rPr>
              <w:t>Feature description</w:t>
            </w:r>
          </w:p>
          <w:p w:rsidR="00B56F69" w:rsidRPr="00973D99" w:rsidRDefault="00B56F69" w:rsidP="00A53249">
            <w:pPr>
              <w:pStyle w:val="Text"/>
              <w:ind w:firstLine="0"/>
              <w:jc w:val="center"/>
              <w:rPr>
                <w:b/>
                <w:sz w:val="22"/>
              </w:rPr>
            </w:pPr>
          </w:p>
        </w:tc>
      </w:tr>
      <w:tr w:rsidR="00437F09" w:rsidRPr="00973D99" w:rsidTr="00973D99">
        <w:trPr>
          <w:trHeight w:val="1137"/>
        </w:trPr>
        <w:tc>
          <w:tcPr>
            <w:tcW w:w="1049" w:type="dxa"/>
            <w:tcBorders>
              <w:top w:val="single" w:sz="4" w:space="0" w:color="auto"/>
            </w:tcBorders>
            <w:shd w:val="clear" w:color="auto" w:fill="auto"/>
          </w:tcPr>
          <w:p w:rsidR="00B56F69" w:rsidRPr="00973D99" w:rsidRDefault="00B56F69" w:rsidP="00090293">
            <w:pPr>
              <w:pStyle w:val="Text"/>
              <w:ind w:right="-459" w:firstLine="0"/>
              <w:rPr>
                <w:b/>
                <w:sz w:val="22"/>
              </w:rPr>
            </w:pPr>
            <w:r w:rsidRPr="00973D99">
              <w:rPr>
                <w:b/>
                <w:sz w:val="22"/>
              </w:rPr>
              <w:t>Shape</w:t>
            </w:r>
          </w:p>
        </w:tc>
        <w:tc>
          <w:tcPr>
            <w:tcW w:w="1143" w:type="dxa"/>
            <w:tcBorders>
              <w:top w:val="single" w:sz="4" w:space="0" w:color="auto"/>
            </w:tcBorders>
            <w:shd w:val="clear" w:color="auto" w:fill="auto"/>
          </w:tcPr>
          <w:p w:rsidR="00B56F69" w:rsidRPr="00973D99" w:rsidRDefault="00B56F69" w:rsidP="00A53249">
            <w:pPr>
              <w:pStyle w:val="Text"/>
              <w:ind w:firstLine="0"/>
              <w:jc w:val="center"/>
              <w:rPr>
                <w:sz w:val="22"/>
              </w:rPr>
            </w:pPr>
            <w:r w:rsidRPr="00973D99">
              <w:rPr>
                <w:sz w:val="22"/>
              </w:rPr>
              <w:t>1-10</w:t>
            </w:r>
          </w:p>
        </w:tc>
        <w:tc>
          <w:tcPr>
            <w:tcW w:w="6284" w:type="dxa"/>
            <w:tcBorders>
              <w:top w:val="single" w:sz="4" w:space="0" w:color="auto"/>
            </w:tcBorders>
            <w:shd w:val="clear" w:color="auto" w:fill="auto"/>
          </w:tcPr>
          <w:p w:rsidR="00B56F69" w:rsidRPr="00973D99" w:rsidRDefault="008D7B88" w:rsidP="00090293">
            <w:pPr>
              <w:pStyle w:val="Text"/>
              <w:ind w:firstLine="0"/>
              <w:rPr>
                <w:sz w:val="22"/>
              </w:rPr>
            </w:pPr>
            <w:r w:rsidRPr="00973D99">
              <w:rPr>
                <w:sz w:val="22"/>
                <w:lang w:bidi="en-US"/>
              </w:rPr>
              <w:t xml:space="preserve">convexity, Tumor volume, maximum radius, STD RL , surface area, compactness feature 1, compactness feature 2, spherical disproportion, Sphericity, </w:t>
            </w:r>
            <w:r w:rsidRPr="00973D99">
              <w:rPr>
                <w:noProof/>
                <w:sz w:val="22"/>
                <w:lang w:bidi="en-US"/>
              </w:rPr>
              <w:t>ratio</w:t>
            </w:r>
            <w:r w:rsidRPr="00973D99">
              <w:rPr>
                <w:sz w:val="22"/>
                <w:lang w:bidi="en-US"/>
              </w:rPr>
              <w:t xml:space="preserve"> of surface area to Tumor volume</w:t>
            </w:r>
          </w:p>
        </w:tc>
      </w:tr>
      <w:tr w:rsidR="00437F09" w:rsidRPr="00973D99" w:rsidTr="00973D99">
        <w:trPr>
          <w:trHeight w:val="1510"/>
        </w:trPr>
        <w:tc>
          <w:tcPr>
            <w:tcW w:w="1049" w:type="dxa"/>
            <w:shd w:val="clear" w:color="auto" w:fill="auto"/>
          </w:tcPr>
          <w:p w:rsidR="00B56F69" w:rsidRPr="00973D99" w:rsidRDefault="00B56F69" w:rsidP="00A53249">
            <w:pPr>
              <w:pStyle w:val="Text"/>
              <w:ind w:firstLine="0"/>
              <w:rPr>
                <w:b/>
                <w:sz w:val="22"/>
              </w:rPr>
            </w:pPr>
            <w:r w:rsidRPr="00973D99">
              <w:rPr>
                <w:b/>
                <w:sz w:val="22"/>
              </w:rPr>
              <w:t>Density</w:t>
            </w:r>
          </w:p>
        </w:tc>
        <w:tc>
          <w:tcPr>
            <w:tcW w:w="1143" w:type="dxa"/>
            <w:shd w:val="clear" w:color="auto" w:fill="auto"/>
          </w:tcPr>
          <w:p w:rsidR="00B56F69" w:rsidRPr="00973D99" w:rsidRDefault="00B56F69" w:rsidP="00A53249">
            <w:pPr>
              <w:pStyle w:val="Text"/>
              <w:ind w:firstLine="0"/>
              <w:jc w:val="center"/>
              <w:rPr>
                <w:sz w:val="22"/>
              </w:rPr>
            </w:pPr>
            <w:r w:rsidRPr="00973D99">
              <w:rPr>
                <w:sz w:val="22"/>
              </w:rPr>
              <w:t>11-31</w:t>
            </w:r>
          </w:p>
        </w:tc>
        <w:tc>
          <w:tcPr>
            <w:tcW w:w="6284" w:type="dxa"/>
            <w:shd w:val="clear" w:color="auto" w:fill="auto"/>
          </w:tcPr>
          <w:p w:rsidR="00B56F69" w:rsidRPr="00973D99" w:rsidRDefault="008D7B88" w:rsidP="00090293">
            <w:pPr>
              <w:pStyle w:val="Text"/>
              <w:tabs>
                <w:tab w:val="left" w:pos="6201"/>
              </w:tabs>
              <w:ind w:firstLine="0"/>
              <w:rPr>
                <w:sz w:val="22"/>
                <w:lang w:bidi="en-US"/>
              </w:rPr>
            </w:pPr>
            <w:r w:rsidRPr="00973D99">
              <w:rPr>
                <w:sz w:val="22"/>
                <w:lang w:bidi="en-US"/>
              </w:rPr>
              <w:t>ISO-intensity, fluc</w:t>
            </w:r>
            <w:r w:rsidR="00EE52CB">
              <w:rPr>
                <w:sz w:val="22"/>
                <w:lang w:bidi="en-US"/>
              </w:rPr>
              <w:t xml:space="preserve">tuation mean, fluctuation STD, </w:t>
            </w:r>
            <w:r w:rsidRPr="00973D99">
              <w:rPr>
                <w:sz w:val="22"/>
                <w:lang w:bidi="en-US"/>
              </w:rPr>
              <w:t xml:space="preserve">gradient mean, gradient STD, Density, density STD, mean contrast, contrast, skewness, kurtosis, STD ratio of tumor to boundary, energy, entropy, maximum intensity, mean absolute deviation, median, minimum, range, </w:t>
            </w:r>
            <w:r w:rsidRPr="00973D99">
              <w:rPr>
                <w:noProof/>
                <w:sz w:val="22"/>
                <w:lang w:bidi="en-US"/>
              </w:rPr>
              <w:t>rms</w:t>
            </w:r>
            <w:r w:rsidRPr="00973D99">
              <w:rPr>
                <w:sz w:val="22"/>
                <w:lang w:bidi="en-US"/>
              </w:rPr>
              <w:t>, uniformity</w:t>
            </w:r>
          </w:p>
          <w:p w:rsidR="00516570" w:rsidRPr="00973D99" w:rsidRDefault="00516570" w:rsidP="00090293">
            <w:pPr>
              <w:pStyle w:val="Text"/>
              <w:tabs>
                <w:tab w:val="left" w:pos="6201"/>
              </w:tabs>
              <w:ind w:firstLine="0"/>
              <w:rPr>
                <w:sz w:val="22"/>
              </w:rPr>
            </w:pPr>
          </w:p>
        </w:tc>
      </w:tr>
      <w:tr w:rsidR="00437F09" w:rsidRPr="00973D99" w:rsidTr="00973D99">
        <w:trPr>
          <w:trHeight w:val="746"/>
        </w:trPr>
        <w:tc>
          <w:tcPr>
            <w:tcW w:w="1049" w:type="dxa"/>
            <w:shd w:val="clear" w:color="auto" w:fill="auto"/>
          </w:tcPr>
          <w:p w:rsidR="00B56F69" w:rsidRPr="00973D99" w:rsidRDefault="00B56F69" w:rsidP="00A53249">
            <w:pPr>
              <w:pStyle w:val="Text"/>
              <w:ind w:firstLine="0"/>
              <w:rPr>
                <w:b/>
                <w:sz w:val="22"/>
              </w:rPr>
            </w:pPr>
            <w:r w:rsidRPr="00973D99">
              <w:rPr>
                <w:b/>
                <w:sz w:val="22"/>
              </w:rPr>
              <w:t>Texture</w:t>
            </w:r>
          </w:p>
        </w:tc>
        <w:tc>
          <w:tcPr>
            <w:tcW w:w="1143" w:type="dxa"/>
            <w:shd w:val="clear" w:color="auto" w:fill="auto"/>
          </w:tcPr>
          <w:p w:rsidR="00B56F69" w:rsidRPr="00973D99" w:rsidRDefault="00B56F69" w:rsidP="00A53249">
            <w:pPr>
              <w:pStyle w:val="Text"/>
              <w:ind w:firstLine="0"/>
              <w:jc w:val="center"/>
              <w:rPr>
                <w:sz w:val="22"/>
              </w:rPr>
            </w:pPr>
            <w:r w:rsidRPr="00973D99">
              <w:rPr>
                <w:sz w:val="22"/>
              </w:rPr>
              <w:t>32-75</w:t>
            </w:r>
          </w:p>
        </w:tc>
        <w:tc>
          <w:tcPr>
            <w:tcW w:w="6284" w:type="dxa"/>
            <w:shd w:val="clear" w:color="auto" w:fill="auto"/>
          </w:tcPr>
          <w:p w:rsidR="00B56F69" w:rsidRPr="00973D99" w:rsidRDefault="00B56F69" w:rsidP="008D65E9">
            <w:pPr>
              <w:pStyle w:val="Text"/>
              <w:ind w:firstLine="0"/>
              <w:rPr>
                <w:sz w:val="22"/>
              </w:rPr>
            </w:pPr>
            <w:r w:rsidRPr="00973D99">
              <w:rPr>
                <w:sz w:val="22"/>
              </w:rPr>
              <w:t>11 gray level run length based features</w:t>
            </w:r>
            <w:r w:rsidR="008D65E9" w:rsidRPr="00973D99">
              <w:rPr>
                <w:sz w:val="22"/>
              </w:rPr>
              <w:t xml:space="preserve"> extracted</w:t>
            </w:r>
            <w:r w:rsidRPr="00973D99">
              <w:rPr>
                <w:sz w:val="22"/>
              </w:rPr>
              <w:t xml:space="preserve"> in four directions (0°, 45°, 90°, and 135°) </w:t>
            </w:r>
          </w:p>
        </w:tc>
      </w:tr>
      <w:tr w:rsidR="00437F09" w:rsidRPr="00973D99" w:rsidTr="00973D99">
        <w:trPr>
          <w:trHeight w:val="391"/>
        </w:trPr>
        <w:tc>
          <w:tcPr>
            <w:tcW w:w="1049" w:type="dxa"/>
            <w:tcBorders>
              <w:bottom w:val="double" w:sz="4" w:space="0" w:color="auto"/>
            </w:tcBorders>
            <w:shd w:val="clear" w:color="auto" w:fill="auto"/>
          </w:tcPr>
          <w:p w:rsidR="00B56F69" w:rsidRPr="00973D99" w:rsidRDefault="00B56F69" w:rsidP="00A53249">
            <w:pPr>
              <w:pStyle w:val="Text"/>
              <w:ind w:firstLine="0"/>
              <w:rPr>
                <w:b/>
                <w:sz w:val="22"/>
              </w:rPr>
            </w:pPr>
            <w:r w:rsidRPr="00973D99">
              <w:rPr>
                <w:b/>
                <w:sz w:val="22"/>
              </w:rPr>
              <w:t>Wavelet</w:t>
            </w:r>
          </w:p>
        </w:tc>
        <w:tc>
          <w:tcPr>
            <w:tcW w:w="1143" w:type="dxa"/>
            <w:tcBorders>
              <w:bottom w:val="double" w:sz="4" w:space="0" w:color="auto"/>
            </w:tcBorders>
            <w:shd w:val="clear" w:color="auto" w:fill="auto"/>
          </w:tcPr>
          <w:p w:rsidR="00437F09" w:rsidRPr="00973D99" w:rsidRDefault="00B56F69" w:rsidP="006C481A">
            <w:pPr>
              <w:pStyle w:val="Text"/>
              <w:ind w:firstLine="0"/>
              <w:jc w:val="center"/>
              <w:rPr>
                <w:sz w:val="22"/>
              </w:rPr>
            </w:pPr>
            <w:r w:rsidRPr="00973D99">
              <w:rPr>
                <w:sz w:val="22"/>
              </w:rPr>
              <w:t>76-159</w:t>
            </w:r>
          </w:p>
        </w:tc>
        <w:tc>
          <w:tcPr>
            <w:tcW w:w="6284" w:type="dxa"/>
            <w:tcBorders>
              <w:bottom w:val="double" w:sz="4" w:space="0" w:color="auto"/>
            </w:tcBorders>
            <w:shd w:val="clear" w:color="auto" w:fill="auto"/>
          </w:tcPr>
          <w:p w:rsidR="00437F09" w:rsidRPr="00973D99" w:rsidRDefault="00B56F69" w:rsidP="00190E31">
            <w:pPr>
              <w:pStyle w:val="Text"/>
              <w:ind w:firstLine="0"/>
              <w:rPr>
                <w:sz w:val="22"/>
              </w:rPr>
            </w:pPr>
            <w:r w:rsidRPr="00973D99">
              <w:rPr>
                <w:sz w:val="22"/>
              </w:rPr>
              <w:t xml:space="preserve">Apply the density features on the four wavelet </w:t>
            </w:r>
            <w:r w:rsidR="00190E31">
              <w:rPr>
                <w:sz w:val="22"/>
              </w:rPr>
              <w:t>components</w:t>
            </w:r>
          </w:p>
        </w:tc>
      </w:tr>
    </w:tbl>
    <w:p w:rsidR="004B0F47" w:rsidRDefault="004B0F47" w:rsidP="000973F9">
      <w:pPr>
        <w:ind w:firstLine="720"/>
        <w:jc w:val="both"/>
      </w:pPr>
      <w:r>
        <w:lastRenderedPageBreak/>
        <w:t>For each case, we computed these 159 feature</w:t>
      </w:r>
      <w:r w:rsidR="00A6616E">
        <w:t>s</w:t>
      </w:r>
      <w:r>
        <w:t xml:space="preserve"> on both pre-treatment </w:t>
      </w:r>
      <w:r w:rsidRPr="00D94BFF">
        <w:t>(</w:t>
      </w:r>
      <m:oMath>
        <m:sSubSup>
          <m:sSubSupPr>
            <m:ctrlPr>
              <w:rPr>
                <w:rFonts w:ascii="Cambria Math" w:hAnsi="Cambria Math"/>
              </w:rPr>
            </m:ctrlPr>
          </m:sSubSupPr>
          <m:e>
            <m:r>
              <m:rPr>
                <m:sty m:val="p"/>
              </m:rPr>
              <w:rPr>
                <w:rFonts w:ascii="Cambria Math" w:hAnsi="Cambria Math"/>
              </w:rPr>
              <m:t>F</m:t>
            </m:r>
          </m:e>
          <m:sub>
            <m:r>
              <m:rPr>
                <m:sty m:val="p"/>
              </m:rPr>
              <w:rPr>
                <w:rFonts w:ascii="Cambria Math" w:hAnsi="Cambria Math"/>
              </w:rPr>
              <m:t>i</m:t>
            </m:r>
          </m:sub>
          <m:sup>
            <m:r>
              <m:rPr>
                <m:sty m:val="p"/>
              </m:rPr>
              <w:rPr>
                <w:rFonts w:ascii="Cambria Math" w:hAnsi="Cambria Math"/>
              </w:rPr>
              <m:t>Pre</m:t>
            </m:r>
          </m:sup>
        </m:sSubSup>
      </m:oMath>
      <w:r w:rsidRPr="00D94BFF">
        <w:t>)</w:t>
      </w:r>
      <w:r>
        <w:t xml:space="preserve"> and 4-6 week follow-up </w:t>
      </w:r>
      <w:r w:rsidRPr="00D94BFF">
        <w:t>(</w:t>
      </w:r>
      <m:oMath>
        <m:sSubSup>
          <m:sSubSupPr>
            <m:ctrlPr>
              <w:rPr>
                <w:rFonts w:ascii="Cambria Math" w:hAnsi="Cambria Math"/>
              </w:rPr>
            </m:ctrlPr>
          </m:sSubSupPr>
          <m:e>
            <m:r>
              <m:rPr>
                <m:sty m:val="p"/>
              </m:rPr>
              <w:rPr>
                <w:rFonts w:ascii="Cambria Math" w:hAnsi="Cambria Math"/>
              </w:rPr>
              <m:t>F</m:t>
            </m:r>
          </m:e>
          <m:sub>
            <m:r>
              <m:rPr>
                <m:sty m:val="p"/>
              </m:rPr>
              <w:rPr>
                <w:rFonts w:ascii="Cambria Math" w:hAnsi="Cambria Math"/>
              </w:rPr>
              <m:t>i</m:t>
            </m:r>
          </m:sub>
          <m:sup>
            <m:r>
              <m:rPr>
                <m:sty m:val="p"/>
              </m:rPr>
              <w:rPr>
                <w:rFonts w:ascii="Cambria Math" w:hAnsi="Cambria Math"/>
              </w:rPr>
              <m:t>Post</m:t>
            </m:r>
          </m:sup>
        </m:sSubSup>
      </m:oMath>
      <w:r w:rsidRPr="00D94BFF">
        <w:t>)</w:t>
      </w:r>
      <w:r>
        <w:t xml:space="preserve"> CT image sets. Then, the tumor feature differences </w:t>
      </w:r>
      <m:oMath>
        <m:r>
          <m:rPr>
            <m:sty m:val="p"/>
          </m:rPr>
          <w:rPr>
            <w:rFonts w:ascii="Cambria Math" w:hAnsi="Cambria Math"/>
          </w:rPr>
          <m:t>∆</m:t>
        </m:r>
        <m:sSub>
          <m:sSubPr>
            <m:ctrlPr>
              <w:rPr>
                <w:rFonts w:ascii="Cambria Math" w:hAnsi="Cambria Math"/>
              </w:rPr>
            </m:ctrlPr>
          </m:sSubPr>
          <m:e>
            <m:r>
              <m:rPr>
                <m:sty m:val="p"/>
              </m:rPr>
              <w:rPr>
                <w:rFonts w:ascii="Cambria Math" w:hAnsi="Cambria Math"/>
              </w:rPr>
              <m:t>F</m:t>
            </m:r>
          </m:e>
          <m:sub>
            <m:r>
              <m:rPr>
                <m:sty m:val="p"/>
              </m:rPr>
              <w:rPr>
                <w:rFonts w:ascii="Cambria Math" w:hAnsi="Cambria Math"/>
              </w:rPr>
              <m:t>i</m:t>
            </m:r>
          </m:sub>
        </m:sSub>
        <m:r>
          <m:rPr>
            <m:sty m:val="p"/>
          </m:rPr>
          <w:rPr>
            <w:rFonts w:ascii="Cambria Math" w:hAnsi="Cambria Math"/>
          </w:rPr>
          <m:t xml:space="preserve">= </m:t>
        </m:r>
        <m:sSubSup>
          <m:sSubSupPr>
            <m:ctrlPr>
              <w:rPr>
                <w:rFonts w:ascii="Cambria Math" w:hAnsi="Cambria Math"/>
              </w:rPr>
            </m:ctrlPr>
          </m:sSubSupPr>
          <m:e>
            <m:r>
              <m:rPr>
                <m:sty m:val="p"/>
              </m:rPr>
              <w:rPr>
                <w:rFonts w:ascii="Cambria Math" w:hAnsi="Cambria Math"/>
              </w:rPr>
              <m:t>F</m:t>
            </m:r>
          </m:e>
          <m:sub>
            <m:r>
              <m:rPr>
                <m:sty m:val="p"/>
              </m:rPr>
              <w:rPr>
                <w:rFonts w:ascii="Cambria Math" w:hAnsi="Cambria Math"/>
              </w:rPr>
              <m:t>i</m:t>
            </m:r>
          </m:sub>
          <m:sup>
            <m:r>
              <m:rPr>
                <m:sty m:val="p"/>
              </m:rPr>
              <w:rPr>
                <w:rFonts w:ascii="Cambria Math" w:hAnsi="Cambria Math"/>
              </w:rPr>
              <m:t>Post</m:t>
            </m:r>
          </m:sup>
        </m:sSubSup>
        <m:r>
          <m:rPr>
            <m:sty m:val="p"/>
          </m:rPr>
          <w:rPr>
            <w:rFonts w:ascii="Cambria Math" w:hAnsi="Cambria Math"/>
          </w:rPr>
          <m:t xml:space="preserve">- </m:t>
        </m:r>
        <m:sSubSup>
          <m:sSubSupPr>
            <m:ctrlPr>
              <w:rPr>
                <w:rFonts w:ascii="Cambria Math" w:hAnsi="Cambria Math"/>
              </w:rPr>
            </m:ctrlPr>
          </m:sSubSupPr>
          <m:e>
            <m:r>
              <m:rPr>
                <m:sty m:val="p"/>
              </m:rPr>
              <w:rPr>
                <w:rFonts w:ascii="Cambria Math" w:hAnsi="Cambria Math"/>
              </w:rPr>
              <m:t>F</m:t>
            </m:r>
          </m:e>
          <m:sub>
            <m:r>
              <m:rPr>
                <m:sty m:val="p"/>
              </m:rPr>
              <w:rPr>
                <w:rFonts w:ascii="Cambria Math" w:hAnsi="Cambria Math"/>
              </w:rPr>
              <m:t>i</m:t>
            </m:r>
          </m:sub>
          <m:sup>
            <m:r>
              <m:rPr>
                <m:sty m:val="p"/>
              </m:rPr>
              <w:rPr>
                <w:rFonts w:ascii="Cambria Math" w:hAnsi="Cambria Math"/>
              </w:rPr>
              <m:t>Pre</m:t>
            </m:r>
          </m:sup>
        </m:sSubSup>
      </m:oMath>
      <w:r>
        <w:t xml:space="preserve"> were also computed. After that, feature sets</w:t>
      </w:r>
      <m:oMath>
        <m:r>
          <w:rPr>
            <w:rFonts w:ascii="Cambria Math" w:hAnsi="Cambria Math"/>
          </w:rPr>
          <m:t xml:space="preserve"> </m:t>
        </m:r>
        <m:sSubSup>
          <m:sSubSupPr>
            <m:ctrlPr>
              <w:rPr>
                <w:rFonts w:ascii="Cambria Math" w:hAnsi="Cambria Math"/>
              </w:rPr>
            </m:ctrlPr>
          </m:sSubSupPr>
          <m:e>
            <m:r>
              <m:rPr>
                <m:sty m:val="p"/>
              </m:rPr>
              <w:rPr>
                <w:rFonts w:ascii="Cambria Math" w:hAnsi="Cambria Math"/>
              </w:rPr>
              <m:t>F</m:t>
            </m:r>
          </m:e>
          <m:sub>
            <m:r>
              <m:rPr>
                <m:sty m:val="p"/>
              </m:rPr>
              <w:rPr>
                <w:rFonts w:ascii="Cambria Math" w:hAnsi="Cambria Math"/>
              </w:rPr>
              <m:t>i</m:t>
            </m:r>
          </m:sub>
          <m:sup>
            <m:r>
              <m:rPr>
                <m:sty m:val="p"/>
              </m:rPr>
              <w:rPr>
                <w:rFonts w:ascii="Cambria Math" w:hAnsi="Cambria Math"/>
              </w:rPr>
              <m:t>Pre</m:t>
            </m:r>
          </m:sup>
        </m:sSubSup>
        <m:r>
          <m:rPr>
            <m:sty m:val="p"/>
          </m:rPr>
          <w:rPr>
            <w:rFonts w:ascii="Cambria Math" w:hAnsi="Cambria Math"/>
          </w:rPr>
          <m:t>, ∆</m:t>
        </m:r>
        <m:sSub>
          <m:sSubPr>
            <m:ctrlPr>
              <w:rPr>
                <w:rFonts w:ascii="Cambria Math" w:hAnsi="Cambria Math"/>
              </w:rPr>
            </m:ctrlPr>
          </m:sSubPr>
          <m:e>
            <m:r>
              <m:rPr>
                <m:sty m:val="p"/>
              </m:rPr>
              <w:rPr>
                <w:rFonts w:ascii="Cambria Math" w:hAnsi="Cambria Math"/>
              </w:rPr>
              <m:t>F</m:t>
            </m:r>
          </m:e>
          <m:sub>
            <m:r>
              <m:rPr>
                <m:sty m:val="p"/>
              </m:rPr>
              <w:rPr>
                <w:rFonts w:ascii="Cambria Math" w:hAnsi="Cambria Math"/>
              </w:rPr>
              <m:t>i</m:t>
            </m:r>
          </m:sub>
        </m:sSub>
      </m:oMath>
      <w:r>
        <w:t xml:space="preserve"> were normalized within </w:t>
      </w:r>
      <w:r>
        <w:rPr>
          <w:rFonts w:ascii="Times New Roman" w:hAnsi="Times New Roman"/>
          <w:color w:val="000000"/>
        </w:rPr>
        <w:t xml:space="preserve">the range between </w:t>
      </w:r>
      <m:oMath>
        <m:r>
          <m:rPr>
            <m:sty m:val="p"/>
          </m:rPr>
          <w:rPr>
            <w:rFonts w:ascii="Cambria Math" w:hAnsi="Cambria Math"/>
            <w:color w:val="000000"/>
          </w:rPr>
          <m:t>μ+2σ</m:t>
        </m:r>
      </m:oMath>
      <w:r w:rsidRPr="00060DF6">
        <w:rPr>
          <w:rFonts w:ascii="Times New Roman" w:hAnsi="Times New Roman"/>
          <w:bCs/>
          <w:color w:val="000000"/>
        </w:rPr>
        <w:t xml:space="preserve"> and</w:t>
      </w:r>
      <m:oMath>
        <m:r>
          <w:rPr>
            <w:rFonts w:ascii="Cambria Math" w:hAnsi="Cambria Math"/>
            <w:color w:val="000000"/>
          </w:rPr>
          <m:t xml:space="preserve"> </m:t>
        </m:r>
        <m:r>
          <m:rPr>
            <m:sty m:val="p"/>
          </m:rPr>
          <w:rPr>
            <w:rFonts w:ascii="Cambria Math" w:hAnsi="Cambria Math"/>
            <w:color w:val="000000"/>
          </w:rPr>
          <m:t>μ-2σ</m:t>
        </m:r>
      </m:oMath>
      <w:r>
        <w:rPr>
          <w:rFonts w:ascii="Times New Roman" w:hAnsi="Times New Roman"/>
          <w:color w:val="000000"/>
        </w:rPr>
        <w:t>,</w:t>
      </w:r>
      <w:r>
        <w:t xml:space="preserve"> where</w:t>
      </w:r>
      <w:r w:rsidRPr="003C3C69">
        <w:rPr>
          <w:rFonts w:ascii="Times New Roman" w:hAnsi="Times New Roman"/>
          <w:bCs/>
          <w:color w:val="000000"/>
        </w:rPr>
        <w:t xml:space="preserve"> </w:t>
      </w:r>
      <m:oMath>
        <m:r>
          <m:rPr>
            <m:sty m:val="p"/>
          </m:rPr>
          <w:rPr>
            <w:rFonts w:ascii="Cambria Math" w:hAnsi="Cambria Math"/>
            <w:color w:val="000000"/>
          </w:rPr>
          <m:t xml:space="preserve">μ </m:t>
        </m:r>
      </m:oMath>
      <w:r w:rsidRPr="00060DF6">
        <w:rPr>
          <w:rFonts w:ascii="Times New Roman" w:hAnsi="Times New Roman"/>
          <w:bCs/>
          <w:color w:val="000000"/>
        </w:rPr>
        <w:t xml:space="preserve">and </w:t>
      </w:r>
      <m:oMath>
        <m:r>
          <m:rPr>
            <m:sty m:val="p"/>
          </m:rPr>
          <w:rPr>
            <w:rFonts w:ascii="Cambria Math" w:hAnsi="Cambria Math"/>
            <w:color w:val="000000"/>
          </w:rPr>
          <m:t>σ</m:t>
        </m:r>
      </m:oMath>
      <w:r w:rsidRPr="00060DF6">
        <w:rPr>
          <w:rFonts w:ascii="Times New Roman" w:hAnsi="Times New Roman"/>
          <w:bCs/>
          <w:color w:val="000000"/>
        </w:rPr>
        <w:t xml:space="preserve"> denote the mean and standard </w:t>
      </w:r>
      <w:r w:rsidR="00FD6069">
        <w:rPr>
          <w:rFonts w:ascii="Times New Roman" w:hAnsi="Times New Roman"/>
          <w:bCs/>
          <w:color w:val="000000"/>
        </w:rPr>
        <w:t>deviation of the feature values</w:t>
      </w:r>
      <w:r w:rsidRPr="00060DF6">
        <w:rPr>
          <w:rFonts w:ascii="Times New Roman" w:hAnsi="Times New Roman"/>
          <w:bCs/>
          <w:color w:val="000000"/>
        </w:rPr>
        <w:t xml:space="preserve"> respectively.</w:t>
      </w:r>
      <w:r>
        <w:t xml:space="preserve"> </w:t>
      </w:r>
      <w:r>
        <w:rPr>
          <w:rFonts w:ascii="Times New Roman" w:hAnsi="Times New Roman"/>
          <w:bCs/>
          <w:color w:val="000000" w:themeColor="text1"/>
        </w:rPr>
        <w:t>I</w:t>
      </w:r>
      <w:r w:rsidRPr="00060DF6">
        <w:rPr>
          <w:rFonts w:ascii="Times New Roman" w:hAnsi="Times New Roman"/>
          <w:bCs/>
          <w:color w:val="000000"/>
        </w:rPr>
        <w:t xml:space="preserve">n accordance with the RECIST guidelines, 1 to 5 tumors were </w:t>
      </w:r>
      <w:r>
        <w:rPr>
          <w:rFonts w:ascii="Times New Roman" w:hAnsi="Times New Roman"/>
          <w:bCs/>
          <w:color w:val="000000"/>
        </w:rPr>
        <w:t xml:space="preserve">tracked and </w:t>
      </w:r>
      <w:r w:rsidRPr="00060DF6">
        <w:rPr>
          <w:rFonts w:ascii="Times New Roman" w:hAnsi="Times New Roman"/>
          <w:bCs/>
          <w:color w:val="000000"/>
        </w:rPr>
        <w:t>studied</w:t>
      </w:r>
      <w:r>
        <w:rPr>
          <w:rFonts w:ascii="Times New Roman" w:hAnsi="Times New Roman"/>
          <w:bCs/>
          <w:color w:val="000000"/>
        </w:rPr>
        <w:t xml:space="preserve"> by radiologists </w:t>
      </w:r>
      <w:r w:rsidRPr="00060DF6">
        <w:rPr>
          <w:rFonts w:ascii="Times New Roman" w:hAnsi="Times New Roman"/>
          <w:bCs/>
          <w:color w:val="000000"/>
        </w:rPr>
        <w:t xml:space="preserve">for </w:t>
      </w:r>
      <w:r>
        <w:rPr>
          <w:rFonts w:ascii="Times New Roman" w:hAnsi="Times New Roman"/>
          <w:bCs/>
          <w:color w:val="000000"/>
        </w:rPr>
        <w:t>different</w:t>
      </w:r>
      <w:r w:rsidRPr="00060DF6">
        <w:rPr>
          <w:rFonts w:ascii="Times New Roman" w:hAnsi="Times New Roman"/>
          <w:bCs/>
          <w:color w:val="000000"/>
        </w:rPr>
        <w:t xml:space="preserve"> cases. </w:t>
      </w:r>
      <w:r>
        <w:rPr>
          <w:rFonts w:ascii="Times New Roman" w:hAnsi="Times New Roman"/>
          <w:bCs/>
          <w:color w:val="000000"/>
        </w:rPr>
        <w:t>In this study, the average feature computed from</w:t>
      </w:r>
      <w:r w:rsidRPr="00060DF6">
        <w:rPr>
          <w:rFonts w:ascii="Times New Roman" w:hAnsi="Times New Roman"/>
          <w:bCs/>
          <w:color w:val="000000"/>
        </w:rPr>
        <w:t xml:space="preserve"> </w:t>
      </w:r>
      <m:oMath>
        <m:r>
          <m:rPr>
            <m:sty m:val="p"/>
          </m:rPr>
          <w:rPr>
            <w:rFonts w:ascii="Cambria Math" w:hAnsi="Cambria Math"/>
            <w:color w:val="000000"/>
          </w:rPr>
          <m:t>M</m:t>
        </m:r>
      </m:oMath>
      <w:r w:rsidRPr="00060DF6">
        <w:rPr>
          <w:rFonts w:ascii="Times New Roman" w:hAnsi="Times New Roman"/>
          <w:bCs/>
          <w:color w:val="000000"/>
        </w:rPr>
        <w:t xml:space="preserve"> tumors (</w:t>
      </w:r>
      <m:oMath>
        <m:r>
          <m:rPr>
            <m:sty m:val="p"/>
          </m:rPr>
          <w:rPr>
            <w:rFonts w:ascii="Cambria Math" w:hAnsi="Cambria Math"/>
            <w:color w:val="000000"/>
          </w:rPr>
          <m:t>1≤M≤5</m:t>
        </m:r>
      </m:oMath>
      <w:r w:rsidRPr="00060DF6">
        <w:rPr>
          <w:rFonts w:ascii="Times New Roman" w:hAnsi="Times New Roman"/>
          <w:bCs/>
          <w:color w:val="000000"/>
        </w:rPr>
        <w:t>) corresponding to the same case</w:t>
      </w:r>
      <w:r>
        <w:rPr>
          <w:rFonts w:ascii="Times New Roman" w:hAnsi="Times New Roman"/>
          <w:bCs/>
          <w:color w:val="000000"/>
        </w:rPr>
        <w:t xml:space="preserve"> was also computed and used to represent the final case-based feature value. We used the case-based features to assess their association to the 6-month PFS of the patient.</w:t>
      </w:r>
    </w:p>
    <w:p w:rsidR="006C481A" w:rsidRPr="006C481A" w:rsidRDefault="006C481A" w:rsidP="006C481A">
      <w:pPr>
        <w:ind w:firstLine="720"/>
        <w:jc w:val="both"/>
        <w:rPr>
          <w:rFonts w:ascii="Times New Roman" w:hAnsi="Times New Roman"/>
          <w:bCs/>
          <w:color w:val="000000"/>
        </w:rPr>
      </w:pPr>
      <w:r w:rsidRPr="006C481A">
        <w:rPr>
          <w:rFonts w:ascii="Times New Roman" w:hAnsi="Times New Roman"/>
          <w:bCs/>
          <w:color w:val="000000"/>
        </w:rPr>
        <w:t xml:space="preserve">After building two initial feature pools containing </w:t>
      </w:r>
      <m:oMath>
        <m:sSubSup>
          <m:sSubSupPr>
            <m:ctrlPr>
              <w:rPr>
                <w:rFonts w:ascii="Cambria Math" w:hAnsi="Cambria Math"/>
                <w:bCs/>
                <w:color w:val="000000"/>
              </w:rPr>
            </m:ctrlPr>
          </m:sSubSupPr>
          <m:e>
            <m:r>
              <m:rPr>
                <m:sty m:val="p"/>
              </m:rPr>
              <w:rPr>
                <w:rFonts w:ascii="Cambria Math" w:hAnsi="Cambria Math"/>
                <w:color w:val="000000"/>
              </w:rPr>
              <m:t>F</m:t>
            </m:r>
          </m:e>
          <m:sub>
            <m:r>
              <m:rPr>
                <m:sty m:val="p"/>
              </m:rPr>
              <w:rPr>
                <w:rFonts w:ascii="Cambria Math" w:hAnsi="Cambria Math"/>
                <w:color w:val="000000"/>
              </w:rPr>
              <m:t>i</m:t>
            </m:r>
          </m:sub>
          <m:sup>
            <m:r>
              <m:rPr>
                <m:sty m:val="p"/>
              </m:rPr>
              <w:rPr>
                <w:rFonts w:ascii="Cambria Math" w:hAnsi="Cambria Math"/>
                <w:color w:val="000000"/>
              </w:rPr>
              <m:t>Pre</m:t>
            </m:r>
          </m:sup>
        </m:sSubSup>
      </m:oMath>
      <w:r w:rsidRPr="006C481A">
        <w:rPr>
          <w:rFonts w:ascii="Times New Roman" w:hAnsi="Times New Roman"/>
          <w:bCs/>
          <w:color w:val="000000"/>
        </w:rPr>
        <w:t xml:space="preserve"> and </w:t>
      </w:r>
      <m:oMath>
        <m:sSub>
          <m:sSubPr>
            <m:ctrlPr>
              <w:rPr>
                <w:rFonts w:ascii="Cambria Math" w:hAnsi="Cambria Math"/>
                <w:bCs/>
                <w:color w:val="000000"/>
              </w:rPr>
            </m:ctrlPr>
          </m:sSubPr>
          <m:e>
            <m:r>
              <m:rPr>
                <m:sty m:val="p"/>
              </m:rPr>
              <w:rPr>
                <w:rFonts w:ascii="Cambria Math" w:hAnsi="Cambria Math"/>
                <w:color w:val="000000"/>
              </w:rPr>
              <m:t>∆F</m:t>
            </m:r>
          </m:e>
          <m:sub>
            <m:r>
              <m:rPr>
                <m:sty m:val="p"/>
              </m:rPr>
              <w:rPr>
                <w:rFonts w:ascii="Cambria Math" w:hAnsi="Cambria Math"/>
                <w:color w:val="000000"/>
              </w:rPr>
              <m:t>i</m:t>
            </m:r>
          </m:sub>
        </m:sSub>
        <m:r>
          <m:rPr>
            <m:sty m:val="p"/>
          </m:rPr>
          <w:rPr>
            <w:rFonts w:ascii="Cambria Math" w:hAnsi="Cambria Math"/>
            <w:color w:val="000000"/>
          </w:rPr>
          <m:t>=</m:t>
        </m:r>
        <m:sSubSup>
          <m:sSubSupPr>
            <m:ctrlPr>
              <w:rPr>
                <w:rFonts w:ascii="Cambria Math" w:hAnsi="Cambria Math"/>
                <w:bCs/>
                <w:color w:val="000000"/>
              </w:rPr>
            </m:ctrlPr>
          </m:sSubSupPr>
          <m:e>
            <m:r>
              <m:rPr>
                <m:sty m:val="p"/>
              </m:rPr>
              <w:rPr>
                <w:rFonts w:ascii="Cambria Math" w:hAnsi="Cambria Math"/>
                <w:color w:val="000000"/>
              </w:rPr>
              <m:t>F</m:t>
            </m:r>
          </m:e>
          <m:sub>
            <m:r>
              <m:rPr>
                <m:sty m:val="p"/>
              </m:rPr>
              <w:rPr>
                <w:rFonts w:ascii="Cambria Math" w:hAnsi="Cambria Math"/>
                <w:color w:val="000000"/>
              </w:rPr>
              <m:t>i</m:t>
            </m:r>
          </m:sub>
          <m:sup>
            <m:r>
              <m:rPr>
                <m:sty m:val="p"/>
              </m:rPr>
              <w:rPr>
                <w:rFonts w:ascii="Cambria Math" w:hAnsi="Cambria Math"/>
                <w:color w:val="000000"/>
              </w:rPr>
              <m:t>Post</m:t>
            </m:r>
          </m:sup>
        </m:sSubSup>
        <m:r>
          <m:rPr>
            <m:sty m:val="p"/>
          </m:rPr>
          <w:rPr>
            <w:rFonts w:ascii="Cambria Math" w:hAnsi="Cambria Math"/>
            <w:color w:val="000000"/>
          </w:rPr>
          <m:t>-</m:t>
        </m:r>
        <m:sSubSup>
          <m:sSubSupPr>
            <m:ctrlPr>
              <w:rPr>
                <w:rFonts w:ascii="Cambria Math" w:hAnsi="Cambria Math"/>
                <w:bCs/>
                <w:color w:val="000000"/>
              </w:rPr>
            </m:ctrlPr>
          </m:sSubSupPr>
          <m:e>
            <m:r>
              <m:rPr>
                <m:sty m:val="p"/>
              </m:rPr>
              <w:rPr>
                <w:rFonts w:ascii="Cambria Math" w:hAnsi="Cambria Math"/>
                <w:color w:val="000000"/>
              </w:rPr>
              <m:t>F</m:t>
            </m:r>
          </m:e>
          <m:sub>
            <m:r>
              <m:rPr>
                <m:sty m:val="p"/>
              </m:rPr>
              <w:rPr>
                <w:rFonts w:ascii="Cambria Math" w:hAnsi="Cambria Math"/>
                <w:color w:val="000000"/>
              </w:rPr>
              <m:t>i</m:t>
            </m:r>
          </m:sub>
          <m:sup>
            <m:r>
              <m:rPr>
                <m:sty m:val="p"/>
              </m:rPr>
              <w:rPr>
                <w:rFonts w:ascii="Cambria Math" w:hAnsi="Cambria Math"/>
                <w:color w:val="000000"/>
              </w:rPr>
              <m:t>Pre</m:t>
            </m:r>
          </m:sup>
        </m:sSubSup>
      </m:oMath>
      <w:r w:rsidR="00EE52CB">
        <w:rPr>
          <w:rFonts w:ascii="Times New Roman" w:hAnsi="Times New Roman"/>
          <w:bCs/>
          <w:color w:val="000000"/>
        </w:rPr>
        <w:t xml:space="preserve">, </w:t>
      </w:r>
      <w:r w:rsidRPr="006C481A">
        <w:rPr>
          <w:rFonts w:ascii="Times New Roman" w:hAnsi="Times New Roman"/>
          <w:bCs/>
          <w:color w:val="000000"/>
        </w:rPr>
        <w:t>we firstly assessed the performance of each feature, using receiver operating characteristic (ROC) curve</w:t>
      </w:r>
      <w:r w:rsidR="009647D4" w:rsidRPr="006C481A">
        <w:rPr>
          <w:rFonts w:ascii="Times New Roman" w:hAnsi="Times New Roman"/>
          <w:bCs/>
          <w:color w:val="000000"/>
        </w:rPr>
        <w:fldChar w:fldCharType="begin" w:fldLock="1"/>
      </w:r>
      <w:r w:rsidRPr="006C481A">
        <w:rPr>
          <w:rFonts w:ascii="Times New Roman" w:hAnsi="Times New Roman"/>
          <w:bCs/>
          <w:color w:val="000000"/>
        </w:rPr>
        <w:instrText>ADDIN CSL_CITATION { "citationItems" : [ { "id" : "ITEM-1", "itemData" : { "DOI" : "10.1016/S1076-6332(03)80557-3", "ISSN" : "10766332", "abstract" : "Rationale and Objectives The authors assessed and compared the performance of a computer-aided detection (CAD) scheme for the detection of masses and microcalcification clusters on a set of images collected from two consecutive (\u201ccurrent\u201d and \u201cprior\u201d) mammographic examinations. Materials and Methods A previously developed CAD scheme was used to assess two consecutive screening mammograms from 200 cases in which the current mammogram showed a mass or cluster of microcalcifications that resulted in breast biopsy. The latest prior examinations had been initially interpreted as negative or definitely benign findings (Breast Imaging Reporting and Data System rating, 1 or 2). The study involved images of 400 examinations acquired in 200 patients. Radiologists identified 172 masses and 128 clusters of microcalcifications on the current images. The performance of the CAD scheme was analyzed and compared for the current and latest prior images. Results There were significant differences (P &lt; .01) between current and prior images in many feature values. The performance of the CAD scheme was significantly lower for prior than for current images (P &lt; .01). At 0.5 and 0.2 false-positive mass and cluster cues per image, the scheme detected 78 malignant masses (78%) and 63 malignant clusters (80%) on current images. Only 42% of malignant cases were detected on prior images, including 40 masses (40%) and 36 microcalcification clusters (46%). Conclusion CAD schemes can detect a substantial fraction of masses and microcalcification clusters depicted on prior images. To improve performance with prior images, the scheme may have to be adaptively reoptimized with increasingly more subtle abnormalities.", "author" : [ { "dropping-particle" : "", "family" : "Zheng", "given" : "B", "non-dropping-particle" : "", "parse-names" : false, "suffix" : "" } ], "container-title" : "Academic Radiology", "id" : "ITEM-1", "issue" : "11", "issued" : { "date-parts" : [ [ "2002" ] ] }, "page" : "1245-1250", "title" : "Computer-Aided Detection in Mammography : An Assessment of Performance on Current and Prior Images", "type" : "article-journal", "volume" : "9" }, "uris" : [ "http://www.mendeley.com/documents/?uuid=164d99fc-65fd-41b9-b836-3c54a26be58e" ] }, { "id" : "ITEM-2", "itemData" : { "DOI" : "10.1002/(SICI)1097-0258(19980515)17:9&lt;1033::AID-SIM784&gt;3.0.CO;2-Z", "ISSN" : "0277-6715", "PMID" : "9612889", "abstract" : "SUMMARY We show that truth-state runs in rank-ordered data constitute a natural categorization of continuously-distributed test results for maximum likelihood (ML) estimation of ROC curves. On this basis, we develop two new algorithms for fitting binormal ROC curves to continuously-distributed data: a true ML algorithm (LABROC4) and a quasi-ML algorithm (LABROC5) that requires substantially less computation with large data sets. Simulation studies indicate that both algorithms produce reliable estimates of the binormal ROC curve parameters a and b, the ROC-area index A 8 , and the standard errors of those estimates.", "author" : [ { "dropping-particle" : "", "family" : "Metz", "given" : "Charles E", "non-dropping-particle" : "", "parse-names" : false, "suffix" : "" }, { "dropping-particle" : "", "family" : "Herman", "given" : "Benjamin A", "non-dropping-particle" : "", "parse-names" : false, "suffix" : "" }, { "dropping-particle" : "", "family" : "Shen", "given" : "Jong-Her", "non-dropping-particle" : "", "parse-names" : false, "suffix" : "" } ], "container-title" : "Ltd. Revised May STATISTICS IN MEDICINE Statist. Med", "id" : "ITEM-2", "issue" : "October 1996", "issued" : { "date-parts" : [ [ "1996" ] ] }, "page" : "1033-1053", "title" : "Maximum Likelihood Estimation of Receiver Operating Characteristic (Roc) Curves From Continuously-Distributed Data", "type" : "article-journal", "volume" : "17" }, "uris" : [ "http://www.mendeley.com/documents/?uuid=24a55cda-9375-4a53-9513-b220129c1bcc" ] } ], "mendeley" : { "formattedCitation" : "[24], [25]", "manualFormatting" : "[21-22]", "plainTextFormattedCitation" : "[24], [25]", "previouslyFormattedCitation" : "[24], [25]" }, "properties" : { "noteIndex" : 0 }, "schema" : "https://github.com/citation-style-language/schema/raw/master/csl-citation.json" }</w:instrText>
      </w:r>
      <w:r w:rsidR="009647D4" w:rsidRPr="006C481A">
        <w:rPr>
          <w:rFonts w:ascii="Times New Roman" w:hAnsi="Times New Roman"/>
          <w:bCs/>
          <w:color w:val="000000"/>
        </w:rPr>
        <w:fldChar w:fldCharType="separate"/>
      </w:r>
      <w:r w:rsidRPr="006C481A">
        <w:rPr>
          <w:rFonts w:ascii="Times New Roman" w:hAnsi="Times New Roman"/>
          <w:bCs/>
          <w:color w:val="000000"/>
        </w:rPr>
        <w:t>[21-22]</w:t>
      </w:r>
      <w:r w:rsidR="009647D4" w:rsidRPr="006C481A">
        <w:rPr>
          <w:rFonts w:ascii="Times New Roman" w:hAnsi="Times New Roman"/>
          <w:bCs/>
          <w:color w:val="000000"/>
        </w:rPr>
        <w:fldChar w:fldCharType="end"/>
      </w:r>
      <w:r w:rsidRPr="006C481A">
        <w:rPr>
          <w:rFonts w:ascii="Times New Roman" w:hAnsi="Times New Roman"/>
          <w:bCs/>
          <w:color w:val="000000"/>
        </w:rPr>
        <w:t>.</w:t>
      </w:r>
      <w:r w:rsidR="00EE52CB">
        <w:rPr>
          <w:rFonts w:ascii="Times New Roman" w:hAnsi="Times New Roman"/>
          <w:bCs/>
          <w:color w:val="000000"/>
        </w:rPr>
        <w:t xml:space="preserve"> Then we sorted features based </w:t>
      </w:r>
      <w:r w:rsidRPr="006C481A">
        <w:rPr>
          <w:rFonts w:ascii="Times New Roman" w:hAnsi="Times New Roman"/>
          <w:bCs/>
          <w:color w:val="000000"/>
        </w:rPr>
        <w:t xml:space="preserve">the area under the curve (AUC) values and top 20 features are selected in both feature pools, to investigate whether using feature difference </w:t>
      </w:r>
      <m:oMath>
        <m:sSub>
          <m:sSubPr>
            <m:ctrlPr>
              <w:rPr>
                <w:rFonts w:ascii="Cambria Math" w:hAnsi="Cambria Math"/>
                <w:bCs/>
                <w:color w:val="000000"/>
              </w:rPr>
            </m:ctrlPr>
          </m:sSubPr>
          <m:e>
            <m:r>
              <m:rPr>
                <m:sty m:val="p"/>
              </m:rPr>
              <w:rPr>
                <w:rFonts w:ascii="Cambria Math" w:hAnsi="Cambria Math"/>
                <w:color w:val="000000"/>
              </w:rPr>
              <m:t>∆F</m:t>
            </m:r>
          </m:e>
          <m:sub>
            <m:r>
              <m:rPr>
                <m:sty m:val="p"/>
              </m:rPr>
              <w:rPr>
                <w:rFonts w:ascii="Cambria Math" w:hAnsi="Cambria Math"/>
                <w:color w:val="000000"/>
              </w:rPr>
              <m:t>i</m:t>
            </m:r>
          </m:sub>
        </m:sSub>
        <m:r>
          <m:rPr>
            <m:sty m:val="p"/>
          </m:rPr>
          <w:rPr>
            <w:rFonts w:ascii="Cambria Math" w:hAnsi="Cambria Math"/>
            <w:color w:val="000000"/>
          </w:rPr>
          <m:t>=</m:t>
        </m:r>
        <m:sSubSup>
          <m:sSubSupPr>
            <m:ctrlPr>
              <w:rPr>
                <w:rFonts w:ascii="Cambria Math" w:hAnsi="Cambria Math"/>
                <w:bCs/>
                <w:color w:val="000000"/>
              </w:rPr>
            </m:ctrlPr>
          </m:sSubSupPr>
          <m:e>
            <m:r>
              <m:rPr>
                <m:sty m:val="p"/>
              </m:rPr>
              <w:rPr>
                <w:rFonts w:ascii="Cambria Math" w:hAnsi="Cambria Math"/>
                <w:color w:val="000000"/>
              </w:rPr>
              <m:t>F</m:t>
            </m:r>
          </m:e>
          <m:sub>
            <m:r>
              <m:rPr>
                <m:sty m:val="p"/>
              </m:rPr>
              <w:rPr>
                <w:rFonts w:ascii="Cambria Math" w:hAnsi="Cambria Math"/>
                <w:color w:val="000000"/>
              </w:rPr>
              <m:t>i</m:t>
            </m:r>
          </m:sub>
          <m:sup>
            <m:r>
              <m:rPr>
                <m:sty m:val="p"/>
              </m:rPr>
              <w:rPr>
                <w:rFonts w:ascii="Cambria Math" w:hAnsi="Cambria Math"/>
                <w:color w:val="000000"/>
              </w:rPr>
              <m:t>Post</m:t>
            </m:r>
          </m:sup>
        </m:sSubSup>
        <m:r>
          <m:rPr>
            <m:sty m:val="p"/>
          </m:rPr>
          <w:rPr>
            <w:rFonts w:ascii="Cambria Math" w:hAnsi="Cambria Math"/>
            <w:color w:val="000000"/>
          </w:rPr>
          <m:t>-</m:t>
        </m:r>
        <m:sSubSup>
          <m:sSubSupPr>
            <m:ctrlPr>
              <w:rPr>
                <w:rFonts w:ascii="Cambria Math" w:hAnsi="Cambria Math"/>
                <w:bCs/>
                <w:color w:val="000000"/>
              </w:rPr>
            </m:ctrlPr>
          </m:sSubSupPr>
          <m:e>
            <m:r>
              <m:rPr>
                <m:sty m:val="p"/>
              </m:rPr>
              <w:rPr>
                <w:rFonts w:ascii="Cambria Math" w:hAnsi="Cambria Math"/>
                <w:color w:val="000000"/>
              </w:rPr>
              <m:t>F</m:t>
            </m:r>
          </m:e>
          <m:sub>
            <m:r>
              <m:rPr>
                <m:sty m:val="p"/>
              </m:rPr>
              <w:rPr>
                <w:rFonts w:ascii="Cambria Math" w:hAnsi="Cambria Math"/>
                <w:color w:val="000000"/>
              </w:rPr>
              <m:t>i</m:t>
            </m:r>
          </m:sub>
          <m:sup>
            <m:r>
              <m:rPr>
                <m:sty m:val="p"/>
              </m:rPr>
              <w:rPr>
                <w:rFonts w:ascii="Cambria Math" w:hAnsi="Cambria Math"/>
                <w:color w:val="000000"/>
              </w:rPr>
              <m:t>Pre</m:t>
            </m:r>
          </m:sup>
        </m:sSubSup>
      </m:oMath>
      <w:r w:rsidRPr="006C481A">
        <w:rPr>
          <w:rFonts w:ascii="Times New Roman" w:hAnsi="Times New Roman"/>
          <w:bCs/>
          <w:color w:val="000000"/>
        </w:rPr>
        <w:t xml:space="preserve"> could yield significantly high performance than using the features computed fr</w:t>
      </w:r>
      <w:r w:rsidR="00EE52CB">
        <w:rPr>
          <w:rFonts w:ascii="Times New Roman" w:hAnsi="Times New Roman"/>
          <w:bCs/>
          <w:color w:val="000000"/>
        </w:rPr>
        <w:t xml:space="preserve">om pre-therapy CT images only. </w:t>
      </w:r>
      <w:r w:rsidRPr="006C481A">
        <w:rPr>
          <w:rFonts w:ascii="Times New Roman" w:hAnsi="Times New Roman"/>
          <w:bCs/>
          <w:color w:val="000000"/>
        </w:rPr>
        <w:t>Next, an equal-weighted Fusion model was built to combine the optimal feature cluster and generate a new combined feature marker to predict the 6-month progression free survival (PFS). We also used the ROC analysis method to assess the predicting performance of the combined marker. Finally, we built three confusion matrices using the prediction results generated by two fusion image markers and RECIST criteria used by radiologists in current clinical practice. The predicting accuracy of our new quantitative image markers were compared with the conventional RECIST method.</w:t>
      </w:r>
    </w:p>
    <w:p w:rsidR="00EF09D4" w:rsidRDefault="005109FA" w:rsidP="0046190C">
      <w:pPr>
        <w:pStyle w:val="Heading1"/>
      </w:pPr>
      <w:bookmarkStart w:id="41" w:name="_Toc468963707"/>
      <w:r w:rsidRPr="005109FA">
        <w:lastRenderedPageBreak/>
        <w:t xml:space="preserve">Chapter </w:t>
      </w:r>
      <w:r>
        <w:t>4</w:t>
      </w:r>
      <w:r w:rsidRPr="005109FA">
        <w:t xml:space="preserve">: </w:t>
      </w:r>
      <w:r w:rsidR="009D5DEE">
        <w:t>Results</w:t>
      </w:r>
      <w:bookmarkEnd w:id="41"/>
    </w:p>
    <w:p w:rsidR="006C481A" w:rsidRDefault="006C481A" w:rsidP="00FB7A07">
      <w:pPr>
        <w:pStyle w:val="Heading2"/>
      </w:pPr>
      <w:bookmarkStart w:id="42" w:name="_Toc468963708"/>
      <w:r>
        <w:t>Tumor segmentation results</w:t>
      </w:r>
      <w:bookmarkEnd w:id="42"/>
    </w:p>
    <w:p w:rsidR="007656ED" w:rsidRPr="006C481A" w:rsidRDefault="006C481A" w:rsidP="000973F9">
      <w:pPr>
        <w:ind w:firstLine="720"/>
        <w:jc w:val="both"/>
        <w:rPr>
          <w:bCs/>
        </w:rPr>
      </w:pPr>
      <w:r w:rsidRPr="006C481A">
        <w:rPr>
          <w:bCs/>
        </w:rPr>
        <w:t xml:space="preserve">A number of 138 tumors are used to assess the performance of these segmenting algorithms. All of these tumors are selected and tracked from the advanced ovarian cancer patients with recurrent </w:t>
      </w:r>
      <w:r w:rsidRPr="005C6975">
        <w:rPr>
          <w:bCs/>
        </w:rPr>
        <w:t xml:space="preserve">metastatic tumors. </w:t>
      </w:r>
      <w:r w:rsidR="009647D4" w:rsidRPr="005C6975">
        <w:rPr>
          <w:bCs/>
        </w:rPr>
        <w:fldChar w:fldCharType="begin"/>
      </w:r>
      <w:r w:rsidR="00FC787C" w:rsidRPr="005C6975">
        <w:rPr>
          <w:bCs/>
        </w:rPr>
        <w:instrText xml:space="preserve"> REF _Ref467066934 \h </w:instrText>
      </w:r>
      <w:r w:rsidR="009647D4" w:rsidRPr="005C6975">
        <w:rPr>
          <w:bCs/>
        </w:rPr>
      </w:r>
      <w:r w:rsidR="009647D4" w:rsidRPr="005C6975">
        <w:rPr>
          <w:bCs/>
        </w:rPr>
        <w:fldChar w:fldCharType="separate"/>
      </w:r>
      <w:r w:rsidR="00D719F4" w:rsidRPr="0042606E">
        <w:t xml:space="preserve">Figure </w:t>
      </w:r>
      <w:r w:rsidR="00D719F4">
        <w:rPr>
          <w:noProof/>
        </w:rPr>
        <w:t>3</w:t>
      </w:r>
      <w:r w:rsidR="009647D4" w:rsidRPr="005C6975">
        <w:rPr>
          <w:bCs/>
        </w:rPr>
        <w:fldChar w:fldCharType="end"/>
      </w:r>
      <w:r w:rsidR="00FC787C" w:rsidRPr="005C6975">
        <w:rPr>
          <w:bCs/>
        </w:rPr>
        <w:t xml:space="preserve"> </w:t>
      </w:r>
      <w:r w:rsidRPr="005C6975">
        <w:rPr>
          <w:bCs/>
        </w:rPr>
        <w:t>illustrates some typical segmenting examples of the eight methods, which demonstrated that these methods are effective for the tumor segmentation of the ovarian cancer cases. However, given that the metastatic tumors are highly sophisticated, none of the above eight approaches are able to effectively segment all the tumors. As indicated in</w:t>
      </w:r>
      <w:r w:rsidR="00FC787C" w:rsidRPr="005C6975">
        <w:rPr>
          <w:bCs/>
        </w:rPr>
        <w:t xml:space="preserve"> </w:t>
      </w:r>
      <w:r w:rsidR="009647D4" w:rsidRPr="005C6975">
        <w:rPr>
          <w:bCs/>
        </w:rPr>
        <w:fldChar w:fldCharType="begin"/>
      </w:r>
      <w:r w:rsidR="00FC787C" w:rsidRPr="005C6975">
        <w:rPr>
          <w:bCs/>
        </w:rPr>
        <w:instrText xml:space="preserve"> REF _Ref467067096 \h </w:instrText>
      </w:r>
      <w:r w:rsidR="009647D4" w:rsidRPr="005C6975">
        <w:rPr>
          <w:bCs/>
        </w:rPr>
      </w:r>
      <w:r w:rsidR="009647D4" w:rsidRPr="005C6975">
        <w:rPr>
          <w:bCs/>
        </w:rPr>
        <w:fldChar w:fldCharType="separate"/>
      </w:r>
      <w:r w:rsidR="00D719F4" w:rsidRPr="0042606E">
        <w:t xml:space="preserve">Table </w:t>
      </w:r>
      <w:r w:rsidR="00D719F4">
        <w:rPr>
          <w:noProof/>
        </w:rPr>
        <w:t>3</w:t>
      </w:r>
      <w:r w:rsidR="009647D4" w:rsidRPr="005C6975">
        <w:rPr>
          <w:bCs/>
        </w:rPr>
        <w:fldChar w:fldCharType="end"/>
      </w:r>
      <w:r w:rsidRPr="005C6975">
        <w:rPr>
          <w:bCs/>
        </w:rPr>
        <w:t xml:space="preserve">, the PDE based methods are achieved a better performance than the region growing </w:t>
      </w:r>
      <w:r w:rsidRPr="006C481A">
        <w:rPr>
          <w:bCs/>
        </w:rPr>
        <w:t xml:space="preserve">and Canny boundary operator methods, for which the fast marching, geometric active contour, and threshold level set </w:t>
      </w:r>
      <w:r w:rsidR="00782C41">
        <w:rPr>
          <w:bCs/>
        </w:rPr>
        <w:t>yielded a number of 106, 104</w:t>
      </w:r>
      <w:r w:rsidRPr="006C481A">
        <w:rPr>
          <w:bCs/>
        </w:rPr>
        <w:t>, and 107 satisfied segmenting results. In addition, although each single method is not able to segment all of these tumors, each of the tested tumors can be successfully segmented by at least one of the eight methods without the manual boundary correction.</w:t>
      </w:r>
    </w:p>
    <w:p w:rsidR="000D200C" w:rsidRPr="0042606E" w:rsidRDefault="000D200C" w:rsidP="000D200C">
      <w:pPr>
        <w:pStyle w:val="Caption"/>
        <w:keepNext/>
        <w:spacing w:after="0"/>
        <w:jc w:val="both"/>
        <w:rPr>
          <w:b w:val="0"/>
          <w:color w:val="auto"/>
          <w:sz w:val="24"/>
          <w:szCs w:val="24"/>
        </w:rPr>
      </w:pPr>
      <w:bookmarkStart w:id="43" w:name="_Ref467067096"/>
      <w:bookmarkStart w:id="44" w:name="_Toc467168346"/>
      <w:r w:rsidRPr="0042606E">
        <w:rPr>
          <w:color w:val="auto"/>
          <w:sz w:val="24"/>
          <w:szCs w:val="24"/>
        </w:rPr>
        <w:t xml:space="preserve">Table </w:t>
      </w:r>
      <w:r w:rsidR="009647D4" w:rsidRPr="0042606E">
        <w:rPr>
          <w:color w:val="auto"/>
          <w:sz w:val="24"/>
          <w:szCs w:val="24"/>
        </w:rPr>
        <w:fldChar w:fldCharType="begin"/>
      </w:r>
      <w:r w:rsidRPr="0042606E">
        <w:rPr>
          <w:color w:val="auto"/>
          <w:sz w:val="24"/>
          <w:szCs w:val="24"/>
        </w:rPr>
        <w:instrText xml:space="preserve"> SEQ Table \* ARABIC </w:instrText>
      </w:r>
      <w:r w:rsidR="009647D4" w:rsidRPr="0042606E">
        <w:rPr>
          <w:color w:val="auto"/>
          <w:sz w:val="24"/>
          <w:szCs w:val="24"/>
        </w:rPr>
        <w:fldChar w:fldCharType="separate"/>
      </w:r>
      <w:r w:rsidR="00D719F4">
        <w:rPr>
          <w:noProof/>
          <w:color w:val="auto"/>
          <w:sz w:val="24"/>
          <w:szCs w:val="24"/>
        </w:rPr>
        <w:t>3</w:t>
      </w:r>
      <w:r w:rsidR="009647D4" w:rsidRPr="0042606E">
        <w:rPr>
          <w:color w:val="auto"/>
          <w:sz w:val="24"/>
          <w:szCs w:val="24"/>
        </w:rPr>
        <w:fldChar w:fldCharType="end"/>
      </w:r>
      <w:bookmarkEnd w:id="43"/>
      <w:r w:rsidRPr="0042606E">
        <w:rPr>
          <w:color w:val="auto"/>
          <w:sz w:val="24"/>
          <w:szCs w:val="24"/>
        </w:rPr>
        <w:t>:</w:t>
      </w:r>
      <w:r w:rsidRPr="0042606E">
        <w:rPr>
          <w:b w:val="0"/>
          <w:color w:val="auto"/>
          <w:sz w:val="24"/>
          <w:szCs w:val="24"/>
        </w:rPr>
        <w:t xml:space="preserve"> Summary of the eight segmenting result of the 138 metastatic tumors for the advanced stage ovarian cancer patients</w:t>
      </w:r>
      <w:bookmarkEnd w:id="44"/>
    </w:p>
    <w:tbl>
      <w:tblPr>
        <w:tblStyle w:val="TableGrid1"/>
        <w:tblW w:w="8163" w:type="dxa"/>
        <w:jc w:val="center"/>
        <w:tblBorders>
          <w:top w:val="dotted" w:sz="4" w:space="0" w:color="auto"/>
          <w:left w:val="none" w:sz="0" w:space="0" w:color="auto"/>
          <w:bottom w:val="dotted" w:sz="4" w:space="0" w:color="auto"/>
          <w:right w:val="none" w:sz="0" w:space="0" w:color="auto"/>
          <w:insideH w:val="dotted" w:sz="4" w:space="0" w:color="auto"/>
          <w:insideV w:val="none" w:sz="0" w:space="0" w:color="auto"/>
        </w:tblBorders>
        <w:tblLayout w:type="fixed"/>
        <w:tblLook w:val="04A0" w:firstRow="1" w:lastRow="0" w:firstColumn="1" w:lastColumn="0" w:noHBand="0" w:noVBand="1"/>
      </w:tblPr>
      <w:tblGrid>
        <w:gridCol w:w="1814"/>
        <w:gridCol w:w="1440"/>
        <w:gridCol w:w="1710"/>
        <w:gridCol w:w="1710"/>
        <w:gridCol w:w="1489"/>
      </w:tblGrid>
      <w:tr w:rsidR="007656ED" w:rsidRPr="001E7D29" w:rsidTr="007656ED">
        <w:trPr>
          <w:trHeight w:val="504"/>
          <w:jc w:val="center"/>
        </w:trPr>
        <w:tc>
          <w:tcPr>
            <w:tcW w:w="1814" w:type="dxa"/>
            <w:tcBorders>
              <w:top w:val="double" w:sz="4" w:space="0" w:color="auto"/>
              <w:bottom w:val="single" w:sz="8" w:space="0" w:color="auto"/>
            </w:tcBorders>
            <w:vAlign w:val="center"/>
          </w:tcPr>
          <w:p w:rsidR="0061476D" w:rsidRDefault="001E7D29" w:rsidP="000973F9">
            <w:pPr>
              <w:spacing w:line="360" w:lineRule="auto"/>
              <w:jc w:val="center"/>
              <w:rPr>
                <w:rFonts w:eastAsia="Times New Roman"/>
                <w:lang w:eastAsia="en-US"/>
              </w:rPr>
            </w:pPr>
            <w:r w:rsidRPr="001E7D29">
              <w:rPr>
                <w:rFonts w:eastAsia="Times New Roman"/>
                <w:lang w:eastAsia="en-US"/>
              </w:rPr>
              <w:t>Segmenting</w:t>
            </w:r>
          </w:p>
          <w:p w:rsidR="001E7D29" w:rsidRPr="001E7D29" w:rsidRDefault="001E7D29" w:rsidP="000973F9">
            <w:pPr>
              <w:spacing w:line="360" w:lineRule="auto"/>
              <w:jc w:val="center"/>
              <w:rPr>
                <w:rFonts w:eastAsia="Times New Roman"/>
                <w:lang w:eastAsia="en-US"/>
              </w:rPr>
            </w:pPr>
            <w:r w:rsidRPr="001E7D29">
              <w:rPr>
                <w:rFonts w:eastAsia="Times New Roman"/>
                <w:lang w:eastAsia="en-US"/>
              </w:rPr>
              <w:t>methods</w:t>
            </w:r>
          </w:p>
        </w:tc>
        <w:tc>
          <w:tcPr>
            <w:tcW w:w="1440" w:type="dxa"/>
            <w:tcBorders>
              <w:top w:val="double" w:sz="4" w:space="0" w:color="auto"/>
              <w:bottom w:val="single" w:sz="8" w:space="0" w:color="auto"/>
            </w:tcBorders>
            <w:vAlign w:val="center"/>
          </w:tcPr>
          <w:p w:rsidR="0061476D" w:rsidRPr="001E7D29" w:rsidRDefault="0061476D" w:rsidP="000973F9">
            <w:pPr>
              <w:spacing w:line="360" w:lineRule="auto"/>
              <w:jc w:val="center"/>
              <w:rPr>
                <w:rFonts w:eastAsia="Times New Roman"/>
                <w:lang w:eastAsia="en-US"/>
              </w:rPr>
            </w:pPr>
            <w:r>
              <w:rPr>
                <w:rFonts w:eastAsia="Times New Roman"/>
                <w:lang w:eastAsia="en-US"/>
              </w:rPr>
              <w:t xml:space="preserve">Region </w:t>
            </w:r>
            <w:r w:rsidR="00A9680D">
              <w:rPr>
                <w:rFonts w:eastAsia="Times New Roman"/>
                <w:lang w:eastAsia="en-US"/>
              </w:rPr>
              <w:t>g</w:t>
            </w:r>
            <w:r>
              <w:rPr>
                <w:rFonts w:eastAsia="Times New Roman"/>
                <w:lang w:eastAsia="en-US"/>
              </w:rPr>
              <w:t>rowing</w:t>
            </w:r>
          </w:p>
        </w:tc>
        <w:tc>
          <w:tcPr>
            <w:tcW w:w="1710" w:type="dxa"/>
            <w:tcBorders>
              <w:top w:val="double" w:sz="4" w:space="0" w:color="auto"/>
              <w:bottom w:val="single" w:sz="8" w:space="0" w:color="auto"/>
            </w:tcBorders>
            <w:vAlign w:val="center"/>
          </w:tcPr>
          <w:p w:rsidR="001E7D29" w:rsidRPr="001E7D29" w:rsidRDefault="0061476D" w:rsidP="000973F9">
            <w:pPr>
              <w:spacing w:line="360" w:lineRule="auto"/>
              <w:jc w:val="center"/>
              <w:rPr>
                <w:rFonts w:eastAsia="Times New Roman"/>
                <w:lang w:eastAsia="en-US"/>
              </w:rPr>
            </w:pPr>
            <w:r>
              <w:rPr>
                <w:rFonts w:eastAsia="Times New Roman"/>
                <w:lang w:eastAsia="en-US"/>
              </w:rPr>
              <w:t>Neighborhood region growing</w:t>
            </w:r>
          </w:p>
        </w:tc>
        <w:tc>
          <w:tcPr>
            <w:tcW w:w="1710" w:type="dxa"/>
            <w:tcBorders>
              <w:top w:val="double" w:sz="4" w:space="0" w:color="auto"/>
              <w:bottom w:val="single" w:sz="8" w:space="0" w:color="auto"/>
            </w:tcBorders>
          </w:tcPr>
          <w:p w:rsidR="001E7D29" w:rsidRPr="001E7D29" w:rsidRDefault="0061476D" w:rsidP="000973F9">
            <w:pPr>
              <w:spacing w:line="360" w:lineRule="auto"/>
              <w:jc w:val="center"/>
            </w:pPr>
            <w:r>
              <w:t>Canny operator</w:t>
            </w:r>
          </w:p>
        </w:tc>
        <w:tc>
          <w:tcPr>
            <w:tcW w:w="1489" w:type="dxa"/>
            <w:tcBorders>
              <w:top w:val="double" w:sz="4" w:space="0" w:color="auto"/>
              <w:bottom w:val="single" w:sz="8" w:space="0" w:color="auto"/>
            </w:tcBorders>
          </w:tcPr>
          <w:p w:rsidR="001E7D29" w:rsidRPr="001E7D29" w:rsidRDefault="000B19B5" w:rsidP="000973F9">
            <w:pPr>
              <w:spacing w:line="360" w:lineRule="auto"/>
              <w:jc w:val="center"/>
            </w:pPr>
            <w:r>
              <w:t>Multi-scale c</w:t>
            </w:r>
            <w:r w:rsidR="0061476D">
              <w:t>anny</w:t>
            </w:r>
          </w:p>
        </w:tc>
      </w:tr>
      <w:tr w:rsidR="007656ED" w:rsidRPr="001E7D29" w:rsidTr="007656ED">
        <w:trPr>
          <w:trHeight w:val="504"/>
          <w:jc w:val="center"/>
        </w:trPr>
        <w:tc>
          <w:tcPr>
            <w:tcW w:w="1814" w:type="dxa"/>
            <w:tcBorders>
              <w:top w:val="single" w:sz="8" w:space="0" w:color="auto"/>
              <w:bottom w:val="single" w:sz="2" w:space="0" w:color="auto"/>
            </w:tcBorders>
            <w:vAlign w:val="center"/>
          </w:tcPr>
          <w:p w:rsidR="007656ED" w:rsidRPr="001E7D29" w:rsidRDefault="007656ED" w:rsidP="000973F9">
            <w:pPr>
              <w:spacing w:line="360" w:lineRule="auto"/>
              <w:jc w:val="center"/>
              <w:rPr>
                <w:rFonts w:eastAsia="Times New Roman"/>
                <w:lang w:eastAsia="en-US"/>
              </w:rPr>
            </w:pPr>
            <w:r>
              <w:rPr>
                <w:rFonts w:eastAsia="Times New Roman"/>
                <w:lang w:eastAsia="en-US"/>
              </w:rPr>
              <w:t>Unsatisfied</w:t>
            </w:r>
          </w:p>
        </w:tc>
        <w:tc>
          <w:tcPr>
            <w:tcW w:w="1440" w:type="dxa"/>
            <w:tcBorders>
              <w:top w:val="single" w:sz="8" w:space="0" w:color="auto"/>
              <w:bottom w:val="single" w:sz="2" w:space="0" w:color="auto"/>
            </w:tcBorders>
            <w:vAlign w:val="center"/>
          </w:tcPr>
          <w:p w:rsidR="007656ED" w:rsidRPr="001E7D29" w:rsidRDefault="007656ED" w:rsidP="000973F9">
            <w:pPr>
              <w:spacing w:line="360" w:lineRule="auto"/>
              <w:jc w:val="center"/>
              <w:rPr>
                <w:rFonts w:eastAsia="Times New Roman"/>
                <w:lang w:eastAsia="en-US"/>
              </w:rPr>
            </w:pPr>
            <w:r>
              <w:rPr>
                <w:rFonts w:eastAsia="Times New Roman"/>
                <w:lang w:eastAsia="en-US"/>
              </w:rPr>
              <w:t>78</w:t>
            </w:r>
          </w:p>
        </w:tc>
        <w:tc>
          <w:tcPr>
            <w:tcW w:w="1710" w:type="dxa"/>
            <w:tcBorders>
              <w:top w:val="single" w:sz="8" w:space="0" w:color="auto"/>
              <w:bottom w:val="single" w:sz="2" w:space="0" w:color="auto"/>
            </w:tcBorders>
            <w:vAlign w:val="center"/>
          </w:tcPr>
          <w:p w:rsidR="007656ED" w:rsidRPr="001E7D29" w:rsidRDefault="007656ED" w:rsidP="000973F9">
            <w:pPr>
              <w:spacing w:line="360" w:lineRule="auto"/>
              <w:jc w:val="center"/>
              <w:rPr>
                <w:rFonts w:eastAsia="Times New Roman"/>
                <w:lang w:eastAsia="en-US"/>
              </w:rPr>
            </w:pPr>
            <w:r>
              <w:rPr>
                <w:rFonts w:eastAsia="Times New Roman"/>
                <w:lang w:eastAsia="en-US"/>
              </w:rPr>
              <w:t>102</w:t>
            </w:r>
          </w:p>
        </w:tc>
        <w:tc>
          <w:tcPr>
            <w:tcW w:w="1710" w:type="dxa"/>
            <w:tcBorders>
              <w:top w:val="single" w:sz="8" w:space="0" w:color="auto"/>
              <w:bottom w:val="single" w:sz="2" w:space="0" w:color="auto"/>
            </w:tcBorders>
          </w:tcPr>
          <w:p w:rsidR="007656ED" w:rsidRPr="001E7D29" w:rsidRDefault="007656ED" w:rsidP="000973F9">
            <w:pPr>
              <w:spacing w:line="360" w:lineRule="auto"/>
              <w:jc w:val="center"/>
            </w:pPr>
            <w:r>
              <w:t>76</w:t>
            </w:r>
          </w:p>
        </w:tc>
        <w:tc>
          <w:tcPr>
            <w:tcW w:w="1489" w:type="dxa"/>
            <w:tcBorders>
              <w:top w:val="single" w:sz="8" w:space="0" w:color="auto"/>
              <w:bottom w:val="single" w:sz="2" w:space="0" w:color="auto"/>
            </w:tcBorders>
          </w:tcPr>
          <w:p w:rsidR="007656ED" w:rsidRPr="001E7D29" w:rsidRDefault="007656ED" w:rsidP="000973F9">
            <w:pPr>
              <w:spacing w:line="360" w:lineRule="auto"/>
              <w:jc w:val="center"/>
            </w:pPr>
            <w:r>
              <w:t>109</w:t>
            </w:r>
          </w:p>
        </w:tc>
      </w:tr>
      <w:tr w:rsidR="007656ED" w:rsidRPr="001E7D29" w:rsidTr="0061476D">
        <w:trPr>
          <w:trHeight w:val="504"/>
          <w:jc w:val="center"/>
        </w:trPr>
        <w:tc>
          <w:tcPr>
            <w:tcW w:w="1814" w:type="dxa"/>
            <w:tcBorders>
              <w:top w:val="single" w:sz="2" w:space="0" w:color="auto"/>
              <w:bottom w:val="single" w:sz="2" w:space="0" w:color="auto"/>
            </w:tcBorders>
            <w:vAlign w:val="center"/>
          </w:tcPr>
          <w:p w:rsidR="007656ED" w:rsidRPr="001E7D29" w:rsidRDefault="007656ED" w:rsidP="000973F9">
            <w:pPr>
              <w:spacing w:line="360" w:lineRule="auto"/>
              <w:jc w:val="center"/>
              <w:rPr>
                <w:rFonts w:eastAsia="Times New Roman"/>
                <w:lang w:eastAsia="en-US"/>
              </w:rPr>
            </w:pPr>
            <w:r>
              <w:rPr>
                <w:rFonts w:eastAsia="Times New Roman"/>
                <w:lang w:eastAsia="en-US"/>
              </w:rPr>
              <w:t>Satisfied</w:t>
            </w:r>
          </w:p>
        </w:tc>
        <w:tc>
          <w:tcPr>
            <w:tcW w:w="1440" w:type="dxa"/>
            <w:tcBorders>
              <w:top w:val="single" w:sz="2" w:space="0" w:color="auto"/>
              <w:bottom w:val="single" w:sz="2" w:space="0" w:color="auto"/>
            </w:tcBorders>
            <w:vAlign w:val="center"/>
          </w:tcPr>
          <w:p w:rsidR="007656ED" w:rsidRPr="001E7D29" w:rsidRDefault="007656ED" w:rsidP="000973F9">
            <w:pPr>
              <w:spacing w:line="360" w:lineRule="auto"/>
              <w:jc w:val="center"/>
              <w:rPr>
                <w:rFonts w:eastAsia="Times New Roman"/>
                <w:lang w:eastAsia="en-US"/>
              </w:rPr>
            </w:pPr>
            <w:r>
              <w:rPr>
                <w:rFonts w:eastAsia="Times New Roman"/>
                <w:lang w:eastAsia="en-US"/>
              </w:rPr>
              <w:t>60</w:t>
            </w:r>
          </w:p>
        </w:tc>
        <w:tc>
          <w:tcPr>
            <w:tcW w:w="1710" w:type="dxa"/>
            <w:tcBorders>
              <w:top w:val="single" w:sz="2" w:space="0" w:color="auto"/>
              <w:bottom w:val="single" w:sz="2" w:space="0" w:color="auto"/>
            </w:tcBorders>
            <w:vAlign w:val="center"/>
          </w:tcPr>
          <w:p w:rsidR="007656ED" w:rsidRPr="001E7D29" w:rsidRDefault="007656ED" w:rsidP="000973F9">
            <w:pPr>
              <w:spacing w:line="360" w:lineRule="auto"/>
              <w:jc w:val="center"/>
              <w:rPr>
                <w:rFonts w:eastAsia="Times New Roman"/>
                <w:lang w:eastAsia="en-US"/>
              </w:rPr>
            </w:pPr>
            <w:r>
              <w:rPr>
                <w:rFonts w:eastAsia="Times New Roman"/>
                <w:lang w:eastAsia="en-US"/>
              </w:rPr>
              <w:t>36</w:t>
            </w:r>
          </w:p>
        </w:tc>
        <w:tc>
          <w:tcPr>
            <w:tcW w:w="1710" w:type="dxa"/>
            <w:tcBorders>
              <w:top w:val="single" w:sz="2" w:space="0" w:color="auto"/>
              <w:bottom w:val="single" w:sz="2" w:space="0" w:color="auto"/>
            </w:tcBorders>
          </w:tcPr>
          <w:p w:rsidR="007656ED" w:rsidRPr="001E7D29" w:rsidRDefault="007656ED" w:rsidP="000973F9">
            <w:pPr>
              <w:spacing w:line="360" w:lineRule="auto"/>
              <w:jc w:val="center"/>
            </w:pPr>
            <w:r>
              <w:t>62</w:t>
            </w:r>
          </w:p>
        </w:tc>
        <w:tc>
          <w:tcPr>
            <w:tcW w:w="1489" w:type="dxa"/>
            <w:tcBorders>
              <w:top w:val="single" w:sz="8" w:space="0" w:color="auto"/>
              <w:bottom w:val="single" w:sz="2" w:space="0" w:color="auto"/>
            </w:tcBorders>
          </w:tcPr>
          <w:p w:rsidR="007656ED" w:rsidRPr="001E7D29" w:rsidRDefault="007656ED" w:rsidP="000973F9">
            <w:pPr>
              <w:spacing w:line="360" w:lineRule="auto"/>
              <w:jc w:val="center"/>
            </w:pPr>
            <w:r>
              <w:t>29</w:t>
            </w:r>
          </w:p>
        </w:tc>
      </w:tr>
      <w:tr w:rsidR="007656ED" w:rsidRPr="001E7D29" w:rsidTr="0061476D">
        <w:trPr>
          <w:trHeight w:val="504"/>
          <w:jc w:val="center"/>
        </w:trPr>
        <w:tc>
          <w:tcPr>
            <w:tcW w:w="1814" w:type="dxa"/>
            <w:tcBorders>
              <w:top w:val="single" w:sz="2" w:space="0" w:color="auto"/>
              <w:bottom w:val="single" w:sz="2" w:space="0" w:color="auto"/>
            </w:tcBorders>
            <w:vAlign w:val="center"/>
          </w:tcPr>
          <w:p w:rsidR="007656ED" w:rsidRPr="0061476D" w:rsidRDefault="007656ED" w:rsidP="000973F9">
            <w:pPr>
              <w:spacing w:line="360" w:lineRule="auto"/>
              <w:jc w:val="center"/>
              <w:rPr>
                <w:rFonts w:eastAsia="Times New Roman"/>
                <w:lang w:eastAsia="en-US"/>
              </w:rPr>
            </w:pPr>
            <w:r w:rsidRPr="0061476D">
              <w:rPr>
                <w:rFonts w:eastAsia="Times New Roman"/>
                <w:lang w:eastAsia="en-US"/>
              </w:rPr>
              <w:t>Segmenting</w:t>
            </w:r>
          </w:p>
          <w:p w:rsidR="007656ED" w:rsidRPr="001E7D29" w:rsidRDefault="007656ED" w:rsidP="000973F9">
            <w:pPr>
              <w:spacing w:line="360" w:lineRule="auto"/>
              <w:jc w:val="center"/>
              <w:rPr>
                <w:rFonts w:eastAsia="Times New Roman"/>
                <w:lang w:eastAsia="en-US"/>
              </w:rPr>
            </w:pPr>
            <w:r w:rsidRPr="0061476D">
              <w:rPr>
                <w:rFonts w:eastAsia="Times New Roman"/>
                <w:lang w:eastAsia="en-US"/>
              </w:rPr>
              <w:t>methods</w:t>
            </w:r>
          </w:p>
        </w:tc>
        <w:tc>
          <w:tcPr>
            <w:tcW w:w="1440" w:type="dxa"/>
            <w:tcBorders>
              <w:top w:val="single" w:sz="2" w:space="0" w:color="auto"/>
              <w:bottom w:val="single" w:sz="2" w:space="0" w:color="auto"/>
            </w:tcBorders>
            <w:vAlign w:val="center"/>
          </w:tcPr>
          <w:p w:rsidR="007656ED" w:rsidRPr="001E7D29" w:rsidRDefault="007656ED" w:rsidP="000973F9">
            <w:pPr>
              <w:spacing w:line="360" w:lineRule="auto"/>
              <w:jc w:val="center"/>
              <w:rPr>
                <w:rFonts w:eastAsia="Times New Roman"/>
                <w:lang w:eastAsia="en-US"/>
              </w:rPr>
            </w:pPr>
            <w:r>
              <w:rPr>
                <w:rFonts w:eastAsia="Times New Roman"/>
                <w:lang w:eastAsia="en-US"/>
              </w:rPr>
              <w:t>Fast marching</w:t>
            </w:r>
          </w:p>
        </w:tc>
        <w:tc>
          <w:tcPr>
            <w:tcW w:w="1710" w:type="dxa"/>
            <w:tcBorders>
              <w:top w:val="single" w:sz="2" w:space="0" w:color="auto"/>
              <w:bottom w:val="single" w:sz="2" w:space="0" w:color="auto"/>
            </w:tcBorders>
            <w:vAlign w:val="center"/>
          </w:tcPr>
          <w:p w:rsidR="007656ED" w:rsidRPr="001E7D29" w:rsidRDefault="007656ED" w:rsidP="000973F9">
            <w:pPr>
              <w:spacing w:line="360" w:lineRule="auto"/>
              <w:jc w:val="center"/>
              <w:rPr>
                <w:rFonts w:eastAsia="Times New Roman"/>
                <w:lang w:eastAsia="en-US"/>
              </w:rPr>
            </w:pPr>
            <w:r>
              <w:rPr>
                <w:rFonts w:eastAsia="Times New Roman"/>
                <w:lang w:eastAsia="en-US"/>
              </w:rPr>
              <w:t>Geometric active contour</w:t>
            </w:r>
          </w:p>
        </w:tc>
        <w:tc>
          <w:tcPr>
            <w:tcW w:w="1710" w:type="dxa"/>
            <w:tcBorders>
              <w:top w:val="single" w:sz="2" w:space="0" w:color="auto"/>
              <w:bottom w:val="single" w:sz="2" w:space="0" w:color="auto"/>
            </w:tcBorders>
          </w:tcPr>
          <w:p w:rsidR="007656ED" w:rsidRPr="001E7D29" w:rsidRDefault="007656ED" w:rsidP="000973F9">
            <w:pPr>
              <w:spacing w:line="360" w:lineRule="auto"/>
              <w:jc w:val="center"/>
            </w:pPr>
            <w:r>
              <w:t>Shape detection</w:t>
            </w:r>
          </w:p>
        </w:tc>
        <w:tc>
          <w:tcPr>
            <w:tcW w:w="1489" w:type="dxa"/>
            <w:tcBorders>
              <w:top w:val="single" w:sz="2" w:space="0" w:color="auto"/>
              <w:bottom w:val="single" w:sz="2" w:space="0" w:color="auto"/>
            </w:tcBorders>
          </w:tcPr>
          <w:p w:rsidR="007656ED" w:rsidRPr="001E7D29" w:rsidRDefault="007656ED" w:rsidP="000973F9">
            <w:pPr>
              <w:spacing w:line="360" w:lineRule="auto"/>
              <w:jc w:val="center"/>
            </w:pPr>
            <w:r>
              <w:t>Threshold level set</w:t>
            </w:r>
          </w:p>
        </w:tc>
      </w:tr>
      <w:tr w:rsidR="007656ED" w:rsidRPr="001E7D29" w:rsidTr="0061476D">
        <w:trPr>
          <w:trHeight w:val="504"/>
          <w:jc w:val="center"/>
        </w:trPr>
        <w:tc>
          <w:tcPr>
            <w:tcW w:w="1814" w:type="dxa"/>
            <w:tcBorders>
              <w:top w:val="single" w:sz="2" w:space="0" w:color="auto"/>
            </w:tcBorders>
            <w:vAlign w:val="center"/>
          </w:tcPr>
          <w:p w:rsidR="007656ED" w:rsidRPr="001E7D29" w:rsidRDefault="007656ED" w:rsidP="000973F9">
            <w:pPr>
              <w:spacing w:line="360" w:lineRule="auto"/>
              <w:jc w:val="center"/>
              <w:rPr>
                <w:rFonts w:eastAsia="Times New Roman"/>
                <w:lang w:eastAsia="en-US"/>
              </w:rPr>
            </w:pPr>
            <w:r>
              <w:rPr>
                <w:rFonts w:eastAsia="Times New Roman"/>
                <w:lang w:eastAsia="en-US"/>
              </w:rPr>
              <w:t>Unsatisfied</w:t>
            </w:r>
          </w:p>
        </w:tc>
        <w:tc>
          <w:tcPr>
            <w:tcW w:w="1440" w:type="dxa"/>
            <w:tcBorders>
              <w:top w:val="single" w:sz="2" w:space="0" w:color="auto"/>
            </w:tcBorders>
            <w:vAlign w:val="center"/>
          </w:tcPr>
          <w:p w:rsidR="007656ED" w:rsidRPr="001E7D29" w:rsidRDefault="007656ED" w:rsidP="000973F9">
            <w:pPr>
              <w:spacing w:line="360" w:lineRule="auto"/>
              <w:jc w:val="center"/>
              <w:rPr>
                <w:rFonts w:eastAsia="Times New Roman"/>
                <w:lang w:eastAsia="en-US"/>
              </w:rPr>
            </w:pPr>
            <w:r>
              <w:rPr>
                <w:rFonts w:eastAsia="Times New Roman"/>
                <w:lang w:eastAsia="en-US"/>
              </w:rPr>
              <w:t>32</w:t>
            </w:r>
          </w:p>
        </w:tc>
        <w:tc>
          <w:tcPr>
            <w:tcW w:w="1710" w:type="dxa"/>
            <w:tcBorders>
              <w:top w:val="single" w:sz="2" w:space="0" w:color="auto"/>
            </w:tcBorders>
            <w:vAlign w:val="center"/>
          </w:tcPr>
          <w:p w:rsidR="007656ED" w:rsidRPr="001E7D29" w:rsidRDefault="007656ED" w:rsidP="000973F9">
            <w:pPr>
              <w:spacing w:line="360" w:lineRule="auto"/>
              <w:jc w:val="center"/>
              <w:rPr>
                <w:rFonts w:eastAsia="Times New Roman"/>
                <w:lang w:eastAsia="en-US"/>
              </w:rPr>
            </w:pPr>
            <w:r>
              <w:rPr>
                <w:rFonts w:eastAsia="Times New Roman"/>
                <w:lang w:eastAsia="en-US"/>
              </w:rPr>
              <w:t>34</w:t>
            </w:r>
          </w:p>
        </w:tc>
        <w:tc>
          <w:tcPr>
            <w:tcW w:w="1710" w:type="dxa"/>
            <w:tcBorders>
              <w:top w:val="single" w:sz="2" w:space="0" w:color="auto"/>
            </w:tcBorders>
          </w:tcPr>
          <w:p w:rsidR="007656ED" w:rsidRPr="001E7D29" w:rsidRDefault="007656ED" w:rsidP="000973F9">
            <w:pPr>
              <w:spacing w:line="360" w:lineRule="auto"/>
              <w:jc w:val="center"/>
            </w:pPr>
            <w:r>
              <w:t>48</w:t>
            </w:r>
          </w:p>
        </w:tc>
        <w:tc>
          <w:tcPr>
            <w:tcW w:w="1489" w:type="dxa"/>
            <w:tcBorders>
              <w:top w:val="single" w:sz="2" w:space="0" w:color="auto"/>
            </w:tcBorders>
          </w:tcPr>
          <w:p w:rsidR="007656ED" w:rsidRPr="001E7D29" w:rsidRDefault="007656ED" w:rsidP="000973F9">
            <w:pPr>
              <w:spacing w:line="360" w:lineRule="auto"/>
              <w:jc w:val="center"/>
            </w:pPr>
            <w:r>
              <w:t>31</w:t>
            </w:r>
          </w:p>
        </w:tc>
      </w:tr>
      <w:tr w:rsidR="007656ED" w:rsidRPr="001E7D29" w:rsidTr="007656ED">
        <w:trPr>
          <w:trHeight w:val="504"/>
          <w:jc w:val="center"/>
        </w:trPr>
        <w:tc>
          <w:tcPr>
            <w:tcW w:w="1814" w:type="dxa"/>
            <w:tcBorders>
              <w:top w:val="single" w:sz="4" w:space="0" w:color="auto"/>
              <w:bottom w:val="double" w:sz="4" w:space="0" w:color="auto"/>
            </w:tcBorders>
            <w:vAlign w:val="center"/>
          </w:tcPr>
          <w:p w:rsidR="007656ED" w:rsidRPr="001E7D29" w:rsidRDefault="007656ED" w:rsidP="000973F9">
            <w:pPr>
              <w:spacing w:line="360" w:lineRule="auto"/>
              <w:jc w:val="center"/>
              <w:rPr>
                <w:rFonts w:eastAsia="Times New Roman"/>
                <w:lang w:eastAsia="en-US"/>
              </w:rPr>
            </w:pPr>
            <w:r>
              <w:rPr>
                <w:rFonts w:eastAsia="Times New Roman"/>
                <w:lang w:eastAsia="en-US"/>
              </w:rPr>
              <w:t>Satisfied</w:t>
            </w:r>
          </w:p>
        </w:tc>
        <w:tc>
          <w:tcPr>
            <w:tcW w:w="1440" w:type="dxa"/>
            <w:tcBorders>
              <w:top w:val="single" w:sz="4" w:space="0" w:color="auto"/>
              <w:bottom w:val="double" w:sz="4" w:space="0" w:color="auto"/>
            </w:tcBorders>
            <w:vAlign w:val="center"/>
          </w:tcPr>
          <w:p w:rsidR="007656ED" w:rsidRPr="001E7D29" w:rsidRDefault="007656ED" w:rsidP="000973F9">
            <w:pPr>
              <w:spacing w:line="360" w:lineRule="auto"/>
              <w:jc w:val="center"/>
            </w:pPr>
            <w:r>
              <w:t>106</w:t>
            </w:r>
          </w:p>
        </w:tc>
        <w:tc>
          <w:tcPr>
            <w:tcW w:w="1710" w:type="dxa"/>
            <w:tcBorders>
              <w:top w:val="single" w:sz="4" w:space="0" w:color="auto"/>
              <w:bottom w:val="double" w:sz="4" w:space="0" w:color="auto"/>
            </w:tcBorders>
            <w:vAlign w:val="center"/>
          </w:tcPr>
          <w:p w:rsidR="007656ED" w:rsidRPr="001E7D29" w:rsidRDefault="007656ED" w:rsidP="000973F9">
            <w:pPr>
              <w:spacing w:line="360" w:lineRule="auto"/>
              <w:jc w:val="center"/>
            </w:pPr>
            <w:r>
              <w:t>104</w:t>
            </w:r>
          </w:p>
        </w:tc>
        <w:tc>
          <w:tcPr>
            <w:tcW w:w="1710" w:type="dxa"/>
            <w:tcBorders>
              <w:top w:val="single" w:sz="4" w:space="0" w:color="auto"/>
              <w:bottom w:val="double" w:sz="4" w:space="0" w:color="auto"/>
            </w:tcBorders>
          </w:tcPr>
          <w:p w:rsidR="007656ED" w:rsidRPr="001E7D29" w:rsidRDefault="007656ED" w:rsidP="000973F9">
            <w:pPr>
              <w:spacing w:line="360" w:lineRule="auto"/>
              <w:jc w:val="center"/>
            </w:pPr>
            <w:r>
              <w:t>90</w:t>
            </w:r>
          </w:p>
        </w:tc>
        <w:tc>
          <w:tcPr>
            <w:tcW w:w="1489" w:type="dxa"/>
            <w:tcBorders>
              <w:top w:val="single" w:sz="4" w:space="0" w:color="auto"/>
              <w:bottom w:val="double" w:sz="4" w:space="0" w:color="auto"/>
            </w:tcBorders>
          </w:tcPr>
          <w:p w:rsidR="007656ED" w:rsidRPr="001E7D29" w:rsidRDefault="007656ED" w:rsidP="000973F9">
            <w:pPr>
              <w:spacing w:line="360" w:lineRule="auto"/>
              <w:jc w:val="center"/>
            </w:pPr>
            <w:r>
              <w:t>107</w:t>
            </w:r>
          </w:p>
        </w:tc>
      </w:tr>
    </w:tbl>
    <w:p w:rsidR="007B4A18" w:rsidRDefault="009569C6" w:rsidP="008242B4">
      <w:pPr>
        <w:keepNext/>
        <w:jc w:val="center"/>
      </w:pPr>
      <w:r>
        <w:rPr>
          <w:noProof/>
          <w:lang w:bidi="ar-SA"/>
        </w:rPr>
        <w:lastRenderedPageBreak/>
        <w:drawing>
          <wp:inline distT="0" distB="0" distL="0" distR="0" wp14:anchorId="0A4EE02E" wp14:editId="0EFB05FA">
            <wp:extent cx="5394960" cy="956945"/>
            <wp:effectExtent l="0" t="0" r="0" b="0"/>
            <wp:docPr id="50" name="Picture 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empseg.jpg"/>
                    <pic:cNvPicPr/>
                  </pic:nvPicPr>
                  <pic:blipFill>
                    <a:blip r:embed="rId24" cstate="print">
                      <a:extLst>
                        <a:ext uri="{28A0092B-C50C-407E-A947-70E740481C1C}">
                          <a14:useLocalDpi xmlns:a14="http://schemas.microsoft.com/office/drawing/2010/main" val="0"/>
                        </a:ext>
                      </a:extLst>
                    </a:blip>
                    <a:stretch>
                      <a:fillRect/>
                    </a:stretch>
                  </pic:blipFill>
                  <pic:spPr>
                    <a:xfrm>
                      <a:off x="0" y="0"/>
                      <a:ext cx="5394960" cy="956945"/>
                    </a:xfrm>
                    <a:prstGeom prst="rect">
                      <a:avLst/>
                    </a:prstGeom>
                  </pic:spPr>
                </pic:pic>
              </a:graphicData>
            </a:graphic>
          </wp:inline>
        </w:drawing>
      </w:r>
    </w:p>
    <w:p w:rsidR="00C200EE" w:rsidRDefault="009569C6" w:rsidP="003A6E90">
      <w:pPr>
        <w:keepNext/>
        <w:jc w:val="both"/>
      </w:pPr>
      <w:r>
        <w:t xml:space="preserve">         </w:t>
      </w:r>
      <w:r w:rsidR="00F54453">
        <w:t xml:space="preserve"> </w:t>
      </w:r>
      <w:r>
        <w:t xml:space="preserve">(a) </w:t>
      </w:r>
      <w:r>
        <w:tab/>
      </w:r>
      <w:r>
        <w:tab/>
        <w:t xml:space="preserve">    (b)                        </w:t>
      </w:r>
      <w:r w:rsidR="00F54453">
        <w:t xml:space="preserve"> </w:t>
      </w:r>
      <w:r>
        <w:t xml:space="preserve">(c)                     </w:t>
      </w:r>
      <w:r w:rsidR="00F54453">
        <w:t xml:space="preserve">   </w:t>
      </w:r>
      <w:r>
        <w:t xml:space="preserve">(d)                       </w:t>
      </w:r>
      <w:r w:rsidR="00F54453">
        <w:t xml:space="preserve"> </w:t>
      </w:r>
      <w:r>
        <w:t xml:space="preserve">(e)         </w:t>
      </w:r>
      <w:r w:rsidR="003A6E90">
        <w:t xml:space="preserve"> </w:t>
      </w:r>
    </w:p>
    <w:p w:rsidR="007B4A18" w:rsidRDefault="007B4A18" w:rsidP="00947FB0">
      <w:pPr>
        <w:pStyle w:val="Caption"/>
        <w:jc w:val="both"/>
        <w:rPr>
          <w:b w:val="0"/>
          <w:color w:val="auto"/>
          <w:sz w:val="24"/>
          <w:szCs w:val="24"/>
        </w:rPr>
      </w:pPr>
      <w:bookmarkStart w:id="45" w:name="_Ref467168028"/>
      <w:bookmarkStart w:id="46" w:name="_Toc467168363"/>
      <w:r w:rsidRPr="007B4A18">
        <w:rPr>
          <w:color w:val="auto"/>
          <w:sz w:val="24"/>
          <w:szCs w:val="24"/>
        </w:rPr>
        <w:t xml:space="preserve">Figure </w:t>
      </w:r>
      <w:r w:rsidR="009647D4" w:rsidRPr="007B4A18">
        <w:rPr>
          <w:color w:val="auto"/>
          <w:sz w:val="24"/>
          <w:szCs w:val="24"/>
        </w:rPr>
        <w:fldChar w:fldCharType="begin"/>
      </w:r>
      <w:r w:rsidRPr="007B4A18">
        <w:rPr>
          <w:color w:val="auto"/>
          <w:sz w:val="24"/>
          <w:szCs w:val="24"/>
        </w:rPr>
        <w:instrText xml:space="preserve"> SEQ Figure \* ARABIC </w:instrText>
      </w:r>
      <w:r w:rsidR="009647D4" w:rsidRPr="007B4A18">
        <w:rPr>
          <w:color w:val="auto"/>
          <w:sz w:val="24"/>
          <w:szCs w:val="24"/>
        </w:rPr>
        <w:fldChar w:fldCharType="separate"/>
      </w:r>
      <w:r w:rsidR="00D719F4">
        <w:rPr>
          <w:noProof/>
          <w:color w:val="auto"/>
          <w:sz w:val="24"/>
          <w:szCs w:val="24"/>
        </w:rPr>
        <w:t>5</w:t>
      </w:r>
      <w:r w:rsidR="009647D4" w:rsidRPr="007B4A18">
        <w:rPr>
          <w:color w:val="auto"/>
          <w:sz w:val="24"/>
          <w:szCs w:val="24"/>
        </w:rPr>
        <w:fldChar w:fldCharType="end"/>
      </w:r>
      <w:bookmarkEnd w:id="45"/>
      <w:r w:rsidRPr="007B4A18">
        <w:rPr>
          <w:color w:val="auto"/>
          <w:sz w:val="24"/>
          <w:szCs w:val="24"/>
        </w:rPr>
        <w:t>:</w:t>
      </w:r>
      <w:r w:rsidRPr="007B4A18">
        <w:rPr>
          <w:b w:val="0"/>
          <w:color w:val="auto"/>
          <w:sz w:val="24"/>
          <w:szCs w:val="24"/>
        </w:rPr>
        <w:t xml:space="preserve"> An aortic tumor segmented by our hybrid segmenting scheme from the (a) 2nd upper adjacent slice (b) 1st upper adjacent slice (c) central slice selected by the radiologist (d) 1st lower adjacent slice (e) 2nd lower adjacent slice</w:t>
      </w:r>
      <w:bookmarkEnd w:id="46"/>
    </w:p>
    <w:p w:rsidR="00B143D2" w:rsidRPr="00B143D2" w:rsidRDefault="00B143D2" w:rsidP="00B143D2">
      <w:pPr>
        <w:pStyle w:val="TableofFigures"/>
      </w:pPr>
    </w:p>
    <w:p w:rsidR="000D200C" w:rsidRDefault="004C7118" w:rsidP="005C10AF">
      <w:pPr>
        <w:ind w:firstLine="720"/>
        <w:jc w:val="both"/>
        <w:rPr>
          <w:bCs/>
          <w:lang w:eastAsia="zh-CN"/>
        </w:rPr>
      </w:pPr>
      <w:r w:rsidRPr="004C7118">
        <w:rPr>
          <w:bCs/>
        </w:rPr>
        <w:t xml:space="preserve">In order to segment the 3D tumor from the multiple CT slices, the professional radiologist will first mark one central slice containing the tumor, which was segmented by one of the developed algorithms. Once the tumor region and boundary contour are segmented on this center slice, the result provides a reference to guide the segmentation of the tumor regions depicting on the two </w:t>
      </w:r>
      <w:r w:rsidRPr="005C6975">
        <w:rPr>
          <w:bCs/>
        </w:rPr>
        <w:t xml:space="preserve">adjacent CT image slices. The scheme will keep segmenting the tumors on the adjacent slices until the tumor disappears. </w:t>
      </w:r>
      <w:r w:rsidR="009647D4">
        <w:rPr>
          <w:bCs/>
        </w:rPr>
        <w:fldChar w:fldCharType="begin"/>
      </w:r>
      <w:r w:rsidR="00896020">
        <w:rPr>
          <w:bCs/>
        </w:rPr>
        <w:instrText xml:space="preserve"> REF _Ref467168028 \h </w:instrText>
      </w:r>
      <w:r w:rsidR="009647D4">
        <w:rPr>
          <w:bCs/>
        </w:rPr>
      </w:r>
      <w:r w:rsidR="009647D4">
        <w:rPr>
          <w:bCs/>
        </w:rPr>
        <w:fldChar w:fldCharType="separate"/>
      </w:r>
      <w:r w:rsidR="00D719F4" w:rsidRPr="007B4A18">
        <w:t xml:space="preserve">Figure </w:t>
      </w:r>
      <w:r w:rsidR="00D719F4">
        <w:rPr>
          <w:noProof/>
        </w:rPr>
        <w:t>5</w:t>
      </w:r>
      <w:r w:rsidR="009647D4">
        <w:rPr>
          <w:bCs/>
        </w:rPr>
        <w:fldChar w:fldCharType="end"/>
      </w:r>
      <w:r w:rsidR="00896020">
        <w:rPr>
          <w:bCs/>
        </w:rPr>
        <w:t xml:space="preserve"> </w:t>
      </w:r>
      <w:r w:rsidRPr="005C6975">
        <w:rPr>
          <w:bCs/>
        </w:rPr>
        <w:t xml:space="preserve">shows an example of 3-D aortic tumor segmented from a series of adjacent CT image slices. The tumor depicted on </w:t>
      </w:r>
      <w:r w:rsidR="009647D4">
        <w:rPr>
          <w:bCs/>
        </w:rPr>
        <w:fldChar w:fldCharType="begin"/>
      </w:r>
      <w:r w:rsidR="00896020">
        <w:rPr>
          <w:bCs/>
        </w:rPr>
        <w:instrText xml:space="preserve"> REF _Ref467168028 \h </w:instrText>
      </w:r>
      <w:r w:rsidR="009647D4">
        <w:rPr>
          <w:bCs/>
        </w:rPr>
      </w:r>
      <w:r w:rsidR="009647D4">
        <w:rPr>
          <w:bCs/>
        </w:rPr>
        <w:fldChar w:fldCharType="separate"/>
      </w:r>
      <w:r w:rsidR="00D719F4" w:rsidRPr="007B4A18">
        <w:t xml:space="preserve">Figure </w:t>
      </w:r>
      <w:r w:rsidR="00D719F4">
        <w:rPr>
          <w:noProof/>
        </w:rPr>
        <w:t>5</w:t>
      </w:r>
      <w:r w:rsidR="009647D4">
        <w:rPr>
          <w:bCs/>
        </w:rPr>
        <w:fldChar w:fldCharType="end"/>
      </w:r>
      <w:r w:rsidR="00896020">
        <w:rPr>
          <w:bCs/>
        </w:rPr>
        <w:t xml:space="preserve"> </w:t>
      </w:r>
      <w:r w:rsidRPr="005C6975">
        <w:rPr>
          <w:bCs/>
        </w:rPr>
        <w:t xml:space="preserve">(c) was first segmented from the target slice marked by the radiologist, which has the largest 2-D area. </w:t>
      </w:r>
      <w:r w:rsidR="009647D4">
        <w:rPr>
          <w:bCs/>
        </w:rPr>
        <w:fldChar w:fldCharType="begin"/>
      </w:r>
      <w:r w:rsidR="00896020">
        <w:rPr>
          <w:bCs/>
        </w:rPr>
        <w:instrText xml:space="preserve"> REF _Ref467168028 \h </w:instrText>
      </w:r>
      <w:r w:rsidR="009647D4">
        <w:rPr>
          <w:bCs/>
        </w:rPr>
      </w:r>
      <w:r w:rsidR="009647D4">
        <w:rPr>
          <w:bCs/>
        </w:rPr>
        <w:fldChar w:fldCharType="separate"/>
      </w:r>
      <w:r w:rsidR="00D719F4" w:rsidRPr="007B4A18">
        <w:t xml:space="preserve">Figure </w:t>
      </w:r>
      <w:r w:rsidR="00D719F4">
        <w:rPr>
          <w:noProof/>
        </w:rPr>
        <w:t>5</w:t>
      </w:r>
      <w:r w:rsidR="009647D4">
        <w:rPr>
          <w:bCs/>
        </w:rPr>
        <w:fldChar w:fldCharType="end"/>
      </w:r>
      <w:r w:rsidR="00896020">
        <w:rPr>
          <w:bCs/>
        </w:rPr>
        <w:t xml:space="preserve"> </w:t>
      </w:r>
      <w:r w:rsidRPr="005C6975">
        <w:rPr>
          <w:bCs/>
        </w:rPr>
        <w:t xml:space="preserve">(d) and (e) indicate </w:t>
      </w:r>
      <w:r w:rsidRPr="004C7118">
        <w:rPr>
          <w:bCs/>
        </w:rPr>
        <w:t xml:space="preserve">that the tumor significantly decreases and disappear on the first and second lower adjacent slices, </w:t>
      </w:r>
      <w:r w:rsidRPr="005C6975">
        <w:rPr>
          <w:bCs/>
        </w:rPr>
        <w:t xml:space="preserve">respectively. The similar results can also be revealed on the upper adjacent slices, as shown in </w:t>
      </w:r>
      <w:r w:rsidR="009647D4">
        <w:rPr>
          <w:bCs/>
        </w:rPr>
        <w:fldChar w:fldCharType="begin"/>
      </w:r>
      <w:r w:rsidR="00896020">
        <w:rPr>
          <w:bCs/>
        </w:rPr>
        <w:instrText xml:space="preserve"> REF _Ref467168028 \h </w:instrText>
      </w:r>
      <w:r w:rsidR="009647D4">
        <w:rPr>
          <w:bCs/>
        </w:rPr>
      </w:r>
      <w:r w:rsidR="009647D4">
        <w:rPr>
          <w:bCs/>
        </w:rPr>
        <w:fldChar w:fldCharType="separate"/>
      </w:r>
      <w:r w:rsidR="00D719F4" w:rsidRPr="007B4A18">
        <w:t xml:space="preserve">Figure </w:t>
      </w:r>
      <w:r w:rsidR="00D719F4">
        <w:rPr>
          <w:noProof/>
        </w:rPr>
        <w:t>5</w:t>
      </w:r>
      <w:r w:rsidR="009647D4">
        <w:rPr>
          <w:bCs/>
        </w:rPr>
        <w:fldChar w:fldCharType="end"/>
      </w:r>
      <w:r w:rsidR="00896020">
        <w:rPr>
          <w:bCs/>
        </w:rPr>
        <w:t xml:space="preserve"> </w:t>
      </w:r>
      <w:r w:rsidRPr="005C6975">
        <w:rPr>
          <w:bCs/>
        </w:rPr>
        <w:t>(a) and (b).</w:t>
      </w:r>
    </w:p>
    <w:p w:rsidR="00AC5A4A" w:rsidRDefault="00AC5A4A" w:rsidP="005C10AF">
      <w:pPr>
        <w:spacing w:before="240"/>
        <w:rPr>
          <w:bCs/>
          <w:lang w:eastAsia="zh-CN"/>
        </w:rPr>
      </w:pPr>
    </w:p>
    <w:p w:rsidR="008C5BED" w:rsidRPr="006C481A" w:rsidRDefault="008C5BED" w:rsidP="00FB7A07">
      <w:pPr>
        <w:pStyle w:val="Heading2"/>
      </w:pPr>
      <w:bookmarkStart w:id="47" w:name="_Toc468963709"/>
      <w:r>
        <w:t>Quantitative image feature analysis results</w:t>
      </w:r>
      <w:bookmarkEnd w:id="47"/>
    </w:p>
    <w:p w:rsidR="007E1885" w:rsidRDefault="003329C2" w:rsidP="003329C2">
      <w:pPr>
        <w:tabs>
          <w:tab w:val="left" w:pos="0"/>
        </w:tabs>
        <w:jc w:val="both"/>
      </w:pPr>
      <w:r>
        <w:t xml:space="preserve">Table4, Table 5 </w:t>
      </w:r>
      <w:r w:rsidR="004531E1" w:rsidRPr="005C6975">
        <w:t>sum</w:t>
      </w:r>
      <w:r w:rsidR="004531E1">
        <w:t xml:space="preserve">marizes </w:t>
      </w:r>
      <w:r w:rsidR="009D5FD2">
        <w:t xml:space="preserve">two sets of 20 best performed image features computed from pre-therapy CT image only and two CT scans acquired pre- and pre-post therapy. The </w:t>
      </w:r>
      <w:r w:rsidR="009D5FD2">
        <w:lastRenderedPageBreak/>
        <w:t>pre-therapy set consists of five tumor density features (Skewness, Uniformity, Entropy, kurtosis</w:t>
      </w:r>
      <w:r w:rsidR="00FB3E2F">
        <w:t>,</w:t>
      </w:r>
      <w:r w:rsidR="009D5FD2">
        <w:t xml:space="preserve"> and STD), thirteen wavelet features (</w:t>
      </w:r>
      <w:r w:rsidR="00591DD0">
        <w:t xml:space="preserve">Contrast-LH, Contrast-HL, Skewness-HH, </w:t>
      </w:r>
      <w:r w:rsidR="00591DD0" w:rsidRPr="00591DD0">
        <w:t>Density std Ratio-HL</w:t>
      </w:r>
      <w:r w:rsidR="00591DD0">
        <w:t xml:space="preserve">, Kurtosis-HL, </w:t>
      </w:r>
      <w:r w:rsidR="00591DD0" w:rsidRPr="00591DD0">
        <w:t>Mean contrast-LH</w:t>
      </w:r>
      <w:r w:rsidR="00591DD0">
        <w:t>,</w:t>
      </w:r>
      <w:r w:rsidR="00591DD0" w:rsidRPr="00591DD0">
        <w:t xml:space="preserve"> Density std Ratio-HH</w:t>
      </w:r>
      <w:r w:rsidR="00591DD0">
        <w:t xml:space="preserve">, Skewness-LH, Range-HL, Density-LH, Mean contrast-HL, Minimum density-LH, </w:t>
      </w:r>
      <w:r w:rsidR="00FB3E2F">
        <w:t xml:space="preserve">and </w:t>
      </w:r>
      <w:r w:rsidR="00591DD0">
        <w:t>Kurtosis-LL</w:t>
      </w:r>
      <w:r w:rsidR="009D5FD2">
        <w:t>), and two tumor shape features (</w:t>
      </w:r>
      <w:r w:rsidR="00591DD0">
        <w:t>Sphericity and Co</w:t>
      </w:r>
      <w:r w:rsidR="002621F5">
        <w:t>mpactness-</w:t>
      </w:r>
      <w:r w:rsidR="00591DD0">
        <w:t>2</w:t>
      </w:r>
      <w:r w:rsidR="009D5FD2">
        <w:t>). AUC values of these</w:t>
      </w:r>
      <w:r w:rsidR="002C3815">
        <w:t xml:space="preserve"> 20 features range from </w:t>
      </w:r>
      <w:r w:rsidR="002C3815" w:rsidRPr="002C3815">
        <w:t>0.5692</w:t>
      </w:r>
      <w:r w:rsidR="002C3815">
        <w:t xml:space="preserve"> to </w:t>
      </w:r>
      <w:r w:rsidR="002C3815" w:rsidRPr="002C3815">
        <w:t>0.6842</w:t>
      </w:r>
      <w:r w:rsidR="002C3815">
        <w:t xml:space="preserve">. </w:t>
      </w:r>
      <w:r w:rsidR="00FB3E2F">
        <w:t>The best performed feature i</w:t>
      </w:r>
      <w:r w:rsidR="002C3815">
        <w:t>s Skewness with an AUC value of 0.6842±</w:t>
      </w:r>
      <w:r w:rsidR="002C3815" w:rsidRPr="002C3815">
        <w:t>0.0557</w:t>
      </w:r>
      <w:r w:rsidR="00554255">
        <w:t>.</w:t>
      </w:r>
      <w:r w:rsidR="00BE0047">
        <w:t xml:space="preserve"> Similarly, another set based on the image feature difference between the pre- and post-therapy has nine tumor density features (Energy, Median, Rms, Average density, Maximum density, Density range, Fluctuation std, std-RL, and Entropy)</w:t>
      </w:r>
      <w:r w:rsidR="007E1885">
        <w:t>, eight wavelet features (Fluctuation std-LL, Entropy-HL, Energy-HH, Entropy-LL, Energy-HL, Maximum density-HH, Maximum density-HL, and Gradient mean-HL)</w:t>
      </w:r>
      <w:r w:rsidR="00195E0D">
        <w:t>, and three tumor shape features (Com</w:t>
      </w:r>
      <w:r w:rsidR="0062478F">
        <w:t>pactness-</w:t>
      </w:r>
      <w:r w:rsidR="00195E0D">
        <w:t>1, Tumor volume, and Surface area). AUC values of using these 20 features ranged from 0.6511 to 0.7705, among which the featu</w:t>
      </w:r>
      <w:r w:rsidR="00C61A28">
        <w:t>r</w:t>
      </w:r>
      <w:r w:rsidR="00195E0D">
        <w:t xml:space="preserve">e </w:t>
      </w:r>
      <w:r w:rsidR="0062478F">
        <w:t>of C</w:t>
      </w:r>
      <w:r w:rsidR="00C31197">
        <w:t>ompactness-</w:t>
      </w:r>
      <w:r w:rsidR="00195E0D">
        <w:t>1 yielded the highest AUC value of 0.7705±</w:t>
      </w:r>
      <w:r w:rsidR="00195E0D" w:rsidRPr="00195E0D">
        <w:t>0.0495</w:t>
      </w:r>
      <w:r w:rsidR="00F924A3">
        <w:t>.</w:t>
      </w:r>
    </w:p>
    <w:p w:rsidR="00BA7D2D" w:rsidRDefault="00BA7D2D" w:rsidP="000973F9"/>
    <w:p w:rsidR="00BA7D2D" w:rsidRDefault="00BA7D2D" w:rsidP="000973F9"/>
    <w:p w:rsidR="0042606E" w:rsidRDefault="0042606E" w:rsidP="000973F9"/>
    <w:p w:rsidR="00F6365E" w:rsidRDefault="00F6365E" w:rsidP="000973F9"/>
    <w:p w:rsidR="003329C2" w:rsidRDefault="003329C2" w:rsidP="000973F9"/>
    <w:p w:rsidR="003329C2" w:rsidRDefault="003329C2" w:rsidP="000973F9"/>
    <w:p w:rsidR="003329C2" w:rsidRDefault="003329C2" w:rsidP="000973F9"/>
    <w:p w:rsidR="000B0FA8" w:rsidRDefault="000B0FA8" w:rsidP="000973F9"/>
    <w:p w:rsidR="000C4C8C" w:rsidRPr="00322A8C" w:rsidRDefault="000C4C8C" w:rsidP="000B1BAF">
      <w:pPr>
        <w:pStyle w:val="Caption"/>
        <w:keepNext/>
        <w:spacing w:after="0"/>
        <w:jc w:val="both"/>
        <w:rPr>
          <w:b w:val="0"/>
          <w:color w:val="auto"/>
          <w:sz w:val="24"/>
          <w:szCs w:val="24"/>
        </w:rPr>
      </w:pPr>
      <w:bookmarkStart w:id="48" w:name="_Ref466563862"/>
      <w:bookmarkStart w:id="49" w:name="_Toc467168347"/>
      <w:r w:rsidRPr="00322A8C">
        <w:rPr>
          <w:color w:val="auto"/>
          <w:sz w:val="24"/>
          <w:szCs w:val="24"/>
        </w:rPr>
        <w:lastRenderedPageBreak/>
        <w:t xml:space="preserve">Table </w:t>
      </w:r>
      <w:r w:rsidR="009647D4" w:rsidRPr="00322A8C">
        <w:rPr>
          <w:color w:val="auto"/>
          <w:sz w:val="24"/>
          <w:szCs w:val="24"/>
        </w:rPr>
        <w:fldChar w:fldCharType="begin"/>
      </w:r>
      <w:r w:rsidRPr="00322A8C">
        <w:rPr>
          <w:color w:val="auto"/>
          <w:sz w:val="24"/>
          <w:szCs w:val="24"/>
        </w:rPr>
        <w:instrText xml:space="preserve"> SEQ Table \* ARABIC </w:instrText>
      </w:r>
      <w:r w:rsidR="009647D4" w:rsidRPr="00322A8C">
        <w:rPr>
          <w:color w:val="auto"/>
          <w:sz w:val="24"/>
          <w:szCs w:val="24"/>
        </w:rPr>
        <w:fldChar w:fldCharType="separate"/>
      </w:r>
      <w:r w:rsidR="00D719F4">
        <w:rPr>
          <w:noProof/>
          <w:color w:val="auto"/>
          <w:sz w:val="24"/>
          <w:szCs w:val="24"/>
        </w:rPr>
        <w:t>4</w:t>
      </w:r>
      <w:r w:rsidR="009647D4" w:rsidRPr="00322A8C">
        <w:rPr>
          <w:color w:val="auto"/>
          <w:sz w:val="24"/>
          <w:szCs w:val="24"/>
        </w:rPr>
        <w:fldChar w:fldCharType="end"/>
      </w:r>
      <w:bookmarkEnd w:id="48"/>
      <w:r w:rsidRPr="00322A8C">
        <w:rPr>
          <w:color w:val="auto"/>
          <w:sz w:val="24"/>
          <w:szCs w:val="24"/>
        </w:rPr>
        <w:t>:</w:t>
      </w:r>
      <w:r w:rsidRPr="00322A8C">
        <w:rPr>
          <w:b w:val="0"/>
          <w:color w:val="auto"/>
          <w:sz w:val="24"/>
          <w:szCs w:val="24"/>
        </w:rPr>
        <w:t xml:space="preserve"> Summary of top 20 features obtain</w:t>
      </w:r>
      <w:r w:rsidR="007078D9">
        <w:rPr>
          <w:b w:val="0"/>
          <w:color w:val="auto"/>
          <w:sz w:val="24"/>
          <w:szCs w:val="24"/>
        </w:rPr>
        <w:t>ed using pretreatment CT images</w:t>
      </w:r>
      <w:bookmarkEnd w:id="49"/>
    </w:p>
    <w:tbl>
      <w:tblPr>
        <w:tblStyle w:val="TableGrid1"/>
        <w:tblW w:w="8352"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2286"/>
        <w:gridCol w:w="1800"/>
        <w:gridCol w:w="2502"/>
        <w:gridCol w:w="1764"/>
      </w:tblGrid>
      <w:tr w:rsidR="006D0F27" w:rsidRPr="00FF7EA1" w:rsidTr="005051EF">
        <w:trPr>
          <w:trHeight w:val="504"/>
          <w:jc w:val="center"/>
        </w:trPr>
        <w:tc>
          <w:tcPr>
            <w:tcW w:w="2286" w:type="dxa"/>
            <w:tcBorders>
              <w:top w:val="double" w:sz="4" w:space="0" w:color="auto"/>
            </w:tcBorders>
            <w:vAlign w:val="center"/>
          </w:tcPr>
          <w:p w:rsidR="006D0F27" w:rsidRDefault="006D0F27" w:rsidP="006D0F27">
            <w:pPr>
              <w:tabs>
                <w:tab w:val="num" w:pos="720"/>
              </w:tabs>
              <w:spacing w:line="240" w:lineRule="auto"/>
              <w:rPr>
                <w:rFonts w:ascii="Times New Roman" w:hAnsi="Times New Roman"/>
                <w:lang w:bidi="ar-SA"/>
              </w:rPr>
            </w:pPr>
            <w:bookmarkStart w:id="50" w:name="_Ref465347901"/>
            <w:r>
              <w:rPr>
                <w:rFonts w:ascii="Times New Roman" w:hAnsi="Times New Roman"/>
                <w:lang w:bidi="ar-SA"/>
              </w:rPr>
              <w:t>Feature</w:t>
            </w:r>
          </w:p>
        </w:tc>
        <w:tc>
          <w:tcPr>
            <w:tcW w:w="1800" w:type="dxa"/>
            <w:tcBorders>
              <w:top w:val="double" w:sz="4" w:space="0" w:color="auto"/>
            </w:tcBorders>
            <w:vAlign w:val="center"/>
          </w:tcPr>
          <w:p w:rsidR="006D0F27" w:rsidRPr="00973D99" w:rsidRDefault="006D0F27" w:rsidP="006D0F27">
            <w:pPr>
              <w:pStyle w:val="Text"/>
              <w:spacing w:line="240" w:lineRule="auto"/>
              <w:ind w:firstLine="0"/>
              <w:jc w:val="left"/>
              <w:rPr>
                <w:rFonts w:asciiTheme="minorHAnsi" w:hAnsiTheme="minorHAnsi" w:cstheme="minorHAnsi"/>
                <w:sz w:val="22"/>
                <w:szCs w:val="22"/>
              </w:rPr>
            </w:pPr>
            <w:r>
              <w:rPr>
                <w:rFonts w:asciiTheme="minorHAnsi" w:hAnsiTheme="minorHAnsi" w:cstheme="minorHAnsi"/>
                <w:sz w:val="22"/>
                <w:szCs w:val="22"/>
              </w:rPr>
              <w:t xml:space="preserve">AUC </w:t>
            </w:r>
            <w:r>
              <w:rPr>
                <w:sz w:val="22"/>
                <w:szCs w:val="22"/>
              </w:rPr>
              <w:t>±</w:t>
            </w:r>
            <w:r>
              <w:rPr>
                <w:rFonts w:asciiTheme="minorHAnsi" w:hAnsiTheme="minorHAnsi" w:cstheme="minorHAnsi"/>
                <w:sz w:val="22"/>
                <w:szCs w:val="22"/>
              </w:rPr>
              <w:t xml:space="preserve"> STD</w:t>
            </w:r>
          </w:p>
        </w:tc>
        <w:tc>
          <w:tcPr>
            <w:tcW w:w="2502" w:type="dxa"/>
            <w:tcBorders>
              <w:top w:val="double" w:sz="4" w:space="0" w:color="auto"/>
            </w:tcBorders>
            <w:vAlign w:val="center"/>
          </w:tcPr>
          <w:p w:rsidR="006D0F27" w:rsidRDefault="006D0F27" w:rsidP="006D0F27">
            <w:pPr>
              <w:tabs>
                <w:tab w:val="num" w:pos="720"/>
              </w:tabs>
              <w:spacing w:line="240" w:lineRule="auto"/>
              <w:rPr>
                <w:rFonts w:ascii="Times New Roman" w:hAnsi="Times New Roman"/>
                <w:lang w:bidi="ar-SA"/>
              </w:rPr>
            </w:pPr>
            <w:r>
              <w:rPr>
                <w:rFonts w:ascii="Times New Roman" w:hAnsi="Times New Roman"/>
                <w:lang w:bidi="ar-SA"/>
              </w:rPr>
              <w:t>Feature</w:t>
            </w:r>
          </w:p>
        </w:tc>
        <w:tc>
          <w:tcPr>
            <w:tcW w:w="1764" w:type="dxa"/>
            <w:tcBorders>
              <w:top w:val="double" w:sz="4" w:space="0" w:color="auto"/>
            </w:tcBorders>
            <w:vAlign w:val="center"/>
          </w:tcPr>
          <w:p w:rsidR="006D0F27" w:rsidRPr="00973D99" w:rsidRDefault="006D0F27" w:rsidP="006D0F27">
            <w:pPr>
              <w:pStyle w:val="Text"/>
              <w:spacing w:line="240" w:lineRule="auto"/>
              <w:ind w:firstLine="0"/>
              <w:jc w:val="left"/>
              <w:rPr>
                <w:rFonts w:asciiTheme="minorHAnsi" w:hAnsiTheme="minorHAnsi" w:cstheme="minorHAnsi"/>
                <w:sz w:val="22"/>
                <w:szCs w:val="22"/>
              </w:rPr>
            </w:pPr>
            <w:r>
              <w:rPr>
                <w:rFonts w:asciiTheme="minorHAnsi" w:hAnsiTheme="minorHAnsi" w:cstheme="minorHAnsi"/>
                <w:sz w:val="22"/>
                <w:szCs w:val="22"/>
              </w:rPr>
              <w:t xml:space="preserve">AUC </w:t>
            </w:r>
            <w:r>
              <w:rPr>
                <w:sz w:val="22"/>
                <w:szCs w:val="22"/>
              </w:rPr>
              <w:t>±</w:t>
            </w:r>
            <w:r>
              <w:rPr>
                <w:rFonts w:asciiTheme="minorHAnsi" w:hAnsiTheme="minorHAnsi" w:cstheme="minorHAnsi"/>
                <w:sz w:val="22"/>
                <w:szCs w:val="22"/>
              </w:rPr>
              <w:t xml:space="preserve"> STD</w:t>
            </w:r>
          </w:p>
        </w:tc>
      </w:tr>
      <w:tr w:rsidR="006D0F27" w:rsidRPr="00FF7EA1" w:rsidTr="005051EF">
        <w:trPr>
          <w:trHeight w:val="504"/>
          <w:jc w:val="center"/>
        </w:trPr>
        <w:tc>
          <w:tcPr>
            <w:tcW w:w="2286" w:type="dxa"/>
            <w:tcBorders>
              <w:top w:val="single" w:sz="4" w:space="0" w:color="auto"/>
            </w:tcBorders>
            <w:vAlign w:val="center"/>
          </w:tcPr>
          <w:p w:rsidR="006D0F27" w:rsidRPr="00FF7EA1" w:rsidRDefault="006D0F27" w:rsidP="006D0F27">
            <w:pPr>
              <w:tabs>
                <w:tab w:val="num" w:pos="720"/>
              </w:tabs>
              <w:spacing w:line="240" w:lineRule="auto"/>
              <w:rPr>
                <w:rFonts w:ascii="Times New Roman" w:hAnsi="Times New Roman"/>
                <w:lang w:bidi="ar-SA"/>
              </w:rPr>
            </w:pPr>
            <w:r>
              <w:rPr>
                <w:rFonts w:ascii="Times New Roman" w:hAnsi="Times New Roman"/>
                <w:lang w:bidi="ar-SA"/>
              </w:rPr>
              <w:t>Skewness</w:t>
            </w:r>
          </w:p>
        </w:tc>
        <w:tc>
          <w:tcPr>
            <w:tcW w:w="1800" w:type="dxa"/>
            <w:tcBorders>
              <w:top w:val="single" w:sz="4" w:space="0" w:color="auto"/>
            </w:tcBorders>
            <w:vAlign w:val="center"/>
          </w:tcPr>
          <w:p w:rsidR="006D0F27" w:rsidRPr="00973D99" w:rsidRDefault="006D0F27" w:rsidP="006D0F27">
            <w:pPr>
              <w:pStyle w:val="Text"/>
              <w:spacing w:line="240" w:lineRule="auto"/>
              <w:ind w:firstLine="0"/>
              <w:jc w:val="left"/>
              <w:rPr>
                <w:rFonts w:asciiTheme="minorHAnsi" w:hAnsiTheme="minorHAnsi" w:cstheme="minorHAnsi"/>
                <w:sz w:val="22"/>
                <w:szCs w:val="22"/>
              </w:rPr>
            </w:pPr>
            <w:r w:rsidRPr="00973D99">
              <w:rPr>
                <w:rFonts w:asciiTheme="minorHAnsi" w:hAnsiTheme="minorHAnsi" w:cstheme="minorHAnsi"/>
                <w:sz w:val="22"/>
                <w:szCs w:val="22"/>
              </w:rPr>
              <w:t xml:space="preserve">0.6842 </w:t>
            </w:r>
            <w:r w:rsidRPr="00973D99">
              <w:rPr>
                <w:rFonts w:asciiTheme="minorHAnsi" w:hAnsiTheme="minorHAnsi" w:cstheme="minorHAnsi"/>
                <w:sz w:val="22"/>
                <w:szCs w:val="22"/>
                <w:lang w:bidi="en-US"/>
              </w:rPr>
              <w:t>±</w:t>
            </w:r>
            <w:r w:rsidRPr="00973D99">
              <w:rPr>
                <w:rFonts w:asciiTheme="minorHAnsi" w:hAnsiTheme="minorHAnsi" w:cstheme="minorHAnsi"/>
                <w:sz w:val="22"/>
                <w:szCs w:val="22"/>
              </w:rPr>
              <w:t xml:space="preserve"> 0.0557</w:t>
            </w:r>
          </w:p>
        </w:tc>
        <w:tc>
          <w:tcPr>
            <w:tcW w:w="2502" w:type="dxa"/>
            <w:tcBorders>
              <w:top w:val="single" w:sz="4" w:space="0" w:color="auto"/>
            </w:tcBorders>
            <w:vAlign w:val="center"/>
          </w:tcPr>
          <w:p w:rsidR="006D0F27" w:rsidRPr="00FF7EA1" w:rsidRDefault="006D0F27" w:rsidP="006D0F27">
            <w:pPr>
              <w:tabs>
                <w:tab w:val="num" w:pos="720"/>
              </w:tabs>
              <w:spacing w:line="240" w:lineRule="auto"/>
              <w:rPr>
                <w:rFonts w:ascii="Times New Roman" w:hAnsi="Times New Roman"/>
                <w:lang w:bidi="ar-SA"/>
              </w:rPr>
            </w:pPr>
            <w:r>
              <w:rPr>
                <w:rFonts w:ascii="Times New Roman" w:hAnsi="Times New Roman"/>
                <w:lang w:bidi="ar-SA"/>
              </w:rPr>
              <w:t>Mean contrast-LH</w:t>
            </w:r>
          </w:p>
        </w:tc>
        <w:tc>
          <w:tcPr>
            <w:tcW w:w="1764" w:type="dxa"/>
            <w:tcBorders>
              <w:top w:val="single" w:sz="4" w:space="0" w:color="auto"/>
            </w:tcBorders>
            <w:vAlign w:val="center"/>
          </w:tcPr>
          <w:p w:rsidR="006D0F27" w:rsidRPr="00973D99" w:rsidRDefault="006D0F27" w:rsidP="006D0F27">
            <w:pPr>
              <w:pStyle w:val="Text"/>
              <w:spacing w:line="240" w:lineRule="auto"/>
              <w:ind w:firstLine="0"/>
              <w:jc w:val="left"/>
              <w:rPr>
                <w:rFonts w:asciiTheme="minorHAnsi" w:hAnsiTheme="minorHAnsi" w:cstheme="minorHAnsi"/>
                <w:sz w:val="22"/>
                <w:szCs w:val="22"/>
              </w:rPr>
            </w:pPr>
            <w:r w:rsidRPr="00973D99">
              <w:rPr>
                <w:rFonts w:asciiTheme="minorHAnsi" w:hAnsiTheme="minorHAnsi" w:cstheme="minorHAnsi"/>
                <w:sz w:val="22"/>
                <w:szCs w:val="22"/>
              </w:rPr>
              <w:t xml:space="preserve">0.5960 </w:t>
            </w:r>
            <w:r w:rsidRPr="00973D99">
              <w:rPr>
                <w:rFonts w:asciiTheme="minorHAnsi" w:hAnsiTheme="minorHAnsi" w:cstheme="minorHAnsi"/>
                <w:sz w:val="22"/>
                <w:szCs w:val="22"/>
                <w:lang w:bidi="en-US"/>
              </w:rPr>
              <w:t xml:space="preserve">± </w:t>
            </w:r>
            <w:r w:rsidRPr="00973D99">
              <w:rPr>
                <w:rFonts w:asciiTheme="minorHAnsi" w:hAnsiTheme="minorHAnsi" w:cstheme="minorHAnsi"/>
                <w:sz w:val="22"/>
                <w:szCs w:val="22"/>
              </w:rPr>
              <w:t>0.0601</w:t>
            </w:r>
          </w:p>
        </w:tc>
      </w:tr>
      <w:tr w:rsidR="006D0F27" w:rsidRPr="00FF7EA1" w:rsidTr="005051EF">
        <w:trPr>
          <w:trHeight w:val="504"/>
          <w:jc w:val="center"/>
        </w:trPr>
        <w:tc>
          <w:tcPr>
            <w:tcW w:w="2286" w:type="dxa"/>
            <w:vAlign w:val="center"/>
          </w:tcPr>
          <w:p w:rsidR="006D0F27" w:rsidRPr="00FF7EA1" w:rsidRDefault="006D0F27" w:rsidP="006D0F27">
            <w:pPr>
              <w:tabs>
                <w:tab w:val="num" w:pos="0"/>
              </w:tabs>
              <w:spacing w:line="240" w:lineRule="auto"/>
              <w:rPr>
                <w:rFonts w:ascii="Times New Roman" w:hAnsi="Times New Roman"/>
                <w:lang w:bidi="ar-SA"/>
              </w:rPr>
            </w:pPr>
            <w:r>
              <w:rPr>
                <w:rFonts w:ascii="Times New Roman" w:hAnsi="Times New Roman"/>
                <w:lang w:bidi="ar-SA"/>
              </w:rPr>
              <w:t>Contrast-LH</w:t>
            </w:r>
          </w:p>
        </w:tc>
        <w:tc>
          <w:tcPr>
            <w:tcW w:w="1800" w:type="dxa"/>
            <w:vAlign w:val="center"/>
          </w:tcPr>
          <w:p w:rsidR="006D0F27" w:rsidRPr="00973D99" w:rsidRDefault="006D0F27" w:rsidP="006D0F27">
            <w:pPr>
              <w:pStyle w:val="Text"/>
              <w:spacing w:line="240" w:lineRule="auto"/>
              <w:ind w:firstLine="0"/>
              <w:jc w:val="left"/>
              <w:rPr>
                <w:rFonts w:asciiTheme="minorHAnsi" w:hAnsiTheme="minorHAnsi" w:cstheme="minorHAnsi"/>
                <w:sz w:val="22"/>
                <w:szCs w:val="22"/>
              </w:rPr>
            </w:pPr>
            <w:r w:rsidRPr="00973D99">
              <w:rPr>
                <w:rFonts w:asciiTheme="minorHAnsi" w:hAnsiTheme="minorHAnsi" w:cstheme="minorHAnsi"/>
                <w:sz w:val="22"/>
                <w:szCs w:val="22"/>
              </w:rPr>
              <w:t xml:space="preserve">0.6521 </w:t>
            </w:r>
            <w:r w:rsidRPr="00973D99">
              <w:rPr>
                <w:rFonts w:asciiTheme="minorHAnsi" w:hAnsiTheme="minorHAnsi" w:cstheme="minorHAnsi"/>
                <w:sz w:val="22"/>
                <w:szCs w:val="22"/>
                <w:lang w:bidi="en-US"/>
              </w:rPr>
              <w:t xml:space="preserve">± </w:t>
            </w:r>
            <w:r w:rsidRPr="00973D99">
              <w:rPr>
                <w:rFonts w:asciiTheme="minorHAnsi" w:hAnsiTheme="minorHAnsi" w:cstheme="minorHAnsi"/>
                <w:sz w:val="22"/>
                <w:szCs w:val="22"/>
              </w:rPr>
              <w:t>0.0592</w:t>
            </w:r>
          </w:p>
        </w:tc>
        <w:tc>
          <w:tcPr>
            <w:tcW w:w="2502" w:type="dxa"/>
            <w:vAlign w:val="center"/>
          </w:tcPr>
          <w:p w:rsidR="006D0F27" w:rsidRPr="00FF7EA1" w:rsidRDefault="006D0F27" w:rsidP="006D0F27">
            <w:pPr>
              <w:tabs>
                <w:tab w:val="num" w:pos="720"/>
              </w:tabs>
              <w:spacing w:line="240" w:lineRule="auto"/>
              <w:rPr>
                <w:rFonts w:ascii="Times New Roman" w:hAnsi="Times New Roman"/>
                <w:lang w:bidi="ar-SA"/>
              </w:rPr>
            </w:pPr>
            <w:r>
              <w:rPr>
                <w:rFonts w:ascii="Times New Roman" w:hAnsi="Times New Roman"/>
                <w:lang w:bidi="ar-SA"/>
              </w:rPr>
              <w:t>Kurtosis</w:t>
            </w:r>
          </w:p>
        </w:tc>
        <w:tc>
          <w:tcPr>
            <w:tcW w:w="1764" w:type="dxa"/>
            <w:vAlign w:val="center"/>
          </w:tcPr>
          <w:p w:rsidR="006D0F27" w:rsidRPr="00973D99" w:rsidRDefault="006D0F27" w:rsidP="006D0F27">
            <w:pPr>
              <w:pStyle w:val="Text"/>
              <w:spacing w:line="240" w:lineRule="auto"/>
              <w:ind w:firstLine="0"/>
              <w:jc w:val="left"/>
              <w:rPr>
                <w:rFonts w:asciiTheme="minorHAnsi" w:hAnsiTheme="minorHAnsi" w:cstheme="minorHAnsi"/>
                <w:sz w:val="22"/>
                <w:szCs w:val="22"/>
              </w:rPr>
            </w:pPr>
            <w:r w:rsidRPr="00973D99">
              <w:rPr>
                <w:rFonts w:asciiTheme="minorHAnsi" w:hAnsiTheme="minorHAnsi" w:cstheme="minorHAnsi"/>
                <w:sz w:val="22"/>
                <w:szCs w:val="22"/>
              </w:rPr>
              <w:t xml:space="preserve">0.5923 </w:t>
            </w:r>
            <w:r w:rsidRPr="00973D99">
              <w:rPr>
                <w:rFonts w:asciiTheme="minorHAnsi" w:hAnsiTheme="minorHAnsi" w:cstheme="minorHAnsi"/>
                <w:sz w:val="22"/>
                <w:szCs w:val="22"/>
                <w:lang w:bidi="en-US"/>
              </w:rPr>
              <w:t xml:space="preserve">± </w:t>
            </w:r>
            <w:r w:rsidRPr="00973D99">
              <w:rPr>
                <w:rFonts w:asciiTheme="minorHAnsi" w:hAnsiTheme="minorHAnsi" w:cstheme="minorHAnsi"/>
                <w:sz w:val="22"/>
                <w:szCs w:val="22"/>
              </w:rPr>
              <w:t>0.060</w:t>
            </w:r>
          </w:p>
        </w:tc>
      </w:tr>
      <w:tr w:rsidR="006D0F27" w:rsidRPr="00FF7EA1" w:rsidTr="005051EF">
        <w:trPr>
          <w:trHeight w:val="504"/>
          <w:jc w:val="center"/>
        </w:trPr>
        <w:tc>
          <w:tcPr>
            <w:tcW w:w="2286" w:type="dxa"/>
            <w:vAlign w:val="center"/>
          </w:tcPr>
          <w:p w:rsidR="006D0F27" w:rsidRPr="00FF7EA1" w:rsidRDefault="006D0F27" w:rsidP="006D0F27">
            <w:pPr>
              <w:tabs>
                <w:tab w:val="num" w:pos="0"/>
              </w:tabs>
              <w:spacing w:line="240" w:lineRule="auto"/>
              <w:rPr>
                <w:rFonts w:ascii="Times New Roman" w:hAnsi="Times New Roman"/>
                <w:lang w:bidi="ar-SA"/>
              </w:rPr>
            </w:pPr>
            <w:r>
              <w:rPr>
                <w:rFonts w:ascii="Times New Roman" w:hAnsi="Times New Roman"/>
                <w:lang w:bidi="ar-SA"/>
              </w:rPr>
              <w:t>Contrast-HL</w:t>
            </w:r>
          </w:p>
        </w:tc>
        <w:tc>
          <w:tcPr>
            <w:tcW w:w="1800" w:type="dxa"/>
            <w:vAlign w:val="center"/>
          </w:tcPr>
          <w:p w:rsidR="006D0F27" w:rsidRPr="00973D99" w:rsidRDefault="006D0F27" w:rsidP="006D0F27">
            <w:pPr>
              <w:pStyle w:val="Text"/>
              <w:spacing w:line="240" w:lineRule="auto"/>
              <w:ind w:firstLine="0"/>
              <w:jc w:val="left"/>
              <w:rPr>
                <w:rFonts w:asciiTheme="minorHAnsi" w:hAnsiTheme="minorHAnsi" w:cstheme="minorHAnsi"/>
                <w:sz w:val="22"/>
                <w:szCs w:val="22"/>
              </w:rPr>
            </w:pPr>
            <w:r w:rsidRPr="00973D99">
              <w:rPr>
                <w:rFonts w:asciiTheme="minorHAnsi" w:hAnsiTheme="minorHAnsi" w:cstheme="minorHAnsi"/>
                <w:sz w:val="22"/>
                <w:szCs w:val="22"/>
              </w:rPr>
              <w:t xml:space="preserve">0.6426 </w:t>
            </w:r>
            <w:r w:rsidRPr="00973D99">
              <w:rPr>
                <w:rFonts w:asciiTheme="minorHAnsi" w:hAnsiTheme="minorHAnsi" w:cstheme="minorHAnsi"/>
                <w:sz w:val="22"/>
                <w:szCs w:val="22"/>
                <w:lang w:bidi="en-US"/>
              </w:rPr>
              <w:t xml:space="preserve">± </w:t>
            </w:r>
            <w:r w:rsidRPr="00973D99">
              <w:rPr>
                <w:rFonts w:asciiTheme="minorHAnsi" w:hAnsiTheme="minorHAnsi" w:cstheme="minorHAnsi"/>
                <w:sz w:val="22"/>
                <w:szCs w:val="22"/>
              </w:rPr>
              <w:t>0.0576</w:t>
            </w:r>
          </w:p>
        </w:tc>
        <w:tc>
          <w:tcPr>
            <w:tcW w:w="2502" w:type="dxa"/>
            <w:vAlign w:val="center"/>
          </w:tcPr>
          <w:p w:rsidR="006D0F27" w:rsidRPr="00FF7EA1" w:rsidRDefault="006D0F27" w:rsidP="006D0F27">
            <w:pPr>
              <w:tabs>
                <w:tab w:val="num" w:pos="720"/>
              </w:tabs>
              <w:spacing w:line="240" w:lineRule="auto"/>
              <w:rPr>
                <w:rFonts w:ascii="Times New Roman" w:hAnsi="Times New Roman"/>
                <w:lang w:bidi="ar-SA"/>
              </w:rPr>
            </w:pPr>
            <w:r>
              <w:rPr>
                <w:rFonts w:ascii="Times New Roman" w:hAnsi="Times New Roman"/>
                <w:lang w:bidi="ar-SA"/>
              </w:rPr>
              <w:t>Density std Ratio-HH</w:t>
            </w:r>
          </w:p>
        </w:tc>
        <w:tc>
          <w:tcPr>
            <w:tcW w:w="1764" w:type="dxa"/>
            <w:vAlign w:val="center"/>
          </w:tcPr>
          <w:p w:rsidR="006D0F27" w:rsidRPr="00973D99" w:rsidRDefault="006D0F27" w:rsidP="006D0F27">
            <w:pPr>
              <w:pStyle w:val="Text"/>
              <w:spacing w:line="240" w:lineRule="auto"/>
              <w:ind w:firstLine="0"/>
              <w:jc w:val="left"/>
              <w:rPr>
                <w:rFonts w:asciiTheme="minorHAnsi" w:hAnsiTheme="minorHAnsi" w:cstheme="minorHAnsi"/>
                <w:sz w:val="22"/>
                <w:szCs w:val="22"/>
              </w:rPr>
            </w:pPr>
            <w:r w:rsidRPr="00973D99">
              <w:rPr>
                <w:rFonts w:asciiTheme="minorHAnsi" w:hAnsiTheme="minorHAnsi" w:cstheme="minorHAnsi"/>
                <w:sz w:val="22"/>
                <w:szCs w:val="22"/>
              </w:rPr>
              <w:t xml:space="preserve">0.5907 </w:t>
            </w:r>
            <w:r w:rsidRPr="00973D99">
              <w:rPr>
                <w:rFonts w:asciiTheme="minorHAnsi" w:hAnsiTheme="minorHAnsi" w:cstheme="minorHAnsi"/>
                <w:sz w:val="22"/>
                <w:szCs w:val="22"/>
                <w:lang w:bidi="en-US"/>
              </w:rPr>
              <w:t xml:space="preserve">± </w:t>
            </w:r>
            <w:r w:rsidRPr="00973D99">
              <w:rPr>
                <w:rFonts w:asciiTheme="minorHAnsi" w:hAnsiTheme="minorHAnsi" w:cstheme="minorHAnsi"/>
                <w:sz w:val="22"/>
                <w:szCs w:val="22"/>
              </w:rPr>
              <w:t>0.0614</w:t>
            </w:r>
          </w:p>
        </w:tc>
      </w:tr>
      <w:tr w:rsidR="006D0F27" w:rsidRPr="00FF7EA1" w:rsidTr="005051EF">
        <w:trPr>
          <w:trHeight w:val="504"/>
          <w:jc w:val="center"/>
        </w:trPr>
        <w:tc>
          <w:tcPr>
            <w:tcW w:w="2286" w:type="dxa"/>
            <w:vAlign w:val="center"/>
          </w:tcPr>
          <w:p w:rsidR="006D0F27" w:rsidRPr="00FF7EA1" w:rsidRDefault="006D0F27" w:rsidP="006D0F27">
            <w:pPr>
              <w:tabs>
                <w:tab w:val="num" w:pos="0"/>
              </w:tabs>
              <w:spacing w:line="240" w:lineRule="auto"/>
              <w:rPr>
                <w:rFonts w:ascii="Times New Roman" w:hAnsi="Times New Roman"/>
                <w:lang w:bidi="ar-SA"/>
              </w:rPr>
            </w:pPr>
            <w:r>
              <w:rPr>
                <w:rFonts w:ascii="Times New Roman" w:hAnsi="Times New Roman"/>
                <w:lang w:bidi="ar-SA"/>
              </w:rPr>
              <w:t>Uniformity</w:t>
            </w:r>
          </w:p>
        </w:tc>
        <w:tc>
          <w:tcPr>
            <w:tcW w:w="1800" w:type="dxa"/>
            <w:vAlign w:val="center"/>
          </w:tcPr>
          <w:p w:rsidR="006D0F27" w:rsidRPr="00973D99" w:rsidRDefault="006D0F27" w:rsidP="006D0F27">
            <w:pPr>
              <w:pStyle w:val="Text"/>
              <w:spacing w:line="240" w:lineRule="auto"/>
              <w:ind w:firstLine="0"/>
              <w:jc w:val="left"/>
              <w:rPr>
                <w:rFonts w:asciiTheme="minorHAnsi" w:hAnsiTheme="minorHAnsi" w:cstheme="minorHAnsi"/>
                <w:sz w:val="22"/>
                <w:szCs w:val="22"/>
              </w:rPr>
            </w:pPr>
            <w:r w:rsidRPr="00973D99">
              <w:rPr>
                <w:rFonts w:asciiTheme="minorHAnsi" w:hAnsiTheme="minorHAnsi" w:cstheme="minorHAnsi"/>
                <w:sz w:val="22"/>
                <w:szCs w:val="22"/>
              </w:rPr>
              <w:t xml:space="preserve">0.6367 </w:t>
            </w:r>
            <w:r w:rsidRPr="00973D99">
              <w:rPr>
                <w:rFonts w:asciiTheme="minorHAnsi" w:hAnsiTheme="minorHAnsi" w:cstheme="minorHAnsi"/>
                <w:sz w:val="22"/>
                <w:szCs w:val="22"/>
                <w:lang w:bidi="en-US"/>
              </w:rPr>
              <w:t xml:space="preserve">± </w:t>
            </w:r>
            <w:r w:rsidRPr="00973D99">
              <w:rPr>
                <w:rFonts w:asciiTheme="minorHAnsi" w:hAnsiTheme="minorHAnsi" w:cstheme="minorHAnsi"/>
                <w:sz w:val="22"/>
                <w:szCs w:val="22"/>
              </w:rPr>
              <w:t>0.0579</w:t>
            </w:r>
          </w:p>
        </w:tc>
        <w:tc>
          <w:tcPr>
            <w:tcW w:w="2502" w:type="dxa"/>
            <w:vAlign w:val="center"/>
          </w:tcPr>
          <w:p w:rsidR="006D0F27" w:rsidRPr="00FF7EA1" w:rsidRDefault="006D0F27" w:rsidP="006D0F27">
            <w:pPr>
              <w:tabs>
                <w:tab w:val="num" w:pos="720"/>
              </w:tabs>
              <w:spacing w:line="240" w:lineRule="auto"/>
              <w:rPr>
                <w:rFonts w:ascii="Times New Roman" w:hAnsi="Times New Roman"/>
                <w:lang w:bidi="ar-SA"/>
              </w:rPr>
            </w:pPr>
            <w:r>
              <w:rPr>
                <w:rFonts w:ascii="Times New Roman" w:hAnsi="Times New Roman"/>
                <w:lang w:bidi="ar-SA"/>
              </w:rPr>
              <w:t>Skewness-LH</w:t>
            </w:r>
          </w:p>
        </w:tc>
        <w:tc>
          <w:tcPr>
            <w:tcW w:w="1764" w:type="dxa"/>
            <w:vAlign w:val="center"/>
          </w:tcPr>
          <w:p w:rsidR="006D0F27" w:rsidRPr="00973D99" w:rsidRDefault="006D0F27" w:rsidP="006D0F27">
            <w:pPr>
              <w:pStyle w:val="Text"/>
              <w:spacing w:line="240" w:lineRule="auto"/>
              <w:ind w:firstLine="0"/>
              <w:jc w:val="left"/>
              <w:rPr>
                <w:rFonts w:asciiTheme="minorHAnsi" w:hAnsiTheme="minorHAnsi" w:cstheme="minorHAnsi"/>
                <w:sz w:val="22"/>
                <w:szCs w:val="22"/>
              </w:rPr>
            </w:pPr>
            <w:r w:rsidRPr="00973D99">
              <w:rPr>
                <w:rFonts w:asciiTheme="minorHAnsi" w:hAnsiTheme="minorHAnsi" w:cstheme="minorHAnsi"/>
                <w:sz w:val="22"/>
                <w:szCs w:val="22"/>
              </w:rPr>
              <w:t xml:space="preserve">0.5877 </w:t>
            </w:r>
            <w:r w:rsidRPr="00973D99">
              <w:rPr>
                <w:rFonts w:asciiTheme="minorHAnsi" w:hAnsiTheme="minorHAnsi" w:cstheme="minorHAnsi"/>
                <w:sz w:val="22"/>
                <w:szCs w:val="22"/>
                <w:lang w:bidi="en-US"/>
              </w:rPr>
              <w:t xml:space="preserve">± </w:t>
            </w:r>
            <w:r w:rsidRPr="00973D99">
              <w:rPr>
                <w:rFonts w:asciiTheme="minorHAnsi" w:hAnsiTheme="minorHAnsi" w:cstheme="minorHAnsi"/>
                <w:sz w:val="22"/>
                <w:szCs w:val="22"/>
              </w:rPr>
              <w:t>0.0597</w:t>
            </w:r>
          </w:p>
        </w:tc>
      </w:tr>
      <w:tr w:rsidR="006D0F27" w:rsidRPr="00FF7EA1" w:rsidTr="005051EF">
        <w:trPr>
          <w:trHeight w:val="504"/>
          <w:jc w:val="center"/>
        </w:trPr>
        <w:tc>
          <w:tcPr>
            <w:tcW w:w="2286" w:type="dxa"/>
            <w:vAlign w:val="center"/>
          </w:tcPr>
          <w:p w:rsidR="006D0F27" w:rsidRPr="00FF7EA1" w:rsidRDefault="006D0F27" w:rsidP="006D0F27">
            <w:pPr>
              <w:tabs>
                <w:tab w:val="num" w:pos="0"/>
              </w:tabs>
              <w:spacing w:line="240" w:lineRule="auto"/>
              <w:rPr>
                <w:rFonts w:ascii="Times New Roman" w:hAnsi="Times New Roman"/>
                <w:lang w:bidi="ar-SA"/>
              </w:rPr>
            </w:pPr>
            <w:r>
              <w:rPr>
                <w:rFonts w:ascii="Times New Roman" w:hAnsi="Times New Roman"/>
                <w:lang w:bidi="ar-SA"/>
              </w:rPr>
              <w:t>Skewness-HH</w:t>
            </w:r>
          </w:p>
        </w:tc>
        <w:tc>
          <w:tcPr>
            <w:tcW w:w="1800" w:type="dxa"/>
            <w:vAlign w:val="center"/>
          </w:tcPr>
          <w:p w:rsidR="006D0F27" w:rsidRPr="00973D99" w:rsidRDefault="006D0F27" w:rsidP="006D0F27">
            <w:pPr>
              <w:pStyle w:val="Text"/>
              <w:spacing w:line="240" w:lineRule="auto"/>
              <w:ind w:firstLine="0"/>
              <w:jc w:val="left"/>
              <w:rPr>
                <w:rFonts w:asciiTheme="minorHAnsi" w:hAnsiTheme="minorHAnsi" w:cstheme="minorHAnsi"/>
                <w:sz w:val="22"/>
                <w:szCs w:val="22"/>
              </w:rPr>
            </w:pPr>
            <w:r w:rsidRPr="00973D99">
              <w:rPr>
                <w:rFonts w:asciiTheme="minorHAnsi" w:hAnsiTheme="minorHAnsi" w:cstheme="minorHAnsi"/>
                <w:sz w:val="22"/>
                <w:szCs w:val="22"/>
              </w:rPr>
              <w:t xml:space="preserve">0.6225 </w:t>
            </w:r>
            <w:r w:rsidRPr="00973D99">
              <w:rPr>
                <w:rFonts w:asciiTheme="minorHAnsi" w:hAnsiTheme="minorHAnsi" w:cstheme="minorHAnsi"/>
                <w:sz w:val="22"/>
                <w:szCs w:val="22"/>
                <w:lang w:bidi="en-US"/>
              </w:rPr>
              <w:t xml:space="preserve">± </w:t>
            </w:r>
            <w:r w:rsidRPr="00973D99">
              <w:rPr>
                <w:rFonts w:asciiTheme="minorHAnsi" w:hAnsiTheme="minorHAnsi" w:cstheme="minorHAnsi"/>
                <w:sz w:val="22"/>
                <w:szCs w:val="22"/>
              </w:rPr>
              <w:t>0.0586</w:t>
            </w:r>
          </w:p>
        </w:tc>
        <w:tc>
          <w:tcPr>
            <w:tcW w:w="2502" w:type="dxa"/>
            <w:vAlign w:val="center"/>
          </w:tcPr>
          <w:p w:rsidR="006D0F27" w:rsidRPr="00FF7EA1" w:rsidRDefault="006D0F27" w:rsidP="006D0F27">
            <w:pPr>
              <w:tabs>
                <w:tab w:val="num" w:pos="720"/>
              </w:tabs>
              <w:spacing w:line="240" w:lineRule="auto"/>
              <w:rPr>
                <w:rFonts w:ascii="Times New Roman" w:hAnsi="Times New Roman"/>
                <w:lang w:bidi="ar-SA"/>
              </w:rPr>
            </w:pPr>
            <w:r>
              <w:rPr>
                <w:rFonts w:ascii="Times New Roman" w:hAnsi="Times New Roman"/>
                <w:lang w:bidi="ar-SA"/>
              </w:rPr>
              <w:t>Range-HL</w:t>
            </w:r>
          </w:p>
        </w:tc>
        <w:tc>
          <w:tcPr>
            <w:tcW w:w="1764" w:type="dxa"/>
            <w:vAlign w:val="center"/>
          </w:tcPr>
          <w:p w:rsidR="006D0F27" w:rsidRPr="00973D99" w:rsidRDefault="006D0F27" w:rsidP="006D0F27">
            <w:pPr>
              <w:pStyle w:val="Text"/>
              <w:spacing w:line="240" w:lineRule="auto"/>
              <w:ind w:firstLine="0"/>
              <w:jc w:val="left"/>
              <w:rPr>
                <w:rFonts w:asciiTheme="minorHAnsi" w:hAnsiTheme="minorHAnsi" w:cstheme="minorHAnsi"/>
                <w:sz w:val="22"/>
                <w:szCs w:val="22"/>
              </w:rPr>
            </w:pPr>
            <w:r w:rsidRPr="00973D99">
              <w:rPr>
                <w:rFonts w:asciiTheme="minorHAnsi" w:hAnsiTheme="minorHAnsi" w:cstheme="minorHAnsi"/>
                <w:sz w:val="22"/>
                <w:szCs w:val="22"/>
              </w:rPr>
              <w:t xml:space="preserve">0.583 </w:t>
            </w:r>
            <w:r w:rsidRPr="00973D99">
              <w:rPr>
                <w:rFonts w:asciiTheme="minorHAnsi" w:hAnsiTheme="minorHAnsi" w:cstheme="minorHAnsi"/>
                <w:sz w:val="22"/>
                <w:szCs w:val="22"/>
                <w:lang w:bidi="en-US"/>
              </w:rPr>
              <w:t xml:space="preserve">± </w:t>
            </w:r>
            <w:r w:rsidRPr="00973D99">
              <w:rPr>
                <w:rFonts w:asciiTheme="minorHAnsi" w:hAnsiTheme="minorHAnsi" w:cstheme="minorHAnsi"/>
                <w:sz w:val="22"/>
                <w:szCs w:val="22"/>
              </w:rPr>
              <w:t>0.0611</w:t>
            </w:r>
          </w:p>
        </w:tc>
      </w:tr>
      <w:tr w:rsidR="006D0F27" w:rsidRPr="00FF7EA1" w:rsidTr="005051EF">
        <w:trPr>
          <w:trHeight w:val="504"/>
          <w:jc w:val="center"/>
        </w:trPr>
        <w:tc>
          <w:tcPr>
            <w:tcW w:w="2286" w:type="dxa"/>
            <w:vAlign w:val="center"/>
          </w:tcPr>
          <w:p w:rsidR="006D0F27" w:rsidRPr="00FF7EA1" w:rsidRDefault="006D0F27" w:rsidP="006D0F27">
            <w:pPr>
              <w:tabs>
                <w:tab w:val="num" w:pos="0"/>
              </w:tabs>
              <w:spacing w:line="240" w:lineRule="auto"/>
              <w:rPr>
                <w:rFonts w:ascii="Times New Roman" w:hAnsi="Times New Roman"/>
                <w:lang w:bidi="ar-SA"/>
              </w:rPr>
            </w:pPr>
            <w:r>
              <w:rPr>
                <w:rFonts w:ascii="Times New Roman" w:hAnsi="Times New Roman"/>
                <w:lang w:bidi="ar-SA"/>
              </w:rPr>
              <w:t>Sphericity</w:t>
            </w:r>
          </w:p>
        </w:tc>
        <w:tc>
          <w:tcPr>
            <w:tcW w:w="1800" w:type="dxa"/>
            <w:vAlign w:val="center"/>
          </w:tcPr>
          <w:p w:rsidR="006D0F27" w:rsidRPr="00973D99" w:rsidRDefault="006D0F27" w:rsidP="006D0F27">
            <w:pPr>
              <w:pStyle w:val="Text"/>
              <w:spacing w:line="240" w:lineRule="auto"/>
              <w:ind w:firstLine="0"/>
              <w:jc w:val="left"/>
              <w:rPr>
                <w:rFonts w:asciiTheme="minorHAnsi" w:hAnsiTheme="minorHAnsi" w:cstheme="minorHAnsi"/>
                <w:sz w:val="22"/>
                <w:szCs w:val="22"/>
              </w:rPr>
            </w:pPr>
            <w:r w:rsidRPr="00973D99">
              <w:rPr>
                <w:rFonts w:asciiTheme="minorHAnsi" w:hAnsiTheme="minorHAnsi" w:cstheme="minorHAnsi"/>
                <w:sz w:val="22"/>
                <w:szCs w:val="22"/>
              </w:rPr>
              <w:t xml:space="preserve">0.6209 </w:t>
            </w:r>
            <w:r w:rsidRPr="00973D99">
              <w:rPr>
                <w:rFonts w:asciiTheme="minorHAnsi" w:hAnsiTheme="minorHAnsi" w:cstheme="minorHAnsi"/>
                <w:sz w:val="22"/>
                <w:szCs w:val="22"/>
                <w:lang w:bidi="en-US"/>
              </w:rPr>
              <w:t xml:space="preserve">± </w:t>
            </w:r>
            <w:r w:rsidRPr="00973D99">
              <w:rPr>
                <w:rFonts w:asciiTheme="minorHAnsi" w:hAnsiTheme="minorHAnsi" w:cstheme="minorHAnsi"/>
                <w:sz w:val="22"/>
                <w:szCs w:val="22"/>
              </w:rPr>
              <w:t>0.0579</w:t>
            </w:r>
          </w:p>
        </w:tc>
        <w:tc>
          <w:tcPr>
            <w:tcW w:w="2502" w:type="dxa"/>
            <w:vAlign w:val="center"/>
          </w:tcPr>
          <w:p w:rsidR="006D0F27" w:rsidRPr="00FF7EA1" w:rsidRDefault="006D0F27" w:rsidP="006D0F27">
            <w:pPr>
              <w:tabs>
                <w:tab w:val="num" w:pos="720"/>
              </w:tabs>
              <w:spacing w:line="240" w:lineRule="auto"/>
              <w:rPr>
                <w:rFonts w:ascii="Times New Roman" w:hAnsi="Times New Roman"/>
                <w:lang w:bidi="ar-SA"/>
              </w:rPr>
            </w:pPr>
            <w:r>
              <w:rPr>
                <w:rFonts w:ascii="Times New Roman" w:hAnsi="Times New Roman"/>
                <w:lang w:bidi="ar-SA"/>
              </w:rPr>
              <w:t>Density-LH</w:t>
            </w:r>
          </w:p>
        </w:tc>
        <w:tc>
          <w:tcPr>
            <w:tcW w:w="1764" w:type="dxa"/>
            <w:vAlign w:val="center"/>
          </w:tcPr>
          <w:p w:rsidR="006D0F27" w:rsidRPr="00973D99" w:rsidRDefault="006D0F27" w:rsidP="006D0F27">
            <w:pPr>
              <w:pStyle w:val="Text"/>
              <w:spacing w:line="240" w:lineRule="auto"/>
              <w:ind w:firstLine="0"/>
              <w:jc w:val="left"/>
              <w:rPr>
                <w:rFonts w:asciiTheme="minorHAnsi" w:hAnsiTheme="minorHAnsi" w:cstheme="minorHAnsi"/>
                <w:sz w:val="22"/>
                <w:szCs w:val="22"/>
              </w:rPr>
            </w:pPr>
            <w:r w:rsidRPr="00973D99">
              <w:rPr>
                <w:rFonts w:asciiTheme="minorHAnsi" w:hAnsiTheme="minorHAnsi" w:cstheme="minorHAnsi"/>
                <w:sz w:val="22"/>
                <w:szCs w:val="22"/>
              </w:rPr>
              <w:t xml:space="preserve">0.578 </w:t>
            </w:r>
            <w:r w:rsidRPr="00973D99">
              <w:rPr>
                <w:rFonts w:asciiTheme="minorHAnsi" w:hAnsiTheme="minorHAnsi" w:cstheme="minorHAnsi"/>
                <w:sz w:val="22"/>
                <w:szCs w:val="22"/>
                <w:lang w:bidi="en-US"/>
              </w:rPr>
              <w:t xml:space="preserve">± </w:t>
            </w:r>
            <w:r w:rsidRPr="00973D99">
              <w:rPr>
                <w:rFonts w:asciiTheme="minorHAnsi" w:hAnsiTheme="minorHAnsi" w:cstheme="minorHAnsi"/>
                <w:sz w:val="22"/>
                <w:szCs w:val="22"/>
              </w:rPr>
              <w:t>0.0609</w:t>
            </w:r>
          </w:p>
        </w:tc>
      </w:tr>
      <w:tr w:rsidR="006D0F27" w:rsidRPr="00FF7EA1" w:rsidTr="005051EF">
        <w:trPr>
          <w:trHeight w:val="504"/>
          <w:jc w:val="center"/>
        </w:trPr>
        <w:tc>
          <w:tcPr>
            <w:tcW w:w="2286" w:type="dxa"/>
            <w:vAlign w:val="center"/>
          </w:tcPr>
          <w:p w:rsidR="006D0F27" w:rsidRPr="00FF7EA1" w:rsidRDefault="006D0F27" w:rsidP="006D0F27">
            <w:pPr>
              <w:tabs>
                <w:tab w:val="num" w:pos="0"/>
              </w:tabs>
              <w:spacing w:line="240" w:lineRule="auto"/>
              <w:rPr>
                <w:rFonts w:ascii="Times New Roman" w:hAnsi="Times New Roman"/>
                <w:lang w:bidi="ar-SA"/>
              </w:rPr>
            </w:pPr>
            <w:r>
              <w:rPr>
                <w:rFonts w:ascii="Times New Roman" w:hAnsi="Times New Roman"/>
                <w:lang w:bidi="ar-SA"/>
              </w:rPr>
              <w:t>Entropy</w:t>
            </w:r>
          </w:p>
        </w:tc>
        <w:tc>
          <w:tcPr>
            <w:tcW w:w="1800" w:type="dxa"/>
            <w:vAlign w:val="center"/>
          </w:tcPr>
          <w:p w:rsidR="006D0F27" w:rsidRPr="00973D99" w:rsidRDefault="006D0F27" w:rsidP="006D0F27">
            <w:pPr>
              <w:pStyle w:val="Text"/>
              <w:spacing w:line="240" w:lineRule="auto"/>
              <w:ind w:firstLine="0"/>
              <w:jc w:val="left"/>
              <w:rPr>
                <w:rFonts w:asciiTheme="minorHAnsi" w:hAnsiTheme="minorHAnsi" w:cstheme="minorHAnsi"/>
                <w:sz w:val="22"/>
                <w:szCs w:val="22"/>
              </w:rPr>
            </w:pPr>
            <w:r w:rsidRPr="00973D99">
              <w:rPr>
                <w:rFonts w:asciiTheme="minorHAnsi" w:hAnsiTheme="minorHAnsi" w:cstheme="minorHAnsi"/>
                <w:sz w:val="22"/>
                <w:szCs w:val="22"/>
              </w:rPr>
              <w:t xml:space="preserve">0.6192 </w:t>
            </w:r>
            <w:r w:rsidRPr="00973D99">
              <w:rPr>
                <w:rFonts w:asciiTheme="minorHAnsi" w:hAnsiTheme="minorHAnsi" w:cstheme="minorHAnsi"/>
                <w:sz w:val="22"/>
                <w:szCs w:val="22"/>
                <w:lang w:bidi="en-US"/>
              </w:rPr>
              <w:t xml:space="preserve">± </w:t>
            </w:r>
            <w:r w:rsidRPr="00973D99">
              <w:rPr>
                <w:rFonts w:asciiTheme="minorHAnsi" w:hAnsiTheme="minorHAnsi" w:cstheme="minorHAnsi"/>
                <w:sz w:val="22"/>
                <w:szCs w:val="22"/>
              </w:rPr>
              <w:t>0.0589</w:t>
            </w:r>
          </w:p>
        </w:tc>
        <w:tc>
          <w:tcPr>
            <w:tcW w:w="2502" w:type="dxa"/>
            <w:vAlign w:val="center"/>
          </w:tcPr>
          <w:p w:rsidR="006D0F27" w:rsidRPr="00FF7EA1" w:rsidRDefault="006D0F27" w:rsidP="006D0F27">
            <w:pPr>
              <w:tabs>
                <w:tab w:val="num" w:pos="720"/>
              </w:tabs>
              <w:spacing w:line="240" w:lineRule="auto"/>
              <w:rPr>
                <w:rFonts w:ascii="Times New Roman" w:hAnsi="Times New Roman"/>
                <w:lang w:bidi="ar-SA"/>
              </w:rPr>
            </w:pPr>
            <w:r>
              <w:rPr>
                <w:rFonts w:ascii="Times New Roman" w:hAnsi="Times New Roman"/>
                <w:lang w:bidi="ar-SA"/>
              </w:rPr>
              <w:t>Mean contrast-HL</w:t>
            </w:r>
          </w:p>
        </w:tc>
        <w:tc>
          <w:tcPr>
            <w:tcW w:w="1764" w:type="dxa"/>
            <w:vAlign w:val="center"/>
          </w:tcPr>
          <w:p w:rsidR="006D0F27" w:rsidRPr="00973D99" w:rsidRDefault="006D0F27" w:rsidP="006D0F27">
            <w:pPr>
              <w:pStyle w:val="Text"/>
              <w:spacing w:line="240" w:lineRule="auto"/>
              <w:ind w:firstLine="0"/>
              <w:jc w:val="left"/>
              <w:rPr>
                <w:rFonts w:asciiTheme="minorHAnsi" w:hAnsiTheme="minorHAnsi" w:cstheme="minorHAnsi"/>
                <w:sz w:val="22"/>
                <w:szCs w:val="22"/>
              </w:rPr>
            </w:pPr>
            <w:r w:rsidRPr="00973D99">
              <w:rPr>
                <w:rFonts w:asciiTheme="minorHAnsi" w:hAnsiTheme="minorHAnsi" w:cstheme="minorHAnsi"/>
                <w:sz w:val="22"/>
                <w:szCs w:val="22"/>
              </w:rPr>
              <w:t xml:space="preserve">0.5774 </w:t>
            </w:r>
            <w:r w:rsidRPr="00973D99">
              <w:rPr>
                <w:rFonts w:asciiTheme="minorHAnsi" w:hAnsiTheme="minorHAnsi" w:cstheme="minorHAnsi"/>
                <w:sz w:val="22"/>
                <w:szCs w:val="22"/>
                <w:lang w:bidi="en-US"/>
              </w:rPr>
              <w:t xml:space="preserve">± </w:t>
            </w:r>
            <w:r w:rsidRPr="00973D99">
              <w:rPr>
                <w:rFonts w:asciiTheme="minorHAnsi" w:hAnsiTheme="minorHAnsi" w:cstheme="minorHAnsi"/>
                <w:sz w:val="22"/>
                <w:szCs w:val="22"/>
              </w:rPr>
              <w:t>0.0599</w:t>
            </w:r>
          </w:p>
        </w:tc>
      </w:tr>
      <w:tr w:rsidR="006D0F27" w:rsidRPr="00FF7EA1" w:rsidTr="005051EF">
        <w:trPr>
          <w:trHeight w:val="504"/>
          <w:jc w:val="center"/>
        </w:trPr>
        <w:tc>
          <w:tcPr>
            <w:tcW w:w="2286" w:type="dxa"/>
            <w:vAlign w:val="center"/>
          </w:tcPr>
          <w:p w:rsidR="006D0F27" w:rsidRPr="00FF7EA1" w:rsidRDefault="006D0F27" w:rsidP="006D0F27">
            <w:pPr>
              <w:tabs>
                <w:tab w:val="num" w:pos="0"/>
              </w:tabs>
              <w:spacing w:line="240" w:lineRule="auto"/>
              <w:rPr>
                <w:rFonts w:ascii="Times New Roman" w:hAnsi="Times New Roman"/>
                <w:lang w:bidi="ar-SA"/>
              </w:rPr>
            </w:pPr>
            <w:r>
              <w:rPr>
                <w:rFonts w:ascii="Times New Roman" w:hAnsi="Times New Roman"/>
                <w:lang w:bidi="ar-SA"/>
              </w:rPr>
              <w:t>Density std Ratio-HL</w:t>
            </w:r>
          </w:p>
        </w:tc>
        <w:tc>
          <w:tcPr>
            <w:tcW w:w="1800" w:type="dxa"/>
            <w:vAlign w:val="center"/>
          </w:tcPr>
          <w:p w:rsidR="006D0F27" w:rsidRPr="00973D99" w:rsidRDefault="006D0F27" w:rsidP="006D0F27">
            <w:pPr>
              <w:pStyle w:val="Text"/>
              <w:spacing w:line="240" w:lineRule="auto"/>
              <w:ind w:firstLine="0"/>
              <w:jc w:val="left"/>
              <w:rPr>
                <w:rFonts w:asciiTheme="minorHAnsi" w:hAnsiTheme="minorHAnsi" w:cstheme="minorHAnsi"/>
                <w:sz w:val="22"/>
                <w:szCs w:val="22"/>
              </w:rPr>
            </w:pPr>
            <w:r w:rsidRPr="00973D99">
              <w:rPr>
                <w:rFonts w:asciiTheme="minorHAnsi" w:hAnsiTheme="minorHAnsi" w:cstheme="minorHAnsi"/>
                <w:sz w:val="22"/>
                <w:szCs w:val="22"/>
              </w:rPr>
              <w:t xml:space="preserve">0.6178 </w:t>
            </w:r>
            <w:r w:rsidRPr="00973D99">
              <w:rPr>
                <w:rFonts w:asciiTheme="minorHAnsi" w:hAnsiTheme="minorHAnsi" w:cstheme="minorHAnsi"/>
                <w:sz w:val="22"/>
                <w:szCs w:val="22"/>
                <w:lang w:bidi="en-US"/>
              </w:rPr>
              <w:t xml:space="preserve">± </w:t>
            </w:r>
            <w:r w:rsidRPr="00973D99">
              <w:rPr>
                <w:rFonts w:asciiTheme="minorHAnsi" w:hAnsiTheme="minorHAnsi" w:cstheme="minorHAnsi"/>
                <w:sz w:val="22"/>
                <w:szCs w:val="22"/>
              </w:rPr>
              <w:t>0.0581</w:t>
            </w:r>
          </w:p>
        </w:tc>
        <w:tc>
          <w:tcPr>
            <w:tcW w:w="2502" w:type="dxa"/>
            <w:vAlign w:val="center"/>
          </w:tcPr>
          <w:p w:rsidR="006D0F27" w:rsidRPr="00FF7EA1" w:rsidRDefault="006D0F27" w:rsidP="006D0F27">
            <w:pPr>
              <w:tabs>
                <w:tab w:val="num" w:pos="720"/>
              </w:tabs>
              <w:spacing w:line="240" w:lineRule="auto"/>
              <w:rPr>
                <w:rFonts w:ascii="Times New Roman" w:hAnsi="Times New Roman"/>
                <w:lang w:bidi="ar-SA"/>
              </w:rPr>
            </w:pPr>
            <w:r>
              <w:rPr>
                <w:rFonts w:ascii="Times New Roman" w:hAnsi="Times New Roman"/>
                <w:lang w:bidi="ar-SA"/>
              </w:rPr>
              <w:t>Minimum density-LH</w:t>
            </w:r>
          </w:p>
        </w:tc>
        <w:tc>
          <w:tcPr>
            <w:tcW w:w="1764" w:type="dxa"/>
            <w:vAlign w:val="center"/>
          </w:tcPr>
          <w:p w:rsidR="006D0F27" w:rsidRPr="00973D99" w:rsidRDefault="006D0F27" w:rsidP="006D0F27">
            <w:pPr>
              <w:pStyle w:val="Text"/>
              <w:spacing w:line="240" w:lineRule="auto"/>
              <w:ind w:firstLine="0"/>
              <w:jc w:val="left"/>
              <w:rPr>
                <w:rFonts w:asciiTheme="minorHAnsi" w:hAnsiTheme="minorHAnsi" w:cstheme="minorHAnsi"/>
                <w:sz w:val="22"/>
                <w:szCs w:val="22"/>
              </w:rPr>
            </w:pPr>
            <w:r w:rsidRPr="00973D99">
              <w:rPr>
                <w:rFonts w:asciiTheme="minorHAnsi" w:hAnsiTheme="minorHAnsi" w:cstheme="minorHAnsi"/>
                <w:sz w:val="22"/>
                <w:szCs w:val="22"/>
              </w:rPr>
              <w:t xml:space="preserve">0.5734 </w:t>
            </w:r>
            <w:r w:rsidRPr="00973D99">
              <w:rPr>
                <w:rFonts w:asciiTheme="minorHAnsi" w:hAnsiTheme="minorHAnsi" w:cstheme="minorHAnsi"/>
                <w:sz w:val="22"/>
                <w:szCs w:val="22"/>
                <w:lang w:bidi="en-US"/>
              </w:rPr>
              <w:t xml:space="preserve">± </w:t>
            </w:r>
            <w:r w:rsidRPr="00973D99">
              <w:rPr>
                <w:rFonts w:asciiTheme="minorHAnsi" w:hAnsiTheme="minorHAnsi" w:cstheme="minorHAnsi"/>
                <w:sz w:val="22"/>
                <w:szCs w:val="22"/>
              </w:rPr>
              <w:t>0.0617</w:t>
            </w:r>
          </w:p>
        </w:tc>
      </w:tr>
      <w:tr w:rsidR="006D0F27" w:rsidRPr="00FF7EA1" w:rsidTr="005051EF">
        <w:trPr>
          <w:trHeight w:val="504"/>
          <w:jc w:val="center"/>
        </w:trPr>
        <w:tc>
          <w:tcPr>
            <w:tcW w:w="2286" w:type="dxa"/>
            <w:vAlign w:val="center"/>
          </w:tcPr>
          <w:p w:rsidR="006D0F27" w:rsidRPr="00FF7EA1" w:rsidRDefault="006D0F27" w:rsidP="006D0F27">
            <w:pPr>
              <w:tabs>
                <w:tab w:val="num" w:pos="0"/>
              </w:tabs>
              <w:spacing w:line="240" w:lineRule="auto"/>
              <w:rPr>
                <w:rFonts w:ascii="Times New Roman" w:hAnsi="Times New Roman"/>
                <w:lang w:bidi="ar-SA"/>
              </w:rPr>
            </w:pPr>
            <w:r>
              <w:rPr>
                <w:rFonts w:ascii="Times New Roman" w:hAnsi="Times New Roman"/>
                <w:lang w:bidi="ar-SA"/>
              </w:rPr>
              <w:t>Kurtosis-HL</w:t>
            </w:r>
          </w:p>
        </w:tc>
        <w:tc>
          <w:tcPr>
            <w:tcW w:w="1800" w:type="dxa"/>
            <w:vAlign w:val="center"/>
          </w:tcPr>
          <w:p w:rsidR="006D0F27" w:rsidRPr="00973D99" w:rsidRDefault="006D0F27" w:rsidP="006D0F27">
            <w:pPr>
              <w:pStyle w:val="Text"/>
              <w:spacing w:line="240" w:lineRule="auto"/>
              <w:ind w:firstLine="0"/>
              <w:jc w:val="left"/>
              <w:rPr>
                <w:rFonts w:asciiTheme="minorHAnsi" w:hAnsiTheme="minorHAnsi" w:cstheme="minorHAnsi"/>
                <w:sz w:val="22"/>
                <w:szCs w:val="22"/>
              </w:rPr>
            </w:pPr>
            <w:r w:rsidRPr="00973D99">
              <w:rPr>
                <w:rFonts w:asciiTheme="minorHAnsi" w:hAnsiTheme="minorHAnsi" w:cstheme="minorHAnsi"/>
                <w:sz w:val="22"/>
                <w:szCs w:val="22"/>
              </w:rPr>
              <w:t xml:space="preserve">0.6149 </w:t>
            </w:r>
            <w:r w:rsidRPr="00973D99">
              <w:rPr>
                <w:rFonts w:asciiTheme="minorHAnsi" w:hAnsiTheme="minorHAnsi" w:cstheme="minorHAnsi"/>
                <w:sz w:val="22"/>
                <w:szCs w:val="22"/>
                <w:lang w:bidi="en-US"/>
              </w:rPr>
              <w:t xml:space="preserve">± </w:t>
            </w:r>
            <w:r w:rsidRPr="00973D99">
              <w:rPr>
                <w:rFonts w:asciiTheme="minorHAnsi" w:hAnsiTheme="minorHAnsi" w:cstheme="minorHAnsi"/>
                <w:sz w:val="22"/>
                <w:szCs w:val="22"/>
              </w:rPr>
              <w:t>0.0587</w:t>
            </w:r>
          </w:p>
        </w:tc>
        <w:tc>
          <w:tcPr>
            <w:tcW w:w="2502" w:type="dxa"/>
            <w:vAlign w:val="center"/>
          </w:tcPr>
          <w:p w:rsidR="006D0F27" w:rsidRPr="00FF7EA1" w:rsidRDefault="006D0F27" w:rsidP="006D0F27">
            <w:pPr>
              <w:tabs>
                <w:tab w:val="num" w:pos="720"/>
              </w:tabs>
              <w:spacing w:line="240" w:lineRule="auto"/>
              <w:rPr>
                <w:rFonts w:ascii="Times New Roman" w:hAnsi="Times New Roman"/>
                <w:lang w:bidi="ar-SA"/>
              </w:rPr>
            </w:pPr>
            <w:r>
              <w:rPr>
                <w:rFonts w:ascii="Times New Roman" w:hAnsi="Times New Roman"/>
                <w:lang w:bidi="ar-SA"/>
              </w:rPr>
              <w:t>Kurtosis-LL</w:t>
            </w:r>
          </w:p>
        </w:tc>
        <w:tc>
          <w:tcPr>
            <w:tcW w:w="1764" w:type="dxa"/>
            <w:vAlign w:val="center"/>
          </w:tcPr>
          <w:p w:rsidR="006D0F27" w:rsidRPr="00973D99" w:rsidRDefault="006D0F27" w:rsidP="006D0F27">
            <w:pPr>
              <w:pStyle w:val="Text"/>
              <w:spacing w:line="240" w:lineRule="auto"/>
              <w:ind w:firstLine="0"/>
              <w:jc w:val="left"/>
              <w:rPr>
                <w:rFonts w:asciiTheme="minorHAnsi" w:hAnsiTheme="minorHAnsi" w:cstheme="minorHAnsi"/>
                <w:sz w:val="22"/>
                <w:szCs w:val="22"/>
              </w:rPr>
            </w:pPr>
            <w:r w:rsidRPr="00973D99">
              <w:rPr>
                <w:rFonts w:asciiTheme="minorHAnsi" w:hAnsiTheme="minorHAnsi" w:cstheme="minorHAnsi"/>
                <w:sz w:val="22"/>
                <w:szCs w:val="22"/>
              </w:rPr>
              <w:t xml:space="preserve">0.5704 </w:t>
            </w:r>
            <w:r w:rsidRPr="00973D99">
              <w:rPr>
                <w:rFonts w:asciiTheme="minorHAnsi" w:hAnsiTheme="minorHAnsi" w:cstheme="minorHAnsi"/>
                <w:sz w:val="22"/>
                <w:szCs w:val="22"/>
                <w:lang w:bidi="en-US"/>
              </w:rPr>
              <w:t xml:space="preserve">± </w:t>
            </w:r>
            <w:r w:rsidRPr="00973D99">
              <w:rPr>
                <w:rFonts w:asciiTheme="minorHAnsi" w:hAnsiTheme="minorHAnsi" w:cstheme="minorHAnsi"/>
                <w:sz w:val="22"/>
                <w:szCs w:val="22"/>
              </w:rPr>
              <w:t>0.0608</w:t>
            </w:r>
          </w:p>
        </w:tc>
      </w:tr>
      <w:tr w:rsidR="006D0F27" w:rsidRPr="00FF7EA1" w:rsidTr="005051EF">
        <w:trPr>
          <w:trHeight w:val="504"/>
          <w:jc w:val="center"/>
        </w:trPr>
        <w:tc>
          <w:tcPr>
            <w:tcW w:w="2286" w:type="dxa"/>
            <w:tcBorders>
              <w:bottom w:val="double" w:sz="4" w:space="0" w:color="auto"/>
            </w:tcBorders>
            <w:vAlign w:val="center"/>
          </w:tcPr>
          <w:p w:rsidR="006D0F27" w:rsidRPr="00FF7EA1" w:rsidRDefault="006D0F27" w:rsidP="006D0F27">
            <w:pPr>
              <w:tabs>
                <w:tab w:val="num" w:pos="0"/>
              </w:tabs>
              <w:spacing w:line="240" w:lineRule="auto"/>
              <w:rPr>
                <w:rFonts w:ascii="Times New Roman" w:hAnsi="Times New Roman"/>
                <w:lang w:bidi="ar-SA"/>
              </w:rPr>
            </w:pPr>
            <w:r>
              <w:rPr>
                <w:rFonts w:ascii="Times New Roman" w:hAnsi="Times New Roman"/>
                <w:lang w:bidi="ar-SA"/>
              </w:rPr>
              <w:t>Compactness2</w:t>
            </w:r>
          </w:p>
        </w:tc>
        <w:tc>
          <w:tcPr>
            <w:tcW w:w="1800" w:type="dxa"/>
            <w:tcBorders>
              <w:bottom w:val="double" w:sz="4" w:space="0" w:color="auto"/>
            </w:tcBorders>
            <w:vAlign w:val="center"/>
          </w:tcPr>
          <w:p w:rsidR="006D0F27" w:rsidRPr="00973D99" w:rsidRDefault="006D0F27" w:rsidP="006D0F27">
            <w:pPr>
              <w:pStyle w:val="Text"/>
              <w:spacing w:line="240" w:lineRule="auto"/>
              <w:ind w:firstLine="0"/>
              <w:jc w:val="left"/>
              <w:rPr>
                <w:rFonts w:asciiTheme="minorHAnsi" w:hAnsiTheme="minorHAnsi" w:cstheme="minorHAnsi"/>
                <w:sz w:val="22"/>
                <w:szCs w:val="22"/>
              </w:rPr>
            </w:pPr>
            <w:r w:rsidRPr="00973D99">
              <w:rPr>
                <w:rFonts w:asciiTheme="minorHAnsi" w:hAnsiTheme="minorHAnsi" w:cstheme="minorHAnsi"/>
                <w:sz w:val="22"/>
                <w:szCs w:val="22"/>
              </w:rPr>
              <w:t xml:space="preserve">0.6022 </w:t>
            </w:r>
            <w:r w:rsidRPr="00973D99">
              <w:rPr>
                <w:rFonts w:asciiTheme="minorHAnsi" w:hAnsiTheme="minorHAnsi" w:cstheme="minorHAnsi"/>
                <w:sz w:val="22"/>
                <w:szCs w:val="22"/>
                <w:lang w:bidi="en-US"/>
              </w:rPr>
              <w:t xml:space="preserve">± </w:t>
            </w:r>
            <w:r w:rsidRPr="00973D99">
              <w:rPr>
                <w:rFonts w:asciiTheme="minorHAnsi" w:hAnsiTheme="minorHAnsi" w:cstheme="minorHAnsi"/>
                <w:sz w:val="22"/>
                <w:szCs w:val="22"/>
              </w:rPr>
              <w:t>0.0585</w:t>
            </w:r>
          </w:p>
        </w:tc>
        <w:tc>
          <w:tcPr>
            <w:tcW w:w="2502" w:type="dxa"/>
            <w:tcBorders>
              <w:bottom w:val="double" w:sz="4" w:space="0" w:color="auto"/>
            </w:tcBorders>
            <w:vAlign w:val="center"/>
          </w:tcPr>
          <w:p w:rsidR="006D0F27" w:rsidRPr="00FF7EA1" w:rsidRDefault="0030258C" w:rsidP="006D0F27">
            <w:pPr>
              <w:tabs>
                <w:tab w:val="num" w:pos="720"/>
              </w:tabs>
              <w:spacing w:line="240" w:lineRule="auto"/>
              <w:rPr>
                <w:rFonts w:ascii="Times New Roman" w:hAnsi="Times New Roman"/>
                <w:lang w:bidi="ar-SA"/>
              </w:rPr>
            </w:pPr>
            <w:r>
              <w:rPr>
                <w:rFonts w:ascii="Times New Roman" w:hAnsi="Times New Roman"/>
                <w:lang w:bidi="ar-SA"/>
              </w:rPr>
              <w:t>STD of density</w:t>
            </w:r>
          </w:p>
        </w:tc>
        <w:tc>
          <w:tcPr>
            <w:tcW w:w="1764" w:type="dxa"/>
            <w:tcBorders>
              <w:bottom w:val="double" w:sz="4" w:space="0" w:color="auto"/>
            </w:tcBorders>
            <w:vAlign w:val="center"/>
          </w:tcPr>
          <w:p w:rsidR="006D0F27" w:rsidRPr="00973D99" w:rsidRDefault="006D0F27" w:rsidP="006D0F27">
            <w:pPr>
              <w:pStyle w:val="Text"/>
              <w:spacing w:line="240" w:lineRule="auto"/>
              <w:ind w:firstLine="0"/>
              <w:jc w:val="left"/>
              <w:rPr>
                <w:rFonts w:asciiTheme="minorHAnsi" w:hAnsiTheme="minorHAnsi" w:cstheme="minorHAnsi"/>
                <w:sz w:val="22"/>
                <w:szCs w:val="22"/>
              </w:rPr>
            </w:pPr>
            <w:r w:rsidRPr="00973D99">
              <w:rPr>
                <w:rFonts w:asciiTheme="minorHAnsi" w:hAnsiTheme="minorHAnsi" w:cstheme="minorHAnsi"/>
                <w:sz w:val="22"/>
                <w:szCs w:val="22"/>
              </w:rPr>
              <w:t xml:space="preserve">0.5692 </w:t>
            </w:r>
            <w:r w:rsidRPr="00973D99">
              <w:rPr>
                <w:rFonts w:asciiTheme="minorHAnsi" w:hAnsiTheme="minorHAnsi" w:cstheme="minorHAnsi"/>
                <w:sz w:val="22"/>
                <w:szCs w:val="22"/>
                <w:lang w:bidi="en-US"/>
              </w:rPr>
              <w:t xml:space="preserve">± </w:t>
            </w:r>
            <w:r w:rsidRPr="00973D99">
              <w:rPr>
                <w:rFonts w:asciiTheme="minorHAnsi" w:hAnsiTheme="minorHAnsi" w:cstheme="minorHAnsi"/>
                <w:sz w:val="22"/>
                <w:szCs w:val="22"/>
              </w:rPr>
              <w:t>0.0613</w:t>
            </w:r>
          </w:p>
        </w:tc>
      </w:tr>
    </w:tbl>
    <w:p w:rsidR="00AC5A4A" w:rsidRDefault="00AC5A4A" w:rsidP="00D13E96">
      <w:pPr>
        <w:pStyle w:val="Caption"/>
        <w:keepNext/>
        <w:spacing w:before="240" w:after="0"/>
        <w:jc w:val="both"/>
        <w:rPr>
          <w:color w:val="auto"/>
          <w:sz w:val="24"/>
          <w:szCs w:val="24"/>
          <w:lang w:eastAsia="zh-CN"/>
        </w:rPr>
      </w:pPr>
      <w:bookmarkStart w:id="51" w:name="_Ref466563863"/>
      <w:bookmarkStart w:id="52" w:name="_Toc467168348"/>
      <w:bookmarkEnd w:id="50"/>
    </w:p>
    <w:p w:rsidR="00B742C1" w:rsidRPr="00322A8C" w:rsidRDefault="00B742C1" w:rsidP="005C10AF">
      <w:pPr>
        <w:pStyle w:val="Caption"/>
        <w:keepNext/>
        <w:spacing w:after="0"/>
        <w:jc w:val="both"/>
        <w:rPr>
          <w:b w:val="0"/>
          <w:color w:val="auto"/>
          <w:sz w:val="24"/>
          <w:szCs w:val="24"/>
        </w:rPr>
      </w:pPr>
      <w:r w:rsidRPr="00322A8C">
        <w:rPr>
          <w:color w:val="auto"/>
          <w:sz w:val="24"/>
          <w:szCs w:val="24"/>
        </w:rPr>
        <w:t xml:space="preserve">Table </w:t>
      </w:r>
      <w:r w:rsidR="009647D4" w:rsidRPr="00322A8C">
        <w:rPr>
          <w:color w:val="auto"/>
          <w:sz w:val="24"/>
          <w:szCs w:val="24"/>
        </w:rPr>
        <w:fldChar w:fldCharType="begin"/>
      </w:r>
      <w:r w:rsidRPr="00322A8C">
        <w:rPr>
          <w:color w:val="auto"/>
          <w:sz w:val="24"/>
          <w:szCs w:val="24"/>
        </w:rPr>
        <w:instrText xml:space="preserve"> SEQ Table \* ARABIC </w:instrText>
      </w:r>
      <w:r w:rsidR="009647D4" w:rsidRPr="00322A8C">
        <w:rPr>
          <w:color w:val="auto"/>
          <w:sz w:val="24"/>
          <w:szCs w:val="24"/>
        </w:rPr>
        <w:fldChar w:fldCharType="separate"/>
      </w:r>
      <w:r w:rsidR="00D719F4">
        <w:rPr>
          <w:noProof/>
          <w:color w:val="auto"/>
          <w:sz w:val="24"/>
          <w:szCs w:val="24"/>
        </w:rPr>
        <w:t>5</w:t>
      </w:r>
      <w:r w:rsidR="009647D4" w:rsidRPr="00322A8C">
        <w:rPr>
          <w:color w:val="auto"/>
          <w:sz w:val="24"/>
          <w:szCs w:val="24"/>
        </w:rPr>
        <w:fldChar w:fldCharType="end"/>
      </w:r>
      <w:bookmarkEnd w:id="51"/>
      <w:r w:rsidRPr="00322A8C">
        <w:rPr>
          <w:color w:val="auto"/>
          <w:sz w:val="24"/>
          <w:szCs w:val="24"/>
        </w:rPr>
        <w:t>:</w:t>
      </w:r>
      <w:r w:rsidRPr="00322A8C">
        <w:rPr>
          <w:b w:val="0"/>
          <w:color w:val="auto"/>
          <w:sz w:val="24"/>
          <w:szCs w:val="24"/>
        </w:rPr>
        <w:t xml:space="preserve"> Summary of top 20 features obtained using both </w:t>
      </w:r>
      <w:r w:rsidR="007078D9">
        <w:rPr>
          <w:b w:val="0"/>
          <w:color w:val="auto"/>
          <w:sz w:val="24"/>
          <w:szCs w:val="24"/>
        </w:rPr>
        <w:t>pre and posttreatment CT images</w:t>
      </w:r>
      <w:bookmarkEnd w:id="52"/>
    </w:p>
    <w:tbl>
      <w:tblPr>
        <w:tblStyle w:val="TableGrid1"/>
        <w:tblW w:w="8370"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2286"/>
        <w:gridCol w:w="1800"/>
        <w:gridCol w:w="2520"/>
        <w:gridCol w:w="1764"/>
      </w:tblGrid>
      <w:tr w:rsidR="006D0F27" w:rsidRPr="00FF7EA1" w:rsidTr="005051EF">
        <w:trPr>
          <w:trHeight w:val="504"/>
          <w:jc w:val="center"/>
        </w:trPr>
        <w:tc>
          <w:tcPr>
            <w:tcW w:w="2286" w:type="dxa"/>
            <w:tcBorders>
              <w:top w:val="double" w:sz="4" w:space="0" w:color="auto"/>
            </w:tcBorders>
            <w:vAlign w:val="center"/>
          </w:tcPr>
          <w:p w:rsidR="006D0F27" w:rsidRDefault="006D0F27" w:rsidP="006D0F27">
            <w:pPr>
              <w:tabs>
                <w:tab w:val="num" w:pos="720"/>
              </w:tabs>
              <w:spacing w:line="240" w:lineRule="auto"/>
              <w:rPr>
                <w:rFonts w:ascii="Times New Roman" w:hAnsi="Times New Roman"/>
                <w:lang w:bidi="ar-SA"/>
              </w:rPr>
            </w:pPr>
            <w:r>
              <w:rPr>
                <w:rFonts w:ascii="Times New Roman" w:hAnsi="Times New Roman"/>
                <w:lang w:bidi="ar-SA"/>
              </w:rPr>
              <w:t>Feature</w:t>
            </w:r>
          </w:p>
        </w:tc>
        <w:tc>
          <w:tcPr>
            <w:tcW w:w="1800" w:type="dxa"/>
            <w:tcBorders>
              <w:top w:val="double" w:sz="4" w:space="0" w:color="auto"/>
            </w:tcBorders>
            <w:vAlign w:val="center"/>
          </w:tcPr>
          <w:p w:rsidR="006D0F27" w:rsidRPr="00973D99" w:rsidRDefault="006D0F27" w:rsidP="006D0F27">
            <w:pPr>
              <w:pStyle w:val="Text"/>
              <w:spacing w:line="240" w:lineRule="auto"/>
              <w:ind w:firstLine="0"/>
              <w:jc w:val="left"/>
              <w:rPr>
                <w:rFonts w:asciiTheme="minorHAnsi" w:hAnsiTheme="minorHAnsi" w:cstheme="minorHAnsi"/>
                <w:sz w:val="22"/>
                <w:szCs w:val="22"/>
              </w:rPr>
            </w:pPr>
            <w:r>
              <w:rPr>
                <w:rFonts w:asciiTheme="minorHAnsi" w:hAnsiTheme="minorHAnsi" w:cstheme="minorHAnsi"/>
                <w:sz w:val="22"/>
                <w:szCs w:val="22"/>
              </w:rPr>
              <w:t xml:space="preserve">AUC </w:t>
            </w:r>
            <w:r>
              <w:rPr>
                <w:sz w:val="22"/>
                <w:szCs w:val="22"/>
              </w:rPr>
              <w:t>±</w:t>
            </w:r>
            <w:r>
              <w:rPr>
                <w:rFonts w:asciiTheme="minorHAnsi" w:hAnsiTheme="minorHAnsi" w:cstheme="minorHAnsi"/>
                <w:sz w:val="22"/>
                <w:szCs w:val="22"/>
              </w:rPr>
              <w:t xml:space="preserve"> STD</w:t>
            </w:r>
          </w:p>
        </w:tc>
        <w:tc>
          <w:tcPr>
            <w:tcW w:w="2520" w:type="dxa"/>
            <w:tcBorders>
              <w:top w:val="double" w:sz="4" w:space="0" w:color="auto"/>
            </w:tcBorders>
            <w:vAlign w:val="center"/>
          </w:tcPr>
          <w:p w:rsidR="006D0F27" w:rsidRDefault="006D0F27" w:rsidP="006D0F27">
            <w:pPr>
              <w:tabs>
                <w:tab w:val="num" w:pos="720"/>
              </w:tabs>
              <w:spacing w:line="240" w:lineRule="auto"/>
              <w:rPr>
                <w:rFonts w:ascii="Times New Roman" w:hAnsi="Times New Roman"/>
                <w:lang w:bidi="ar-SA"/>
              </w:rPr>
            </w:pPr>
            <w:r>
              <w:rPr>
                <w:rFonts w:ascii="Times New Roman" w:hAnsi="Times New Roman"/>
                <w:lang w:bidi="ar-SA"/>
              </w:rPr>
              <w:t>Feature</w:t>
            </w:r>
          </w:p>
        </w:tc>
        <w:tc>
          <w:tcPr>
            <w:tcW w:w="1764" w:type="dxa"/>
            <w:tcBorders>
              <w:top w:val="double" w:sz="4" w:space="0" w:color="auto"/>
            </w:tcBorders>
            <w:vAlign w:val="center"/>
          </w:tcPr>
          <w:p w:rsidR="006D0F27" w:rsidRPr="00973D99" w:rsidRDefault="006D0F27" w:rsidP="006D0F27">
            <w:pPr>
              <w:pStyle w:val="Text"/>
              <w:spacing w:line="240" w:lineRule="auto"/>
              <w:ind w:firstLine="0"/>
              <w:jc w:val="left"/>
              <w:rPr>
                <w:rFonts w:asciiTheme="minorHAnsi" w:hAnsiTheme="minorHAnsi" w:cstheme="minorHAnsi"/>
                <w:sz w:val="22"/>
                <w:szCs w:val="22"/>
              </w:rPr>
            </w:pPr>
            <w:r>
              <w:rPr>
                <w:rFonts w:asciiTheme="minorHAnsi" w:hAnsiTheme="minorHAnsi" w:cstheme="minorHAnsi"/>
                <w:sz w:val="22"/>
                <w:szCs w:val="22"/>
              </w:rPr>
              <w:t xml:space="preserve">AUC </w:t>
            </w:r>
            <w:r>
              <w:rPr>
                <w:sz w:val="22"/>
                <w:szCs w:val="22"/>
              </w:rPr>
              <w:t>±</w:t>
            </w:r>
            <w:r>
              <w:rPr>
                <w:rFonts w:asciiTheme="minorHAnsi" w:hAnsiTheme="minorHAnsi" w:cstheme="minorHAnsi"/>
                <w:sz w:val="22"/>
                <w:szCs w:val="22"/>
              </w:rPr>
              <w:t xml:space="preserve"> STD</w:t>
            </w:r>
          </w:p>
        </w:tc>
      </w:tr>
      <w:tr w:rsidR="006D0F27" w:rsidRPr="00FF7EA1" w:rsidTr="005051EF">
        <w:trPr>
          <w:trHeight w:val="504"/>
          <w:jc w:val="center"/>
        </w:trPr>
        <w:tc>
          <w:tcPr>
            <w:tcW w:w="2286" w:type="dxa"/>
            <w:tcBorders>
              <w:top w:val="single" w:sz="4" w:space="0" w:color="auto"/>
            </w:tcBorders>
            <w:vAlign w:val="center"/>
          </w:tcPr>
          <w:p w:rsidR="006D0F27" w:rsidRPr="00FF7EA1" w:rsidRDefault="006D0F27" w:rsidP="006D0F27">
            <w:pPr>
              <w:tabs>
                <w:tab w:val="num" w:pos="720"/>
              </w:tabs>
              <w:spacing w:line="240" w:lineRule="auto"/>
              <w:rPr>
                <w:rFonts w:ascii="Times New Roman" w:hAnsi="Times New Roman"/>
                <w:lang w:bidi="ar-SA"/>
              </w:rPr>
            </w:pPr>
            <w:r>
              <w:rPr>
                <w:rFonts w:ascii="Times New Roman" w:hAnsi="Times New Roman"/>
                <w:lang w:bidi="ar-SA"/>
              </w:rPr>
              <w:t>Compactness 1</w:t>
            </w:r>
          </w:p>
        </w:tc>
        <w:tc>
          <w:tcPr>
            <w:tcW w:w="1800" w:type="dxa"/>
            <w:tcBorders>
              <w:top w:val="single" w:sz="4" w:space="0" w:color="auto"/>
            </w:tcBorders>
            <w:vAlign w:val="center"/>
          </w:tcPr>
          <w:p w:rsidR="006D0F27" w:rsidRPr="00973D99" w:rsidRDefault="006D0F27" w:rsidP="006D0F27">
            <w:pPr>
              <w:pStyle w:val="Text"/>
              <w:ind w:firstLine="0"/>
              <w:jc w:val="left"/>
              <w:rPr>
                <w:rFonts w:asciiTheme="minorHAnsi" w:hAnsiTheme="minorHAnsi" w:cstheme="minorHAnsi"/>
                <w:sz w:val="22"/>
                <w:szCs w:val="22"/>
              </w:rPr>
            </w:pPr>
            <w:r w:rsidRPr="00973D99">
              <w:rPr>
                <w:rFonts w:asciiTheme="minorHAnsi" w:hAnsiTheme="minorHAnsi" w:cstheme="minorHAnsi"/>
                <w:sz w:val="22"/>
                <w:szCs w:val="22"/>
              </w:rPr>
              <w:t xml:space="preserve">0.7705 </w:t>
            </w:r>
            <w:r w:rsidRPr="00973D99">
              <w:rPr>
                <w:rFonts w:asciiTheme="minorHAnsi" w:hAnsiTheme="minorHAnsi" w:cstheme="minorHAnsi"/>
                <w:sz w:val="22"/>
                <w:szCs w:val="22"/>
                <w:lang w:bidi="en-US"/>
              </w:rPr>
              <w:t xml:space="preserve">± </w:t>
            </w:r>
            <w:r w:rsidRPr="00973D99">
              <w:rPr>
                <w:rFonts w:asciiTheme="minorHAnsi" w:hAnsiTheme="minorHAnsi" w:cstheme="minorHAnsi"/>
                <w:sz w:val="22"/>
                <w:szCs w:val="22"/>
              </w:rPr>
              <w:t>0.0495</w:t>
            </w:r>
          </w:p>
        </w:tc>
        <w:tc>
          <w:tcPr>
            <w:tcW w:w="2520" w:type="dxa"/>
            <w:tcBorders>
              <w:top w:val="single" w:sz="4" w:space="0" w:color="auto"/>
            </w:tcBorders>
            <w:vAlign w:val="center"/>
          </w:tcPr>
          <w:p w:rsidR="006D0F27" w:rsidRPr="00FF7EA1" w:rsidRDefault="006D0F27" w:rsidP="006D0F27">
            <w:pPr>
              <w:tabs>
                <w:tab w:val="num" w:pos="720"/>
              </w:tabs>
              <w:spacing w:line="240" w:lineRule="auto"/>
              <w:rPr>
                <w:rFonts w:ascii="Times New Roman" w:hAnsi="Times New Roman"/>
                <w:lang w:bidi="ar-SA"/>
              </w:rPr>
            </w:pPr>
            <w:r>
              <w:rPr>
                <w:rFonts w:ascii="Times New Roman" w:hAnsi="Times New Roman"/>
                <w:lang w:bidi="ar-SA"/>
              </w:rPr>
              <w:t>Density range</w:t>
            </w:r>
          </w:p>
        </w:tc>
        <w:tc>
          <w:tcPr>
            <w:tcW w:w="1764" w:type="dxa"/>
            <w:tcBorders>
              <w:top w:val="single" w:sz="4" w:space="0" w:color="auto"/>
            </w:tcBorders>
            <w:vAlign w:val="center"/>
          </w:tcPr>
          <w:p w:rsidR="006D0F27" w:rsidRPr="00973D99" w:rsidRDefault="006D0F27" w:rsidP="006D0F27">
            <w:pPr>
              <w:pStyle w:val="Text"/>
              <w:ind w:firstLine="0"/>
              <w:jc w:val="left"/>
              <w:rPr>
                <w:rFonts w:asciiTheme="minorHAnsi" w:hAnsiTheme="minorHAnsi" w:cstheme="minorHAnsi"/>
                <w:sz w:val="22"/>
                <w:szCs w:val="22"/>
              </w:rPr>
            </w:pPr>
            <w:r w:rsidRPr="00973D99">
              <w:rPr>
                <w:rFonts w:asciiTheme="minorHAnsi" w:hAnsiTheme="minorHAnsi" w:cstheme="minorHAnsi"/>
                <w:sz w:val="22"/>
                <w:szCs w:val="22"/>
              </w:rPr>
              <w:t xml:space="preserve">0.677 </w:t>
            </w:r>
            <w:r w:rsidRPr="00973D99">
              <w:rPr>
                <w:rFonts w:asciiTheme="minorHAnsi" w:hAnsiTheme="minorHAnsi" w:cstheme="minorHAnsi"/>
                <w:sz w:val="22"/>
                <w:szCs w:val="22"/>
                <w:lang w:bidi="en-US"/>
              </w:rPr>
              <w:t xml:space="preserve">± </w:t>
            </w:r>
            <w:r w:rsidRPr="00973D99">
              <w:rPr>
                <w:rFonts w:asciiTheme="minorHAnsi" w:hAnsiTheme="minorHAnsi" w:cstheme="minorHAnsi"/>
                <w:sz w:val="22"/>
                <w:szCs w:val="22"/>
              </w:rPr>
              <w:t>0.0558</w:t>
            </w:r>
          </w:p>
        </w:tc>
      </w:tr>
      <w:tr w:rsidR="006D0F27" w:rsidRPr="00FF7EA1" w:rsidTr="005051EF">
        <w:trPr>
          <w:trHeight w:val="504"/>
          <w:jc w:val="center"/>
        </w:trPr>
        <w:tc>
          <w:tcPr>
            <w:tcW w:w="2286" w:type="dxa"/>
            <w:vAlign w:val="center"/>
          </w:tcPr>
          <w:p w:rsidR="006D0F27" w:rsidRPr="00FF7EA1" w:rsidRDefault="006D0F27" w:rsidP="006D0F27">
            <w:pPr>
              <w:tabs>
                <w:tab w:val="num" w:pos="0"/>
              </w:tabs>
              <w:spacing w:line="240" w:lineRule="auto"/>
              <w:rPr>
                <w:rFonts w:ascii="Times New Roman" w:hAnsi="Times New Roman"/>
                <w:lang w:bidi="ar-SA"/>
              </w:rPr>
            </w:pPr>
            <w:r>
              <w:rPr>
                <w:rFonts w:ascii="Times New Roman" w:hAnsi="Times New Roman"/>
                <w:lang w:bidi="ar-SA"/>
              </w:rPr>
              <w:t>Volume</w:t>
            </w:r>
          </w:p>
        </w:tc>
        <w:tc>
          <w:tcPr>
            <w:tcW w:w="1800" w:type="dxa"/>
            <w:vAlign w:val="center"/>
          </w:tcPr>
          <w:p w:rsidR="006D0F27" w:rsidRPr="00973D99" w:rsidRDefault="006D0F27" w:rsidP="006D0F27">
            <w:pPr>
              <w:pStyle w:val="Text"/>
              <w:ind w:firstLine="0"/>
              <w:jc w:val="left"/>
              <w:rPr>
                <w:rFonts w:asciiTheme="minorHAnsi" w:hAnsiTheme="minorHAnsi" w:cstheme="minorHAnsi"/>
                <w:sz w:val="22"/>
                <w:szCs w:val="22"/>
              </w:rPr>
            </w:pPr>
            <w:r w:rsidRPr="00973D99">
              <w:rPr>
                <w:rFonts w:asciiTheme="minorHAnsi" w:hAnsiTheme="minorHAnsi" w:cstheme="minorHAnsi"/>
                <w:sz w:val="22"/>
                <w:szCs w:val="22"/>
              </w:rPr>
              <w:t xml:space="preserve">0.7547 </w:t>
            </w:r>
            <w:r w:rsidRPr="00973D99">
              <w:rPr>
                <w:rFonts w:asciiTheme="minorHAnsi" w:hAnsiTheme="minorHAnsi" w:cstheme="minorHAnsi"/>
                <w:sz w:val="22"/>
                <w:szCs w:val="22"/>
                <w:lang w:bidi="en-US"/>
              </w:rPr>
              <w:t xml:space="preserve">± </w:t>
            </w:r>
            <w:r w:rsidRPr="00973D99">
              <w:rPr>
                <w:rFonts w:asciiTheme="minorHAnsi" w:hAnsiTheme="minorHAnsi" w:cstheme="minorHAnsi"/>
                <w:sz w:val="22"/>
                <w:szCs w:val="22"/>
              </w:rPr>
              <w:t>0.0512</w:t>
            </w:r>
          </w:p>
        </w:tc>
        <w:tc>
          <w:tcPr>
            <w:tcW w:w="2520" w:type="dxa"/>
            <w:vAlign w:val="center"/>
          </w:tcPr>
          <w:p w:rsidR="006D0F27" w:rsidRPr="00FF7EA1" w:rsidRDefault="006D0F27" w:rsidP="006D0F27">
            <w:pPr>
              <w:tabs>
                <w:tab w:val="num" w:pos="720"/>
              </w:tabs>
              <w:spacing w:line="240" w:lineRule="auto"/>
              <w:rPr>
                <w:rFonts w:ascii="Times New Roman" w:hAnsi="Times New Roman"/>
                <w:lang w:bidi="ar-SA"/>
              </w:rPr>
            </w:pPr>
            <w:r>
              <w:rPr>
                <w:rFonts w:ascii="Times New Roman" w:hAnsi="Times New Roman"/>
                <w:lang w:bidi="ar-SA"/>
              </w:rPr>
              <w:t>Energy-HH</w:t>
            </w:r>
          </w:p>
        </w:tc>
        <w:tc>
          <w:tcPr>
            <w:tcW w:w="1764" w:type="dxa"/>
            <w:vAlign w:val="center"/>
          </w:tcPr>
          <w:p w:rsidR="006D0F27" w:rsidRPr="00973D99" w:rsidRDefault="006D0F27" w:rsidP="006D0F27">
            <w:pPr>
              <w:pStyle w:val="Text"/>
              <w:ind w:firstLine="0"/>
              <w:jc w:val="left"/>
              <w:rPr>
                <w:rFonts w:asciiTheme="minorHAnsi" w:hAnsiTheme="minorHAnsi" w:cstheme="minorHAnsi"/>
                <w:sz w:val="22"/>
                <w:szCs w:val="22"/>
              </w:rPr>
            </w:pPr>
            <w:r w:rsidRPr="00973D99">
              <w:rPr>
                <w:rFonts w:asciiTheme="minorHAnsi" w:hAnsiTheme="minorHAnsi" w:cstheme="minorHAnsi"/>
                <w:sz w:val="22"/>
                <w:szCs w:val="22"/>
              </w:rPr>
              <w:t xml:space="preserve">0.6696 </w:t>
            </w:r>
            <w:r w:rsidRPr="00973D99">
              <w:rPr>
                <w:rFonts w:asciiTheme="minorHAnsi" w:hAnsiTheme="minorHAnsi" w:cstheme="minorHAnsi"/>
                <w:sz w:val="22"/>
                <w:szCs w:val="22"/>
                <w:lang w:bidi="en-US"/>
              </w:rPr>
              <w:t xml:space="preserve">± </w:t>
            </w:r>
            <w:r w:rsidRPr="00973D99">
              <w:rPr>
                <w:rFonts w:asciiTheme="minorHAnsi" w:hAnsiTheme="minorHAnsi" w:cstheme="minorHAnsi"/>
                <w:sz w:val="22"/>
                <w:szCs w:val="22"/>
              </w:rPr>
              <w:t>0.0567</w:t>
            </w:r>
          </w:p>
        </w:tc>
      </w:tr>
      <w:tr w:rsidR="006D0F27" w:rsidRPr="00FF7EA1" w:rsidTr="005051EF">
        <w:trPr>
          <w:trHeight w:val="504"/>
          <w:jc w:val="center"/>
        </w:trPr>
        <w:tc>
          <w:tcPr>
            <w:tcW w:w="2286" w:type="dxa"/>
            <w:vAlign w:val="center"/>
          </w:tcPr>
          <w:p w:rsidR="006D0F27" w:rsidRPr="00FF7EA1" w:rsidRDefault="006D0F27" w:rsidP="006D0F27">
            <w:pPr>
              <w:tabs>
                <w:tab w:val="num" w:pos="0"/>
              </w:tabs>
              <w:spacing w:line="240" w:lineRule="auto"/>
              <w:rPr>
                <w:rFonts w:ascii="Times New Roman" w:hAnsi="Times New Roman"/>
                <w:lang w:bidi="ar-SA"/>
              </w:rPr>
            </w:pPr>
            <w:r>
              <w:rPr>
                <w:rFonts w:ascii="Times New Roman" w:hAnsi="Times New Roman"/>
                <w:lang w:bidi="ar-SA"/>
              </w:rPr>
              <w:t>Surface area</w:t>
            </w:r>
          </w:p>
        </w:tc>
        <w:tc>
          <w:tcPr>
            <w:tcW w:w="1800" w:type="dxa"/>
            <w:vAlign w:val="center"/>
          </w:tcPr>
          <w:p w:rsidR="006D0F27" w:rsidRPr="00973D99" w:rsidRDefault="006D0F27" w:rsidP="006D0F27">
            <w:pPr>
              <w:pStyle w:val="Text"/>
              <w:ind w:firstLine="0"/>
              <w:jc w:val="left"/>
              <w:rPr>
                <w:rFonts w:asciiTheme="minorHAnsi" w:hAnsiTheme="minorHAnsi" w:cstheme="minorHAnsi"/>
                <w:sz w:val="22"/>
                <w:szCs w:val="22"/>
              </w:rPr>
            </w:pPr>
            <w:r w:rsidRPr="00973D99">
              <w:rPr>
                <w:rFonts w:asciiTheme="minorHAnsi" w:hAnsiTheme="minorHAnsi" w:cstheme="minorHAnsi"/>
                <w:sz w:val="22"/>
                <w:szCs w:val="22"/>
              </w:rPr>
              <w:t xml:space="preserve">0.7389 </w:t>
            </w:r>
            <w:r w:rsidRPr="00973D99">
              <w:rPr>
                <w:rFonts w:asciiTheme="minorHAnsi" w:hAnsiTheme="minorHAnsi" w:cstheme="minorHAnsi"/>
                <w:sz w:val="22"/>
                <w:szCs w:val="22"/>
                <w:lang w:bidi="en-US"/>
              </w:rPr>
              <w:t xml:space="preserve">± </w:t>
            </w:r>
            <w:r w:rsidRPr="00973D99">
              <w:rPr>
                <w:rFonts w:asciiTheme="minorHAnsi" w:hAnsiTheme="minorHAnsi" w:cstheme="minorHAnsi"/>
                <w:sz w:val="22"/>
                <w:szCs w:val="22"/>
              </w:rPr>
              <w:t>0.0523</w:t>
            </w:r>
          </w:p>
        </w:tc>
        <w:tc>
          <w:tcPr>
            <w:tcW w:w="2520" w:type="dxa"/>
            <w:vAlign w:val="center"/>
          </w:tcPr>
          <w:p w:rsidR="006D0F27" w:rsidRPr="00FF7EA1" w:rsidRDefault="006D0F27" w:rsidP="006D0F27">
            <w:pPr>
              <w:tabs>
                <w:tab w:val="num" w:pos="720"/>
              </w:tabs>
              <w:spacing w:line="240" w:lineRule="auto"/>
              <w:rPr>
                <w:rFonts w:ascii="Times New Roman" w:hAnsi="Times New Roman"/>
                <w:lang w:bidi="ar-SA"/>
              </w:rPr>
            </w:pPr>
            <w:r>
              <w:rPr>
                <w:rFonts w:ascii="Times New Roman" w:hAnsi="Times New Roman"/>
                <w:lang w:bidi="ar-SA"/>
              </w:rPr>
              <w:t>Entropy-LL</w:t>
            </w:r>
          </w:p>
        </w:tc>
        <w:tc>
          <w:tcPr>
            <w:tcW w:w="1764" w:type="dxa"/>
            <w:vAlign w:val="center"/>
          </w:tcPr>
          <w:p w:rsidR="006D0F27" w:rsidRPr="00973D99" w:rsidRDefault="006D0F27" w:rsidP="006D0F27">
            <w:pPr>
              <w:pStyle w:val="Text"/>
              <w:ind w:firstLine="0"/>
              <w:jc w:val="left"/>
              <w:rPr>
                <w:rFonts w:asciiTheme="minorHAnsi" w:hAnsiTheme="minorHAnsi" w:cstheme="minorHAnsi"/>
                <w:sz w:val="22"/>
                <w:szCs w:val="22"/>
              </w:rPr>
            </w:pPr>
            <w:r w:rsidRPr="00973D99">
              <w:rPr>
                <w:rFonts w:asciiTheme="minorHAnsi" w:hAnsiTheme="minorHAnsi" w:cstheme="minorHAnsi"/>
                <w:sz w:val="22"/>
                <w:szCs w:val="22"/>
              </w:rPr>
              <w:t xml:space="preserve">0.6688 </w:t>
            </w:r>
            <w:r w:rsidRPr="00973D99">
              <w:rPr>
                <w:rFonts w:asciiTheme="minorHAnsi" w:hAnsiTheme="minorHAnsi" w:cstheme="minorHAnsi"/>
                <w:sz w:val="22"/>
                <w:szCs w:val="22"/>
                <w:lang w:bidi="en-US"/>
              </w:rPr>
              <w:t xml:space="preserve">± </w:t>
            </w:r>
            <w:r w:rsidRPr="00973D99">
              <w:rPr>
                <w:rFonts w:asciiTheme="minorHAnsi" w:hAnsiTheme="minorHAnsi" w:cstheme="minorHAnsi"/>
                <w:sz w:val="22"/>
                <w:szCs w:val="22"/>
              </w:rPr>
              <w:t>0.0555</w:t>
            </w:r>
          </w:p>
        </w:tc>
      </w:tr>
      <w:tr w:rsidR="006D0F27" w:rsidRPr="00FF7EA1" w:rsidTr="005051EF">
        <w:trPr>
          <w:trHeight w:val="504"/>
          <w:jc w:val="center"/>
        </w:trPr>
        <w:tc>
          <w:tcPr>
            <w:tcW w:w="2286" w:type="dxa"/>
            <w:vAlign w:val="center"/>
          </w:tcPr>
          <w:p w:rsidR="006D0F27" w:rsidRPr="00FF7EA1" w:rsidRDefault="006D0F27" w:rsidP="006D0F27">
            <w:pPr>
              <w:tabs>
                <w:tab w:val="num" w:pos="0"/>
              </w:tabs>
              <w:spacing w:line="240" w:lineRule="auto"/>
              <w:rPr>
                <w:rFonts w:ascii="Times New Roman" w:hAnsi="Times New Roman"/>
                <w:lang w:bidi="ar-SA"/>
              </w:rPr>
            </w:pPr>
            <w:r>
              <w:rPr>
                <w:rFonts w:ascii="Times New Roman" w:hAnsi="Times New Roman"/>
                <w:lang w:bidi="ar-SA"/>
              </w:rPr>
              <w:t>Fluctuation std-LL</w:t>
            </w:r>
          </w:p>
        </w:tc>
        <w:tc>
          <w:tcPr>
            <w:tcW w:w="1800" w:type="dxa"/>
            <w:vAlign w:val="center"/>
          </w:tcPr>
          <w:p w:rsidR="006D0F27" w:rsidRPr="00973D99" w:rsidRDefault="006D0F27" w:rsidP="006D0F27">
            <w:pPr>
              <w:pStyle w:val="Text"/>
              <w:ind w:firstLine="0"/>
              <w:jc w:val="left"/>
              <w:rPr>
                <w:rFonts w:asciiTheme="minorHAnsi" w:hAnsiTheme="minorHAnsi" w:cstheme="minorHAnsi"/>
                <w:sz w:val="22"/>
                <w:szCs w:val="22"/>
              </w:rPr>
            </w:pPr>
            <w:r w:rsidRPr="00973D99">
              <w:rPr>
                <w:rFonts w:asciiTheme="minorHAnsi" w:hAnsiTheme="minorHAnsi" w:cstheme="minorHAnsi"/>
                <w:sz w:val="22"/>
                <w:szCs w:val="22"/>
              </w:rPr>
              <w:t xml:space="preserve">0.7108 </w:t>
            </w:r>
            <w:r w:rsidRPr="00973D99">
              <w:rPr>
                <w:rFonts w:asciiTheme="minorHAnsi" w:hAnsiTheme="minorHAnsi" w:cstheme="minorHAnsi"/>
                <w:sz w:val="22"/>
                <w:szCs w:val="22"/>
                <w:lang w:bidi="en-US"/>
              </w:rPr>
              <w:t xml:space="preserve">± </w:t>
            </w:r>
            <w:r w:rsidRPr="00973D99">
              <w:rPr>
                <w:rFonts w:asciiTheme="minorHAnsi" w:hAnsiTheme="minorHAnsi" w:cstheme="minorHAnsi"/>
                <w:sz w:val="22"/>
                <w:szCs w:val="22"/>
              </w:rPr>
              <w:t>0.0535</w:t>
            </w:r>
          </w:p>
        </w:tc>
        <w:tc>
          <w:tcPr>
            <w:tcW w:w="2520" w:type="dxa"/>
            <w:vAlign w:val="center"/>
          </w:tcPr>
          <w:p w:rsidR="006D0F27" w:rsidRPr="00FF7EA1" w:rsidRDefault="006D0F27" w:rsidP="006D0F27">
            <w:pPr>
              <w:tabs>
                <w:tab w:val="num" w:pos="720"/>
              </w:tabs>
              <w:spacing w:line="240" w:lineRule="auto"/>
              <w:rPr>
                <w:rFonts w:ascii="Times New Roman" w:hAnsi="Times New Roman"/>
                <w:lang w:bidi="ar-SA"/>
              </w:rPr>
            </w:pPr>
            <w:r>
              <w:rPr>
                <w:rFonts w:ascii="Times New Roman" w:hAnsi="Times New Roman"/>
                <w:lang w:bidi="ar-SA"/>
              </w:rPr>
              <w:t>Energy-HL</w:t>
            </w:r>
          </w:p>
        </w:tc>
        <w:tc>
          <w:tcPr>
            <w:tcW w:w="1764" w:type="dxa"/>
            <w:vAlign w:val="center"/>
          </w:tcPr>
          <w:p w:rsidR="006D0F27" w:rsidRPr="00973D99" w:rsidRDefault="006D0F27" w:rsidP="006D0F27">
            <w:pPr>
              <w:pStyle w:val="Text"/>
              <w:ind w:firstLine="0"/>
              <w:jc w:val="left"/>
              <w:rPr>
                <w:rFonts w:asciiTheme="minorHAnsi" w:hAnsiTheme="minorHAnsi" w:cstheme="minorHAnsi"/>
                <w:sz w:val="22"/>
                <w:szCs w:val="22"/>
              </w:rPr>
            </w:pPr>
            <w:r w:rsidRPr="00973D99">
              <w:rPr>
                <w:rFonts w:asciiTheme="minorHAnsi" w:hAnsiTheme="minorHAnsi" w:cstheme="minorHAnsi"/>
                <w:sz w:val="22"/>
                <w:szCs w:val="22"/>
              </w:rPr>
              <w:t xml:space="preserve">0.6671 </w:t>
            </w:r>
            <w:r w:rsidRPr="00973D99">
              <w:rPr>
                <w:rFonts w:asciiTheme="minorHAnsi" w:hAnsiTheme="minorHAnsi" w:cstheme="minorHAnsi"/>
                <w:sz w:val="22"/>
                <w:szCs w:val="22"/>
                <w:lang w:bidi="en-US"/>
              </w:rPr>
              <w:t xml:space="preserve">± </w:t>
            </w:r>
            <w:r w:rsidRPr="00973D99">
              <w:rPr>
                <w:rFonts w:asciiTheme="minorHAnsi" w:hAnsiTheme="minorHAnsi" w:cstheme="minorHAnsi"/>
                <w:sz w:val="22"/>
                <w:szCs w:val="22"/>
              </w:rPr>
              <w:t>0.0597</w:t>
            </w:r>
          </w:p>
        </w:tc>
      </w:tr>
      <w:tr w:rsidR="006D0F27" w:rsidRPr="00FF7EA1" w:rsidTr="005051EF">
        <w:trPr>
          <w:trHeight w:val="504"/>
          <w:jc w:val="center"/>
        </w:trPr>
        <w:tc>
          <w:tcPr>
            <w:tcW w:w="2286" w:type="dxa"/>
            <w:vAlign w:val="center"/>
          </w:tcPr>
          <w:p w:rsidR="006D0F27" w:rsidRPr="00FF7EA1" w:rsidRDefault="006D0F27" w:rsidP="006D0F27">
            <w:pPr>
              <w:tabs>
                <w:tab w:val="num" w:pos="0"/>
              </w:tabs>
              <w:spacing w:line="240" w:lineRule="auto"/>
              <w:rPr>
                <w:rFonts w:ascii="Times New Roman" w:hAnsi="Times New Roman"/>
                <w:lang w:bidi="ar-SA"/>
              </w:rPr>
            </w:pPr>
            <w:r>
              <w:rPr>
                <w:rFonts w:ascii="Times New Roman" w:hAnsi="Times New Roman"/>
                <w:lang w:bidi="ar-SA"/>
              </w:rPr>
              <w:t>Energy</w:t>
            </w:r>
          </w:p>
        </w:tc>
        <w:tc>
          <w:tcPr>
            <w:tcW w:w="1800" w:type="dxa"/>
            <w:vAlign w:val="center"/>
          </w:tcPr>
          <w:p w:rsidR="006D0F27" w:rsidRPr="00973D99" w:rsidRDefault="006D0F27" w:rsidP="006D0F27">
            <w:pPr>
              <w:pStyle w:val="Text"/>
              <w:ind w:firstLine="0"/>
              <w:jc w:val="left"/>
              <w:rPr>
                <w:rFonts w:asciiTheme="minorHAnsi" w:hAnsiTheme="minorHAnsi" w:cstheme="minorHAnsi"/>
                <w:sz w:val="22"/>
                <w:szCs w:val="22"/>
              </w:rPr>
            </w:pPr>
            <w:r w:rsidRPr="00973D99">
              <w:rPr>
                <w:rFonts w:asciiTheme="minorHAnsi" w:hAnsiTheme="minorHAnsi" w:cstheme="minorHAnsi"/>
                <w:sz w:val="22"/>
                <w:szCs w:val="22"/>
              </w:rPr>
              <w:t xml:space="preserve">0.7066 </w:t>
            </w:r>
            <w:r w:rsidRPr="00973D99">
              <w:rPr>
                <w:rFonts w:asciiTheme="minorHAnsi" w:hAnsiTheme="minorHAnsi" w:cstheme="minorHAnsi"/>
                <w:sz w:val="22"/>
                <w:szCs w:val="22"/>
                <w:lang w:bidi="en-US"/>
              </w:rPr>
              <w:t xml:space="preserve">± </w:t>
            </w:r>
            <w:r w:rsidRPr="00973D99">
              <w:rPr>
                <w:rFonts w:asciiTheme="minorHAnsi" w:hAnsiTheme="minorHAnsi" w:cstheme="minorHAnsi"/>
                <w:sz w:val="22"/>
                <w:szCs w:val="22"/>
              </w:rPr>
              <w:t>0.0548</w:t>
            </w:r>
          </w:p>
        </w:tc>
        <w:tc>
          <w:tcPr>
            <w:tcW w:w="2520" w:type="dxa"/>
            <w:vAlign w:val="center"/>
          </w:tcPr>
          <w:p w:rsidR="006D0F27" w:rsidRPr="00FF7EA1" w:rsidRDefault="006D0F27" w:rsidP="006D0F27">
            <w:pPr>
              <w:tabs>
                <w:tab w:val="num" w:pos="720"/>
              </w:tabs>
              <w:spacing w:line="240" w:lineRule="auto"/>
              <w:rPr>
                <w:rFonts w:ascii="Times New Roman" w:hAnsi="Times New Roman"/>
                <w:lang w:bidi="ar-SA"/>
              </w:rPr>
            </w:pPr>
            <w:r>
              <w:rPr>
                <w:rFonts w:ascii="Times New Roman" w:hAnsi="Times New Roman"/>
                <w:lang w:bidi="ar-SA"/>
              </w:rPr>
              <w:t>Maximum density-HH</w:t>
            </w:r>
          </w:p>
        </w:tc>
        <w:tc>
          <w:tcPr>
            <w:tcW w:w="1764" w:type="dxa"/>
            <w:vAlign w:val="center"/>
          </w:tcPr>
          <w:p w:rsidR="006D0F27" w:rsidRPr="00973D99" w:rsidRDefault="006D0F27" w:rsidP="006D0F27">
            <w:pPr>
              <w:pStyle w:val="Text"/>
              <w:ind w:firstLine="0"/>
              <w:jc w:val="left"/>
              <w:rPr>
                <w:rFonts w:asciiTheme="minorHAnsi" w:hAnsiTheme="minorHAnsi" w:cstheme="minorHAnsi"/>
                <w:sz w:val="22"/>
                <w:szCs w:val="22"/>
              </w:rPr>
            </w:pPr>
            <w:r w:rsidRPr="00973D99">
              <w:rPr>
                <w:rFonts w:asciiTheme="minorHAnsi" w:hAnsiTheme="minorHAnsi" w:cstheme="minorHAnsi"/>
                <w:sz w:val="22"/>
                <w:szCs w:val="22"/>
              </w:rPr>
              <w:t xml:space="preserve">0.6629 </w:t>
            </w:r>
            <w:r w:rsidRPr="00973D99">
              <w:rPr>
                <w:rFonts w:asciiTheme="minorHAnsi" w:hAnsiTheme="minorHAnsi" w:cstheme="minorHAnsi"/>
                <w:sz w:val="22"/>
                <w:szCs w:val="22"/>
                <w:lang w:bidi="en-US"/>
              </w:rPr>
              <w:t xml:space="preserve">± </w:t>
            </w:r>
            <w:r w:rsidRPr="00973D99">
              <w:rPr>
                <w:rFonts w:asciiTheme="minorHAnsi" w:hAnsiTheme="minorHAnsi" w:cstheme="minorHAnsi"/>
                <w:sz w:val="22"/>
                <w:szCs w:val="22"/>
              </w:rPr>
              <w:t>0.058</w:t>
            </w:r>
          </w:p>
        </w:tc>
      </w:tr>
      <w:tr w:rsidR="006D0F27" w:rsidRPr="00FF7EA1" w:rsidTr="005051EF">
        <w:trPr>
          <w:trHeight w:val="504"/>
          <w:jc w:val="center"/>
        </w:trPr>
        <w:tc>
          <w:tcPr>
            <w:tcW w:w="2286" w:type="dxa"/>
            <w:vAlign w:val="center"/>
          </w:tcPr>
          <w:p w:rsidR="006D0F27" w:rsidRPr="00FF7EA1" w:rsidRDefault="006D0F27" w:rsidP="006D0F27">
            <w:pPr>
              <w:tabs>
                <w:tab w:val="num" w:pos="0"/>
              </w:tabs>
              <w:spacing w:line="240" w:lineRule="auto"/>
              <w:rPr>
                <w:rFonts w:ascii="Times New Roman" w:hAnsi="Times New Roman"/>
                <w:lang w:bidi="ar-SA"/>
              </w:rPr>
            </w:pPr>
            <w:r>
              <w:rPr>
                <w:rFonts w:ascii="Times New Roman" w:hAnsi="Times New Roman"/>
                <w:lang w:bidi="ar-SA"/>
              </w:rPr>
              <w:t>Median</w:t>
            </w:r>
          </w:p>
        </w:tc>
        <w:tc>
          <w:tcPr>
            <w:tcW w:w="1800" w:type="dxa"/>
            <w:vAlign w:val="center"/>
          </w:tcPr>
          <w:p w:rsidR="006D0F27" w:rsidRPr="00973D99" w:rsidRDefault="006D0F27" w:rsidP="006D0F27">
            <w:pPr>
              <w:pStyle w:val="Text"/>
              <w:ind w:firstLine="0"/>
              <w:jc w:val="left"/>
              <w:rPr>
                <w:rFonts w:asciiTheme="minorHAnsi" w:hAnsiTheme="minorHAnsi" w:cstheme="minorHAnsi"/>
                <w:sz w:val="22"/>
                <w:szCs w:val="22"/>
              </w:rPr>
            </w:pPr>
            <w:r w:rsidRPr="00973D99">
              <w:rPr>
                <w:rFonts w:asciiTheme="minorHAnsi" w:hAnsiTheme="minorHAnsi" w:cstheme="minorHAnsi"/>
                <w:sz w:val="22"/>
                <w:szCs w:val="22"/>
              </w:rPr>
              <w:t xml:space="preserve">0.6949 </w:t>
            </w:r>
            <w:r w:rsidRPr="00973D99">
              <w:rPr>
                <w:rFonts w:asciiTheme="minorHAnsi" w:hAnsiTheme="minorHAnsi" w:cstheme="minorHAnsi"/>
                <w:sz w:val="22"/>
                <w:szCs w:val="22"/>
                <w:lang w:bidi="en-US"/>
              </w:rPr>
              <w:t xml:space="preserve">± </w:t>
            </w:r>
            <w:r w:rsidRPr="00973D99">
              <w:rPr>
                <w:rFonts w:asciiTheme="minorHAnsi" w:hAnsiTheme="minorHAnsi" w:cstheme="minorHAnsi"/>
                <w:sz w:val="22"/>
                <w:szCs w:val="22"/>
              </w:rPr>
              <w:t>0.0542</w:t>
            </w:r>
          </w:p>
        </w:tc>
        <w:tc>
          <w:tcPr>
            <w:tcW w:w="2520" w:type="dxa"/>
            <w:vAlign w:val="center"/>
          </w:tcPr>
          <w:p w:rsidR="006D0F27" w:rsidRPr="00FF7EA1" w:rsidRDefault="006D0F27" w:rsidP="006D0F27">
            <w:pPr>
              <w:tabs>
                <w:tab w:val="num" w:pos="720"/>
              </w:tabs>
              <w:spacing w:line="240" w:lineRule="auto"/>
              <w:rPr>
                <w:rFonts w:ascii="Times New Roman" w:hAnsi="Times New Roman"/>
                <w:lang w:bidi="ar-SA"/>
              </w:rPr>
            </w:pPr>
            <w:r>
              <w:rPr>
                <w:rFonts w:ascii="Times New Roman" w:hAnsi="Times New Roman"/>
                <w:lang w:bidi="ar-SA"/>
              </w:rPr>
              <w:t>Fluctuation std</w:t>
            </w:r>
          </w:p>
        </w:tc>
        <w:tc>
          <w:tcPr>
            <w:tcW w:w="1764" w:type="dxa"/>
            <w:vAlign w:val="center"/>
          </w:tcPr>
          <w:p w:rsidR="006D0F27" w:rsidRPr="00973D99" w:rsidRDefault="006D0F27" w:rsidP="006D0F27">
            <w:pPr>
              <w:pStyle w:val="Text"/>
              <w:ind w:firstLine="0"/>
              <w:jc w:val="left"/>
              <w:rPr>
                <w:rFonts w:asciiTheme="minorHAnsi" w:hAnsiTheme="minorHAnsi" w:cstheme="minorHAnsi"/>
                <w:sz w:val="22"/>
                <w:szCs w:val="22"/>
              </w:rPr>
            </w:pPr>
            <w:r w:rsidRPr="00973D99">
              <w:rPr>
                <w:rFonts w:asciiTheme="minorHAnsi" w:hAnsiTheme="minorHAnsi" w:cstheme="minorHAnsi"/>
                <w:sz w:val="22"/>
                <w:szCs w:val="22"/>
              </w:rPr>
              <w:t xml:space="preserve">0.6616 </w:t>
            </w:r>
            <w:r w:rsidRPr="00973D99">
              <w:rPr>
                <w:rFonts w:asciiTheme="minorHAnsi" w:hAnsiTheme="minorHAnsi" w:cstheme="minorHAnsi"/>
                <w:sz w:val="22"/>
                <w:szCs w:val="22"/>
                <w:lang w:bidi="en-US"/>
              </w:rPr>
              <w:t xml:space="preserve">± </w:t>
            </w:r>
            <w:r w:rsidRPr="00973D99">
              <w:rPr>
                <w:rFonts w:asciiTheme="minorHAnsi" w:hAnsiTheme="minorHAnsi" w:cstheme="minorHAnsi"/>
                <w:sz w:val="22"/>
                <w:szCs w:val="22"/>
              </w:rPr>
              <w:t>0.056</w:t>
            </w:r>
          </w:p>
        </w:tc>
      </w:tr>
      <w:tr w:rsidR="006D0F27" w:rsidRPr="00FF7EA1" w:rsidTr="005051EF">
        <w:trPr>
          <w:trHeight w:val="504"/>
          <w:jc w:val="center"/>
        </w:trPr>
        <w:tc>
          <w:tcPr>
            <w:tcW w:w="2286" w:type="dxa"/>
            <w:vAlign w:val="center"/>
          </w:tcPr>
          <w:p w:rsidR="006D0F27" w:rsidRPr="00FF7EA1" w:rsidRDefault="006D0F27" w:rsidP="006D0F27">
            <w:pPr>
              <w:tabs>
                <w:tab w:val="num" w:pos="0"/>
              </w:tabs>
              <w:spacing w:line="240" w:lineRule="auto"/>
              <w:rPr>
                <w:rFonts w:ascii="Times New Roman" w:hAnsi="Times New Roman"/>
                <w:lang w:bidi="ar-SA"/>
              </w:rPr>
            </w:pPr>
            <w:r>
              <w:rPr>
                <w:rFonts w:ascii="Times New Roman" w:hAnsi="Times New Roman"/>
                <w:lang w:bidi="ar-SA"/>
              </w:rPr>
              <w:t>Entropy-HL</w:t>
            </w:r>
          </w:p>
        </w:tc>
        <w:tc>
          <w:tcPr>
            <w:tcW w:w="1800" w:type="dxa"/>
            <w:vAlign w:val="center"/>
          </w:tcPr>
          <w:p w:rsidR="006D0F27" w:rsidRPr="00973D99" w:rsidRDefault="006D0F27" w:rsidP="006D0F27">
            <w:pPr>
              <w:pStyle w:val="Text"/>
              <w:ind w:firstLine="0"/>
              <w:jc w:val="left"/>
              <w:rPr>
                <w:rFonts w:asciiTheme="minorHAnsi" w:hAnsiTheme="minorHAnsi" w:cstheme="minorHAnsi"/>
                <w:sz w:val="22"/>
                <w:szCs w:val="22"/>
              </w:rPr>
            </w:pPr>
            <w:r w:rsidRPr="00973D99">
              <w:rPr>
                <w:rFonts w:asciiTheme="minorHAnsi" w:hAnsiTheme="minorHAnsi" w:cstheme="minorHAnsi"/>
                <w:sz w:val="22"/>
                <w:szCs w:val="22"/>
              </w:rPr>
              <w:t xml:space="preserve">0.6865 </w:t>
            </w:r>
            <w:r w:rsidRPr="00973D99">
              <w:rPr>
                <w:rFonts w:asciiTheme="minorHAnsi" w:hAnsiTheme="minorHAnsi" w:cstheme="minorHAnsi"/>
                <w:sz w:val="22"/>
                <w:szCs w:val="22"/>
                <w:lang w:bidi="en-US"/>
              </w:rPr>
              <w:t xml:space="preserve">± </w:t>
            </w:r>
            <w:r w:rsidRPr="00973D99">
              <w:rPr>
                <w:rFonts w:asciiTheme="minorHAnsi" w:hAnsiTheme="minorHAnsi" w:cstheme="minorHAnsi"/>
                <w:sz w:val="22"/>
                <w:szCs w:val="22"/>
              </w:rPr>
              <w:t>0.0545</w:t>
            </w:r>
          </w:p>
        </w:tc>
        <w:tc>
          <w:tcPr>
            <w:tcW w:w="2520" w:type="dxa"/>
            <w:vAlign w:val="center"/>
          </w:tcPr>
          <w:p w:rsidR="006D0F27" w:rsidRPr="00FF7EA1" w:rsidRDefault="006D0F27" w:rsidP="006D0F27">
            <w:pPr>
              <w:tabs>
                <w:tab w:val="num" w:pos="720"/>
              </w:tabs>
              <w:spacing w:line="240" w:lineRule="auto"/>
              <w:rPr>
                <w:rFonts w:ascii="Times New Roman" w:hAnsi="Times New Roman"/>
                <w:lang w:bidi="ar-SA"/>
              </w:rPr>
            </w:pPr>
            <w:r>
              <w:rPr>
                <w:rFonts w:ascii="Times New Roman" w:hAnsi="Times New Roman"/>
                <w:lang w:bidi="ar-SA"/>
              </w:rPr>
              <w:t>Maximum density-HL</w:t>
            </w:r>
          </w:p>
        </w:tc>
        <w:tc>
          <w:tcPr>
            <w:tcW w:w="1764" w:type="dxa"/>
            <w:vAlign w:val="center"/>
          </w:tcPr>
          <w:p w:rsidR="006D0F27" w:rsidRPr="00973D99" w:rsidRDefault="006D0F27" w:rsidP="006D0F27">
            <w:pPr>
              <w:pStyle w:val="Text"/>
              <w:ind w:firstLine="0"/>
              <w:jc w:val="left"/>
              <w:rPr>
                <w:rFonts w:asciiTheme="minorHAnsi" w:hAnsiTheme="minorHAnsi" w:cstheme="minorHAnsi"/>
                <w:sz w:val="22"/>
                <w:szCs w:val="22"/>
              </w:rPr>
            </w:pPr>
            <w:r w:rsidRPr="00973D99">
              <w:rPr>
                <w:rFonts w:asciiTheme="minorHAnsi" w:hAnsiTheme="minorHAnsi" w:cstheme="minorHAnsi"/>
                <w:sz w:val="22"/>
                <w:szCs w:val="22"/>
              </w:rPr>
              <w:t xml:space="preserve">0.6603 </w:t>
            </w:r>
            <w:r w:rsidRPr="00973D99">
              <w:rPr>
                <w:rFonts w:asciiTheme="minorHAnsi" w:hAnsiTheme="minorHAnsi" w:cstheme="minorHAnsi"/>
                <w:sz w:val="22"/>
                <w:szCs w:val="22"/>
                <w:lang w:bidi="en-US"/>
              </w:rPr>
              <w:t xml:space="preserve">± </w:t>
            </w:r>
            <w:r w:rsidRPr="00973D99">
              <w:rPr>
                <w:rFonts w:asciiTheme="minorHAnsi" w:hAnsiTheme="minorHAnsi" w:cstheme="minorHAnsi"/>
                <w:sz w:val="22"/>
                <w:szCs w:val="22"/>
              </w:rPr>
              <w:t>0.0582</w:t>
            </w:r>
          </w:p>
        </w:tc>
      </w:tr>
      <w:tr w:rsidR="006D0F27" w:rsidRPr="00FF7EA1" w:rsidTr="005051EF">
        <w:trPr>
          <w:trHeight w:val="504"/>
          <w:jc w:val="center"/>
        </w:trPr>
        <w:tc>
          <w:tcPr>
            <w:tcW w:w="2286" w:type="dxa"/>
            <w:vAlign w:val="center"/>
          </w:tcPr>
          <w:p w:rsidR="006D0F27" w:rsidRPr="00FF7EA1" w:rsidRDefault="006D0F27" w:rsidP="006D0F27">
            <w:pPr>
              <w:tabs>
                <w:tab w:val="num" w:pos="0"/>
              </w:tabs>
              <w:spacing w:line="240" w:lineRule="auto"/>
              <w:rPr>
                <w:rFonts w:ascii="Times New Roman" w:hAnsi="Times New Roman"/>
                <w:lang w:bidi="ar-SA"/>
              </w:rPr>
            </w:pPr>
            <w:r>
              <w:rPr>
                <w:rFonts w:ascii="Times New Roman" w:hAnsi="Times New Roman"/>
                <w:lang w:bidi="ar-SA"/>
              </w:rPr>
              <w:t>Rms</w:t>
            </w:r>
          </w:p>
        </w:tc>
        <w:tc>
          <w:tcPr>
            <w:tcW w:w="1800" w:type="dxa"/>
            <w:vAlign w:val="center"/>
          </w:tcPr>
          <w:p w:rsidR="006D0F27" w:rsidRPr="00973D99" w:rsidRDefault="006D0F27" w:rsidP="006D0F27">
            <w:pPr>
              <w:pStyle w:val="Text"/>
              <w:ind w:firstLine="0"/>
              <w:jc w:val="left"/>
              <w:rPr>
                <w:rFonts w:asciiTheme="minorHAnsi" w:hAnsiTheme="minorHAnsi" w:cstheme="minorHAnsi"/>
                <w:sz w:val="22"/>
                <w:szCs w:val="22"/>
              </w:rPr>
            </w:pPr>
            <w:r w:rsidRPr="00973D99">
              <w:rPr>
                <w:rFonts w:asciiTheme="minorHAnsi" w:hAnsiTheme="minorHAnsi" w:cstheme="minorHAnsi"/>
                <w:sz w:val="22"/>
                <w:szCs w:val="22"/>
              </w:rPr>
              <w:t xml:space="preserve">0.685 </w:t>
            </w:r>
            <w:r w:rsidRPr="00973D99">
              <w:rPr>
                <w:rFonts w:asciiTheme="minorHAnsi" w:hAnsiTheme="minorHAnsi" w:cstheme="minorHAnsi"/>
                <w:sz w:val="22"/>
                <w:szCs w:val="22"/>
                <w:lang w:bidi="en-US"/>
              </w:rPr>
              <w:t xml:space="preserve">± </w:t>
            </w:r>
            <w:r w:rsidRPr="00973D99">
              <w:rPr>
                <w:rFonts w:asciiTheme="minorHAnsi" w:hAnsiTheme="minorHAnsi" w:cstheme="minorHAnsi"/>
                <w:sz w:val="22"/>
                <w:szCs w:val="22"/>
              </w:rPr>
              <w:t>0.0549</w:t>
            </w:r>
          </w:p>
        </w:tc>
        <w:tc>
          <w:tcPr>
            <w:tcW w:w="2520" w:type="dxa"/>
            <w:vAlign w:val="center"/>
          </w:tcPr>
          <w:p w:rsidR="006D0F27" w:rsidRPr="00FF7EA1" w:rsidRDefault="006D0F27" w:rsidP="006D0F27">
            <w:pPr>
              <w:tabs>
                <w:tab w:val="num" w:pos="720"/>
              </w:tabs>
              <w:spacing w:line="240" w:lineRule="auto"/>
              <w:rPr>
                <w:rFonts w:ascii="Times New Roman" w:hAnsi="Times New Roman"/>
                <w:lang w:bidi="ar-SA"/>
              </w:rPr>
            </w:pPr>
            <w:r>
              <w:rPr>
                <w:rFonts w:ascii="Times New Roman" w:hAnsi="Times New Roman"/>
                <w:lang w:bidi="ar-SA"/>
              </w:rPr>
              <w:t>Gradient mean-HL</w:t>
            </w:r>
          </w:p>
        </w:tc>
        <w:tc>
          <w:tcPr>
            <w:tcW w:w="1764" w:type="dxa"/>
            <w:vAlign w:val="center"/>
          </w:tcPr>
          <w:p w:rsidR="006D0F27" w:rsidRPr="00973D99" w:rsidRDefault="006D0F27" w:rsidP="006D0F27">
            <w:pPr>
              <w:pStyle w:val="Text"/>
              <w:ind w:firstLine="0"/>
              <w:jc w:val="left"/>
              <w:rPr>
                <w:rFonts w:asciiTheme="minorHAnsi" w:hAnsiTheme="minorHAnsi" w:cstheme="minorHAnsi"/>
                <w:sz w:val="22"/>
                <w:szCs w:val="22"/>
              </w:rPr>
            </w:pPr>
            <w:r w:rsidRPr="00973D99">
              <w:rPr>
                <w:rFonts w:asciiTheme="minorHAnsi" w:hAnsiTheme="minorHAnsi" w:cstheme="minorHAnsi"/>
                <w:sz w:val="22"/>
                <w:szCs w:val="22"/>
              </w:rPr>
              <w:t xml:space="preserve">0.6583 </w:t>
            </w:r>
            <w:r w:rsidRPr="00973D99">
              <w:rPr>
                <w:rFonts w:asciiTheme="minorHAnsi" w:hAnsiTheme="minorHAnsi" w:cstheme="minorHAnsi"/>
                <w:sz w:val="22"/>
                <w:szCs w:val="22"/>
                <w:lang w:bidi="en-US"/>
              </w:rPr>
              <w:t xml:space="preserve">± </w:t>
            </w:r>
            <w:r w:rsidRPr="00973D99">
              <w:rPr>
                <w:rFonts w:asciiTheme="minorHAnsi" w:hAnsiTheme="minorHAnsi" w:cstheme="minorHAnsi"/>
                <w:sz w:val="22"/>
                <w:szCs w:val="22"/>
              </w:rPr>
              <w:t>0.0565</w:t>
            </w:r>
          </w:p>
        </w:tc>
      </w:tr>
      <w:tr w:rsidR="006D0F27" w:rsidRPr="00FF7EA1" w:rsidTr="005051EF">
        <w:trPr>
          <w:trHeight w:val="504"/>
          <w:jc w:val="center"/>
        </w:trPr>
        <w:tc>
          <w:tcPr>
            <w:tcW w:w="2286" w:type="dxa"/>
            <w:vAlign w:val="center"/>
          </w:tcPr>
          <w:p w:rsidR="006D0F27" w:rsidRPr="00FF7EA1" w:rsidRDefault="006D0F27" w:rsidP="006D0F27">
            <w:pPr>
              <w:tabs>
                <w:tab w:val="num" w:pos="0"/>
              </w:tabs>
              <w:spacing w:line="240" w:lineRule="auto"/>
              <w:rPr>
                <w:rFonts w:ascii="Times New Roman" w:hAnsi="Times New Roman"/>
                <w:lang w:bidi="ar-SA"/>
              </w:rPr>
            </w:pPr>
            <w:r>
              <w:rPr>
                <w:rFonts w:ascii="Times New Roman" w:hAnsi="Times New Roman"/>
                <w:lang w:bidi="ar-SA"/>
              </w:rPr>
              <w:t>Density</w:t>
            </w:r>
            <w:r w:rsidR="00824A8D">
              <w:rPr>
                <w:rFonts w:ascii="Times New Roman" w:hAnsi="Times New Roman"/>
                <w:lang w:bidi="ar-SA"/>
              </w:rPr>
              <w:t xml:space="preserve"> </w:t>
            </w:r>
          </w:p>
        </w:tc>
        <w:tc>
          <w:tcPr>
            <w:tcW w:w="1800" w:type="dxa"/>
            <w:vAlign w:val="center"/>
          </w:tcPr>
          <w:p w:rsidR="006D0F27" w:rsidRPr="00973D99" w:rsidRDefault="006D0F27" w:rsidP="006D0F27">
            <w:pPr>
              <w:pStyle w:val="Text"/>
              <w:ind w:firstLine="0"/>
              <w:jc w:val="left"/>
              <w:rPr>
                <w:rFonts w:asciiTheme="minorHAnsi" w:hAnsiTheme="minorHAnsi" w:cstheme="minorHAnsi"/>
                <w:sz w:val="22"/>
                <w:szCs w:val="22"/>
              </w:rPr>
            </w:pPr>
            <w:r w:rsidRPr="00973D99">
              <w:rPr>
                <w:rFonts w:asciiTheme="minorHAnsi" w:hAnsiTheme="minorHAnsi" w:cstheme="minorHAnsi"/>
                <w:sz w:val="22"/>
                <w:szCs w:val="22"/>
              </w:rPr>
              <w:t xml:space="preserve">0.6835 </w:t>
            </w:r>
            <w:r w:rsidRPr="00973D99">
              <w:rPr>
                <w:rFonts w:asciiTheme="minorHAnsi" w:hAnsiTheme="minorHAnsi" w:cstheme="minorHAnsi"/>
                <w:sz w:val="22"/>
                <w:szCs w:val="22"/>
                <w:lang w:bidi="en-US"/>
              </w:rPr>
              <w:t xml:space="preserve">± </w:t>
            </w:r>
            <w:r w:rsidRPr="00973D99">
              <w:rPr>
                <w:rFonts w:asciiTheme="minorHAnsi" w:hAnsiTheme="minorHAnsi" w:cstheme="minorHAnsi"/>
                <w:sz w:val="22"/>
                <w:szCs w:val="22"/>
              </w:rPr>
              <w:t>0.0549</w:t>
            </w:r>
          </w:p>
        </w:tc>
        <w:tc>
          <w:tcPr>
            <w:tcW w:w="2520" w:type="dxa"/>
            <w:vAlign w:val="center"/>
          </w:tcPr>
          <w:p w:rsidR="006D0F27" w:rsidRPr="00FF7EA1" w:rsidRDefault="006D0F27" w:rsidP="006D0F27">
            <w:pPr>
              <w:tabs>
                <w:tab w:val="num" w:pos="720"/>
              </w:tabs>
              <w:spacing w:line="240" w:lineRule="auto"/>
              <w:rPr>
                <w:rFonts w:ascii="Times New Roman" w:hAnsi="Times New Roman"/>
                <w:lang w:bidi="ar-SA"/>
              </w:rPr>
            </w:pPr>
            <w:r>
              <w:rPr>
                <w:rFonts w:ascii="Times New Roman" w:hAnsi="Times New Roman"/>
                <w:lang w:bidi="ar-SA"/>
              </w:rPr>
              <w:t>Std-RL</w:t>
            </w:r>
          </w:p>
        </w:tc>
        <w:tc>
          <w:tcPr>
            <w:tcW w:w="1764" w:type="dxa"/>
            <w:vAlign w:val="center"/>
          </w:tcPr>
          <w:p w:rsidR="006D0F27" w:rsidRPr="00973D99" w:rsidRDefault="006D0F27" w:rsidP="006D0F27">
            <w:pPr>
              <w:pStyle w:val="Text"/>
              <w:ind w:firstLine="0"/>
              <w:jc w:val="left"/>
              <w:rPr>
                <w:rFonts w:asciiTheme="minorHAnsi" w:hAnsiTheme="minorHAnsi" w:cstheme="minorHAnsi"/>
                <w:sz w:val="22"/>
                <w:szCs w:val="22"/>
              </w:rPr>
            </w:pPr>
            <w:r w:rsidRPr="00973D99">
              <w:rPr>
                <w:rFonts w:asciiTheme="minorHAnsi" w:hAnsiTheme="minorHAnsi" w:cstheme="minorHAnsi"/>
                <w:sz w:val="22"/>
                <w:szCs w:val="22"/>
              </w:rPr>
              <w:t xml:space="preserve">0.6532 </w:t>
            </w:r>
            <w:r w:rsidRPr="00973D99">
              <w:rPr>
                <w:rFonts w:asciiTheme="minorHAnsi" w:hAnsiTheme="minorHAnsi" w:cstheme="minorHAnsi"/>
                <w:sz w:val="22"/>
                <w:szCs w:val="22"/>
                <w:lang w:bidi="en-US"/>
              </w:rPr>
              <w:t xml:space="preserve">± </w:t>
            </w:r>
            <w:r w:rsidRPr="00973D99">
              <w:rPr>
                <w:rFonts w:asciiTheme="minorHAnsi" w:hAnsiTheme="minorHAnsi" w:cstheme="minorHAnsi"/>
                <w:sz w:val="22"/>
                <w:szCs w:val="22"/>
              </w:rPr>
              <w:t>0.0563</w:t>
            </w:r>
          </w:p>
        </w:tc>
      </w:tr>
      <w:tr w:rsidR="006D0F27" w:rsidRPr="00FF7EA1" w:rsidTr="005051EF">
        <w:trPr>
          <w:trHeight w:val="504"/>
          <w:jc w:val="center"/>
        </w:trPr>
        <w:tc>
          <w:tcPr>
            <w:tcW w:w="2286" w:type="dxa"/>
            <w:tcBorders>
              <w:bottom w:val="double" w:sz="4" w:space="0" w:color="auto"/>
            </w:tcBorders>
            <w:vAlign w:val="center"/>
          </w:tcPr>
          <w:p w:rsidR="006D0F27" w:rsidRPr="00FF7EA1" w:rsidRDefault="006D0F27" w:rsidP="006D0F27">
            <w:pPr>
              <w:tabs>
                <w:tab w:val="num" w:pos="0"/>
              </w:tabs>
              <w:spacing w:line="240" w:lineRule="auto"/>
              <w:rPr>
                <w:rFonts w:ascii="Times New Roman" w:hAnsi="Times New Roman"/>
                <w:lang w:bidi="ar-SA"/>
              </w:rPr>
            </w:pPr>
            <w:r>
              <w:rPr>
                <w:rFonts w:ascii="Times New Roman" w:hAnsi="Times New Roman"/>
                <w:lang w:bidi="ar-SA"/>
              </w:rPr>
              <w:t>Maximum density</w:t>
            </w:r>
          </w:p>
        </w:tc>
        <w:tc>
          <w:tcPr>
            <w:tcW w:w="1800" w:type="dxa"/>
            <w:tcBorders>
              <w:bottom w:val="double" w:sz="4" w:space="0" w:color="auto"/>
            </w:tcBorders>
            <w:vAlign w:val="center"/>
          </w:tcPr>
          <w:p w:rsidR="006D0F27" w:rsidRPr="00973D99" w:rsidRDefault="006D0F27" w:rsidP="006D0F27">
            <w:pPr>
              <w:pStyle w:val="Text"/>
              <w:ind w:firstLine="0"/>
              <w:jc w:val="left"/>
              <w:rPr>
                <w:rFonts w:asciiTheme="minorHAnsi" w:hAnsiTheme="minorHAnsi" w:cstheme="minorHAnsi"/>
                <w:sz w:val="22"/>
                <w:szCs w:val="22"/>
              </w:rPr>
            </w:pPr>
            <w:r w:rsidRPr="00973D99">
              <w:rPr>
                <w:rFonts w:asciiTheme="minorHAnsi" w:hAnsiTheme="minorHAnsi" w:cstheme="minorHAnsi"/>
                <w:sz w:val="22"/>
                <w:szCs w:val="22"/>
              </w:rPr>
              <w:t xml:space="preserve">0.6815 </w:t>
            </w:r>
            <w:r w:rsidRPr="00973D99">
              <w:rPr>
                <w:rFonts w:asciiTheme="minorHAnsi" w:hAnsiTheme="minorHAnsi" w:cstheme="minorHAnsi"/>
                <w:sz w:val="22"/>
                <w:szCs w:val="22"/>
                <w:lang w:bidi="en-US"/>
              </w:rPr>
              <w:t>±</w:t>
            </w:r>
            <w:r w:rsidRPr="00973D99">
              <w:rPr>
                <w:rFonts w:asciiTheme="minorHAnsi" w:hAnsiTheme="minorHAnsi" w:cstheme="minorHAnsi"/>
                <w:sz w:val="22"/>
                <w:szCs w:val="22"/>
              </w:rPr>
              <w:t xml:space="preserve"> 0.0555</w:t>
            </w:r>
          </w:p>
        </w:tc>
        <w:tc>
          <w:tcPr>
            <w:tcW w:w="2520" w:type="dxa"/>
            <w:tcBorders>
              <w:bottom w:val="double" w:sz="4" w:space="0" w:color="auto"/>
            </w:tcBorders>
            <w:vAlign w:val="center"/>
          </w:tcPr>
          <w:p w:rsidR="006D0F27" w:rsidRPr="00FF7EA1" w:rsidRDefault="006D0F27" w:rsidP="006D0F27">
            <w:pPr>
              <w:tabs>
                <w:tab w:val="num" w:pos="720"/>
              </w:tabs>
              <w:spacing w:line="240" w:lineRule="auto"/>
              <w:rPr>
                <w:rFonts w:ascii="Times New Roman" w:hAnsi="Times New Roman"/>
                <w:lang w:bidi="ar-SA"/>
              </w:rPr>
            </w:pPr>
            <w:r>
              <w:rPr>
                <w:rFonts w:ascii="Times New Roman" w:hAnsi="Times New Roman"/>
                <w:lang w:bidi="ar-SA"/>
              </w:rPr>
              <w:t>Entropy</w:t>
            </w:r>
          </w:p>
        </w:tc>
        <w:tc>
          <w:tcPr>
            <w:tcW w:w="1764" w:type="dxa"/>
            <w:tcBorders>
              <w:bottom w:val="double" w:sz="4" w:space="0" w:color="auto"/>
            </w:tcBorders>
            <w:vAlign w:val="center"/>
          </w:tcPr>
          <w:p w:rsidR="006D0F27" w:rsidRPr="00973D99" w:rsidRDefault="006D0F27" w:rsidP="006D0F27">
            <w:pPr>
              <w:pStyle w:val="Text"/>
              <w:ind w:firstLine="0"/>
              <w:jc w:val="left"/>
              <w:rPr>
                <w:rFonts w:asciiTheme="minorHAnsi" w:hAnsiTheme="minorHAnsi" w:cstheme="minorHAnsi"/>
                <w:sz w:val="22"/>
                <w:szCs w:val="22"/>
              </w:rPr>
            </w:pPr>
            <w:r w:rsidRPr="00973D99">
              <w:rPr>
                <w:rFonts w:asciiTheme="minorHAnsi" w:hAnsiTheme="minorHAnsi" w:cstheme="minorHAnsi"/>
                <w:sz w:val="22"/>
                <w:szCs w:val="22"/>
              </w:rPr>
              <w:t xml:space="preserve">0.6511 </w:t>
            </w:r>
            <w:r w:rsidRPr="00973D99">
              <w:rPr>
                <w:rFonts w:asciiTheme="minorHAnsi" w:hAnsiTheme="minorHAnsi" w:cstheme="minorHAnsi"/>
                <w:sz w:val="22"/>
                <w:szCs w:val="22"/>
                <w:lang w:bidi="en-US"/>
              </w:rPr>
              <w:t xml:space="preserve">± </w:t>
            </w:r>
            <w:r w:rsidRPr="00973D99">
              <w:rPr>
                <w:rFonts w:asciiTheme="minorHAnsi" w:hAnsiTheme="minorHAnsi" w:cstheme="minorHAnsi"/>
                <w:sz w:val="22"/>
                <w:szCs w:val="22"/>
              </w:rPr>
              <w:t>0.0566</w:t>
            </w:r>
          </w:p>
        </w:tc>
      </w:tr>
    </w:tbl>
    <w:p w:rsidR="00735D63" w:rsidRPr="00EF16CB" w:rsidRDefault="00EF16CB" w:rsidP="00362388">
      <w:pPr>
        <w:tabs>
          <w:tab w:val="left" w:pos="0"/>
        </w:tabs>
        <w:spacing w:before="240"/>
        <w:ind w:firstLine="720"/>
        <w:jc w:val="both"/>
      </w:pPr>
      <w:r w:rsidRPr="00EF16CB">
        <w:lastRenderedPageBreak/>
        <w:t>The</w:t>
      </w:r>
      <w:r w:rsidR="00A342A7" w:rsidRPr="00EF16CB">
        <w:t xml:space="preserve"> selected </w:t>
      </w:r>
      <w:r w:rsidR="00AE7F30" w:rsidRPr="00EF16CB">
        <w:t xml:space="preserve">optimal clusters consisting of 4 and 9 features </w:t>
      </w:r>
      <w:r w:rsidR="00D2356F" w:rsidRPr="00EF16CB">
        <w:t xml:space="preserve">from two feature sets of (1) using </w:t>
      </w:r>
      <w:r w:rsidR="00BE12FB" w:rsidRPr="00EF16CB">
        <w:t>pretreatment</w:t>
      </w:r>
      <w:r w:rsidR="00D2356F" w:rsidRPr="00EF16CB">
        <w:t xml:space="preserve"> CT images only </w:t>
      </w:r>
      <m:oMath>
        <m:d>
          <m:dPr>
            <m:ctrlPr>
              <w:rPr>
                <w:rFonts w:ascii="Cambria Math" w:hAnsi="Cambria Math"/>
                <w:i/>
              </w:rPr>
            </m:ctrlPr>
          </m:dPr>
          <m:e>
            <m:sSubSup>
              <m:sSubSupPr>
                <m:ctrlPr>
                  <w:rPr>
                    <w:rFonts w:ascii="Cambria Math" w:hAnsi="Cambria Math"/>
                    <w:i/>
                  </w:rPr>
                </m:ctrlPr>
              </m:sSubSupPr>
              <m:e>
                <m:r>
                  <w:rPr>
                    <w:rFonts w:ascii="Cambria Math" w:hAnsi="Cambria Math"/>
                  </w:rPr>
                  <m:t>F</m:t>
                </m:r>
              </m:e>
              <m:sub>
                <m:r>
                  <w:rPr>
                    <w:rFonts w:ascii="Cambria Math" w:hAnsi="Cambria Math"/>
                  </w:rPr>
                  <m:t>i</m:t>
                </m:r>
              </m:sub>
              <m:sup>
                <m:r>
                  <w:rPr>
                    <w:rFonts w:ascii="Cambria Math" w:hAnsi="Cambria Math"/>
                  </w:rPr>
                  <m:t>Pre</m:t>
                </m:r>
              </m:sup>
            </m:sSubSup>
          </m:e>
        </m:d>
        <m:r>
          <w:rPr>
            <w:rFonts w:ascii="Cambria Math" w:hAnsi="Cambria Math"/>
          </w:rPr>
          <m:t xml:space="preserve"> </m:t>
        </m:r>
      </m:oMath>
      <w:r w:rsidR="00BE12FB" w:rsidRPr="00EF16CB">
        <w:t xml:space="preserve">and (2) </w:t>
      </w:r>
      <w:r w:rsidR="00D2356F" w:rsidRPr="00EF16CB">
        <w:t xml:space="preserve">using both pre- and </w:t>
      </w:r>
      <w:r w:rsidR="00BE12FB" w:rsidRPr="00EF16CB">
        <w:t>post-treatment</w:t>
      </w:r>
      <w:r w:rsidR="00D2356F" w:rsidRPr="00EF16CB">
        <w:t xml:space="preserve"> CT images</w:t>
      </w:r>
      <m:oMath>
        <m:r>
          <w:rPr>
            <w:rFonts w:ascii="Cambria Math" w:hAnsi="Cambria Math"/>
          </w:rPr>
          <m:t xml:space="preserve"> </m:t>
        </m:r>
        <m:d>
          <m:dPr>
            <m:ctrlPr>
              <w:rPr>
                <w:rFonts w:ascii="Cambria Math" w:hAnsi="Cambria Math"/>
                <w:i/>
              </w:rPr>
            </m:ctrlPr>
          </m:dPr>
          <m:e>
            <m:r>
              <w:rPr>
                <w:rFonts w:ascii="Cambria Math" w:hAnsi="Cambria Math"/>
              </w:rPr>
              <m:t>∆</m:t>
            </m:r>
            <m:sSub>
              <m:sSubPr>
                <m:ctrlPr>
                  <w:rPr>
                    <w:rFonts w:ascii="Cambria Math" w:hAnsi="Cambria Math"/>
                    <w:i/>
                  </w:rPr>
                </m:ctrlPr>
              </m:sSubPr>
              <m:e>
                <m:r>
                  <w:rPr>
                    <w:rFonts w:ascii="Cambria Math" w:hAnsi="Cambria Math"/>
                  </w:rPr>
                  <m:t>F</m:t>
                </m:r>
              </m:e>
              <m:sub>
                <m:r>
                  <w:rPr>
                    <w:rFonts w:ascii="Cambria Math" w:hAnsi="Cambria Math"/>
                  </w:rPr>
                  <m:t>i</m:t>
                </m:r>
              </m:sub>
            </m:sSub>
          </m:e>
        </m:d>
      </m:oMath>
      <w:r w:rsidR="00754A99" w:rsidRPr="00EF16CB">
        <w:t xml:space="preserve"> respectively</w:t>
      </w:r>
      <w:r w:rsidR="00A342A7" w:rsidRPr="00EF16CB">
        <w:t xml:space="preserve">. </w:t>
      </w:r>
      <w:r w:rsidR="00F727F0" w:rsidRPr="00EF16CB">
        <w:t>These optimal clusters were evaluated using ROC</w:t>
      </w:r>
      <w:r w:rsidR="00FB3E2F" w:rsidRPr="00EF16CB">
        <w:t xml:space="preserve"> curve</w:t>
      </w:r>
      <w:r w:rsidR="00F727F0" w:rsidRPr="00EF16CB">
        <w:t>.</w:t>
      </w:r>
      <w:r w:rsidR="008664F8" w:rsidRPr="00EF16CB">
        <w:t xml:space="preserve"> </w:t>
      </w:r>
      <w:r w:rsidR="00CE3E23" w:rsidRPr="00EF16CB">
        <w:t xml:space="preserve">As </w:t>
      </w:r>
      <w:r w:rsidR="00FB3E2F" w:rsidRPr="00EF16CB">
        <w:t>indicated</w:t>
      </w:r>
      <w:r w:rsidR="00CE3E23" w:rsidRPr="00EF16CB">
        <w:t xml:space="preserve"> </w:t>
      </w:r>
      <w:r w:rsidR="00CE3E23" w:rsidRPr="00D959CF">
        <w:t>in</w:t>
      </w:r>
      <w:r w:rsidR="008F1D27" w:rsidRPr="00D959CF">
        <w:t xml:space="preserve"> </w:t>
      </w:r>
      <w:r w:rsidR="009647D4" w:rsidRPr="00D959CF">
        <w:fldChar w:fldCharType="begin"/>
      </w:r>
      <w:r w:rsidR="008F1D27" w:rsidRPr="00D959CF">
        <w:instrText xml:space="preserve"> REF _Ref467067335 \h </w:instrText>
      </w:r>
      <w:r w:rsidR="009647D4" w:rsidRPr="00D959CF">
        <w:fldChar w:fldCharType="separate"/>
      </w:r>
      <w:r w:rsidR="00D719F4" w:rsidRPr="0042606E">
        <w:t xml:space="preserve">Figure </w:t>
      </w:r>
      <w:r w:rsidR="00D719F4">
        <w:rPr>
          <w:noProof/>
        </w:rPr>
        <w:t>6</w:t>
      </w:r>
      <w:r w:rsidR="009647D4" w:rsidRPr="00D959CF">
        <w:fldChar w:fldCharType="end"/>
      </w:r>
      <w:r w:rsidR="009647D4" w:rsidRPr="00D959CF">
        <w:fldChar w:fldCharType="begin"/>
      </w:r>
      <w:r w:rsidR="008F1D27" w:rsidRPr="00D959CF">
        <w:instrText xml:space="preserve"> REF _Ref467067337 \h </w:instrText>
      </w:r>
      <w:r w:rsidR="009647D4" w:rsidRPr="00D959CF">
        <w:fldChar w:fldCharType="separate"/>
      </w:r>
      <w:r w:rsidR="00D719F4" w:rsidRPr="0042606E">
        <w:t xml:space="preserve">Figure </w:t>
      </w:r>
      <w:r w:rsidR="00D719F4">
        <w:rPr>
          <w:noProof/>
        </w:rPr>
        <w:t>7</w:t>
      </w:r>
      <w:r w:rsidR="009647D4" w:rsidRPr="00D959CF">
        <w:fldChar w:fldCharType="end"/>
      </w:r>
      <w:r w:rsidR="00CE3E23" w:rsidRPr="00D959CF">
        <w:t>, t</w:t>
      </w:r>
      <w:r w:rsidR="0033221C" w:rsidRPr="00D959CF">
        <w:t xml:space="preserve">he </w:t>
      </w:r>
      <w:r w:rsidR="0033221C" w:rsidRPr="00EF16CB">
        <w:t xml:space="preserve">AUC values of final fusion markers are </w:t>
      </w:r>
      <m:oMath>
        <m:r>
          <w:rPr>
            <w:rFonts w:ascii="Cambria Math" w:hAnsi="Cambria Math"/>
          </w:rPr>
          <m:t>0.8103 ± 0.0447</m:t>
        </m:r>
      </m:oMath>
      <w:r w:rsidR="0033221C" w:rsidRPr="00EF16CB">
        <w:t xml:space="preserve"> and </w:t>
      </w:r>
      <m:oMath>
        <m:r>
          <w:rPr>
            <w:rFonts w:ascii="Cambria Math" w:hAnsi="Cambria Math" w:cstheme="minorHAnsi"/>
          </w:rPr>
          <m:t>0.8292 ±0.0431</m:t>
        </m:r>
      </m:oMath>
      <w:r w:rsidR="00724746" w:rsidRPr="00EF16CB">
        <w:t xml:space="preserve"> for optimal feature cluster sets </w:t>
      </w:r>
      <m:oMath>
        <m:d>
          <m:dPr>
            <m:ctrlPr>
              <w:rPr>
                <w:rFonts w:ascii="Cambria Math" w:hAnsi="Cambria Math"/>
                <w:i/>
              </w:rPr>
            </m:ctrlPr>
          </m:dPr>
          <m:e>
            <m:sSubSup>
              <m:sSubSupPr>
                <m:ctrlPr>
                  <w:rPr>
                    <w:rFonts w:ascii="Cambria Math" w:hAnsi="Cambria Math"/>
                    <w:i/>
                  </w:rPr>
                </m:ctrlPr>
              </m:sSubSupPr>
              <m:e>
                <m:r>
                  <w:rPr>
                    <w:rFonts w:ascii="Cambria Math" w:hAnsi="Cambria Math"/>
                  </w:rPr>
                  <m:t>F</m:t>
                </m:r>
              </m:e>
              <m:sub>
                <m:r>
                  <w:rPr>
                    <w:rFonts w:ascii="Cambria Math" w:hAnsi="Cambria Math"/>
                  </w:rPr>
                  <m:t>i</m:t>
                </m:r>
              </m:sub>
              <m:sup>
                <m:r>
                  <w:rPr>
                    <w:rFonts w:ascii="Cambria Math" w:hAnsi="Cambria Math"/>
                  </w:rPr>
                  <m:t>Pre</m:t>
                </m:r>
              </m:sup>
            </m:sSubSup>
          </m:e>
        </m:d>
      </m:oMath>
      <w:r w:rsidR="00724746" w:rsidRPr="00EF16CB">
        <w:t xml:space="preserve"> and</w:t>
      </w:r>
      <m:oMath>
        <m:d>
          <m:dPr>
            <m:ctrlPr>
              <w:rPr>
                <w:rFonts w:ascii="Cambria Math" w:hAnsi="Cambria Math"/>
                <w:i/>
              </w:rPr>
            </m:ctrlPr>
          </m:dPr>
          <m:e>
            <m:r>
              <w:rPr>
                <w:rFonts w:ascii="Cambria Math" w:hAnsi="Cambria Math"/>
              </w:rPr>
              <m:t>∆</m:t>
            </m:r>
            <m:sSub>
              <m:sSubPr>
                <m:ctrlPr>
                  <w:rPr>
                    <w:rFonts w:ascii="Cambria Math" w:hAnsi="Cambria Math"/>
                    <w:i/>
                  </w:rPr>
                </m:ctrlPr>
              </m:sSubPr>
              <m:e>
                <m:r>
                  <w:rPr>
                    <w:rFonts w:ascii="Cambria Math" w:hAnsi="Cambria Math"/>
                  </w:rPr>
                  <m:t>F</m:t>
                </m:r>
              </m:e>
              <m:sub>
                <m:r>
                  <w:rPr>
                    <w:rFonts w:ascii="Cambria Math" w:hAnsi="Cambria Math"/>
                  </w:rPr>
                  <m:t>i</m:t>
                </m:r>
              </m:sub>
            </m:sSub>
          </m:e>
        </m:d>
      </m:oMath>
      <w:r w:rsidR="00EE52CB">
        <w:t xml:space="preserve"> </w:t>
      </w:r>
      <w:r w:rsidR="00724746" w:rsidRPr="00EF16CB">
        <w:t>respectively.</w:t>
      </w:r>
      <w:r w:rsidR="00610D13" w:rsidRPr="00EF16CB">
        <w:t xml:space="preserve"> The predicting powers of the fused markers are </w:t>
      </w:r>
      <w:r w:rsidR="00FF2334" w:rsidRPr="00EF16CB">
        <w:t>si</w:t>
      </w:r>
      <w:r w:rsidR="00610D13" w:rsidRPr="00EF16CB">
        <w:t>gnificantly higher when comparing</w:t>
      </w:r>
      <w:r w:rsidR="00FF2334" w:rsidRPr="00EF16CB">
        <w:t xml:space="preserve"> to the </w:t>
      </w:r>
      <w:r w:rsidR="00E2735F" w:rsidRPr="00EF16CB">
        <w:t xml:space="preserve">AUC values of </w:t>
      </w:r>
      <w:r w:rsidR="00932E39" w:rsidRPr="00EF16CB">
        <w:t>single</w:t>
      </w:r>
      <w:r w:rsidR="00FF2334" w:rsidRPr="00EF16CB">
        <w:t xml:space="preserve"> features</w:t>
      </w:r>
      <w:r w:rsidR="00932E39" w:rsidRPr="00EF16CB">
        <w:t xml:space="preserve"> in the initial </w:t>
      </w:r>
      <w:r w:rsidR="008C298C" w:rsidRPr="00EF16CB">
        <w:t xml:space="preserve">individual </w:t>
      </w:r>
      <w:r w:rsidR="00932E39" w:rsidRPr="00EF16CB">
        <w:t>feature sets</w:t>
      </w:r>
      <w:r w:rsidR="00FF2334" w:rsidRPr="00EF16CB">
        <w:t xml:space="preserve">. </w:t>
      </w:r>
      <w:r w:rsidR="00A724B7" w:rsidRPr="00EF16CB">
        <w:t xml:space="preserve">At </w:t>
      </w:r>
      <w:r w:rsidR="00CB4144" w:rsidRPr="00EF16CB">
        <w:t>a</w:t>
      </w:r>
      <w:r w:rsidR="00A724B7" w:rsidRPr="00EF16CB">
        <w:t xml:space="preserve"> specificity</w:t>
      </w:r>
      <w:r w:rsidR="00CB4144" w:rsidRPr="00EF16CB">
        <w:t xml:space="preserve"> of 0.6</w:t>
      </w:r>
      <w:r w:rsidR="006F07D1" w:rsidRPr="00EF16CB">
        <w:t>,</w:t>
      </w:r>
      <w:r w:rsidR="007D31B7" w:rsidRPr="00EF16CB">
        <w:t xml:space="preserve"> </w:t>
      </w:r>
      <w:r w:rsidR="00610D13" w:rsidRPr="00EF16CB">
        <w:t xml:space="preserve">the </w:t>
      </w:r>
      <w:r w:rsidR="007D31B7" w:rsidRPr="00EF16CB">
        <w:t xml:space="preserve">sensitivity values </w:t>
      </w:r>
      <w:r w:rsidR="00610D13" w:rsidRPr="00EF16CB">
        <w:t>are</w:t>
      </w:r>
      <w:r w:rsidR="007D31B7" w:rsidRPr="00EF16CB">
        <w:t xml:space="preserve"> </w:t>
      </w:r>
      <w:r w:rsidR="006F07D1" w:rsidRPr="00EF16CB">
        <w:t>0</w:t>
      </w:r>
      <w:r w:rsidR="007D31B7" w:rsidRPr="00EF16CB">
        <w:t xml:space="preserve">.8241 and </w:t>
      </w:r>
      <w:r w:rsidR="006F07D1" w:rsidRPr="00EF16CB">
        <w:t>0</w:t>
      </w:r>
      <w:r w:rsidR="007D31B7" w:rsidRPr="00EF16CB">
        <w:t xml:space="preserve">.8735 </w:t>
      </w:r>
      <w:r w:rsidR="00610D13" w:rsidRPr="00EF16CB">
        <w:t>for the final pre-treatment and the pre-post treatment fusion markers respectively.</w:t>
      </w:r>
    </w:p>
    <w:p w:rsidR="0042606E" w:rsidRDefault="00D875E1" w:rsidP="00775E42">
      <w:pPr>
        <w:keepNext/>
        <w:tabs>
          <w:tab w:val="left" w:pos="720"/>
        </w:tabs>
        <w:spacing w:line="600" w:lineRule="auto"/>
        <w:jc w:val="center"/>
      </w:pPr>
      <w:r>
        <w:rPr>
          <w:noProof/>
          <w:szCs w:val="22"/>
          <w:lang w:bidi="ar-SA"/>
        </w:rPr>
        <w:drawing>
          <wp:inline distT="0" distB="0" distL="0" distR="0">
            <wp:extent cx="4715722" cy="3717985"/>
            <wp:effectExtent l="0" t="0" r="8890" b="0"/>
            <wp:docPr id="46" name="Picture 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re ROC.jpg"/>
                    <pic:cNvPicPr/>
                  </pic:nvPicPr>
                  <pic:blipFill>
                    <a:blip r:embed="rId25" cstate="print">
                      <a:extLst>
                        <a:ext uri="{28A0092B-C50C-407E-A947-70E740481C1C}">
                          <a14:useLocalDpi xmlns:a14="http://schemas.microsoft.com/office/drawing/2010/main" val="0"/>
                        </a:ext>
                      </a:extLst>
                    </a:blip>
                    <a:stretch>
                      <a:fillRect/>
                    </a:stretch>
                  </pic:blipFill>
                  <pic:spPr>
                    <a:xfrm>
                      <a:off x="0" y="0"/>
                      <a:ext cx="4714177" cy="3716767"/>
                    </a:xfrm>
                    <a:prstGeom prst="rect">
                      <a:avLst/>
                    </a:prstGeom>
                  </pic:spPr>
                </pic:pic>
              </a:graphicData>
            </a:graphic>
          </wp:inline>
        </w:drawing>
      </w:r>
    </w:p>
    <w:p w:rsidR="00F617CC" w:rsidRPr="0042606E" w:rsidRDefault="0042606E" w:rsidP="0042606E">
      <w:pPr>
        <w:pStyle w:val="Caption"/>
        <w:jc w:val="both"/>
        <w:rPr>
          <w:b w:val="0"/>
          <w:color w:val="auto"/>
          <w:sz w:val="24"/>
          <w:szCs w:val="24"/>
        </w:rPr>
      </w:pPr>
      <w:bookmarkStart w:id="53" w:name="_Ref467067335"/>
      <w:bookmarkStart w:id="54" w:name="_Toc467168364"/>
      <w:r w:rsidRPr="0042606E">
        <w:rPr>
          <w:color w:val="auto"/>
          <w:sz w:val="24"/>
          <w:szCs w:val="24"/>
        </w:rPr>
        <w:t xml:space="preserve">Figure </w:t>
      </w:r>
      <w:r w:rsidR="009647D4" w:rsidRPr="0042606E">
        <w:rPr>
          <w:color w:val="auto"/>
          <w:sz w:val="24"/>
          <w:szCs w:val="24"/>
        </w:rPr>
        <w:fldChar w:fldCharType="begin"/>
      </w:r>
      <w:r w:rsidRPr="0042606E">
        <w:rPr>
          <w:color w:val="auto"/>
          <w:sz w:val="24"/>
          <w:szCs w:val="24"/>
        </w:rPr>
        <w:instrText xml:space="preserve"> SEQ Figure \* ARABIC </w:instrText>
      </w:r>
      <w:r w:rsidR="009647D4" w:rsidRPr="0042606E">
        <w:rPr>
          <w:color w:val="auto"/>
          <w:sz w:val="24"/>
          <w:szCs w:val="24"/>
        </w:rPr>
        <w:fldChar w:fldCharType="separate"/>
      </w:r>
      <w:r w:rsidR="00D719F4">
        <w:rPr>
          <w:noProof/>
          <w:color w:val="auto"/>
          <w:sz w:val="24"/>
          <w:szCs w:val="24"/>
        </w:rPr>
        <w:t>6</w:t>
      </w:r>
      <w:r w:rsidR="009647D4" w:rsidRPr="0042606E">
        <w:rPr>
          <w:color w:val="auto"/>
          <w:sz w:val="24"/>
          <w:szCs w:val="24"/>
        </w:rPr>
        <w:fldChar w:fldCharType="end"/>
      </w:r>
      <w:bookmarkEnd w:id="53"/>
      <w:r w:rsidRPr="0042606E">
        <w:rPr>
          <w:color w:val="auto"/>
          <w:sz w:val="24"/>
          <w:szCs w:val="24"/>
        </w:rPr>
        <w:t>:</w:t>
      </w:r>
      <w:r w:rsidRPr="0042606E">
        <w:rPr>
          <w:b w:val="0"/>
          <w:color w:val="auto"/>
          <w:sz w:val="24"/>
          <w:szCs w:val="24"/>
        </w:rPr>
        <w:t xml:space="preserve"> ROC curves of the best individual feature and the final fusion image marker for pre-treatment features</w:t>
      </w:r>
      <w:bookmarkEnd w:id="54"/>
    </w:p>
    <w:p w:rsidR="00704396" w:rsidRPr="00704396" w:rsidRDefault="00704396" w:rsidP="00704396">
      <w:pPr>
        <w:pStyle w:val="TableofFigures"/>
      </w:pPr>
    </w:p>
    <w:p w:rsidR="0042606E" w:rsidRDefault="00D875E1" w:rsidP="00775E42">
      <w:pPr>
        <w:keepNext/>
        <w:tabs>
          <w:tab w:val="left" w:pos="720"/>
        </w:tabs>
        <w:spacing w:line="600" w:lineRule="auto"/>
        <w:jc w:val="center"/>
      </w:pPr>
      <w:r>
        <w:rPr>
          <w:noProof/>
          <w:szCs w:val="22"/>
          <w:lang w:bidi="ar-SA"/>
        </w:rPr>
        <w:lastRenderedPageBreak/>
        <w:drawing>
          <wp:inline distT="0" distB="0" distL="0" distR="0">
            <wp:extent cx="4520242" cy="3561951"/>
            <wp:effectExtent l="0" t="0" r="0" b="635"/>
            <wp:docPr id="47" name="Picture 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ost ROC.jpg"/>
                    <pic:cNvPicPr/>
                  </pic:nvPicPr>
                  <pic:blipFill>
                    <a:blip r:embed="rId26" cstate="print">
                      <a:extLst>
                        <a:ext uri="{28A0092B-C50C-407E-A947-70E740481C1C}">
                          <a14:useLocalDpi xmlns:a14="http://schemas.microsoft.com/office/drawing/2010/main" val="0"/>
                        </a:ext>
                      </a:extLst>
                    </a:blip>
                    <a:stretch>
                      <a:fillRect/>
                    </a:stretch>
                  </pic:blipFill>
                  <pic:spPr>
                    <a:xfrm>
                      <a:off x="0" y="0"/>
                      <a:ext cx="4521583" cy="3563008"/>
                    </a:xfrm>
                    <a:prstGeom prst="rect">
                      <a:avLst/>
                    </a:prstGeom>
                  </pic:spPr>
                </pic:pic>
              </a:graphicData>
            </a:graphic>
          </wp:inline>
        </w:drawing>
      </w:r>
    </w:p>
    <w:p w:rsidR="00F617CC" w:rsidRDefault="0042606E" w:rsidP="0042606E">
      <w:pPr>
        <w:pStyle w:val="Caption"/>
        <w:jc w:val="both"/>
        <w:rPr>
          <w:b w:val="0"/>
          <w:color w:val="auto"/>
          <w:sz w:val="24"/>
          <w:szCs w:val="24"/>
        </w:rPr>
      </w:pPr>
      <w:bookmarkStart w:id="55" w:name="_Ref467067337"/>
      <w:bookmarkStart w:id="56" w:name="_Toc467168365"/>
      <w:r w:rsidRPr="0042606E">
        <w:rPr>
          <w:color w:val="auto"/>
          <w:sz w:val="24"/>
          <w:szCs w:val="24"/>
        </w:rPr>
        <w:t xml:space="preserve">Figure </w:t>
      </w:r>
      <w:r w:rsidR="009647D4" w:rsidRPr="0042606E">
        <w:rPr>
          <w:color w:val="auto"/>
          <w:sz w:val="24"/>
          <w:szCs w:val="24"/>
        </w:rPr>
        <w:fldChar w:fldCharType="begin"/>
      </w:r>
      <w:r w:rsidRPr="0042606E">
        <w:rPr>
          <w:color w:val="auto"/>
          <w:sz w:val="24"/>
          <w:szCs w:val="24"/>
        </w:rPr>
        <w:instrText xml:space="preserve"> SEQ Figure \* ARABIC </w:instrText>
      </w:r>
      <w:r w:rsidR="009647D4" w:rsidRPr="0042606E">
        <w:rPr>
          <w:color w:val="auto"/>
          <w:sz w:val="24"/>
          <w:szCs w:val="24"/>
        </w:rPr>
        <w:fldChar w:fldCharType="separate"/>
      </w:r>
      <w:r w:rsidR="00D719F4">
        <w:rPr>
          <w:noProof/>
          <w:color w:val="auto"/>
          <w:sz w:val="24"/>
          <w:szCs w:val="24"/>
        </w:rPr>
        <w:t>7</w:t>
      </w:r>
      <w:r w:rsidR="009647D4" w:rsidRPr="0042606E">
        <w:rPr>
          <w:color w:val="auto"/>
          <w:sz w:val="24"/>
          <w:szCs w:val="24"/>
        </w:rPr>
        <w:fldChar w:fldCharType="end"/>
      </w:r>
      <w:bookmarkEnd w:id="55"/>
      <w:r w:rsidRPr="0042606E">
        <w:rPr>
          <w:color w:val="auto"/>
          <w:sz w:val="24"/>
          <w:szCs w:val="24"/>
        </w:rPr>
        <w:t>:</w:t>
      </w:r>
      <w:r w:rsidRPr="0042606E">
        <w:rPr>
          <w:b w:val="0"/>
          <w:color w:val="auto"/>
          <w:sz w:val="24"/>
          <w:szCs w:val="24"/>
        </w:rPr>
        <w:t xml:space="preserve"> ROC curves of the best individual feature and the final fusion image marker for pre-posttreatment features</w:t>
      </w:r>
      <w:bookmarkEnd w:id="56"/>
    </w:p>
    <w:p w:rsidR="00B143D2" w:rsidRPr="00B143D2" w:rsidRDefault="00B143D2" w:rsidP="00B143D2">
      <w:pPr>
        <w:pStyle w:val="TableofFigures"/>
      </w:pPr>
    </w:p>
    <w:p w:rsidR="00F53B68" w:rsidRPr="00163927" w:rsidRDefault="009647D4" w:rsidP="005C10AF">
      <w:pPr>
        <w:spacing w:after="240"/>
        <w:ind w:firstLine="720"/>
        <w:jc w:val="both"/>
        <w:rPr>
          <w:szCs w:val="22"/>
        </w:rPr>
      </w:pPr>
      <w:r w:rsidRPr="00D959CF">
        <w:rPr>
          <w:szCs w:val="22"/>
        </w:rPr>
        <w:fldChar w:fldCharType="begin"/>
      </w:r>
      <w:r w:rsidR="003A1408" w:rsidRPr="00D959CF">
        <w:rPr>
          <w:szCs w:val="22"/>
        </w:rPr>
        <w:instrText xml:space="preserve"> REF _Ref466563977 \h </w:instrText>
      </w:r>
      <w:r w:rsidRPr="00D959CF">
        <w:rPr>
          <w:szCs w:val="22"/>
        </w:rPr>
      </w:r>
      <w:r w:rsidRPr="00D959CF">
        <w:rPr>
          <w:szCs w:val="22"/>
        </w:rPr>
        <w:fldChar w:fldCharType="separate"/>
      </w:r>
      <w:r w:rsidR="00D719F4" w:rsidRPr="00F617CC">
        <w:t xml:space="preserve">Table </w:t>
      </w:r>
      <w:r w:rsidR="00D719F4">
        <w:rPr>
          <w:noProof/>
        </w:rPr>
        <w:t>6</w:t>
      </w:r>
      <w:r w:rsidRPr="00D959CF">
        <w:rPr>
          <w:szCs w:val="22"/>
        </w:rPr>
        <w:fldChar w:fldCharType="end"/>
      </w:r>
      <w:r w:rsidR="003A1408" w:rsidRPr="00D959CF">
        <w:rPr>
          <w:szCs w:val="22"/>
        </w:rPr>
        <w:t>,</w:t>
      </w:r>
      <w:r w:rsidRPr="00D959CF">
        <w:rPr>
          <w:szCs w:val="22"/>
        </w:rPr>
        <w:fldChar w:fldCharType="begin"/>
      </w:r>
      <w:r w:rsidR="003A1408" w:rsidRPr="00D959CF">
        <w:rPr>
          <w:szCs w:val="22"/>
        </w:rPr>
        <w:instrText xml:space="preserve"> REF _Ref466910818 \h </w:instrText>
      </w:r>
      <w:r w:rsidRPr="00D959CF">
        <w:rPr>
          <w:szCs w:val="22"/>
        </w:rPr>
      </w:r>
      <w:r w:rsidRPr="00D959CF">
        <w:rPr>
          <w:szCs w:val="22"/>
        </w:rPr>
        <w:fldChar w:fldCharType="separate"/>
      </w:r>
      <w:r w:rsidR="00D719F4" w:rsidRPr="00F617CC">
        <w:t xml:space="preserve">Table </w:t>
      </w:r>
      <w:r w:rsidR="00D719F4">
        <w:rPr>
          <w:noProof/>
        </w:rPr>
        <w:t>7</w:t>
      </w:r>
      <w:r w:rsidRPr="00D959CF">
        <w:rPr>
          <w:szCs w:val="22"/>
        </w:rPr>
        <w:fldChar w:fldCharType="end"/>
      </w:r>
      <w:r w:rsidR="000D007C">
        <w:rPr>
          <w:szCs w:val="22"/>
        </w:rPr>
        <w:t>, and</w:t>
      </w:r>
      <w:r w:rsidR="003A1408" w:rsidRPr="00D959CF">
        <w:rPr>
          <w:szCs w:val="22"/>
        </w:rPr>
        <w:t xml:space="preserve"> </w:t>
      </w:r>
      <w:r w:rsidRPr="00D959CF">
        <w:rPr>
          <w:szCs w:val="22"/>
        </w:rPr>
        <w:fldChar w:fldCharType="begin"/>
      </w:r>
      <w:r w:rsidR="003A1408" w:rsidRPr="00D959CF">
        <w:rPr>
          <w:szCs w:val="22"/>
        </w:rPr>
        <w:instrText xml:space="preserve"> REF _Ref466910820 \h </w:instrText>
      </w:r>
      <w:r w:rsidRPr="00D959CF">
        <w:rPr>
          <w:szCs w:val="22"/>
        </w:rPr>
      </w:r>
      <w:r w:rsidRPr="00D959CF">
        <w:rPr>
          <w:szCs w:val="22"/>
        </w:rPr>
        <w:fldChar w:fldCharType="separate"/>
      </w:r>
      <w:r w:rsidR="00D719F4" w:rsidRPr="00F617CC">
        <w:t xml:space="preserve">Table </w:t>
      </w:r>
      <w:r w:rsidR="00D719F4">
        <w:rPr>
          <w:noProof/>
        </w:rPr>
        <w:t>8</w:t>
      </w:r>
      <w:r w:rsidRPr="00D959CF">
        <w:rPr>
          <w:szCs w:val="22"/>
        </w:rPr>
        <w:fldChar w:fldCharType="end"/>
      </w:r>
      <w:r w:rsidR="0060484C" w:rsidRPr="00D959CF">
        <w:rPr>
          <w:szCs w:val="22"/>
        </w:rPr>
        <w:t xml:space="preserve"> </w:t>
      </w:r>
      <w:r w:rsidR="00172D9C" w:rsidRPr="00D959CF">
        <w:rPr>
          <w:szCs w:val="22"/>
        </w:rPr>
        <w:t xml:space="preserve">shows </w:t>
      </w:r>
      <w:r w:rsidR="00172D9C" w:rsidRPr="00172D9C">
        <w:rPr>
          <w:szCs w:val="22"/>
        </w:rPr>
        <w:t>the confusion matrices obtained using two fusion markers and conventional RECIST criteria respectively. The pre-treatment marker predicts 46 cases as responsive cases, among which 36 cases are clinically responsive to the therapy. Similarly, this marker predicts 45 cases as non-responsive cases, and 29 of them are clinical non-responders. Thus the pre-treatment marker yields a positive predictive value (PPV) of 78.26% and a negative predictive value (NPV) of 64.44%.</w:t>
      </w:r>
      <w:r w:rsidR="00954E9D">
        <w:rPr>
          <w:szCs w:val="22"/>
        </w:rPr>
        <w:t xml:space="preserve"> </w:t>
      </w:r>
      <w:r w:rsidR="00172D9C" w:rsidRPr="00172D9C">
        <w:rPr>
          <w:szCs w:val="22"/>
        </w:rPr>
        <w:t xml:space="preserve">The overall prediction accuracy of this pre-fusion marker is achieved as 71.43%. For the pre-post treatment marker, 60 and 31 cases are predicted as responsive and non-responsive cases, among which 47 and 26 cases are clinical responders or non-responders. </w:t>
      </w:r>
      <w:r w:rsidR="00EF16CB">
        <w:rPr>
          <w:szCs w:val="22"/>
        </w:rPr>
        <w:t>Therefore</w:t>
      </w:r>
      <w:r w:rsidR="00172D9C" w:rsidRPr="00172D9C">
        <w:rPr>
          <w:szCs w:val="22"/>
        </w:rPr>
        <w:t xml:space="preserve"> the PPV and NPV are 78.33% and 83.87%, respectively. As a result, an overall prediction </w:t>
      </w:r>
      <w:r w:rsidR="00172D9C" w:rsidRPr="00172D9C">
        <w:rPr>
          <w:szCs w:val="22"/>
        </w:rPr>
        <w:lastRenderedPageBreak/>
        <w:t xml:space="preserve">accuracy of 80.22% was obtained for the pre-post fusion marker. As a </w:t>
      </w:r>
      <w:r w:rsidR="00172D9C" w:rsidRPr="00D959CF">
        <w:rPr>
          <w:szCs w:val="22"/>
        </w:rPr>
        <w:t>comparison</w:t>
      </w:r>
      <w:r w:rsidR="00954E9D" w:rsidRPr="00D959CF">
        <w:rPr>
          <w:szCs w:val="22"/>
        </w:rPr>
        <w:t>,</w:t>
      </w:r>
      <w:r w:rsidR="00172D9C" w:rsidRPr="00D959CF">
        <w:rPr>
          <w:szCs w:val="22"/>
        </w:rPr>
        <w:t xml:space="preserve"> </w:t>
      </w:r>
      <w:r w:rsidRPr="00D959CF">
        <w:rPr>
          <w:szCs w:val="22"/>
        </w:rPr>
        <w:fldChar w:fldCharType="begin"/>
      </w:r>
      <w:r w:rsidR="00B57722" w:rsidRPr="00D959CF">
        <w:rPr>
          <w:szCs w:val="22"/>
        </w:rPr>
        <w:instrText xml:space="preserve"> REF _Ref466910820 \h </w:instrText>
      </w:r>
      <w:r w:rsidRPr="00D959CF">
        <w:rPr>
          <w:szCs w:val="22"/>
        </w:rPr>
      </w:r>
      <w:r w:rsidRPr="00D959CF">
        <w:rPr>
          <w:szCs w:val="22"/>
        </w:rPr>
        <w:fldChar w:fldCharType="separate"/>
      </w:r>
      <w:r w:rsidR="00D719F4" w:rsidRPr="00F617CC">
        <w:t xml:space="preserve">Table </w:t>
      </w:r>
      <w:r w:rsidR="00D719F4">
        <w:rPr>
          <w:noProof/>
        </w:rPr>
        <w:t>8</w:t>
      </w:r>
      <w:r w:rsidRPr="00D959CF">
        <w:rPr>
          <w:szCs w:val="22"/>
        </w:rPr>
        <w:fldChar w:fldCharType="end"/>
      </w:r>
      <w:r w:rsidR="009018A9" w:rsidRPr="00D959CF">
        <w:rPr>
          <w:szCs w:val="22"/>
        </w:rPr>
        <w:t xml:space="preserve"> </w:t>
      </w:r>
      <w:r w:rsidR="00172D9C" w:rsidRPr="00D959CF">
        <w:rPr>
          <w:szCs w:val="22"/>
        </w:rPr>
        <w:t xml:space="preserve">summarizes </w:t>
      </w:r>
      <w:r w:rsidR="00172D9C" w:rsidRPr="00172D9C">
        <w:rPr>
          <w:szCs w:val="22"/>
        </w:rPr>
        <w:t>the confusion matrix of the conventional RECIST method, in which CR, PR, and SD are considered as responsive to treatment by maintaining 6-month PFS and PD as non-responsive to treatment. The overall prediction accura</w:t>
      </w:r>
      <w:r w:rsidR="00954E9D">
        <w:rPr>
          <w:szCs w:val="22"/>
        </w:rPr>
        <w:t>cy using RECIST criteria is 74%</w:t>
      </w:r>
    </w:p>
    <w:p w:rsidR="00F617CC" w:rsidRPr="00F617CC" w:rsidRDefault="00F617CC" w:rsidP="00F617CC">
      <w:pPr>
        <w:pStyle w:val="Caption"/>
        <w:keepNext/>
        <w:spacing w:after="0"/>
        <w:jc w:val="both"/>
        <w:rPr>
          <w:b w:val="0"/>
          <w:color w:val="auto"/>
          <w:sz w:val="24"/>
          <w:szCs w:val="24"/>
        </w:rPr>
      </w:pPr>
      <w:bookmarkStart w:id="57" w:name="_Ref466563977"/>
      <w:bookmarkStart w:id="58" w:name="_Toc467168349"/>
      <w:r w:rsidRPr="00F617CC">
        <w:rPr>
          <w:color w:val="auto"/>
          <w:sz w:val="24"/>
          <w:szCs w:val="24"/>
        </w:rPr>
        <w:t xml:space="preserve">Table </w:t>
      </w:r>
      <w:r w:rsidR="009647D4" w:rsidRPr="00F617CC">
        <w:rPr>
          <w:color w:val="auto"/>
          <w:sz w:val="24"/>
          <w:szCs w:val="24"/>
        </w:rPr>
        <w:fldChar w:fldCharType="begin"/>
      </w:r>
      <w:r w:rsidRPr="00F617CC">
        <w:rPr>
          <w:color w:val="auto"/>
          <w:sz w:val="24"/>
          <w:szCs w:val="24"/>
        </w:rPr>
        <w:instrText xml:space="preserve"> SEQ Table \* ARABIC </w:instrText>
      </w:r>
      <w:r w:rsidR="009647D4" w:rsidRPr="00F617CC">
        <w:rPr>
          <w:color w:val="auto"/>
          <w:sz w:val="24"/>
          <w:szCs w:val="24"/>
        </w:rPr>
        <w:fldChar w:fldCharType="separate"/>
      </w:r>
      <w:r w:rsidR="00D719F4">
        <w:rPr>
          <w:noProof/>
          <w:color w:val="auto"/>
          <w:sz w:val="24"/>
          <w:szCs w:val="24"/>
        </w:rPr>
        <w:t>6</w:t>
      </w:r>
      <w:r w:rsidR="009647D4" w:rsidRPr="00F617CC">
        <w:rPr>
          <w:color w:val="auto"/>
          <w:sz w:val="24"/>
          <w:szCs w:val="24"/>
        </w:rPr>
        <w:fldChar w:fldCharType="end"/>
      </w:r>
      <w:bookmarkEnd w:id="57"/>
      <w:r w:rsidRPr="00F617CC">
        <w:rPr>
          <w:color w:val="auto"/>
          <w:sz w:val="24"/>
          <w:szCs w:val="24"/>
        </w:rPr>
        <w:t>:</w:t>
      </w:r>
      <w:r w:rsidRPr="00F617CC">
        <w:rPr>
          <w:b w:val="0"/>
          <w:color w:val="auto"/>
          <w:sz w:val="24"/>
          <w:szCs w:val="24"/>
        </w:rPr>
        <w:t xml:space="preserve"> A confusion matrix predicting 6-month PFS when fusing features obtained from pre-treatment CT images</w:t>
      </w:r>
      <w:bookmarkEnd w:id="58"/>
    </w:p>
    <w:tbl>
      <w:tblPr>
        <w:tblStyle w:val="TableGrid1"/>
        <w:tblW w:w="5400" w:type="dxa"/>
        <w:jc w:val="center"/>
        <w:tblBorders>
          <w:top w:val="single" w:sz="12" w:space="0" w:color="auto"/>
          <w:left w:val="none" w:sz="0" w:space="0" w:color="auto"/>
          <w:right w:val="none" w:sz="0" w:space="0" w:color="auto"/>
          <w:insideV w:val="none" w:sz="0" w:space="0" w:color="auto"/>
        </w:tblBorders>
        <w:tblLayout w:type="fixed"/>
        <w:tblLook w:val="04A0" w:firstRow="1" w:lastRow="0" w:firstColumn="1" w:lastColumn="0" w:noHBand="0" w:noVBand="1"/>
      </w:tblPr>
      <w:tblGrid>
        <w:gridCol w:w="2842"/>
        <w:gridCol w:w="1279"/>
        <w:gridCol w:w="1279"/>
      </w:tblGrid>
      <w:tr w:rsidR="001D4996" w:rsidRPr="001D4996" w:rsidTr="00651362">
        <w:trPr>
          <w:trHeight w:val="609"/>
          <w:jc w:val="center"/>
        </w:trPr>
        <w:tc>
          <w:tcPr>
            <w:tcW w:w="2842" w:type="dxa"/>
            <w:tcBorders>
              <w:top w:val="single" w:sz="12" w:space="0" w:color="auto"/>
              <w:bottom w:val="single" w:sz="4" w:space="0" w:color="auto"/>
              <w:tl2br w:val="single" w:sz="4" w:space="0" w:color="auto"/>
            </w:tcBorders>
          </w:tcPr>
          <w:p w:rsidR="001D4996" w:rsidRPr="001D4996" w:rsidRDefault="001D4996" w:rsidP="001D4996">
            <w:pPr>
              <w:tabs>
                <w:tab w:val="num" w:pos="0"/>
              </w:tabs>
              <w:spacing w:after="120" w:line="240" w:lineRule="auto"/>
              <w:rPr>
                <w:rFonts w:ascii="Times New Roman" w:hAnsi="Times New Roman"/>
                <w:lang w:bidi="ar-SA"/>
              </w:rPr>
            </w:pPr>
            <w:r w:rsidRPr="001D4996">
              <w:rPr>
                <w:rFonts w:ascii="Times New Roman" w:hAnsi="Times New Roman"/>
                <w:lang w:bidi="ar-SA"/>
              </w:rPr>
              <w:t xml:space="preserve">                    6-month PFS</w:t>
            </w:r>
          </w:p>
          <w:p w:rsidR="001D4996" w:rsidRPr="001D4996" w:rsidRDefault="001D4996" w:rsidP="001D4996">
            <w:pPr>
              <w:tabs>
                <w:tab w:val="num" w:pos="0"/>
              </w:tabs>
              <w:spacing w:after="120" w:line="240" w:lineRule="auto"/>
              <w:rPr>
                <w:rFonts w:ascii="Times New Roman" w:hAnsi="Times New Roman"/>
                <w:lang w:bidi="ar-SA"/>
              </w:rPr>
            </w:pPr>
            <w:r w:rsidRPr="001D4996">
              <w:rPr>
                <w:rFonts w:ascii="Times New Roman" w:hAnsi="Times New Roman"/>
                <w:lang w:bidi="ar-SA"/>
              </w:rPr>
              <w:t xml:space="preserve">Prediction               </w:t>
            </w:r>
          </w:p>
        </w:tc>
        <w:tc>
          <w:tcPr>
            <w:tcW w:w="1279" w:type="dxa"/>
            <w:tcBorders>
              <w:top w:val="single" w:sz="12" w:space="0" w:color="auto"/>
              <w:bottom w:val="single" w:sz="4" w:space="0" w:color="auto"/>
            </w:tcBorders>
          </w:tcPr>
          <w:p w:rsidR="001D4996" w:rsidRPr="001D4996" w:rsidRDefault="001D4996" w:rsidP="001D4996">
            <w:pPr>
              <w:tabs>
                <w:tab w:val="num" w:pos="0"/>
              </w:tabs>
              <w:spacing w:after="120" w:line="240" w:lineRule="auto"/>
              <w:jc w:val="center"/>
              <w:rPr>
                <w:rFonts w:ascii="Times New Roman" w:hAnsi="Times New Roman"/>
                <w:lang w:bidi="ar-SA"/>
              </w:rPr>
            </w:pPr>
            <w:r w:rsidRPr="001D4996">
              <w:rPr>
                <w:rFonts w:ascii="Times New Roman" w:hAnsi="Times New Roman"/>
                <w:lang w:bidi="ar-SA"/>
              </w:rPr>
              <w:t>Yes</w:t>
            </w:r>
          </w:p>
        </w:tc>
        <w:tc>
          <w:tcPr>
            <w:tcW w:w="1279" w:type="dxa"/>
            <w:tcBorders>
              <w:top w:val="single" w:sz="12" w:space="0" w:color="auto"/>
              <w:bottom w:val="single" w:sz="4" w:space="0" w:color="auto"/>
            </w:tcBorders>
          </w:tcPr>
          <w:p w:rsidR="001D4996" w:rsidRPr="001D4996" w:rsidRDefault="001D4996" w:rsidP="001D4996">
            <w:pPr>
              <w:tabs>
                <w:tab w:val="num" w:pos="0"/>
              </w:tabs>
              <w:spacing w:after="120" w:line="240" w:lineRule="auto"/>
              <w:jc w:val="center"/>
              <w:rPr>
                <w:rFonts w:ascii="Times New Roman" w:hAnsi="Times New Roman"/>
                <w:lang w:bidi="ar-SA"/>
              </w:rPr>
            </w:pPr>
            <w:r w:rsidRPr="001D4996">
              <w:rPr>
                <w:rFonts w:ascii="Times New Roman" w:hAnsi="Times New Roman"/>
                <w:lang w:bidi="ar-SA"/>
              </w:rPr>
              <w:t>No</w:t>
            </w:r>
          </w:p>
        </w:tc>
      </w:tr>
      <w:tr w:rsidR="001D4996" w:rsidRPr="001D4996" w:rsidTr="00651362">
        <w:trPr>
          <w:jc w:val="center"/>
        </w:trPr>
        <w:tc>
          <w:tcPr>
            <w:tcW w:w="2842" w:type="dxa"/>
            <w:tcBorders>
              <w:top w:val="nil"/>
              <w:bottom w:val="nil"/>
            </w:tcBorders>
          </w:tcPr>
          <w:p w:rsidR="001D4996" w:rsidRPr="001D4996" w:rsidRDefault="001D4996" w:rsidP="001D4996">
            <w:pPr>
              <w:tabs>
                <w:tab w:val="num" w:pos="0"/>
              </w:tabs>
              <w:spacing w:after="120" w:line="240" w:lineRule="auto"/>
              <w:jc w:val="center"/>
              <w:rPr>
                <w:rFonts w:ascii="Times New Roman" w:hAnsi="Times New Roman"/>
                <w:lang w:bidi="ar-SA"/>
              </w:rPr>
            </w:pPr>
            <w:r w:rsidRPr="001D4996">
              <w:rPr>
                <w:rFonts w:ascii="Times New Roman" w:hAnsi="Times New Roman"/>
                <w:lang w:bidi="ar-SA"/>
              </w:rPr>
              <w:t>Yes</w:t>
            </w:r>
          </w:p>
        </w:tc>
        <w:tc>
          <w:tcPr>
            <w:tcW w:w="1279" w:type="dxa"/>
            <w:tcBorders>
              <w:top w:val="nil"/>
              <w:bottom w:val="nil"/>
            </w:tcBorders>
            <w:vAlign w:val="center"/>
          </w:tcPr>
          <w:p w:rsidR="001D4996" w:rsidRPr="001D4996" w:rsidRDefault="001D4996" w:rsidP="001D4996">
            <w:pPr>
              <w:tabs>
                <w:tab w:val="num" w:pos="0"/>
              </w:tabs>
              <w:spacing w:after="120" w:line="240" w:lineRule="auto"/>
              <w:jc w:val="center"/>
              <w:rPr>
                <w:rFonts w:ascii="Times New Roman" w:hAnsi="Times New Roman"/>
                <w:lang w:bidi="ar-SA"/>
              </w:rPr>
            </w:pPr>
            <w:r w:rsidRPr="001D4996">
              <w:rPr>
                <w:rFonts w:ascii="Times New Roman" w:hAnsi="Times New Roman"/>
                <w:lang w:bidi="ar-SA"/>
              </w:rPr>
              <w:t>36</w:t>
            </w:r>
          </w:p>
        </w:tc>
        <w:tc>
          <w:tcPr>
            <w:tcW w:w="1279" w:type="dxa"/>
            <w:tcBorders>
              <w:top w:val="nil"/>
              <w:bottom w:val="nil"/>
            </w:tcBorders>
            <w:vAlign w:val="center"/>
          </w:tcPr>
          <w:p w:rsidR="001D4996" w:rsidRPr="001D4996" w:rsidRDefault="001D4996" w:rsidP="001D4996">
            <w:pPr>
              <w:tabs>
                <w:tab w:val="num" w:pos="0"/>
              </w:tabs>
              <w:spacing w:after="120" w:line="240" w:lineRule="auto"/>
              <w:jc w:val="center"/>
              <w:rPr>
                <w:rFonts w:ascii="Times New Roman" w:hAnsi="Times New Roman"/>
                <w:lang w:bidi="ar-SA"/>
              </w:rPr>
            </w:pPr>
            <w:r w:rsidRPr="001D4996">
              <w:rPr>
                <w:rFonts w:ascii="Times New Roman" w:hAnsi="Times New Roman"/>
                <w:lang w:bidi="ar-SA"/>
              </w:rPr>
              <w:t>10</w:t>
            </w:r>
          </w:p>
        </w:tc>
      </w:tr>
      <w:tr w:rsidR="001D4996" w:rsidRPr="001D4996" w:rsidTr="00651362">
        <w:trPr>
          <w:jc w:val="center"/>
        </w:trPr>
        <w:tc>
          <w:tcPr>
            <w:tcW w:w="2842" w:type="dxa"/>
            <w:tcBorders>
              <w:top w:val="nil"/>
              <w:bottom w:val="single" w:sz="8" w:space="0" w:color="auto"/>
            </w:tcBorders>
          </w:tcPr>
          <w:p w:rsidR="001D4996" w:rsidRPr="001D4996" w:rsidRDefault="001D4996" w:rsidP="001D4996">
            <w:pPr>
              <w:tabs>
                <w:tab w:val="num" w:pos="0"/>
              </w:tabs>
              <w:spacing w:after="120" w:line="240" w:lineRule="auto"/>
              <w:jc w:val="center"/>
              <w:rPr>
                <w:rFonts w:ascii="Times New Roman" w:hAnsi="Times New Roman"/>
                <w:lang w:bidi="ar-SA"/>
              </w:rPr>
            </w:pPr>
            <w:r w:rsidRPr="001D4996">
              <w:rPr>
                <w:rFonts w:ascii="Times New Roman" w:hAnsi="Times New Roman"/>
                <w:lang w:bidi="ar-SA"/>
              </w:rPr>
              <w:t>No</w:t>
            </w:r>
          </w:p>
        </w:tc>
        <w:tc>
          <w:tcPr>
            <w:tcW w:w="1279" w:type="dxa"/>
            <w:tcBorders>
              <w:top w:val="nil"/>
              <w:bottom w:val="single" w:sz="8" w:space="0" w:color="auto"/>
            </w:tcBorders>
            <w:vAlign w:val="center"/>
          </w:tcPr>
          <w:p w:rsidR="001D4996" w:rsidRPr="001D4996" w:rsidRDefault="001D4996" w:rsidP="001D4996">
            <w:pPr>
              <w:tabs>
                <w:tab w:val="num" w:pos="0"/>
              </w:tabs>
              <w:spacing w:after="120" w:line="240" w:lineRule="auto"/>
              <w:jc w:val="center"/>
              <w:rPr>
                <w:rFonts w:ascii="Times New Roman" w:hAnsi="Times New Roman"/>
                <w:lang w:bidi="ar-SA"/>
              </w:rPr>
            </w:pPr>
            <w:r w:rsidRPr="001D4996">
              <w:rPr>
                <w:rFonts w:ascii="Times New Roman" w:hAnsi="Times New Roman"/>
                <w:lang w:bidi="ar-SA"/>
              </w:rPr>
              <w:t>16</w:t>
            </w:r>
          </w:p>
        </w:tc>
        <w:tc>
          <w:tcPr>
            <w:tcW w:w="1279" w:type="dxa"/>
            <w:tcBorders>
              <w:top w:val="nil"/>
              <w:bottom w:val="single" w:sz="8" w:space="0" w:color="auto"/>
            </w:tcBorders>
            <w:vAlign w:val="center"/>
          </w:tcPr>
          <w:p w:rsidR="001D4996" w:rsidRPr="001D4996" w:rsidRDefault="001D4996" w:rsidP="001D4996">
            <w:pPr>
              <w:tabs>
                <w:tab w:val="num" w:pos="0"/>
              </w:tabs>
              <w:spacing w:after="120" w:line="240" w:lineRule="auto"/>
              <w:jc w:val="center"/>
              <w:rPr>
                <w:rFonts w:ascii="Times New Roman" w:hAnsi="Times New Roman"/>
                <w:lang w:bidi="ar-SA"/>
              </w:rPr>
            </w:pPr>
            <w:r w:rsidRPr="001D4996">
              <w:rPr>
                <w:rFonts w:ascii="Times New Roman" w:hAnsi="Times New Roman"/>
                <w:lang w:bidi="ar-SA"/>
              </w:rPr>
              <w:t>29</w:t>
            </w:r>
          </w:p>
        </w:tc>
      </w:tr>
    </w:tbl>
    <w:p w:rsidR="006D67DF" w:rsidRDefault="006D67DF" w:rsidP="006D67DF">
      <w:bookmarkStart w:id="59" w:name="_Ref466563978"/>
    </w:p>
    <w:p w:rsidR="00F617CC" w:rsidRPr="00F617CC" w:rsidRDefault="00F617CC" w:rsidP="00F617CC">
      <w:pPr>
        <w:pStyle w:val="Caption"/>
        <w:keepNext/>
        <w:spacing w:after="0"/>
        <w:jc w:val="both"/>
        <w:rPr>
          <w:b w:val="0"/>
          <w:color w:val="auto"/>
          <w:sz w:val="24"/>
          <w:szCs w:val="24"/>
        </w:rPr>
      </w:pPr>
      <w:bookmarkStart w:id="60" w:name="_Ref466910818"/>
      <w:bookmarkStart w:id="61" w:name="_Toc467168350"/>
      <w:r w:rsidRPr="00F617CC">
        <w:rPr>
          <w:color w:val="auto"/>
          <w:sz w:val="24"/>
          <w:szCs w:val="24"/>
        </w:rPr>
        <w:t xml:space="preserve">Table </w:t>
      </w:r>
      <w:r w:rsidR="009647D4" w:rsidRPr="00F617CC">
        <w:rPr>
          <w:color w:val="auto"/>
          <w:sz w:val="24"/>
          <w:szCs w:val="24"/>
        </w:rPr>
        <w:fldChar w:fldCharType="begin"/>
      </w:r>
      <w:r w:rsidRPr="00F617CC">
        <w:rPr>
          <w:color w:val="auto"/>
          <w:sz w:val="24"/>
          <w:szCs w:val="24"/>
        </w:rPr>
        <w:instrText xml:space="preserve"> SEQ Table \* ARABIC </w:instrText>
      </w:r>
      <w:r w:rsidR="009647D4" w:rsidRPr="00F617CC">
        <w:rPr>
          <w:color w:val="auto"/>
          <w:sz w:val="24"/>
          <w:szCs w:val="24"/>
        </w:rPr>
        <w:fldChar w:fldCharType="separate"/>
      </w:r>
      <w:r w:rsidR="00D719F4">
        <w:rPr>
          <w:noProof/>
          <w:color w:val="auto"/>
          <w:sz w:val="24"/>
          <w:szCs w:val="24"/>
        </w:rPr>
        <w:t>7</w:t>
      </w:r>
      <w:r w:rsidR="009647D4" w:rsidRPr="00F617CC">
        <w:rPr>
          <w:color w:val="auto"/>
          <w:sz w:val="24"/>
          <w:szCs w:val="24"/>
        </w:rPr>
        <w:fldChar w:fldCharType="end"/>
      </w:r>
      <w:bookmarkEnd w:id="59"/>
      <w:bookmarkEnd w:id="60"/>
      <w:r w:rsidRPr="00F617CC">
        <w:rPr>
          <w:color w:val="auto"/>
          <w:sz w:val="24"/>
          <w:szCs w:val="24"/>
        </w:rPr>
        <w:t>:</w:t>
      </w:r>
      <w:r w:rsidRPr="00F617CC">
        <w:rPr>
          <w:b w:val="0"/>
          <w:color w:val="auto"/>
          <w:sz w:val="24"/>
          <w:szCs w:val="24"/>
        </w:rPr>
        <w:t xml:space="preserve"> A confusion matrix predicting 6-month PFS when fusing features obtained from both pre- and post-treatment CT images</w:t>
      </w:r>
      <w:bookmarkEnd w:id="61"/>
    </w:p>
    <w:tbl>
      <w:tblPr>
        <w:tblStyle w:val="TableGrid2"/>
        <w:tblW w:w="5400" w:type="dxa"/>
        <w:jc w:val="center"/>
        <w:tblBorders>
          <w:top w:val="single" w:sz="12" w:space="0" w:color="auto"/>
          <w:left w:val="none" w:sz="0" w:space="0" w:color="auto"/>
          <w:right w:val="none" w:sz="0" w:space="0" w:color="auto"/>
          <w:insideV w:val="none" w:sz="0" w:space="0" w:color="auto"/>
        </w:tblBorders>
        <w:tblLayout w:type="fixed"/>
        <w:tblLook w:val="04A0" w:firstRow="1" w:lastRow="0" w:firstColumn="1" w:lastColumn="0" w:noHBand="0" w:noVBand="1"/>
      </w:tblPr>
      <w:tblGrid>
        <w:gridCol w:w="2842"/>
        <w:gridCol w:w="1279"/>
        <w:gridCol w:w="1279"/>
      </w:tblGrid>
      <w:tr w:rsidR="004D2879" w:rsidRPr="004D2879" w:rsidTr="00896733">
        <w:trPr>
          <w:trHeight w:val="609"/>
          <w:jc w:val="center"/>
        </w:trPr>
        <w:tc>
          <w:tcPr>
            <w:tcW w:w="2842" w:type="dxa"/>
            <w:tcBorders>
              <w:top w:val="single" w:sz="12" w:space="0" w:color="auto"/>
              <w:bottom w:val="single" w:sz="4" w:space="0" w:color="auto"/>
              <w:tl2br w:val="single" w:sz="4" w:space="0" w:color="auto"/>
            </w:tcBorders>
          </w:tcPr>
          <w:p w:rsidR="004D2879" w:rsidRPr="004D2879" w:rsidRDefault="004D2879" w:rsidP="004D2879">
            <w:pPr>
              <w:tabs>
                <w:tab w:val="num" w:pos="0"/>
              </w:tabs>
              <w:spacing w:after="120" w:line="240" w:lineRule="auto"/>
              <w:rPr>
                <w:rFonts w:ascii="Times New Roman" w:hAnsi="Times New Roman"/>
                <w:lang w:bidi="ar-SA"/>
              </w:rPr>
            </w:pPr>
            <w:r w:rsidRPr="004D2879">
              <w:rPr>
                <w:rFonts w:ascii="Times New Roman" w:hAnsi="Times New Roman"/>
                <w:lang w:bidi="ar-SA"/>
              </w:rPr>
              <w:t xml:space="preserve">                    6-month PFS</w:t>
            </w:r>
          </w:p>
          <w:p w:rsidR="004D2879" w:rsidRPr="004D2879" w:rsidRDefault="004D2879" w:rsidP="004D2879">
            <w:pPr>
              <w:tabs>
                <w:tab w:val="num" w:pos="0"/>
              </w:tabs>
              <w:spacing w:before="120" w:after="120" w:line="240" w:lineRule="auto"/>
              <w:rPr>
                <w:rFonts w:ascii="Times New Roman" w:hAnsi="Times New Roman"/>
                <w:lang w:bidi="ar-SA"/>
              </w:rPr>
            </w:pPr>
            <w:r w:rsidRPr="004D2879">
              <w:rPr>
                <w:rFonts w:ascii="Times New Roman" w:hAnsi="Times New Roman"/>
                <w:lang w:bidi="ar-SA"/>
              </w:rPr>
              <w:t xml:space="preserve">Prediction               </w:t>
            </w:r>
          </w:p>
        </w:tc>
        <w:tc>
          <w:tcPr>
            <w:tcW w:w="1279" w:type="dxa"/>
            <w:tcBorders>
              <w:top w:val="single" w:sz="12" w:space="0" w:color="auto"/>
              <w:bottom w:val="single" w:sz="4" w:space="0" w:color="auto"/>
            </w:tcBorders>
          </w:tcPr>
          <w:p w:rsidR="004D2879" w:rsidRPr="004D2879" w:rsidRDefault="004D2879" w:rsidP="004D2879">
            <w:pPr>
              <w:tabs>
                <w:tab w:val="num" w:pos="0"/>
              </w:tabs>
              <w:spacing w:before="120" w:after="120" w:line="240" w:lineRule="auto"/>
              <w:jc w:val="center"/>
              <w:rPr>
                <w:rFonts w:ascii="Times New Roman" w:hAnsi="Times New Roman"/>
                <w:lang w:bidi="ar-SA"/>
              </w:rPr>
            </w:pPr>
            <w:r w:rsidRPr="004D2879">
              <w:rPr>
                <w:rFonts w:ascii="Times New Roman" w:hAnsi="Times New Roman"/>
                <w:lang w:bidi="ar-SA"/>
              </w:rPr>
              <w:t>Yes</w:t>
            </w:r>
          </w:p>
        </w:tc>
        <w:tc>
          <w:tcPr>
            <w:tcW w:w="1279" w:type="dxa"/>
            <w:tcBorders>
              <w:top w:val="single" w:sz="12" w:space="0" w:color="auto"/>
              <w:bottom w:val="single" w:sz="4" w:space="0" w:color="auto"/>
            </w:tcBorders>
          </w:tcPr>
          <w:p w:rsidR="004D2879" w:rsidRPr="004D2879" w:rsidRDefault="004D2879" w:rsidP="004D2879">
            <w:pPr>
              <w:tabs>
                <w:tab w:val="num" w:pos="0"/>
              </w:tabs>
              <w:spacing w:before="120" w:after="120" w:line="240" w:lineRule="auto"/>
              <w:jc w:val="center"/>
              <w:rPr>
                <w:rFonts w:ascii="Times New Roman" w:hAnsi="Times New Roman"/>
                <w:lang w:bidi="ar-SA"/>
              </w:rPr>
            </w:pPr>
            <w:r w:rsidRPr="004D2879">
              <w:rPr>
                <w:rFonts w:ascii="Times New Roman" w:hAnsi="Times New Roman"/>
                <w:lang w:bidi="ar-SA"/>
              </w:rPr>
              <w:t>No</w:t>
            </w:r>
          </w:p>
        </w:tc>
      </w:tr>
      <w:tr w:rsidR="004D2879" w:rsidRPr="004D2879" w:rsidTr="00896733">
        <w:trPr>
          <w:jc w:val="center"/>
        </w:trPr>
        <w:tc>
          <w:tcPr>
            <w:tcW w:w="2842" w:type="dxa"/>
            <w:tcBorders>
              <w:top w:val="nil"/>
              <w:bottom w:val="nil"/>
            </w:tcBorders>
          </w:tcPr>
          <w:p w:rsidR="004D2879" w:rsidRPr="004D2879" w:rsidRDefault="004D2879" w:rsidP="004D2879">
            <w:pPr>
              <w:tabs>
                <w:tab w:val="num" w:pos="0"/>
              </w:tabs>
              <w:spacing w:before="120" w:after="120" w:line="240" w:lineRule="auto"/>
              <w:jc w:val="center"/>
              <w:rPr>
                <w:rFonts w:ascii="Times New Roman" w:hAnsi="Times New Roman"/>
                <w:lang w:bidi="ar-SA"/>
              </w:rPr>
            </w:pPr>
            <w:r w:rsidRPr="004D2879">
              <w:rPr>
                <w:rFonts w:ascii="Times New Roman" w:hAnsi="Times New Roman"/>
                <w:lang w:bidi="ar-SA"/>
              </w:rPr>
              <w:t>Yes</w:t>
            </w:r>
          </w:p>
        </w:tc>
        <w:tc>
          <w:tcPr>
            <w:tcW w:w="1279" w:type="dxa"/>
            <w:tcBorders>
              <w:top w:val="single" w:sz="4" w:space="0" w:color="auto"/>
              <w:bottom w:val="nil"/>
              <w:tl2br w:val="nil"/>
            </w:tcBorders>
            <w:vAlign w:val="center"/>
          </w:tcPr>
          <w:p w:rsidR="004D2879" w:rsidRPr="004D2879" w:rsidRDefault="004D2879" w:rsidP="004D2879">
            <w:pPr>
              <w:tabs>
                <w:tab w:val="num" w:pos="0"/>
              </w:tabs>
              <w:spacing w:before="120" w:after="120" w:line="240" w:lineRule="auto"/>
              <w:jc w:val="center"/>
              <w:rPr>
                <w:rFonts w:ascii="Times New Roman" w:hAnsi="Times New Roman"/>
                <w:lang w:bidi="ar-SA"/>
              </w:rPr>
            </w:pPr>
            <w:r w:rsidRPr="004D2879">
              <w:rPr>
                <w:rFonts w:ascii="Times New Roman" w:hAnsi="Times New Roman"/>
                <w:lang w:bidi="ar-SA"/>
              </w:rPr>
              <w:t>47</w:t>
            </w:r>
          </w:p>
        </w:tc>
        <w:tc>
          <w:tcPr>
            <w:tcW w:w="1279" w:type="dxa"/>
            <w:tcBorders>
              <w:top w:val="single" w:sz="4" w:space="0" w:color="auto"/>
              <w:bottom w:val="nil"/>
              <w:tl2br w:val="nil"/>
            </w:tcBorders>
            <w:vAlign w:val="center"/>
          </w:tcPr>
          <w:p w:rsidR="004D2879" w:rsidRPr="004D2879" w:rsidRDefault="004D2879" w:rsidP="004D2879">
            <w:pPr>
              <w:tabs>
                <w:tab w:val="num" w:pos="0"/>
              </w:tabs>
              <w:spacing w:before="120" w:after="120" w:line="240" w:lineRule="auto"/>
              <w:jc w:val="center"/>
              <w:rPr>
                <w:rFonts w:ascii="Times New Roman" w:hAnsi="Times New Roman"/>
                <w:lang w:bidi="ar-SA"/>
              </w:rPr>
            </w:pPr>
            <w:r w:rsidRPr="004D2879">
              <w:rPr>
                <w:rFonts w:ascii="Times New Roman" w:hAnsi="Times New Roman"/>
                <w:lang w:bidi="ar-SA"/>
              </w:rPr>
              <w:t>13</w:t>
            </w:r>
          </w:p>
        </w:tc>
      </w:tr>
      <w:tr w:rsidR="004D2879" w:rsidRPr="004D2879" w:rsidTr="00735D63">
        <w:trPr>
          <w:jc w:val="center"/>
        </w:trPr>
        <w:tc>
          <w:tcPr>
            <w:tcW w:w="2842" w:type="dxa"/>
            <w:tcBorders>
              <w:top w:val="nil"/>
              <w:bottom w:val="single" w:sz="8" w:space="0" w:color="auto"/>
            </w:tcBorders>
          </w:tcPr>
          <w:p w:rsidR="004D2879" w:rsidRPr="004D2879" w:rsidRDefault="004D2879" w:rsidP="004D2879">
            <w:pPr>
              <w:tabs>
                <w:tab w:val="num" w:pos="0"/>
              </w:tabs>
              <w:spacing w:before="120" w:after="120" w:line="240" w:lineRule="auto"/>
              <w:jc w:val="center"/>
              <w:rPr>
                <w:rFonts w:ascii="Times New Roman" w:hAnsi="Times New Roman"/>
                <w:lang w:bidi="ar-SA"/>
              </w:rPr>
            </w:pPr>
            <w:r w:rsidRPr="004D2879">
              <w:rPr>
                <w:rFonts w:ascii="Times New Roman" w:hAnsi="Times New Roman"/>
                <w:lang w:bidi="ar-SA"/>
              </w:rPr>
              <w:t>No</w:t>
            </w:r>
          </w:p>
        </w:tc>
        <w:tc>
          <w:tcPr>
            <w:tcW w:w="1279" w:type="dxa"/>
            <w:tcBorders>
              <w:top w:val="nil"/>
              <w:bottom w:val="single" w:sz="8" w:space="0" w:color="auto"/>
            </w:tcBorders>
            <w:vAlign w:val="center"/>
          </w:tcPr>
          <w:p w:rsidR="004D2879" w:rsidRPr="004D2879" w:rsidRDefault="004D2879" w:rsidP="004D2879">
            <w:pPr>
              <w:tabs>
                <w:tab w:val="num" w:pos="0"/>
              </w:tabs>
              <w:spacing w:before="120" w:after="120" w:line="240" w:lineRule="auto"/>
              <w:jc w:val="center"/>
              <w:rPr>
                <w:rFonts w:ascii="Times New Roman" w:hAnsi="Times New Roman"/>
                <w:lang w:bidi="ar-SA"/>
              </w:rPr>
            </w:pPr>
            <w:r w:rsidRPr="004D2879">
              <w:rPr>
                <w:rFonts w:ascii="Times New Roman" w:hAnsi="Times New Roman"/>
                <w:lang w:bidi="ar-SA"/>
              </w:rPr>
              <w:t>5</w:t>
            </w:r>
          </w:p>
        </w:tc>
        <w:tc>
          <w:tcPr>
            <w:tcW w:w="1279" w:type="dxa"/>
            <w:tcBorders>
              <w:top w:val="nil"/>
              <w:bottom w:val="single" w:sz="8" w:space="0" w:color="auto"/>
            </w:tcBorders>
            <w:vAlign w:val="center"/>
          </w:tcPr>
          <w:p w:rsidR="004D2879" w:rsidRPr="004D2879" w:rsidRDefault="004D2879" w:rsidP="004D2879">
            <w:pPr>
              <w:tabs>
                <w:tab w:val="num" w:pos="0"/>
              </w:tabs>
              <w:spacing w:before="120" w:after="120" w:line="240" w:lineRule="auto"/>
              <w:jc w:val="center"/>
              <w:rPr>
                <w:rFonts w:ascii="Times New Roman" w:hAnsi="Times New Roman"/>
                <w:lang w:bidi="ar-SA"/>
              </w:rPr>
            </w:pPr>
            <w:r w:rsidRPr="004D2879">
              <w:rPr>
                <w:rFonts w:ascii="Times New Roman" w:hAnsi="Times New Roman"/>
                <w:lang w:bidi="ar-SA"/>
              </w:rPr>
              <w:t>26</w:t>
            </w:r>
          </w:p>
        </w:tc>
      </w:tr>
    </w:tbl>
    <w:p w:rsidR="006D67DF" w:rsidRDefault="006D67DF" w:rsidP="006D67DF">
      <w:bookmarkStart w:id="62" w:name="_Ref466563980"/>
    </w:p>
    <w:p w:rsidR="00F617CC" w:rsidRPr="00F617CC" w:rsidRDefault="00F617CC" w:rsidP="00F617CC">
      <w:pPr>
        <w:pStyle w:val="Caption"/>
        <w:keepNext/>
        <w:spacing w:after="0"/>
        <w:jc w:val="both"/>
        <w:rPr>
          <w:b w:val="0"/>
          <w:color w:val="auto"/>
          <w:sz w:val="24"/>
          <w:szCs w:val="24"/>
        </w:rPr>
      </w:pPr>
      <w:bookmarkStart w:id="63" w:name="_Ref466910820"/>
      <w:bookmarkStart w:id="64" w:name="_Toc467168351"/>
      <w:r w:rsidRPr="00F617CC">
        <w:rPr>
          <w:color w:val="auto"/>
          <w:sz w:val="24"/>
          <w:szCs w:val="24"/>
        </w:rPr>
        <w:t xml:space="preserve">Table </w:t>
      </w:r>
      <w:r w:rsidR="009647D4" w:rsidRPr="00F617CC">
        <w:rPr>
          <w:color w:val="auto"/>
          <w:sz w:val="24"/>
          <w:szCs w:val="24"/>
        </w:rPr>
        <w:fldChar w:fldCharType="begin"/>
      </w:r>
      <w:r w:rsidRPr="00F617CC">
        <w:rPr>
          <w:color w:val="auto"/>
          <w:sz w:val="24"/>
          <w:szCs w:val="24"/>
        </w:rPr>
        <w:instrText xml:space="preserve"> SEQ Table \* ARABIC </w:instrText>
      </w:r>
      <w:r w:rsidR="009647D4" w:rsidRPr="00F617CC">
        <w:rPr>
          <w:color w:val="auto"/>
          <w:sz w:val="24"/>
          <w:szCs w:val="24"/>
        </w:rPr>
        <w:fldChar w:fldCharType="separate"/>
      </w:r>
      <w:r w:rsidR="00D719F4">
        <w:rPr>
          <w:noProof/>
          <w:color w:val="auto"/>
          <w:sz w:val="24"/>
          <w:szCs w:val="24"/>
        </w:rPr>
        <w:t>8</w:t>
      </w:r>
      <w:r w:rsidR="009647D4" w:rsidRPr="00F617CC">
        <w:rPr>
          <w:color w:val="auto"/>
          <w:sz w:val="24"/>
          <w:szCs w:val="24"/>
        </w:rPr>
        <w:fldChar w:fldCharType="end"/>
      </w:r>
      <w:bookmarkEnd w:id="62"/>
      <w:bookmarkEnd w:id="63"/>
      <w:r w:rsidRPr="00F617CC">
        <w:rPr>
          <w:color w:val="auto"/>
          <w:sz w:val="24"/>
          <w:szCs w:val="24"/>
        </w:rPr>
        <w:t>:</w:t>
      </w:r>
      <w:r w:rsidRPr="00F617CC">
        <w:rPr>
          <w:b w:val="0"/>
          <w:color w:val="auto"/>
          <w:sz w:val="24"/>
          <w:szCs w:val="24"/>
        </w:rPr>
        <w:t xml:space="preserve"> A confusion matrix predicting 6-month PFS when using RECIST criteria</w:t>
      </w:r>
      <w:bookmarkEnd w:id="64"/>
    </w:p>
    <w:tbl>
      <w:tblPr>
        <w:tblStyle w:val="TableGrid3"/>
        <w:tblW w:w="5400" w:type="dxa"/>
        <w:jc w:val="center"/>
        <w:tblBorders>
          <w:top w:val="single" w:sz="12" w:space="0" w:color="auto"/>
          <w:left w:val="none" w:sz="0" w:space="0" w:color="auto"/>
          <w:right w:val="none" w:sz="0" w:space="0" w:color="auto"/>
          <w:insideV w:val="none" w:sz="0" w:space="0" w:color="auto"/>
        </w:tblBorders>
        <w:tblLayout w:type="fixed"/>
        <w:tblLook w:val="04A0" w:firstRow="1" w:lastRow="0" w:firstColumn="1" w:lastColumn="0" w:noHBand="0" w:noVBand="1"/>
      </w:tblPr>
      <w:tblGrid>
        <w:gridCol w:w="2842"/>
        <w:gridCol w:w="1279"/>
        <w:gridCol w:w="1279"/>
      </w:tblGrid>
      <w:tr w:rsidR="00EE1FD0" w:rsidRPr="00EE1FD0" w:rsidTr="00735D63">
        <w:trPr>
          <w:trHeight w:val="609"/>
          <w:jc w:val="center"/>
        </w:trPr>
        <w:tc>
          <w:tcPr>
            <w:tcW w:w="2842" w:type="dxa"/>
            <w:tcBorders>
              <w:top w:val="single" w:sz="12" w:space="0" w:color="auto"/>
              <w:bottom w:val="single" w:sz="4" w:space="0" w:color="auto"/>
              <w:tl2br w:val="single" w:sz="4" w:space="0" w:color="auto"/>
            </w:tcBorders>
          </w:tcPr>
          <w:p w:rsidR="00EE1FD0" w:rsidRPr="00EE1FD0" w:rsidRDefault="00EE1FD0" w:rsidP="00EE1FD0">
            <w:pPr>
              <w:tabs>
                <w:tab w:val="num" w:pos="0"/>
              </w:tabs>
              <w:spacing w:before="120" w:after="120" w:line="240" w:lineRule="auto"/>
              <w:rPr>
                <w:rFonts w:ascii="Times New Roman" w:hAnsi="Times New Roman"/>
                <w:lang w:bidi="ar-SA"/>
              </w:rPr>
            </w:pPr>
            <w:r w:rsidRPr="00EE1FD0">
              <w:rPr>
                <w:rFonts w:ascii="Times New Roman" w:hAnsi="Times New Roman"/>
                <w:lang w:bidi="ar-SA"/>
              </w:rPr>
              <w:t xml:space="preserve">                    6-month PFS</w:t>
            </w:r>
          </w:p>
          <w:p w:rsidR="00EE1FD0" w:rsidRPr="00EE1FD0" w:rsidRDefault="00EE1FD0" w:rsidP="00EE1FD0">
            <w:pPr>
              <w:tabs>
                <w:tab w:val="num" w:pos="0"/>
              </w:tabs>
              <w:spacing w:before="120" w:after="120" w:line="240" w:lineRule="auto"/>
              <w:rPr>
                <w:rFonts w:ascii="Times New Roman" w:hAnsi="Times New Roman"/>
                <w:lang w:bidi="ar-SA"/>
              </w:rPr>
            </w:pPr>
            <w:r w:rsidRPr="00EE1FD0">
              <w:rPr>
                <w:rFonts w:ascii="Times New Roman" w:hAnsi="Times New Roman"/>
                <w:lang w:bidi="ar-SA"/>
              </w:rPr>
              <w:t xml:space="preserve">Prediction               </w:t>
            </w:r>
          </w:p>
        </w:tc>
        <w:tc>
          <w:tcPr>
            <w:tcW w:w="1279" w:type="dxa"/>
            <w:tcBorders>
              <w:top w:val="single" w:sz="12" w:space="0" w:color="auto"/>
              <w:bottom w:val="single" w:sz="4" w:space="0" w:color="auto"/>
            </w:tcBorders>
          </w:tcPr>
          <w:p w:rsidR="00EE1FD0" w:rsidRPr="00EE1FD0" w:rsidRDefault="00EE1FD0" w:rsidP="00EE1FD0">
            <w:pPr>
              <w:tabs>
                <w:tab w:val="num" w:pos="0"/>
              </w:tabs>
              <w:spacing w:before="120" w:after="120" w:line="240" w:lineRule="auto"/>
              <w:jc w:val="center"/>
              <w:rPr>
                <w:rFonts w:ascii="Times New Roman" w:hAnsi="Times New Roman"/>
                <w:lang w:bidi="ar-SA"/>
              </w:rPr>
            </w:pPr>
            <w:r w:rsidRPr="00EE1FD0">
              <w:rPr>
                <w:rFonts w:ascii="Times New Roman" w:hAnsi="Times New Roman"/>
                <w:lang w:bidi="ar-SA"/>
              </w:rPr>
              <w:t>Yes</w:t>
            </w:r>
          </w:p>
        </w:tc>
        <w:tc>
          <w:tcPr>
            <w:tcW w:w="1279" w:type="dxa"/>
            <w:tcBorders>
              <w:top w:val="single" w:sz="12" w:space="0" w:color="auto"/>
              <w:bottom w:val="single" w:sz="4" w:space="0" w:color="auto"/>
            </w:tcBorders>
          </w:tcPr>
          <w:p w:rsidR="00EE1FD0" w:rsidRPr="00EE1FD0" w:rsidRDefault="00EE1FD0" w:rsidP="00EE1FD0">
            <w:pPr>
              <w:tabs>
                <w:tab w:val="num" w:pos="0"/>
              </w:tabs>
              <w:spacing w:before="120" w:after="120" w:line="240" w:lineRule="auto"/>
              <w:jc w:val="center"/>
              <w:rPr>
                <w:rFonts w:ascii="Times New Roman" w:hAnsi="Times New Roman"/>
                <w:lang w:bidi="ar-SA"/>
              </w:rPr>
            </w:pPr>
            <w:r w:rsidRPr="00EE1FD0">
              <w:rPr>
                <w:rFonts w:ascii="Times New Roman" w:hAnsi="Times New Roman"/>
                <w:lang w:bidi="ar-SA"/>
              </w:rPr>
              <w:t>No</w:t>
            </w:r>
          </w:p>
        </w:tc>
      </w:tr>
      <w:tr w:rsidR="00EE1FD0" w:rsidRPr="00EE1FD0" w:rsidTr="00735D63">
        <w:trPr>
          <w:jc w:val="center"/>
        </w:trPr>
        <w:tc>
          <w:tcPr>
            <w:tcW w:w="2842" w:type="dxa"/>
            <w:tcBorders>
              <w:top w:val="nil"/>
              <w:bottom w:val="nil"/>
            </w:tcBorders>
          </w:tcPr>
          <w:p w:rsidR="00EE1FD0" w:rsidRPr="00EE1FD0" w:rsidRDefault="00EE1FD0" w:rsidP="00EE1FD0">
            <w:pPr>
              <w:tabs>
                <w:tab w:val="num" w:pos="0"/>
              </w:tabs>
              <w:spacing w:before="120" w:after="120" w:line="240" w:lineRule="auto"/>
              <w:jc w:val="center"/>
              <w:rPr>
                <w:rFonts w:ascii="Times New Roman" w:hAnsi="Times New Roman"/>
                <w:lang w:bidi="ar-SA"/>
              </w:rPr>
            </w:pPr>
            <w:r w:rsidRPr="00EE1FD0">
              <w:rPr>
                <w:rFonts w:ascii="Times New Roman" w:hAnsi="Times New Roman"/>
                <w:lang w:bidi="ar-SA"/>
              </w:rPr>
              <w:t>Yes</w:t>
            </w:r>
          </w:p>
        </w:tc>
        <w:tc>
          <w:tcPr>
            <w:tcW w:w="1279" w:type="dxa"/>
            <w:tcBorders>
              <w:top w:val="nil"/>
              <w:bottom w:val="nil"/>
            </w:tcBorders>
            <w:vAlign w:val="center"/>
          </w:tcPr>
          <w:p w:rsidR="00EE1FD0" w:rsidRPr="00EE1FD0" w:rsidRDefault="00EE1FD0" w:rsidP="00EE1FD0">
            <w:pPr>
              <w:tabs>
                <w:tab w:val="num" w:pos="0"/>
              </w:tabs>
              <w:spacing w:before="120" w:after="120" w:line="240" w:lineRule="auto"/>
              <w:jc w:val="center"/>
              <w:rPr>
                <w:rFonts w:ascii="Times New Roman" w:hAnsi="Times New Roman"/>
                <w:lang w:bidi="ar-SA"/>
              </w:rPr>
            </w:pPr>
            <w:r w:rsidRPr="00EE1FD0">
              <w:rPr>
                <w:rFonts w:ascii="Times New Roman" w:hAnsi="Times New Roman"/>
                <w:lang w:bidi="ar-SA"/>
              </w:rPr>
              <w:t>52</w:t>
            </w:r>
          </w:p>
        </w:tc>
        <w:tc>
          <w:tcPr>
            <w:tcW w:w="1279" w:type="dxa"/>
            <w:tcBorders>
              <w:top w:val="nil"/>
              <w:bottom w:val="nil"/>
            </w:tcBorders>
            <w:vAlign w:val="center"/>
          </w:tcPr>
          <w:p w:rsidR="00EE1FD0" w:rsidRPr="00EE1FD0" w:rsidRDefault="00EE1FD0" w:rsidP="00EE1FD0">
            <w:pPr>
              <w:tabs>
                <w:tab w:val="num" w:pos="0"/>
              </w:tabs>
              <w:spacing w:before="120" w:after="120" w:line="240" w:lineRule="auto"/>
              <w:jc w:val="center"/>
              <w:rPr>
                <w:rFonts w:ascii="Times New Roman" w:hAnsi="Times New Roman"/>
                <w:lang w:bidi="ar-SA"/>
              </w:rPr>
            </w:pPr>
            <w:r w:rsidRPr="00EE1FD0">
              <w:rPr>
                <w:rFonts w:ascii="Times New Roman" w:hAnsi="Times New Roman"/>
                <w:lang w:bidi="ar-SA"/>
              </w:rPr>
              <w:t>23</w:t>
            </w:r>
          </w:p>
        </w:tc>
      </w:tr>
      <w:tr w:rsidR="00EE1FD0" w:rsidRPr="00EE1FD0" w:rsidTr="00735D63">
        <w:trPr>
          <w:jc w:val="center"/>
        </w:trPr>
        <w:tc>
          <w:tcPr>
            <w:tcW w:w="2842" w:type="dxa"/>
            <w:tcBorders>
              <w:top w:val="nil"/>
              <w:bottom w:val="single" w:sz="8" w:space="0" w:color="auto"/>
            </w:tcBorders>
          </w:tcPr>
          <w:p w:rsidR="00EE1FD0" w:rsidRPr="00EE1FD0" w:rsidRDefault="00EE1FD0" w:rsidP="00EE1FD0">
            <w:pPr>
              <w:tabs>
                <w:tab w:val="num" w:pos="0"/>
              </w:tabs>
              <w:spacing w:before="120" w:after="120" w:line="240" w:lineRule="auto"/>
              <w:jc w:val="center"/>
              <w:rPr>
                <w:rFonts w:ascii="Times New Roman" w:hAnsi="Times New Roman"/>
                <w:lang w:bidi="ar-SA"/>
              </w:rPr>
            </w:pPr>
            <w:r w:rsidRPr="00EE1FD0">
              <w:rPr>
                <w:rFonts w:ascii="Times New Roman" w:hAnsi="Times New Roman"/>
                <w:lang w:bidi="ar-SA"/>
              </w:rPr>
              <w:t>No</w:t>
            </w:r>
          </w:p>
        </w:tc>
        <w:tc>
          <w:tcPr>
            <w:tcW w:w="1279" w:type="dxa"/>
            <w:tcBorders>
              <w:top w:val="nil"/>
              <w:bottom w:val="single" w:sz="8" w:space="0" w:color="auto"/>
            </w:tcBorders>
            <w:vAlign w:val="center"/>
          </w:tcPr>
          <w:p w:rsidR="00EE1FD0" w:rsidRPr="00EE1FD0" w:rsidRDefault="00EE1FD0" w:rsidP="00EE1FD0">
            <w:pPr>
              <w:tabs>
                <w:tab w:val="num" w:pos="0"/>
              </w:tabs>
              <w:spacing w:before="120" w:after="120" w:line="240" w:lineRule="auto"/>
              <w:jc w:val="center"/>
              <w:rPr>
                <w:rFonts w:ascii="Times New Roman" w:hAnsi="Times New Roman"/>
                <w:lang w:bidi="ar-SA"/>
              </w:rPr>
            </w:pPr>
            <w:r w:rsidRPr="00EE1FD0">
              <w:rPr>
                <w:rFonts w:ascii="Times New Roman" w:hAnsi="Times New Roman"/>
                <w:lang w:bidi="ar-SA"/>
              </w:rPr>
              <w:t>0</w:t>
            </w:r>
          </w:p>
        </w:tc>
        <w:tc>
          <w:tcPr>
            <w:tcW w:w="1279" w:type="dxa"/>
            <w:tcBorders>
              <w:top w:val="nil"/>
              <w:bottom w:val="single" w:sz="8" w:space="0" w:color="auto"/>
            </w:tcBorders>
            <w:vAlign w:val="center"/>
          </w:tcPr>
          <w:p w:rsidR="00EE1FD0" w:rsidRPr="00EE1FD0" w:rsidRDefault="00EE1FD0" w:rsidP="00EE1FD0">
            <w:pPr>
              <w:tabs>
                <w:tab w:val="num" w:pos="0"/>
              </w:tabs>
              <w:spacing w:before="120" w:after="120" w:line="240" w:lineRule="auto"/>
              <w:jc w:val="center"/>
              <w:rPr>
                <w:rFonts w:ascii="Times New Roman" w:hAnsi="Times New Roman"/>
                <w:lang w:bidi="ar-SA"/>
              </w:rPr>
            </w:pPr>
            <w:r w:rsidRPr="00EE1FD0">
              <w:rPr>
                <w:rFonts w:ascii="Times New Roman" w:hAnsi="Times New Roman"/>
                <w:lang w:bidi="ar-SA"/>
              </w:rPr>
              <w:t>16</w:t>
            </w:r>
          </w:p>
        </w:tc>
      </w:tr>
    </w:tbl>
    <w:p w:rsidR="00A675AB" w:rsidRDefault="00A675AB" w:rsidP="00F66BFE"/>
    <w:p w:rsidR="006D67DF" w:rsidRDefault="006D67DF" w:rsidP="00F66BFE"/>
    <w:p w:rsidR="00704396" w:rsidRDefault="00704396" w:rsidP="00F66BFE"/>
    <w:p w:rsidR="00AC5A4A" w:rsidRDefault="00AC5A4A" w:rsidP="00F66BFE">
      <w:pPr>
        <w:rPr>
          <w:lang w:eastAsia="zh-CN"/>
        </w:rPr>
      </w:pPr>
    </w:p>
    <w:p w:rsidR="00337A98" w:rsidRDefault="00337A98" w:rsidP="00337A98">
      <w:pPr>
        <w:pStyle w:val="Heading1"/>
      </w:pPr>
      <w:bookmarkStart w:id="65" w:name="_Toc466304707"/>
      <w:bookmarkStart w:id="66" w:name="_Toc468963710"/>
      <w:r w:rsidRPr="005109FA">
        <w:lastRenderedPageBreak/>
        <w:t xml:space="preserve">Chapter </w:t>
      </w:r>
      <w:r>
        <w:t>5</w:t>
      </w:r>
      <w:r w:rsidRPr="005109FA">
        <w:t xml:space="preserve">: </w:t>
      </w:r>
      <w:r>
        <w:t>Discussion</w:t>
      </w:r>
      <w:bookmarkEnd w:id="65"/>
      <w:bookmarkEnd w:id="66"/>
    </w:p>
    <w:p w:rsidR="00337A98" w:rsidRDefault="00337A98" w:rsidP="00337A98">
      <w:pPr>
        <w:tabs>
          <w:tab w:val="left" w:pos="0"/>
        </w:tabs>
        <w:ind w:firstLine="720"/>
        <w:jc w:val="both"/>
      </w:pPr>
      <w:r>
        <w:t xml:space="preserve">CT is the most widely used imaging modality for assessing the efficacy of chemotherapy drugs in treating ovarian cancer patients. Currently, most of the clinical evaluations are based on RECIST criteria which </w:t>
      </w:r>
      <w:r w:rsidRPr="00C059FE">
        <w:rPr>
          <w:noProof/>
        </w:rPr>
        <w:t>use</w:t>
      </w:r>
      <w:r>
        <w:t xml:space="preserve"> </w:t>
      </w:r>
      <w:r w:rsidRPr="00C059FE">
        <w:rPr>
          <w:noProof/>
        </w:rPr>
        <w:t>one</w:t>
      </w:r>
      <w:r>
        <w:rPr>
          <w:noProof/>
        </w:rPr>
        <w:t>-</w:t>
      </w:r>
      <w:r w:rsidRPr="00C059FE">
        <w:rPr>
          <w:noProof/>
        </w:rPr>
        <w:t>dimensional</w:t>
      </w:r>
      <w:r>
        <w:t xml:space="preserve"> tumor diameter change to categorize patients’ response to chemotherapy. However, the previous studies have proved that diameter change cannot be sole measure for optimal assessment. For example, 1) when using </w:t>
      </w:r>
      <w:r w:rsidRPr="00C059FE">
        <w:rPr>
          <w:noProof/>
        </w:rPr>
        <w:t>bevacizumab</w:t>
      </w:r>
      <w:r>
        <w:rPr>
          <w:noProof/>
        </w:rPr>
        <w:t>-</w:t>
      </w:r>
      <w:r w:rsidRPr="00C059FE">
        <w:rPr>
          <w:noProof/>
        </w:rPr>
        <w:t>based</w:t>
      </w:r>
      <w:r>
        <w:t xml:space="preserve"> therapy in clinical trials to treat recurrent ovarian cancer, RECIST based assessment categorized 21% as responsive when there were actually 40% patients who remained 6-moth </w:t>
      </w:r>
      <w:r w:rsidRPr="00293B61">
        <w:t>PFS</w:t>
      </w:r>
      <w:r w:rsidR="00E843B3" w:rsidRPr="00293B61">
        <w:t xml:space="preserve"> </w:t>
      </w:r>
      <w:r w:rsidR="009647D4" w:rsidRPr="00293B61">
        <w:fldChar w:fldCharType="begin" w:fldLock="1"/>
      </w:r>
      <w:r w:rsidR="00E843B3" w:rsidRPr="00293B61">
        <w:instrText>ADDIN CSL_CITATION { "citationItems" : [ { "id" : "ITEM-1", "itemData" : { "DOI" : "10.1200/JCO.2007.11.5345", "ISSN" : "1527-7755", "PMID" : "18024863", "abstract" : "PURPOSE: Vascular endothelial growth factor (VEGF) seems to be a promoter of tumor progression for epithelial ovarian cancer (EOC) and primary peritoneal cancer (PPC). We conducted a phase II trial to assess the efficacy and tolerability of single-agent bevacizumab, an anti-VEGF monoclonal antibody. PATIENTS AND METHODS: Eligible patients had persistent or recurrent EOC/PPC after one to two prior cytotoxic regimens, measurable disease, and Gynecologic Oncology Group performance status of at least 2. Treatment consisted of bevacizumab 15 mg/kg intravenously every 21 days until disease progression or prohibitive toxicity. Primary end points were progression-free survival (PFS) at 6 months and clinical response. RESULTS: The study consisted of 62 eligible and assessable patients, median age 57 years, 41 (66.1%) having received two prior regimens and 26 (41.9%) considered platinum resistant. Grade 3 adverse events at least possibly related to bevacizumab were hematologic (1), GI (3), hypertension (6), thromboembolism (1), allergy (2), hepatic (1), pain (3), coagulation (1), constitutional (1), and dyspnea (1). Grade 4 adverse events included pulmonary embolus (1), vomiting and constipation (1), and proteinuria (1). Thirteen patients (21.0%) experienced clinical responses (two complete, 11 partial; median response duration, 10 months), and 25 (40.3%) survived progression free for at least 6 months. Median PFS and overall survival were 4.7 and 17 months, respectively. There was no significant association of prior platinum sensitivity, age, number of prior chemotherapeutic regimens, or performance status with the hazard of progression or death. CONCLUSION: Bevacizumab seems to be well tolerated and active in the second- and third-line treatment of patients with EOC/PPC and merits phase III investigation.", "author" : [ { "dropping-particle" : "", "family" : "Burger", "given" : "Robert a", "non-dropping-particle" : "", "parse-names" : false, "suffix" : "" }, { "dropping-particle" : "", "family" : "Sill", "given" : "Michael W", "non-dropping-particle" : "", "parse-names" : false, "suffix" : "" }, { "dropping-particle" : "", "family" : "Monk", "given" : "Bradley J", "non-dropping-particle" : "", "parse-names" : false, "suffix" : "" }, { "dropping-particle" : "", "family" : "Greer", "given" : "Benjamin E", "non-dropping-particle" : "", "parse-names" : false, "suffix" : "" }, { "dropping-particle" : "", "family" : "Sorosky", "given" : "Joel I", "non-dropping-particle" : "", "parse-names" : false, "suffix" : "" } ], "container-title" : "Journal of clinical oncology : official journal of the American Society of Clinical Oncology", "id" : "ITEM-1", "issue" : "33", "issued" : { "date-parts" : [ [ "2007" ] ] }, "page" : "5165-71", "title" : "Phase II trial of bevacizumab in persistent or recurrent epithelial ovarian cancer or primary peritoneal cancer: a Gynecologic Oncology Group Study", "type" : "article-journal", "volume" : "25" }, "uris" : [ "http://www.mendeley.com/documents/?uuid=06191129-c111-48b4-9f66-1fc4bb53581e" ] } ], "mendeley" : { "formattedCitation" : "[26]", "plainTextFormattedCitation" : "[26]", "previouslyFormattedCitation" : "[26]" }, "properties" : { "noteIndex" : 0 }, "schema" : "https://github.com/citation-style-language/schema/raw/master/csl-citation.json" }</w:instrText>
      </w:r>
      <w:r w:rsidR="009647D4" w:rsidRPr="00293B61">
        <w:fldChar w:fldCharType="separate"/>
      </w:r>
      <w:r w:rsidR="00E843B3" w:rsidRPr="00293B61">
        <w:rPr>
          <w:noProof/>
        </w:rPr>
        <w:t>[26]</w:t>
      </w:r>
      <w:r w:rsidR="009647D4" w:rsidRPr="00293B61">
        <w:fldChar w:fldCharType="end"/>
      </w:r>
      <w:r w:rsidRPr="00293B61">
        <w:t xml:space="preserve">. 2) When using immune-stimulatory agents like CTLA4 for therapy, some tumors might have an </w:t>
      </w:r>
      <w:r w:rsidRPr="00293B61">
        <w:rPr>
          <w:noProof/>
        </w:rPr>
        <w:t>initial</w:t>
      </w:r>
      <w:r w:rsidRPr="00293B61">
        <w:t xml:space="preserve"> increase in tumor size on CT images which is not permanent and can shrink at a later time</w:t>
      </w:r>
      <w:r w:rsidR="00E843B3" w:rsidRPr="00293B61">
        <w:t xml:space="preserve"> </w:t>
      </w:r>
      <w:r w:rsidR="009647D4" w:rsidRPr="00293B61">
        <w:fldChar w:fldCharType="begin" w:fldLock="1"/>
      </w:r>
      <w:r w:rsidR="00E843B3" w:rsidRPr="00293B61">
        <w:instrText>ADDIN CSL_CITATION { "citationItems" : [ { "id" : "ITEM-1", "itemData" : { "DOI" : "10.1158/1078-0432.CCR-09-1624", "ISBN" : "1078-0432 (Print)\\n1078-0432 (Linking)", "ISSN" : "10780432", "PMID" : "19934295", "abstract" : "PURPOSE: Immunotherapeutic agents produce antitumor effects by inducing cancer-specific immune responses or by modifying native immune processes. Resulting clinical response patterns extend beyond those of cytotoxic agents and can manifest after an initial increase in tumor burden or the appearance of new lesions (progressive disease). Response Evaluation Criteria in Solid Tumors or WHO criteria, designed to detect early effects of cytotoxic agents, may not provide a complete assessment of immunotherapeutic agents. Novel criteria for the evaluation of antitumor responses with immunotherapeutic agents are required. EXPERIMENTAL DESIGN: The phase II clinical trial program with ipilimumab, an antibody that blocks CTL antigen-4, represents the most comprehensive data set available to date for an immunotherapeutic agent. Novel immune therapy response criteria proposed, based on the shared experience from community workshops and several investigators, were evaluated using data from ipilimumab phase II clinical trials in patients with advanced melanoma. RESULTS: Ipilimumab monotherapy resulted in four distinct response patterns: (a) shrinkage in baseline lesions, without new lesions; (b) durable stable disease (in some patients followed by a slow, steady decline in total tumor burden); (c) response after an increase in total tumor burden; and (d) response in the presence of new lesions. All patterns were associated with favorable survival. CONCLUSION: Systematic criteria, designated immune-related response criteria, were defined in an attempt to capture additional response patterns observed with immune therapy in advanced melanoma beyond those described by Response Evaluation Criteria in Solid Tumors or WHO criteria. Further prospective evaluations of the immune-related response criteria, particularly their association with overall survival, are warranted.", "author" : [ { "dropping-particle" : "", "family" : "Wolchok", "given" : "Jedd D.", "non-dropping-particle" : "", "parse-names" : false, "suffix" : "" }, { "dropping-particle" : "", "family" : "Hoos", "given" : "Axel", "non-dropping-particle" : "", "parse-names" : false, "suffix" : "" }, { "dropping-particle" : "", "family" : "O'Day", "given" : "Steven", "non-dropping-particle" : "", "parse-names" : false, "suffix" : "" }, { "dropping-particle" : "", "family" : "Weber", "given" : "Jeffrey S.", "non-dropping-particle" : "", "parse-names" : false, "suffix" : "" }, { "dropping-particle" : "", "family" : "Hamid", "given" : "Omid", "non-dropping-particle" : "", "parse-names" : false, "suffix" : "" }, { "dropping-particle" : "", "family" : "Lebb\u00e9", "given" : "Celeste", "non-dropping-particle" : "", "parse-names" : false, "suffix" : "" }, { "dropping-particle" : "", "family" : "Maio", "given" : "Michele", "non-dropping-particle" : "", "parse-names" : false, "suffix" : "" }, { "dropping-particle" : "", "family" : "Binder", "given" : "Michael", "non-dropping-particle" : "", "parse-names" : false, "suffix" : "" }, { "dropping-particle" : "", "family" : "Bohnsack", "given" : "Oliver", "non-dropping-particle" : "", "parse-names" : false, "suffix" : "" }, { "dropping-particle" : "", "family" : "Nichol", "given" : "Geoffrey", "non-dropping-particle" : "", "parse-names" : false, "suffix" : "" }, { "dropping-particle" : "", "family" : "Humphrey", "given" : "Rachel", "non-dropping-particle" : "", "parse-names" : false, "suffix" : "" }, { "dropping-particle" : "", "family" : "Hodi", "given" : "F. Stephen", "non-dropping-particle" : "", "parse-names" : false, "suffix" : "" } ], "container-title" : "Clinical Cancer Research", "id" : "ITEM-1", "issue" : "23", "issued" : { "date-parts" : [ [ "2009" ] ] }, "page" : "7412-7420", "title" : "Guidelines for the evaluation of immune therapy activity in solid tumors: Immune-related response criteria", "type" : "article-journal", "volume" : "15" }, "uris" : [ "http://www.mendeley.com/documents/?uuid=42b07248-4710-443e-81d5-02195f00e33e" ] }, { "id" : "ITEM-2", "itemData" : { "DOI" : "10.1093/jnci/djq310", "ISBN" : "1460-2105 (Electronic)\\r0027-8874 (Linking)", "ISSN" : "14602105", "PMID" : "20826737", "abstract" : "Unlike chemotherapy, which acts directly on the tumor, cancer immunotherapies exert their effects on the immune system and demonstrate new kinetics that involve building a cellular immune response, followed by changes in tumor burden or patient survival. Thus, adequate design and evaluation of some immunotherapy clinical trials require a new development paradigm that includes reconsideration of established endpoints. Between 2004 and 2009, several initiatives facilitated by the Cancer Immunotherapy Consortium of the Cancer Research Institute and partner organizations systematically evaluated an immunotherapy-focused clinical development paradigm and created the principles for redefining trial endpoints. On this basis, a body of clinical and laboratory data was generated that supports three novel endpoint recommendations. First, cellular immune response assays generate highly variable results. Assay harmonization in multicenter trials may minimize variability and help to establish cellular immune response as a reproducible biomarker, thus allowing investigation of its relationship with clinical outcomes. Second, immunotherapy may induce novel patterns of antitumor response not captured by Response Evaluation Criteria in Solid Tumors or World Health Organization criteria. New immune-related response criteria were defined to more comprehensively capture all response patterns. Third, delayed separation of Kaplan-Meier curves in randomized immunotherapy trials can affect results. Altered statistical models describing hazard ratios as a function of time and recognizing differences before and after separation of curves may allow improved planning of phase III trials. These recommendations may improve our tools for cancer immunotherapy trials and may offer a more realistic and useful model for clinical investigation.", "author" : [ { "dropping-particle" : "", "family" : "Hoos", "given" : "Axel", "non-dropping-particle" : "", "parse-names" : false, "suffix" : "" }, { "dropping-particle" : "", "family" : "Eggermont", "given" : "Alexander M M", "non-dropping-particle" : "", "parse-names" : false, "suffix" : "" }, { "dropping-particle" : "", "family" : "Janetzki", "given" : "Sylvia", "non-dropping-particle" : "", "parse-names" : false, "suffix" : "" }, { "dropping-particle" : "", "family" : "Hodi", "given" : "F. Stephen", "non-dropping-particle" : "", "parse-names" : false, "suffix" : "" }, { "dropping-particle" : "", "family" : "Ibrahim", "given" : "Ramy", "non-dropping-particle" : "", "parse-names" : false, "suffix" : "" }, { "dropping-particle" : "", "family" : "Anderson", "given" : "Aparna", "non-dropping-particle" : "", "parse-names" : false, "suffix" : "" }, { "dropping-particle" : "", "family" : "Humphrey", "given" : "Rachel", "non-dropping-particle" : "", "parse-names" : false, "suffix" : "" }, { "dropping-particle" : "", "family" : "Blumenstein", "given" : "Brent", "non-dropping-particle" : "", "parse-names" : false, "suffix" : "" }, { "dropping-particle" : "", "family" : "Old", "given" : "Lloyd", "non-dropping-particle" : "", "parse-names" : false, "suffix" : "" }, { "dropping-particle" : "", "family" : "Wolchok", "given" : "Jedd", "non-dropping-particle" : "", "parse-names" : false, "suffix" : "" } ], "container-title" : "Journal of the National Cancer Institute", "id" : "ITEM-2", "issue" : "18", "issued" : { "date-parts" : [ [ "2010" ] ] }, "page" : "1388-1397", "title" : "Improved endpoints for cancer immunotherapy trials", "type" : "article-journal", "volume" : "102" }, "uris" : [ "http://www.mendeley.com/documents/?uuid=8659cdd1-daf9-4aa3-a4be-635587910bd3" ] } ], "mendeley" : { "formattedCitation" : "[27], [28]", "manualFormatting" : "[27-28]", "plainTextFormattedCitation" : "[27], [28]", "previouslyFormattedCitation" : "[27], [28]" }, "properties" : { "noteIndex" : 0 }, "schema" : "https://github.com/citation-style-language/schema/raw/master/csl-citation.json" }</w:instrText>
      </w:r>
      <w:r w:rsidR="009647D4" w:rsidRPr="00293B61">
        <w:fldChar w:fldCharType="separate"/>
      </w:r>
      <w:r w:rsidR="00E843B3" w:rsidRPr="00293B61">
        <w:rPr>
          <w:noProof/>
        </w:rPr>
        <w:t>[27-28]</w:t>
      </w:r>
      <w:r w:rsidR="009647D4" w:rsidRPr="00293B61">
        <w:fldChar w:fldCharType="end"/>
      </w:r>
      <w:r w:rsidRPr="00293B61">
        <w:t>. As a result, there is a need for new approaches which is not entirely based o</w:t>
      </w:r>
      <w:r>
        <w:t xml:space="preserve">n </w:t>
      </w:r>
      <w:r w:rsidRPr="00C059FE">
        <w:rPr>
          <w:noProof/>
        </w:rPr>
        <w:t>one</w:t>
      </w:r>
      <w:r>
        <w:rPr>
          <w:noProof/>
        </w:rPr>
        <w:t>-</w:t>
      </w:r>
      <w:r w:rsidRPr="00C059FE">
        <w:rPr>
          <w:noProof/>
        </w:rPr>
        <w:t>dimensional</w:t>
      </w:r>
      <w:r>
        <w:t xml:space="preserve"> size. </w:t>
      </w:r>
    </w:p>
    <w:p w:rsidR="00337A98" w:rsidRDefault="00337A98" w:rsidP="00337A98">
      <w:pPr>
        <w:tabs>
          <w:tab w:val="left" w:pos="0"/>
        </w:tabs>
        <w:ind w:firstLine="720"/>
        <w:jc w:val="both"/>
        <w:rPr>
          <w:rFonts w:ascii="Times New Roman" w:hAnsi="Times New Roman"/>
        </w:rPr>
      </w:pPr>
      <w:r>
        <w:t xml:space="preserve">In this study, we developed a CAD model which computes a number of 159 quantitative image features to estimate the tumor shape, size, density and texture characteristics. Two sets of the quantitative features, pre-treatment and pre-post treatment features, were computed by our new CAD scheme to predict the response of ovarian cancer patients to chemotherapy. </w:t>
      </w:r>
      <w:r w:rsidRPr="005B2549">
        <w:t xml:space="preserve">The results indicate that the </w:t>
      </w:r>
      <w:r w:rsidR="00176C79" w:rsidRPr="005B2549">
        <w:t>pre-and</w:t>
      </w:r>
      <w:r w:rsidRPr="005B2549">
        <w:t xml:space="preserve"> pre-post treatment features are able to yield AUC values of 0.8103 ± 0.0447 and 0.8292 ± 0.0431 respectively, which is significantly higher than the</w:t>
      </w:r>
      <w:r>
        <w:t xml:space="preserve"> results accomplished by the conventional RECIST method. The performance superiority can be attributed by two main advantages of our new method.</w:t>
      </w:r>
      <w:r>
        <w:rPr>
          <w:rFonts w:ascii="Times New Roman" w:hAnsi="Times New Roman"/>
        </w:rPr>
        <w:t xml:space="preserve"> </w:t>
      </w:r>
    </w:p>
    <w:p w:rsidR="00337A98" w:rsidRDefault="00337A98" w:rsidP="00337A98">
      <w:pPr>
        <w:tabs>
          <w:tab w:val="left" w:pos="0"/>
        </w:tabs>
        <w:ind w:firstLine="720"/>
        <w:jc w:val="both"/>
      </w:pPr>
      <w:r>
        <w:rPr>
          <w:rFonts w:ascii="Times New Roman" w:hAnsi="Times New Roman"/>
        </w:rPr>
        <w:lastRenderedPageBreak/>
        <w:t xml:space="preserve">First, this study indicates that </w:t>
      </w:r>
      <w:r w:rsidRPr="004C6B88">
        <w:rPr>
          <w:rFonts w:ascii="Times New Roman" w:hAnsi="Times New Roman"/>
        </w:rPr>
        <w:t>pre</w:t>
      </w:r>
      <w:r>
        <w:rPr>
          <w:rFonts w:ascii="Times New Roman" w:hAnsi="Times New Roman"/>
        </w:rPr>
        <w:t>-therapy CT imaging</w:t>
      </w:r>
      <w:r w:rsidRPr="004C6B88">
        <w:rPr>
          <w:rFonts w:ascii="Times New Roman" w:hAnsi="Times New Roman"/>
        </w:rPr>
        <w:t xml:space="preserve"> data</w:t>
      </w:r>
      <w:r>
        <w:rPr>
          <w:rFonts w:ascii="Times New Roman" w:hAnsi="Times New Roman"/>
        </w:rPr>
        <w:t xml:space="preserve"> </w:t>
      </w:r>
      <w:r w:rsidRPr="004C6B88">
        <w:rPr>
          <w:rFonts w:ascii="Times New Roman" w:hAnsi="Times New Roman"/>
        </w:rPr>
        <w:t>include</w:t>
      </w:r>
      <w:r>
        <w:rPr>
          <w:rFonts w:ascii="Times New Roman" w:hAnsi="Times New Roman"/>
        </w:rPr>
        <w:t>s</w:t>
      </w:r>
      <w:r w:rsidRPr="004C6B88">
        <w:rPr>
          <w:rFonts w:ascii="Times New Roman" w:hAnsi="Times New Roman"/>
        </w:rPr>
        <w:t xml:space="preserve"> useful information for the </w:t>
      </w:r>
      <w:r>
        <w:rPr>
          <w:rFonts w:ascii="Times New Roman" w:hAnsi="Times New Roman"/>
        </w:rPr>
        <w:t xml:space="preserve">therapy response prediction. The study supports the concept of emerging Radiomics, which hypothesizes that the tumor heterogeneity features detected and quantified from radiographic images (e.g., CT) enable to phenotype corresponding genomic or biological biomarkers to predict cancer prognosis or tumor response to the therapies </w:t>
      </w:r>
      <w:r w:rsidR="009647D4" w:rsidRPr="00337A98">
        <w:rPr>
          <w:rFonts w:ascii="Times New Roman" w:hAnsi="Times New Roman"/>
        </w:rPr>
        <w:fldChar w:fldCharType="begin" w:fldLock="1"/>
      </w:r>
      <w:r w:rsidR="00522E94">
        <w:rPr>
          <w:rFonts w:ascii="Times New Roman" w:hAnsi="Times New Roman"/>
        </w:rPr>
        <w:instrText>ADDIN CSL_CITATION { "citationItems" : [ { "id" : "ITEM-1", "itemData" : { "DOI" : "10.1038/ncomms5006", "ISBN" : "2041-1723 (Electronic)\\r2041-1723 (Linking)", "ISSN" : "2041-1723", "PMID" : "24892406", "abstract" : "Human cancers exhibit strong phenotypic differences that can be visualized noninvasively by medical imaging. Radiomics refers to the comprehensive quantification of tumour phenotypes by applying a large number of quantitative image features. Here we present a radiomic analysis of 440 features quantifying tumour image intensity, shape and texture, which are extracted from computed tomography data of 1,019 patients with lung or head-and-neck cancer. We find that a large number of radiomic features have prognostic power in independent data sets of lung and head-and-neck cancer patients, many of which were not identified as significant before. Radiogenomics analysis reveals that a prognostic radiomic signature, capturing intratumour heterogeneity, is associated with underlying gene-expression patterns. These data suggest that radiomics identifies a general prognostic phenotype existing in both lung and head-and-neck cancer. This may have a clinical impact as imaging is routinely used in clinical practice, providing an unprecedented opportunity to improve decision-support in cancer treatment at low cost.", "author" : [ { "dropping-particle" : "", "family" : "Aerts", "given" : "H J", "non-dropping-particle" : "", "parse-names" : false, "suffix" : "" }, { "dropping-particle" : "", "family" : "Velazquez", "given" : "E R", "non-dropping-particle" : "", "parse-names" : false, "suffix" : "" }, { "dropping-particle" : "", "family" : "Leijenaar", "given" : "R T", "non-dropping-particle" : "", "parse-names" : false, "suffix" : "" }, { "dropping-particle" : "", "family" : "Parmar", "given" : "C", "non-dropping-particle" : "", "parse-names" : false, "suffix" : "" }, { "dropping-particle" : "", "family" : "Grossmann", "given" : "P", "non-dropping-particle" : "", "parse-names" : false, "suffix" : "" }, { "dropping-particle" : "", "family" : "Carvalho", "given" : "S", "non-dropping-particle" : "", "parse-names" : false, "suffix" : "" }, { "dropping-particle" : "", "family" : "Bussink", "given" : "J", "non-dropping-particle" : "", "parse-names" : false, "suffix" : "" }, { "dropping-particle" : "", "family" : "Monshouwer", "given" : "R", "non-dropping-particle" : "", "parse-names" : false, "suffix" : "" }, { "dropping-particle" : "", "family" : "Haibe-Kains", "given" : "B", "non-dropping-particle" : "", "parse-names" : false, "suffix" : "" }, { "dropping-particle" : "", "family" : "Rietveld", "given" : "D", "non-dropping-particle" : "", "parse-names" : false, "suffix" : "" }, { "dropping-particle" : "", "family" : "Hoebers", "given" : "F", "non-dropping-particle" : "", "parse-names" : false, "suffix" : "" }, { "dropping-particle" : "", "family" : "Rietbergen", "given" : "M M", "non-dropping-particle" : "", "parse-names" : false, "suffix" : "" }, { "dropping-particle" : "", "family" : "Leemans", "given" : "C R", "non-dropping-particle" : "", "parse-names" : false, "suffix" : "" }, { "dropping-particle" : "", "family" : "Dekker", "given" : "A", "non-dropping-particle" : "", "parse-names" : false, "suffix" : "" }, { "dropping-particle" : "", "family" : "Quackenbush", "given" : "J", "non-dropping-particle" : "", "parse-names" : false, "suffix" : "" }, { "dropping-particle" : "", "family" : "Gillies", "given" : "R J", "non-dropping-particle" : "", "parse-names" : false, "suffix" : "" }, { "dropping-particle" : "", "family" : "Lambin", "given" : "P", "non-dropping-particle" : "", "parse-names" : false, "suffix" : "" } ], "container-title" : "Nat Commun", "id" : "ITEM-1", "issued" : { "date-parts" : [ [ "2014" ] ] }, "page" : "4006", "title" : "Decoding tumour phenotype by noninvasive imaging using a quantitative radiomics approach", "type" : "article-journal", "volume" : "5" }, "uris" : [ "http://www.mendeley.com/documents/?uuid=b69f70c4-94c1-4225-874b-d8471652d846" ] } ], "mendeley" : { "formattedCitation" : "[18]", "plainTextFormattedCitation" : "[18]", "previouslyFormattedCitation" : "[18]" }, "properties" : { "noteIndex" : 0 }, "schema" : "https://github.com/citation-style-language/schema/raw/master/csl-citation.json" }</w:instrText>
      </w:r>
      <w:r w:rsidR="009647D4" w:rsidRPr="00337A98">
        <w:rPr>
          <w:rFonts w:ascii="Times New Roman" w:hAnsi="Times New Roman"/>
        </w:rPr>
        <w:fldChar w:fldCharType="separate"/>
      </w:r>
      <w:r w:rsidRPr="00337A98">
        <w:rPr>
          <w:rFonts w:ascii="Times New Roman" w:hAnsi="Times New Roman"/>
          <w:noProof/>
        </w:rPr>
        <w:t>[18]</w:t>
      </w:r>
      <w:r w:rsidR="009647D4" w:rsidRPr="00337A98">
        <w:rPr>
          <w:rFonts w:ascii="Times New Roman" w:hAnsi="Times New Roman"/>
        </w:rPr>
        <w:fldChar w:fldCharType="end"/>
      </w:r>
      <w:r w:rsidRPr="00337A98">
        <w:rPr>
          <w:rFonts w:ascii="Times New Roman" w:hAnsi="Times New Roman" w:hint="eastAsia"/>
        </w:rPr>
        <w:t>.</w:t>
      </w:r>
      <w:r w:rsidRPr="00337A98">
        <w:rPr>
          <w:rFonts w:ascii="Times New Roman" w:hAnsi="Times New Roman"/>
        </w:rPr>
        <w:t xml:space="preserve"> </w:t>
      </w:r>
      <w:r>
        <w:rPr>
          <w:rFonts w:ascii="Times New Roman" w:hAnsi="Times New Roman"/>
        </w:rPr>
        <w:t xml:space="preserve">In this study, we found that a number of tumor density and texture heterogeneity related image features, had significantly higher discriminatory </w:t>
      </w:r>
      <w:r>
        <w:rPr>
          <w:rFonts w:ascii="Times New Roman" w:hAnsi="Times New Roman" w:hint="eastAsia"/>
        </w:rPr>
        <w:t>or prediction power than random guess (AUC = 0</w:t>
      </w:r>
      <w:r w:rsidRPr="00337A98">
        <w:rPr>
          <w:rFonts w:ascii="Times New Roman" w:hAnsi="Times New Roman" w:hint="eastAsia"/>
        </w:rPr>
        <w:t>.</w:t>
      </w:r>
      <w:r w:rsidR="00EF16CB">
        <w:rPr>
          <w:rFonts w:ascii="Times New Roman" w:hAnsi="Times New Roman"/>
        </w:rPr>
        <w:t xml:space="preserve">5). As </w:t>
      </w:r>
      <w:r w:rsidR="00EF16CB" w:rsidRPr="00D959CF">
        <w:rPr>
          <w:rFonts w:ascii="Times New Roman" w:hAnsi="Times New Roman"/>
        </w:rPr>
        <w:t>indicated</w:t>
      </w:r>
      <w:r w:rsidRPr="00D959CF">
        <w:rPr>
          <w:rFonts w:ascii="Times New Roman" w:hAnsi="Times New Roman"/>
        </w:rPr>
        <w:t xml:space="preserve"> in</w:t>
      </w:r>
      <w:r w:rsidR="00735059">
        <w:rPr>
          <w:rFonts w:ascii="Times New Roman" w:hAnsi="Times New Roman"/>
        </w:rPr>
        <w:t xml:space="preserve"> Table 4</w:t>
      </w:r>
      <w:r w:rsidRPr="00D959CF">
        <w:rPr>
          <w:rFonts w:ascii="Times New Roman" w:hAnsi="Times New Roman"/>
        </w:rPr>
        <w:t xml:space="preserve">, the highest AUC </w:t>
      </w:r>
      <w:r w:rsidRPr="00D959CF">
        <w:rPr>
          <w:rFonts w:ascii="Times New Roman" w:hAnsi="Times New Roman" w:hint="eastAsia"/>
        </w:rPr>
        <w:t>valu</w:t>
      </w:r>
      <w:r w:rsidRPr="00D959CF">
        <w:rPr>
          <w:rFonts w:ascii="Times New Roman" w:hAnsi="Times New Roman"/>
        </w:rPr>
        <w:t xml:space="preserve">e of 0.6842 ± 0.0557 was achieved using one image feature computed </w:t>
      </w:r>
      <w:r>
        <w:rPr>
          <w:rFonts w:ascii="Times New Roman" w:hAnsi="Times New Roman"/>
        </w:rPr>
        <w:t>from the pre-therapy CT images. Furthermore, by fusing a cluster of four selected optimal features using a simple equal-weighting method, the prediction performance significantly increased to 0.8103±</w:t>
      </w:r>
      <w:r w:rsidRPr="00337A98">
        <w:rPr>
          <w:rFonts w:ascii="Times New Roman" w:hAnsi="Times New Roman"/>
        </w:rPr>
        <w:t>0.0447</w:t>
      </w:r>
      <w:r w:rsidRPr="00337A98">
        <w:rPr>
          <w:rFonts w:ascii="Times New Roman" w:hAnsi="Times New Roman"/>
          <w:color w:val="FF0000"/>
        </w:rPr>
        <w:t xml:space="preserve"> </w:t>
      </w:r>
      <w:r>
        <w:rPr>
          <w:rFonts w:ascii="Times New Roman" w:hAnsi="Times New Roman"/>
        </w:rPr>
        <w:t>(</w:t>
      </w:r>
      <w:r>
        <w:rPr>
          <w:rFonts w:ascii="Times New Roman" w:hAnsi="Times New Roman"/>
          <w:i/>
        </w:rPr>
        <w:t xml:space="preserve">p &lt; </w:t>
      </w:r>
      <w:r>
        <w:rPr>
          <w:rFonts w:ascii="Times New Roman" w:hAnsi="Times New Roman"/>
        </w:rPr>
        <w:t>0.05). After applying an operation threshold, this fusion image marker achieved an overall prediction accuracy of 71%. In addition, this is a totally different approach of using RECIST in current clinical practice, which requires comparison of tumor size change in two sets of CT images acquired pre- and post-therapy. Thus, one potential advantage of using quantitative image feature analysis is enabling to predict or assess cancer prognosis or PFS before therapy. If successful, this will help clinicians (e.g., oncologists) select optimal or personized cancer treatment strategy for the individual patients to achieve the maximum therapy benefit while minimizing unnecessary toxicity.</w:t>
      </w:r>
    </w:p>
    <w:p w:rsidR="00E3209C" w:rsidRDefault="00E3209C" w:rsidP="00C775C8">
      <w:pPr>
        <w:ind w:firstLine="720"/>
        <w:jc w:val="both"/>
      </w:pPr>
      <w:r w:rsidRPr="005269ED">
        <w:t xml:space="preserve">Second, our study also showed that although using pre-therapy CT images can help predict patients’ response to therapy, adding quantitative images features computed from post-therapy CT images could provide more discriminatory information. As a result, </w:t>
      </w:r>
      <w:r w:rsidRPr="005269ED">
        <w:lastRenderedPageBreak/>
        <w:t>many individual image features computed from pre- and post-therapy CT images yielded significantly higher prediction performance than using the image features computed from pre-therapy CT images only. In addition, comparing to using RECIST which yielded 74% prediction accuracy in this study, the overall prediction accuracy of using quantitative imaging marker increased to 80%. The higher performance is probably due to the fact that quantitative image feature analysis method is able to extract more useful information of tumor characteristic change from the CT images (i.e., tumor volume, density, boundary spiculation). RECIST, however, only assesses one dimension tumor size cha</w:t>
      </w:r>
      <w:r w:rsidR="002228B8">
        <w:t xml:space="preserve">nge from two sets of CT images. </w:t>
      </w:r>
      <w:r w:rsidRPr="005269ED">
        <w:t>As shown in</w:t>
      </w:r>
      <w:r w:rsidR="003329C2">
        <w:t xml:space="preserve"> Table 5</w:t>
      </w:r>
      <w:r w:rsidRPr="005269ED">
        <w:t xml:space="preserve">, besides tumor volume change, other 19 selected features with higher discriminatory power cover more tumor characteristics related to tumor shape (compactness-1) and density heterogeneity changes. This can be attributed by the fact that the chemotherapy treatment will not only lead to the change of the tumor size, but also result in the change of some other tumor characteristics, such as the tumor density, necrosis, stiffness and other heterogeneity patterns. Many of these characteristic changes will not be reflected on the tumor size measurement, but can be extracted by quantitative image feature analysis. Because of these facts, quantitative image feature analysis is a new promising approach to more accurately predict patients’ response to therapies. </w:t>
      </w:r>
    </w:p>
    <w:p w:rsidR="00337A98" w:rsidRDefault="00337A98" w:rsidP="00337A98">
      <w:pPr>
        <w:ind w:firstLine="720"/>
        <w:jc w:val="both"/>
        <w:rPr>
          <w:rFonts w:ascii="Times New Roman" w:hAnsi="Times New Roman"/>
        </w:rPr>
      </w:pPr>
      <w:r>
        <w:t xml:space="preserve">Even though the results are encouraging, this study has some limitations. </w:t>
      </w:r>
      <w:r>
        <w:rPr>
          <w:rFonts w:ascii="Times New Roman" w:hAnsi="Times New Roman"/>
        </w:rPr>
        <w:t xml:space="preserve">First, we noticed that although adding the post-therapy CT image data can significantly improve the predicting performance on the single feature </w:t>
      </w:r>
      <w:r w:rsidRPr="004428A1">
        <w:rPr>
          <w:rFonts w:ascii="Times New Roman" w:hAnsi="Times New Roman"/>
        </w:rPr>
        <w:t>(e.g., 0.7705</w:t>
      </w:r>
      <w:r w:rsidR="004428A1">
        <w:rPr>
          <w:rFonts w:ascii="Times New Roman" w:hAnsi="Times New Roman"/>
        </w:rPr>
        <w:t xml:space="preserve"> </w:t>
      </w:r>
      <w:r w:rsidRPr="004428A1">
        <w:rPr>
          <w:rFonts w:ascii="Times New Roman" w:hAnsi="Times New Roman"/>
        </w:rPr>
        <w:t>±</w:t>
      </w:r>
      <w:r w:rsidR="004428A1">
        <w:rPr>
          <w:rFonts w:ascii="Times New Roman" w:hAnsi="Times New Roman"/>
        </w:rPr>
        <w:t xml:space="preserve"> </w:t>
      </w:r>
      <w:r w:rsidRPr="004428A1">
        <w:rPr>
          <w:rFonts w:ascii="Times New Roman" w:hAnsi="Times New Roman"/>
        </w:rPr>
        <w:t>0.0495 vs 0.6842</w:t>
      </w:r>
      <w:r w:rsidR="004428A1">
        <w:rPr>
          <w:rFonts w:ascii="Times New Roman" w:hAnsi="Times New Roman"/>
        </w:rPr>
        <w:t xml:space="preserve"> </w:t>
      </w:r>
      <w:r w:rsidRPr="004428A1">
        <w:rPr>
          <w:rFonts w:ascii="Times New Roman" w:hAnsi="Times New Roman"/>
        </w:rPr>
        <w:t>±</w:t>
      </w:r>
      <w:r w:rsidR="004428A1">
        <w:rPr>
          <w:rFonts w:ascii="Times New Roman" w:hAnsi="Times New Roman"/>
        </w:rPr>
        <w:t xml:space="preserve"> </w:t>
      </w:r>
      <w:r w:rsidRPr="004428A1">
        <w:rPr>
          <w:rFonts w:ascii="Times New Roman" w:hAnsi="Times New Roman"/>
        </w:rPr>
        <w:t xml:space="preserve">0.0557), </w:t>
      </w:r>
      <w:r>
        <w:rPr>
          <w:rFonts w:ascii="Times New Roman" w:hAnsi="Times New Roman"/>
        </w:rPr>
        <w:t>the performance improvement between using two fusion based image markers was not substantial (e.g., 0.8292</w:t>
      </w:r>
      <w:r w:rsidR="004428A1">
        <w:rPr>
          <w:rFonts w:ascii="Times New Roman" w:hAnsi="Times New Roman"/>
        </w:rPr>
        <w:t xml:space="preserve"> </w:t>
      </w:r>
      <w:r w:rsidRPr="008A39D2">
        <w:rPr>
          <w:rFonts w:ascii="Times New Roman" w:hAnsi="Times New Roman"/>
        </w:rPr>
        <w:t>±</w:t>
      </w:r>
      <w:r w:rsidR="004428A1">
        <w:rPr>
          <w:rFonts w:ascii="Times New Roman" w:hAnsi="Times New Roman"/>
        </w:rPr>
        <w:t xml:space="preserve"> </w:t>
      </w:r>
      <w:r w:rsidRPr="008A39D2">
        <w:rPr>
          <w:rFonts w:ascii="Times New Roman" w:hAnsi="Times New Roman"/>
        </w:rPr>
        <w:t>0.0431</w:t>
      </w:r>
      <w:r>
        <w:rPr>
          <w:rFonts w:ascii="Times New Roman" w:hAnsi="Times New Roman"/>
        </w:rPr>
        <w:t xml:space="preserve"> vs 0.8103</w:t>
      </w:r>
      <w:r w:rsidR="004428A1">
        <w:rPr>
          <w:rFonts w:ascii="Times New Roman" w:hAnsi="Times New Roman"/>
        </w:rPr>
        <w:t xml:space="preserve"> </w:t>
      </w:r>
      <w:r w:rsidRPr="008A39D2">
        <w:rPr>
          <w:rFonts w:ascii="Times New Roman" w:hAnsi="Times New Roman"/>
        </w:rPr>
        <w:t>±</w:t>
      </w:r>
      <w:r w:rsidR="004428A1">
        <w:rPr>
          <w:rFonts w:ascii="Times New Roman" w:hAnsi="Times New Roman"/>
        </w:rPr>
        <w:t xml:space="preserve"> </w:t>
      </w:r>
      <w:r w:rsidRPr="008A39D2">
        <w:rPr>
          <w:rFonts w:ascii="Times New Roman" w:hAnsi="Times New Roman"/>
        </w:rPr>
        <w:t>0.0447</w:t>
      </w:r>
      <w:r>
        <w:rPr>
          <w:rFonts w:ascii="Times New Roman" w:hAnsi="Times New Roman"/>
        </w:rPr>
        <w:t xml:space="preserve">). The reason behind this </w:t>
      </w:r>
      <w:r>
        <w:rPr>
          <w:rFonts w:ascii="Times New Roman" w:hAnsi="Times New Roman"/>
        </w:rPr>
        <w:lastRenderedPageBreak/>
        <w:t xml:space="preserve">observation needs to be further investigated using other independent image datasets. Second, due to the limited size of our image dataset, only a simple equal weighted fusion method was applied to build image marker. In the future study, a large image dataset needs to be built and the state of the art machine learning methods need to be investigated to optimally combine image features to further improve the predicting performance. Third, for each case, we only investigated the tumors marked and tracked by the radiologist based on RECIST guideline. For the features of these different tracked tumors, we only computed the average value as the final case-based feature, which might not be the optimal method. Thus, we still need to investigate the more effective algorithms to quantify the case-based image features. Fourth, in this dataset, the patient cases were not classified with different chemotherapy drugs. Given that the tumor responsive to </w:t>
      </w:r>
      <w:r w:rsidRPr="00B418E5">
        <w:rPr>
          <w:rFonts w:ascii="Times New Roman" w:hAnsi="Times New Roman"/>
        </w:rPr>
        <w:t>a certain type of drug may contain some specific tumor characteristics, dividing and f</w:t>
      </w:r>
      <w:r w:rsidR="00196A20" w:rsidRPr="00B418E5">
        <w:rPr>
          <w:rFonts w:ascii="Times New Roman" w:hAnsi="Times New Roman"/>
        </w:rPr>
        <w:t>i</w:t>
      </w:r>
      <w:r w:rsidRPr="00B418E5">
        <w:rPr>
          <w:rFonts w:ascii="Times New Roman" w:hAnsi="Times New Roman"/>
        </w:rPr>
        <w:t xml:space="preserve">nding the best features for the patients with different therapy groups may further improve the predicting </w:t>
      </w:r>
      <w:r>
        <w:rPr>
          <w:rFonts w:ascii="Times New Roman" w:hAnsi="Times New Roman"/>
        </w:rPr>
        <w:t>accuracy. Last, although we have accumulated 91 cancer cases, the robustness of our experiment results need to be tested and verified using large and divers</w:t>
      </w:r>
      <w:r w:rsidR="00C70436">
        <w:rPr>
          <w:rFonts w:ascii="Times New Roman" w:hAnsi="Times New Roman"/>
        </w:rPr>
        <w:t>e image datasets in the future.</w:t>
      </w:r>
      <w:r>
        <w:rPr>
          <w:rFonts w:ascii="Times New Roman" w:hAnsi="Times New Roman"/>
        </w:rPr>
        <w:t xml:space="preserve"> </w:t>
      </w:r>
    </w:p>
    <w:p w:rsidR="00337A98" w:rsidRPr="000B1BAF" w:rsidRDefault="00337A98" w:rsidP="00337A98">
      <w:pPr>
        <w:tabs>
          <w:tab w:val="left" w:pos="0"/>
        </w:tabs>
        <w:ind w:firstLine="720"/>
        <w:jc w:val="both"/>
      </w:pPr>
      <w:r>
        <w:t xml:space="preserve">In conclusion, even with few limitations, we believe that this initial study is unique and valid, which demonstrated that pre-therapy CT image analysis provide useful information in predicting ovarian cancer patients response to chemotherapy and addition of post-therapy information can further improve the model effectiveness by generating higher prediction accuracy than both pre-therapy and conventional RECIST criteria methods. </w:t>
      </w:r>
      <w:r>
        <w:rPr>
          <w:rFonts w:ascii="Times New Roman" w:hAnsi="Times New Roman" w:hint="eastAsia"/>
        </w:rPr>
        <w:t>A</w:t>
      </w:r>
      <w:r>
        <w:rPr>
          <w:rFonts w:ascii="Times New Roman" w:hAnsi="Times New Roman"/>
        </w:rPr>
        <w:t xml:space="preserve">s a result, this study provides a valid foundation for us to continue developing more robust quantitative image analysis scheme to identify clinically useful imaging </w:t>
      </w:r>
      <w:r>
        <w:rPr>
          <w:rFonts w:ascii="Times New Roman" w:hAnsi="Times New Roman"/>
        </w:rPr>
        <w:lastRenderedPageBreak/>
        <w:t xml:space="preserve">markers, which can more accurately predict the clinical benefit of the </w:t>
      </w:r>
      <w:r w:rsidRPr="000B1BAF">
        <w:rPr>
          <w:rFonts w:ascii="Times New Roman" w:hAnsi="Times New Roman"/>
        </w:rPr>
        <w:t>chemotherapy at the early stage for ovarian and/or other cancer patients.</w:t>
      </w:r>
    </w:p>
    <w:p w:rsidR="000B1BAF" w:rsidRDefault="000B1BAF" w:rsidP="000B1BAF">
      <w:bookmarkStart w:id="67" w:name="_Toc417052594"/>
    </w:p>
    <w:p w:rsidR="000B1BAF" w:rsidRDefault="000B1BAF" w:rsidP="000B1BAF"/>
    <w:p w:rsidR="000B1BAF" w:rsidRDefault="000B1BAF" w:rsidP="000B1BAF"/>
    <w:p w:rsidR="000B1BAF" w:rsidRDefault="000B1BAF" w:rsidP="000B1BAF"/>
    <w:p w:rsidR="000B1BAF" w:rsidRDefault="000B1BAF" w:rsidP="000B1BAF"/>
    <w:p w:rsidR="000B1BAF" w:rsidRDefault="000B1BAF" w:rsidP="000B1BAF"/>
    <w:p w:rsidR="000B1BAF" w:rsidRDefault="000B1BAF" w:rsidP="000B1BAF"/>
    <w:p w:rsidR="000B1BAF" w:rsidRDefault="000B1BAF" w:rsidP="000B1BAF"/>
    <w:p w:rsidR="000B1BAF" w:rsidRDefault="000B1BAF" w:rsidP="000B1BAF"/>
    <w:p w:rsidR="000B1BAF" w:rsidRDefault="000B1BAF" w:rsidP="000B1BAF"/>
    <w:p w:rsidR="000B1BAF" w:rsidRDefault="000B1BAF" w:rsidP="000B1BAF"/>
    <w:p w:rsidR="000B1BAF" w:rsidRDefault="000B1BAF" w:rsidP="000B1BAF"/>
    <w:p w:rsidR="000B1BAF" w:rsidRDefault="000B1BAF" w:rsidP="000B1BAF"/>
    <w:p w:rsidR="000B1BAF" w:rsidRDefault="000B1BAF" w:rsidP="000B1BAF"/>
    <w:p w:rsidR="000B1BAF" w:rsidRDefault="000B1BAF" w:rsidP="000B1BAF"/>
    <w:p w:rsidR="000B1BAF" w:rsidRDefault="000B1BAF" w:rsidP="000B1BAF"/>
    <w:p w:rsidR="000B1BAF" w:rsidRDefault="000B1BAF" w:rsidP="000B1BAF"/>
    <w:p w:rsidR="000B1BAF" w:rsidRDefault="000B1BAF" w:rsidP="000B1BAF"/>
    <w:p w:rsidR="000B1BAF" w:rsidRDefault="000B1BAF" w:rsidP="000B1BAF"/>
    <w:p w:rsidR="008C5BED" w:rsidRDefault="008C5BED" w:rsidP="000B1BAF"/>
    <w:p w:rsidR="000B1BAF" w:rsidRDefault="000B1BAF" w:rsidP="000B1BAF"/>
    <w:p w:rsidR="00522E94" w:rsidRDefault="00C80549" w:rsidP="00C70ECB">
      <w:pPr>
        <w:pStyle w:val="Heading1"/>
      </w:pPr>
      <w:bookmarkStart w:id="68" w:name="_Toc468963711"/>
      <w:r w:rsidRPr="002A4614">
        <w:lastRenderedPageBreak/>
        <w:t>References</w:t>
      </w:r>
      <w:bookmarkEnd w:id="67"/>
      <w:bookmarkEnd w:id="68"/>
    </w:p>
    <w:p w:rsidR="00E843B3" w:rsidRDefault="009647D4" w:rsidP="008740B0">
      <w:pPr>
        <w:widowControl w:val="0"/>
        <w:autoSpaceDE w:val="0"/>
        <w:autoSpaceDN w:val="0"/>
        <w:adjustRightInd w:val="0"/>
        <w:spacing w:line="240" w:lineRule="auto"/>
        <w:ind w:left="640" w:hanging="640"/>
        <w:rPr>
          <w:rFonts w:ascii="Times New Roman" w:hAnsi="Times New Roman"/>
          <w:noProof/>
        </w:rPr>
      </w:pPr>
      <w:r w:rsidRPr="00522E94">
        <w:fldChar w:fldCharType="begin" w:fldLock="1"/>
      </w:r>
      <w:r w:rsidR="00522E94" w:rsidRPr="00522E94">
        <w:instrText xml:space="preserve">ADDIN Mendeley Bibliography CSL_BIBLIOGRAPHY </w:instrText>
      </w:r>
      <w:r w:rsidRPr="00522E94">
        <w:fldChar w:fldCharType="separate"/>
      </w:r>
      <w:r w:rsidR="00E843B3" w:rsidRPr="00E843B3">
        <w:rPr>
          <w:rFonts w:ascii="Times New Roman" w:hAnsi="Times New Roman"/>
          <w:noProof/>
        </w:rPr>
        <w:t>[1]</w:t>
      </w:r>
      <w:r w:rsidR="00E843B3" w:rsidRPr="00E843B3">
        <w:rPr>
          <w:rFonts w:ascii="Times New Roman" w:hAnsi="Times New Roman"/>
          <w:noProof/>
        </w:rPr>
        <w:tab/>
        <w:t xml:space="preserve">R. L. Siegel, K. D. Miller, and A. Jemal, “Cancer statistics, 2016,” </w:t>
      </w:r>
      <w:r w:rsidR="00E843B3" w:rsidRPr="00E843B3">
        <w:rPr>
          <w:rFonts w:ascii="Times New Roman" w:hAnsi="Times New Roman"/>
          <w:i/>
          <w:iCs/>
          <w:noProof/>
        </w:rPr>
        <w:t>CA Cancer J Clin</w:t>
      </w:r>
      <w:r w:rsidR="00E843B3" w:rsidRPr="00E843B3">
        <w:rPr>
          <w:rFonts w:ascii="Times New Roman" w:hAnsi="Times New Roman"/>
          <w:noProof/>
        </w:rPr>
        <w:t>, vol. 66, no. 1, pp. 7–30, 2016.</w:t>
      </w:r>
    </w:p>
    <w:p w:rsidR="008740B0" w:rsidRPr="00E843B3" w:rsidRDefault="008740B0" w:rsidP="008740B0">
      <w:pPr>
        <w:widowControl w:val="0"/>
        <w:autoSpaceDE w:val="0"/>
        <w:autoSpaceDN w:val="0"/>
        <w:adjustRightInd w:val="0"/>
        <w:ind w:left="640" w:hanging="640"/>
        <w:rPr>
          <w:rFonts w:ascii="Times New Roman" w:hAnsi="Times New Roman"/>
          <w:noProof/>
        </w:rPr>
      </w:pPr>
    </w:p>
    <w:p w:rsidR="00E843B3" w:rsidRDefault="00E843B3" w:rsidP="008740B0">
      <w:pPr>
        <w:widowControl w:val="0"/>
        <w:autoSpaceDE w:val="0"/>
        <w:autoSpaceDN w:val="0"/>
        <w:adjustRightInd w:val="0"/>
        <w:spacing w:line="240" w:lineRule="auto"/>
        <w:ind w:left="640" w:hanging="640"/>
        <w:rPr>
          <w:rFonts w:ascii="Times New Roman" w:hAnsi="Times New Roman"/>
          <w:noProof/>
        </w:rPr>
      </w:pPr>
      <w:r w:rsidRPr="00E843B3">
        <w:rPr>
          <w:rFonts w:ascii="Times New Roman" w:hAnsi="Times New Roman"/>
          <w:noProof/>
        </w:rPr>
        <w:t>[2]</w:t>
      </w:r>
      <w:r w:rsidRPr="00E843B3">
        <w:rPr>
          <w:rFonts w:ascii="Times New Roman" w:hAnsi="Times New Roman"/>
          <w:noProof/>
        </w:rPr>
        <w:tab/>
        <w:t xml:space="preserve">S. Sato and H. Itamochi, “Neoadjuvant chemotherapy in advanced ovarian cancer: latest results and place in therapy.,” </w:t>
      </w:r>
      <w:r w:rsidRPr="00E843B3">
        <w:rPr>
          <w:rFonts w:ascii="Times New Roman" w:hAnsi="Times New Roman"/>
          <w:i/>
          <w:iCs/>
          <w:noProof/>
        </w:rPr>
        <w:t>Ther. Adv. Med. Oncol.</w:t>
      </w:r>
      <w:r w:rsidRPr="00E843B3">
        <w:rPr>
          <w:rFonts w:ascii="Times New Roman" w:hAnsi="Times New Roman"/>
          <w:noProof/>
        </w:rPr>
        <w:t>, vol. 6, no. 6, pp. 293–304, 2014.</w:t>
      </w:r>
    </w:p>
    <w:p w:rsidR="008740B0" w:rsidRPr="00E843B3" w:rsidRDefault="008740B0" w:rsidP="008740B0">
      <w:pPr>
        <w:widowControl w:val="0"/>
        <w:autoSpaceDE w:val="0"/>
        <w:autoSpaceDN w:val="0"/>
        <w:adjustRightInd w:val="0"/>
        <w:ind w:left="640" w:hanging="640"/>
        <w:rPr>
          <w:rFonts w:ascii="Times New Roman" w:hAnsi="Times New Roman"/>
          <w:noProof/>
        </w:rPr>
      </w:pPr>
    </w:p>
    <w:p w:rsidR="00E843B3" w:rsidRDefault="00E843B3" w:rsidP="008740B0">
      <w:pPr>
        <w:widowControl w:val="0"/>
        <w:autoSpaceDE w:val="0"/>
        <w:autoSpaceDN w:val="0"/>
        <w:adjustRightInd w:val="0"/>
        <w:spacing w:line="240" w:lineRule="auto"/>
        <w:ind w:left="640" w:hanging="640"/>
        <w:rPr>
          <w:rFonts w:ascii="Times New Roman" w:hAnsi="Times New Roman"/>
          <w:noProof/>
        </w:rPr>
      </w:pPr>
      <w:r w:rsidRPr="00E843B3">
        <w:rPr>
          <w:rFonts w:ascii="Times New Roman" w:hAnsi="Times New Roman"/>
          <w:noProof/>
        </w:rPr>
        <w:t>[3]</w:t>
      </w:r>
      <w:r w:rsidRPr="00E843B3">
        <w:rPr>
          <w:rFonts w:ascii="Times New Roman" w:hAnsi="Times New Roman"/>
          <w:noProof/>
        </w:rPr>
        <w:tab/>
        <w:t xml:space="preserve">L. A. Baldwin </w:t>
      </w:r>
      <w:r w:rsidRPr="00E843B3">
        <w:rPr>
          <w:rFonts w:ascii="Times New Roman" w:hAnsi="Times New Roman"/>
          <w:i/>
          <w:iCs/>
          <w:noProof/>
        </w:rPr>
        <w:t>et al.</w:t>
      </w:r>
      <w:r w:rsidRPr="00E843B3">
        <w:rPr>
          <w:rFonts w:ascii="Times New Roman" w:hAnsi="Times New Roman"/>
          <w:noProof/>
        </w:rPr>
        <w:t xml:space="preserve">, “Ten-Year Relative Survival for Epithelial Ovarian Cancer,” in </w:t>
      </w:r>
      <w:r w:rsidRPr="00E843B3">
        <w:rPr>
          <w:rFonts w:ascii="Times New Roman" w:hAnsi="Times New Roman"/>
          <w:i/>
          <w:iCs/>
          <w:noProof/>
        </w:rPr>
        <w:t>Obstet Gynecol</w:t>
      </w:r>
      <w:r w:rsidRPr="00E843B3">
        <w:rPr>
          <w:rFonts w:ascii="Times New Roman" w:hAnsi="Times New Roman"/>
          <w:noProof/>
        </w:rPr>
        <w:t>, vol. 120, 2012, pp. 612–618.</w:t>
      </w:r>
    </w:p>
    <w:p w:rsidR="008740B0" w:rsidRPr="00E843B3" w:rsidRDefault="008740B0" w:rsidP="008740B0">
      <w:pPr>
        <w:widowControl w:val="0"/>
        <w:autoSpaceDE w:val="0"/>
        <w:autoSpaceDN w:val="0"/>
        <w:adjustRightInd w:val="0"/>
        <w:ind w:left="640" w:hanging="640"/>
        <w:rPr>
          <w:rFonts w:ascii="Times New Roman" w:hAnsi="Times New Roman"/>
          <w:noProof/>
        </w:rPr>
      </w:pPr>
    </w:p>
    <w:p w:rsidR="00E843B3" w:rsidRDefault="00E843B3" w:rsidP="008740B0">
      <w:pPr>
        <w:widowControl w:val="0"/>
        <w:autoSpaceDE w:val="0"/>
        <w:autoSpaceDN w:val="0"/>
        <w:adjustRightInd w:val="0"/>
        <w:spacing w:line="240" w:lineRule="auto"/>
        <w:ind w:left="640" w:hanging="640"/>
        <w:rPr>
          <w:rFonts w:ascii="Times New Roman" w:hAnsi="Times New Roman"/>
          <w:noProof/>
        </w:rPr>
      </w:pPr>
      <w:r w:rsidRPr="00E843B3">
        <w:rPr>
          <w:rFonts w:ascii="Times New Roman" w:hAnsi="Times New Roman"/>
          <w:noProof/>
        </w:rPr>
        <w:t>[4]</w:t>
      </w:r>
      <w:r w:rsidRPr="00E843B3">
        <w:rPr>
          <w:rFonts w:ascii="Times New Roman" w:hAnsi="Times New Roman"/>
          <w:noProof/>
        </w:rPr>
        <w:tab/>
        <w:t xml:space="preserve">D. Bell </w:t>
      </w:r>
      <w:r w:rsidRPr="00E843B3">
        <w:rPr>
          <w:rFonts w:ascii="Times New Roman" w:hAnsi="Times New Roman"/>
          <w:i/>
          <w:iCs/>
          <w:noProof/>
        </w:rPr>
        <w:t>et al.</w:t>
      </w:r>
      <w:r w:rsidRPr="00E843B3">
        <w:rPr>
          <w:rFonts w:ascii="Times New Roman" w:hAnsi="Times New Roman"/>
          <w:noProof/>
        </w:rPr>
        <w:t xml:space="preserve">, “Integrated genomic analyses of ovarian carcinoma,” </w:t>
      </w:r>
      <w:r w:rsidRPr="00E843B3">
        <w:rPr>
          <w:rFonts w:ascii="Times New Roman" w:hAnsi="Times New Roman"/>
          <w:i/>
          <w:iCs/>
          <w:noProof/>
        </w:rPr>
        <w:t>Nature</w:t>
      </w:r>
      <w:r w:rsidRPr="00E843B3">
        <w:rPr>
          <w:rFonts w:ascii="Times New Roman" w:hAnsi="Times New Roman"/>
          <w:noProof/>
        </w:rPr>
        <w:t>, vol. 474, no. 7353, pp. 609–615, 2011.</w:t>
      </w:r>
    </w:p>
    <w:p w:rsidR="008740B0" w:rsidRPr="00E843B3" w:rsidRDefault="008740B0" w:rsidP="008740B0">
      <w:pPr>
        <w:widowControl w:val="0"/>
        <w:autoSpaceDE w:val="0"/>
        <w:autoSpaceDN w:val="0"/>
        <w:adjustRightInd w:val="0"/>
        <w:ind w:left="640" w:hanging="640"/>
        <w:rPr>
          <w:rFonts w:ascii="Times New Roman" w:hAnsi="Times New Roman"/>
          <w:noProof/>
        </w:rPr>
      </w:pPr>
    </w:p>
    <w:p w:rsidR="00E843B3" w:rsidRDefault="00E843B3" w:rsidP="008740B0">
      <w:pPr>
        <w:widowControl w:val="0"/>
        <w:autoSpaceDE w:val="0"/>
        <w:autoSpaceDN w:val="0"/>
        <w:adjustRightInd w:val="0"/>
        <w:spacing w:line="240" w:lineRule="auto"/>
        <w:ind w:left="640" w:hanging="640"/>
        <w:rPr>
          <w:rFonts w:ascii="Times New Roman" w:hAnsi="Times New Roman"/>
          <w:noProof/>
        </w:rPr>
      </w:pPr>
      <w:r w:rsidRPr="00E843B3">
        <w:rPr>
          <w:rFonts w:ascii="Times New Roman" w:hAnsi="Times New Roman"/>
          <w:noProof/>
        </w:rPr>
        <w:t>[5]</w:t>
      </w:r>
      <w:r w:rsidRPr="00E843B3">
        <w:rPr>
          <w:rFonts w:ascii="Times New Roman" w:hAnsi="Times New Roman"/>
          <w:noProof/>
        </w:rPr>
        <w:tab/>
        <w:t xml:space="preserve">C. M. Tempany, K. H. Zou, S. G. Silverman, D. L. Brown,  a B. Kurtz, and B. J. McNeil, “Staging of advanced ovarian cancer: comparison of imaging modalities--report from the Radiological Diagnostic Oncology Group.,” </w:t>
      </w:r>
      <w:r w:rsidRPr="00E843B3">
        <w:rPr>
          <w:rFonts w:ascii="Times New Roman" w:hAnsi="Times New Roman"/>
          <w:i/>
          <w:iCs/>
          <w:noProof/>
        </w:rPr>
        <w:t>Radiology</w:t>
      </w:r>
      <w:r w:rsidRPr="00E843B3">
        <w:rPr>
          <w:rFonts w:ascii="Times New Roman" w:hAnsi="Times New Roman"/>
          <w:noProof/>
        </w:rPr>
        <w:t>, vol. 215, no. 3, pp. 761–767, 2000.</w:t>
      </w:r>
    </w:p>
    <w:p w:rsidR="008740B0" w:rsidRPr="00E843B3" w:rsidRDefault="008740B0" w:rsidP="008740B0">
      <w:pPr>
        <w:widowControl w:val="0"/>
        <w:autoSpaceDE w:val="0"/>
        <w:autoSpaceDN w:val="0"/>
        <w:adjustRightInd w:val="0"/>
        <w:ind w:left="640" w:hanging="640"/>
        <w:rPr>
          <w:rFonts w:ascii="Times New Roman" w:hAnsi="Times New Roman"/>
          <w:noProof/>
        </w:rPr>
      </w:pPr>
    </w:p>
    <w:p w:rsidR="00E843B3" w:rsidRDefault="00E843B3" w:rsidP="008740B0">
      <w:pPr>
        <w:widowControl w:val="0"/>
        <w:autoSpaceDE w:val="0"/>
        <w:autoSpaceDN w:val="0"/>
        <w:adjustRightInd w:val="0"/>
        <w:spacing w:line="240" w:lineRule="auto"/>
        <w:ind w:left="640" w:hanging="640"/>
        <w:rPr>
          <w:rFonts w:ascii="Times New Roman" w:hAnsi="Times New Roman"/>
          <w:noProof/>
        </w:rPr>
      </w:pPr>
      <w:r w:rsidRPr="00E843B3">
        <w:rPr>
          <w:rFonts w:ascii="Times New Roman" w:hAnsi="Times New Roman"/>
          <w:noProof/>
        </w:rPr>
        <w:t>[6]</w:t>
      </w:r>
      <w:r w:rsidRPr="00E843B3">
        <w:rPr>
          <w:rFonts w:ascii="Times New Roman" w:hAnsi="Times New Roman"/>
          <w:noProof/>
        </w:rPr>
        <w:tab/>
        <w:t xml:space="preserve">P. Gu, L.-L. Pan, S.-Q. Wu, L. Sun, and G. Huang, “CA 125, PET alone, PET-CT, CT and MRI in diagnosing recurrent ovarian carcinoma: a systematic review and meta-analysis.,” </w:t>
      </w:r>
      <w:r w:rsidRPr="00E843B3">
        <w:rPr>
          <w:rFonts w:ascii="Times New Roman" w:hAnsi="Times New Roman"/>
          <w:i/>
          <w:iCs/>
          <w:noProof/>
        </w:rPr>
        <w:t>Eur. J. Radiol.</w:t>
      </w:r>
      <w:r w:rsidRPr="00E843B3">
        <w:rPr>
          <w:rFonts w:ascii="Times New Roman" w:hAnsi="Times New Roman"/>
          <w:noProof/>
        </w:rPr>
        <w:t>, vol. 71, no. 1, pp. 164–74, 2009.</w:t>
      </w:r>
    </w:p>
    <w:p w:rsidR="008740B0" w:rsidRPr="00E843B3" w:rsidRDefault="008740B0" w:rsidP="008740B0">
      <w:pPr>
        <w:widowControl w:val="0"/>
        <w:autoSpaceDE w:val="0"/>
        <w:autoSpaceDN w:val="0"/>
        <w:adjustRightInd w:val="0"/>
        <w:ind w:left="640" w:hanging="640"/>
        <w:rPr>
          <w:rFonts w:ascii="Times New Roman" w:hAnsi="Times New Roman"/>
          <w:noProof/>
        </w:rPr>
      </w:pPr>
    </w:p>
    <w:p w:rsidR="00E843B3" w:rsidRDefault="00E843B3" w:rsidP="008740B0">
      <w:pPr>
        <w:widowControl w:val="0"/>
        <w:autoSpaceDE w:val="0"/>
        <w:autoSpaceDN w:val="0"/>
        <w:adjustRightInd w:val="0"/>
        <w:spacing w:line="240" w:lineRule="auto"/>
        <w:ind w:left="640" w:hanging="640"/>
        <w:rPr>
          <w:rFonts w:ascii="Times New Roman" w:hAnsi="Times New Roman"/>
          <w:noProof/>
        </w:rPr>
      </w:pPr>
      <w:r w:rsidRPr="00E843B3">
        <w:rPr>
          <w:rFonts w:ascii="Times New Roman" w:hAnsi="Times New Roman"/>
          <w:noProof/>
        </w:rPr>
        <w:t>[7]</w:t>
      </w:r>
      <w:r w:rsidRPr="00E843B3">
        <w:rPr>
          <w:rFonts w:ascii="Times New Roman" w:hAnsi="Times New Roman"/>
          <w:noProof/>
        </w:rPr>
        <w:tab/>
        <w:t xml:space="preserve">S. Kyriazi, S. B. Kaye, and N. M. DeSouza, “Imaging ovarian cancer and peritoneal metastases--current and emerging techniques.,” </w:t>
      </w:r>
      <w:r w:rsidRPr="00E843B3">
        <w:rPr>
          <w:rFonts w:ascii="Times New Roman" w:hAnsi="Times New Roman"/>
          <w:i/>
          <w:iCs/>
          <w:noProof/>
        </w:rPr>
        <w:t>Nat. Rev. Clin. Oncol.</w:t>
      </w:r>
      <w:r w:rsidRPr="00E843B3">
        <w:rPr>
          <w:rFonts w:ascii="Times New Roman" w:hAnsi="Times New Roman"/>
          <w:noProof/>
        </w:rPr>
        <w:t>, vol. 7, no. 7, pp. 381–93, 2010.</w:t>
      </w:r>
    </w:p>
    <w:p w:rsidR="008740B0" w:rsidRPr="00E843B3" w:rsidRDefault="008740B0" w:rsidP="008740B0">
      <w:pPr>
        <w:widowControl w:val="0"/>
        <w:autoSpaceDE w:val="0"/>
        <w:autoSpaceDN w:val="0"/>
        <w:adjustRightInd w:val="0"/>
        <w:ind w:left="640" w:hanging="640"/>
        <w:rPr>
          <w:rFonts w:ascii="Times New Roman" w:hAnsi="Times New Roman"/>
          <w:noProof/>
        </w:rPr>
      </w:pPr>
    </w:p>
    <w:p w:rsidR="00E843B3" w:rsidRDefault="00E843B3" w:rsidP="008740B0">
      <w:pPr>
        <w:widowControl w:val="0"/>
        <w:autoSpaceDE w:val="0"/>
        <w:autoSpaceDN w:val="0"/>
        <w:adjustRightInd w:val="0"/>
        <w:spacing w:line="240" w:lineRule="auto"/>
        <w:ind w:left="640" w:hanging="640"/>
        <w:rPr>
          <w:rFonts w:ascii="Times New Roman" w:hAnsi="Times New Roman"/>
          <w:noProof/>
        </w:rPr>
      </w:pPr>
      <w:r w:rsidRPr="00E843B3">
        <w:rPr>
          <w:rFonts w:ascii="Times New Roman" w:hAnsi="Times New Roman"/>
          <w:noProof/>
        </w:rPr>
        <w:t>[8]</w:t>
      </w:r>
      <w:r w:rsidRPr="00E843B3">
        <w:rPr>
          <w:rFonts w:ascii="Times New Roman" w:hAnsi="Times New Roman"/>
          <w:noProof/>
        </w:rPr>
        <w:tab/>
        <w:t xml:space="preserve">P. Therasse </w:t>
      </w:r>
      <w:r w:rsidRPr="00E843B3">
        <w:rPr>
          <w:rFonts w:ascii="Times New Roman" w:hAnsi="Times New Roman"/>
          <w:i/>
          <w:iCs/>
          <w:noProof/>
        </w:rPr>
        <w:t>et al.</w:t>
      </w:r>
      <w:r w:rsidRPr="00E843B3">
        <w:rPr>
          <w:rFonts w:ascii="Times New Roman" w:hAnsi="Times New Roman"/>
          <w:noProof/>
        </w:rPr>
        <w:t xml:space="preserve">, “New Guidelines to Evaluate the Response to Treatment in Solid Tumors,” </w:t>
      </w:r>
      <w:r w:rsidRPr="00E843B3">
        <w:rPr>
          <w:rFonts w:ascii="Times New Roman" w:hAnsi="Times New Roman"/>
          <w:i/>
          <w:iCs/>
          <w:noProof/>
        </w:rPr>
        <w:t>J. Natl. Cancer Inst.</w:t>
      </w:r>
      <w:r w:rsidRPr="00E843B3">
        <w:rPr>
          <w:rFonts w:ascii="Times New Roman" w:hAnsi="Times New Roman"/>
          <w:noProof/>
        </w:rPr>
        <w:t>, vol. 92, no. 3, pp. 205–216, 2000.</w:t>
      </w:r>
    </w:p>
    <w:p w:rsidR="008740B0" w:rsidRPr="00E843B3" w:rsidRDefault="008740B0" w:rsidP="008740B0">
      <w:pPr>
        <w:widowControl w:val="0"/>
        <w:autoSpaceDE w:val="0"/>
        <w:autoSpaceDN w:val="0"/>
        <w:adjustRightInd w:val="0"/>
        <w:ind w:left="640" w:hanging="640"/>
        <w:rPr>
          <w:rFonts w:ascii="Times New Roman" w:hAnsi="Times New Roman"/>
          <w:noProof/>
        </w:rPr>
      </w:pPr>
    </w:p>
    <w:p w:rsidR="00E843B3" w:rsidRDefault="00E843B3" w:rsidP="008740B0">
      <w:pPr>
        <w:widowControl w:val="0"/>
        <w:autoSpaceDE w:val="0"/>
        <w:autoSpaceDN w:val="0"/>
        <w:adjustRightInd w:val="0"/>
        <w:spacing w:line="240" w:lineRule="auto"/>
        <w:ind w:left="640" w:hanging="640"/>
        <w:rPr>
          <w:rFonts w:ascii="Times New Roman" w:hAnsi="Times New Roman"/>
          <w:noProof/>
        </w:rPr>
      </w:pPr>
      <w:r w:rsidRPr="00E843B3">
        <w:rPr>
          <w:rFonts w:ascii="Times New Roman" w:hAnsi="Times New Roman"/>
          <w:noProof/>
        </w:rPr>
        <w:t>[9]</w:t>
      </w:r>
      <w:r w:rsidRPr="00E843B3">
        <w:rPr>
          <w:rFonts w:ascii="Times New Roman" w:hAnsi="Times New Roman"/>
          <w:noProof/>
        </w:rPr>
        <w:tab/>
        <w:t xml:space="preserve">E. A. Eisenhauer </w:t>
      </w:r>
      <w:r w:rsidRPr="00E843B3">
        <w:rPr>
          <w:rFonts w:ascii="Times New Roman" w:hAnsi="Times New Roman"/>
          <w:i/>
          <w:iCs/>
          <w:noProof/>
        </w:rPr>
        <w:t>et al.</w:t>
      </w:r>
      <w:r w:rsidRPr="00E843B3">
        <w:rPr>
          <w:rFonts w:ascii="Times New Roman" w:hAnsi="Times New Roman"/>
          <w:noProof/>
        </w:rPr>
        <w:t xml:space="preserve">, “New response evaluation criteria in solid tumours: Revised RECIST guideline (version 1.1),” </w:t>
      </w:r>
      <w:r w:rsidRPr="00E843B3">
        <w:rPr>
          <w:rFonts w:ascii="Times New Roman" w:hAnsi="Times New Roman"/>
          <w:i/>
          <w:iCs/>
          <w:noProof/>
        </w:rPr>
        <w:t>Eur. J. Cancer</w:t>
      </w:r>
      <w:r w:rsidRPr="00E843B3">
        <w:rPr>
          <w:rFonts w:ascii="Times New Roman" w:hAnsi="Times New Roman"/>
          <w:noProof/>
        </w:rPr>
        <w:t>, vol. 45, no. 2, pp. 228–247, 2009.</w:t>
      </w:r>
    </w:p>
    <w:p w:rsidR="008740B0" w:rsidRPr="00E843B3" w:rsidRDefault="008740B0" w:rsidP="008740B0">
      <w:pPr>
        <w:widowControl w:val="0"/>
        <w:autoSpaceDE w:val="0"/>
        <w:autoSpaceDN w:val="0"/>
        <w:adjustRightInd w:val="0"/>
        <w:ind w:left="640" w:hanging="640"/>
        <w:rPr>
          <w:rFonts w:ascii="Times New Roman" w:hAnsi="Times New Roman"/>
          <w:noProof/>
        </w:rPr>
      </w:pPr>
    </w:p>
    <w:p w:rsidR="00E843B3" w:rsidRDefault="00E843B3" w:rsidP="008740B0">
      <w:pPr>
        <w:widowControl w:val="0"/>
        <w:autoSpaceDE w:val="0"/>
        <w:autoSpaceDN w:val="0"/>
        <w:adjustRightInd w:val="0"/>
        <w:spacing w:line="240" w:lineRule="auto"/>
        <w:ind w:left="640" w:hanging="640"/>
        <w:rPr>
          <w:rFonts w:ascii="Times New Roman" w:hAnsi="Times New Roman"/>
          <w:noProof/>
        </w:rPr>
      </w:pPr>
      <w:r w:rsidRPr="00E843B3">
        <w:rPr>
          <w:rFonts w:ascii="Times New Roman" w:hAnsi="Times New Roman"/>
          <w:noProof/>
        </w:rPr>
        <w:t>[10]</w:t>
      </w:r>
      <w:r w:rsidRPr="00E843B3">
        <w:rPr>
          <w:rFonts w:ascii="Times New Roman" w:hAnsi="Times New Roman"/>
          <w:noProof/>
        </w:rPr>
        <w:tab/>
        <w:t xml:space="preserve">M. R. Sharma, M. L. Maitland, M. J. Ratain, A. T. Fojo, and A. Noonan, “RECIST: No longer the sharpest tool in the oncology clinical trials toolbox - </w:t>
      </w:r>
      <w:r w:rsidRPr="00E843B3">
        <w:rPr>
          <w:rFonts w:ascii="Times New Roman" w:hAnsi="Times New Roman"/>
          <w:noProof/>
        </w:rPr>
        <w:lastRenderedPageBreak/>
        <w:t xml:space="preserve">Point/Counterpoint,” </w:t>
      </w:r>
      <w:r w:rsidRPr="00E843B3">
        <w:rPr>
          <w:rFonts w:ascii="Times New Roman" w:hAnsi="Times New Roman"/>
          <w:i/>
          <w:iCs/>
          <w:noProof/>
        </w:rPr>
        <w:t>Cancer Research</w:t>
      </w:r>
      <w:r w:rsidRPr="00E843B3">
        <w:rPr>
          <w:rFonts w:ascii="Times New Roman" w:hAnsi="Times New Roman"/>
          <w:noProof/>
        </w:rPr>
        <w:t>, vol. 72, no. 20. pp. 5145–5150, 2012.</w:t>
      </w:r>
    </w:p>
    <w:p w:rsidR="008740B0" w:rsidRPr="00E843B3" w:rsidRDefault="008740B0" w:rsidP="008740B0">
      <w:pPr>
        <w:widowControl w:val="0"/>
        <w:autoSpaceDE w:val="0"/>
        <w:autoSpaceDN w:val="0"/>
        <w:adjustRightInd w:val="0"/>
        <w:ind w:left="640" w:hanging="640"/>
        <w:rPr>
          <w:rFonts w:ascii="Times New Roman" w:hAnsi="Times New Roman"/>
          <w:noProof/>
        </w:rPr>
      </w:pPr>
    </w:p>
    <w:p w:rsidR="00E843B3" w:rsidRDefault="00E843B3" w:rsidP="008740B0">
      <w:pPr>
        <w:widowControl w:val="0"/>
        <w:autoSpaceDE w:val="0"/>
        <w:autoSpaceDN w:val="0"/>
        <w:adjustRightInd w:val="0"/>
        <w:spacing w:line="240" w:lineRule="auto"/>
        <w:ind w:left="640" w:hanging="640"/>
        <w:rPr>
          <w:rFonts w:ascii="Times New Roman" w:hAnsi="Times New Roman"/>
          <w:noProof/>
        </w:rPr>
      </w:pPr>
      <w:r w:rsidRPr="00E843B3">
        <w:rPr>
          <w:rFonts w:ascii="Times New Roman" w:hAnsi="Times New Roman"/>
          <w:noProof/>
        </w:rPr>
        <w:t>[11]</w:t>
      </w:r>
      <w:r w:rsidRPr="00E843B3">
        <w:rPr>
          <w:rFonts w:ascii="Times New Roman" w:hAnsi="Times New Roman"/>
          <w:noProof/>
        </w:rPr>
        <w:tab/>
        <w:t xml:space="preserve">R. G. Abramson, C. R. McGhee, N. Lakomkin, and C. L. Arteaga, “Pitfalls in RECIST Data Extraction for Clinical Trials: Beyond the Basics,” </w:t>
      </w:r>
      <w:r w:rsidRPr="00E843B3">
        <w:rPr>
          <w:rFonts w:ascii="Times New Roman" w:hAnsi="Times New Roman"/>
          <w:i/>
          <w:iCs/>
          <w:noProof/>
        </w:rPr>
        <w:t>Academic Radiology</w:t>
      </w:r>
      <w:r w:rsidRPr="00E843B3">
        <w:rPr>
          <w:rFonts w:ascii="Times New Roman" w:hAnsi="Times New Roman"/>
          <w:noProof/>
        </w:rPr>
        <w:t>, vol. 22, no. 6. pp. 779–786, 2015.</w:t>
      </w:r>
    </w:p>
    <w:p w:rsidR="008740B0" w:rsidRPr="00E843B3" w:rsidRDefault="008740B0" w:rsidP="008740B0">
      <w:pPr>
        <w:widowControl w:val="0"/>
        <w:autoSpaceDE w:val="0"/>
        <w:autoSpaceDN w:val="0"/>
        <w:adjustRightInd w:val="0"/>
        <w:ind w:left="640" w:hanging="640"/>
        <w:rPr>
          <w:rFonts w:ascii="Times New Roman" w:hAnsi="Times New Roman"/>
          <w:noProof/>
        </w:rPr>
      </w:pPr>
    </w:p>
    <w:p w:rsidR="00E843B3" w:rsidRDefault="00E843B3" w:rsidP="008740B0">
      <w:pPr>
        <w:widowControl w:val="0"/>
        <w:autoSpaceDE w:val="0"/>
        <w:autoSpaceDN w:val="0"/>
        <w:adjustRightInd w:val="0"/>
        <w:spacing w:line="240" w:lineRule="auto"/>
        <w:ind w:left="640" w:hanging="640"/>
        <w:rPr>
          <w:rFonts w:ascii="Times New Roman" w:hAnsi="Times New Roman"/>
          <w:noProof/>
        </w:rPr>
      </w:pPr>
      <w:r w:rsidRPr="00E843B3">
        <w:rPr>
          <w:rFonts w:ascii="Times New Roman" w:hAnsi="Times New Roman"/>
          <w:noProof/>
        </w:rPr>
        <w:t>[12]</w:t>
      </w:r>
      <w:r w:rsidRPr="00E843B3">
        <w:rPr>
          <w:rFonts w:ascii="Times New Roman" w:hAnsi="Times New Roman"/>
          <w:noProof/>
        </w:rPr>
        <w:tab/>
        <w:t xml:space="preserve">L. J. Fallowfield, L. J. Fallowfield, and A. Fleissig, “The value of progression-free survival to patients with advanced-stage cancer,” </w:t>
      </w:r>
      <w:r w:rsidRPr="00E843B3">
        <w:rPr>
          <w:rFonts w:ascii="Times New Roman" w:hAnsi="Times New Roman"/>
          <w:i/>
          <w:iCs/>
          <w:noProof/>
        </w:rPr>
        <w:t>Nat. Publ. Gr.</w:t>
      </w:r>
      <w:r w:rsidRPr="00E843B3">
        <w:rPr>
          <w:rFonts w:ascii="Times New Roman" w:hAnsi="Times New Roman"/>
          <w:noProof/>
        </w:rPr>
        <w:t>, vol. 9, no. 9, pp. 41–4710, 2011.</w:t>
      </w:r>
    </w:p>
    <w:p w:rsidR="008740B0" w:rsidRPr="00E843B3" w:rsidRDefault="008740B0" w:rsidP="008740B0">
      <w:pPr>
        <w:widowControl w:val="0"/>
        <w:autoSpaceDE w:val="0"/>
        <w:autoSpaceDN w:val="0"/>
        <w:adjustRightInd w:val="0"/>
        <w:ind w:left="640" w:hanging="640"/>
        <w:rPr>
          <w:rFonts w:ascii="Times New Roman" w:hAnsi="Times New Roman"/>
          <w:noProof/>
        </w:rPr>
      </w:pPr>
    </w:p>
    <w:p w:rsidR="00E843B3" w:rsidRDefault="00E843B3" w:rsidP="008740B0">
      <w:pPr>
        <w:widowControl w:val="0"/>
        <w:autoSpaceDE w:val="0"/>
        <w:autoSpaceDN w:val="0"/>
        <w:adjustRightInd w:val="0"/>
        <w:spacing w:line="240" w:lineRule="auto"/>
        <w:ind w:left="640" w:hanging="640"/>
        <w:rPr>
          <w:rFonts w:ascii="Times New Roman" w:hAnsi="Times New Roman"/>
          <w:noProof/>
        </w:rPr>
      </w:pPr>
      <w:r w:rsidRPr="00E843B3">
        <w:rPr>
          <w:rFonts w:ascii="Times New Roman" w:hAnsi="Times New Roman"/>
          <w:noProof/>
        </w:rPr>
        <w:t>[13]</w:t>
      </w:r>
      <w:r w:rsidRPr="00E843B3">
        <w:rPr>
          <w:rFonts w:ascii="Times New Roman" w:hAnsi="Times New Roman"/>
          <w:noProof/>
        </w:rPr>
        <w:tab/>
        <w:t xml:space="preserve">Y. Qiu </w:t>
      </w:r>
      <w:r w:rsidRPr="00E843B3">
        <w:rPr>
          <w:rFonts w:ascii="Times New Roman" w:hAnsi="Times New Roman"/>
          <w:i/>
          <w:iCs/>
          <w:noProof/>
        </w:rPr>
        <w:t>et al.</w:t>
      </w:r>
      <w:r w:rsidRPr="00E843B3">
        <w:rPr>
          <w:rFonts w:ascii="Times New Roman" w:hAnsi="Times New Roman"/>
          <w:noProof/>
        </w:rPr>
        <w:t xml:space="preserve">, “Early prediction of clinical benefit of treating ovarian cancer using quantitative CT image feature analysis.,” </w:t>
      </w:r>
      <w:r w:rsidRPr="00E843B3">
        <w:rPr>
          <w:rFonts w:ascii="Times New Roman" w:hAnsi="Times New Roman"/>
          <w:i/>
          <w:iCs/>
          <w:noProof/>
        </w:rPr>
        <w:t>Acta Radiol.</w:t>
      </w:r>
      <w:r w:rsidRPr="00E843B3">
        <w:rPr>
          <w:rFonts w:ascii="Times New Roman" w:hAnsi="Times New Roman"/>
          <w:noProof/>
        </w:rPr>
        <w:t>, 2015.</w:t>
      </w:r>
    </w:p>
    <w:p w:rsidR="008740B0" w:rsidRPr="00E843B3" w:rsidRDefault="008740B0" w:rsidP="008740B0">
      <w:pPr>
        <w:widowControl w:val="0"/>
        <w:autoSpaceDE w:val="0"/>
        <w:autoSpaceDN w:val="0"/>
        <w:adjustRightInd w:val="0"/>
        <w:ind w:left="640" w:hanging="640"/>
        <w:rPr>
          <w:rFonts w:ascii="Times New Roman" w:hAnsi="Times New Roman"/>
          <w:noProof/>
        </w:rPr>
      </w:pPr>
    </w:p>
    <w:p w:rsidR="00E843B3" w:rsidRDefault="00E843B3" w:rsidP="008740B0">
      <w:pPr>
        <w:widowControl w:val="0"/>
        <w:autoSpaceDE w:val="0"/>
        <w:autoSpaceDN w:val="0"/>
        <w:adjustRightInd w:val="0"/>
        <w:spacing w:line="240" w:lineRule="auto"/>
        <w:ind w:left="640" w:hanging="640"/>
        <w:rPr>
          <w:rFonts w:ascii="Times New Roman" w:hAnsi="Times New Roman"/>
          <w:noProof/>
        </w:rPr>
      </w:pPr>
      <w:r w:rsidRPr="00E843B3">
        <w:rPr>
          <w:rFonts w:ascii="Times New Roman" w:hAnsi="Times New Roman"/>
          <w:noProof/>
        </w:rPr>
        <w:t>[14]</w:t>
      </w:r>
      <w:r w:rsidRPr="00E843B3">
        <w:rPr>
          <w:rFonts w:ascii="Times New Roman" w:hAnsi="Times New Roman"/>
          <w:noProof/>
        </w:rPr>
        <w:tab/>
        <w:t xml:space="preserve">B. Zheng, Y. H. Chang, and D. Gur, “On the reporting of mass contrast in CAD research.,” </w:t>
      </w:r>
      <w:r w:rsidRPr="00E843B3">
        <w:rPr>
          <w:rFonts w:ascii="Times New Roman" w:hAnsi="Times New Roman"/>
          <w:i/>
          <w:iCs/>
          <w:noProof/>
        </w:rPr>
        <w:t>Med. Phys.</w:t>
      </w:r>
      <w:r w:rsidRPr="00E843B3">
        <w:rPr>
          <w:rFonts w:ascii="Times New Roman" w:hAnsi="Times New Roman"/>
          <w:noProof/>
        </w:rPr>
        <w:t>, vol. 23, no. 12, pp. 2007–9, 1996.</w:t>
      </w:r>
    </w:p>
    <w:p w:rsidR="008740B0" w:rsidRPr="00E843B3" w:rsidRDefault="008740B0" w:rsidP="008740B0">
      <w:pPr>
        <w:widowControl w:val="0"/>
        <w:autoSpaceDE w:val="0"/>
        <w:autoSpaceDN w:val="0"/>
        <w:adjustRightInd w:val="0"/>
        <w:ind w:left="640" w:hanging="640"/>
        <w:rPr>
          <w:rFonts w:ascii="Times New Roman" w:hAnsi="Times New Roman"/>
          <w:noProof/>
        </w:rPr>
      </w:pPr>
    </w:p>
    <w:p w:rsidR="00E843B3" w:rsidRDefault="00E843B3" w:rsidP="008740B0">
      <w:pPr>
        <w:widowControl w:val="0"/>
        <w:autoSpaceDE w:val="0"/>
        <w:autoSpaceDN w:val="0"/>
        <w:adjustRightInd w:val="0"/>
        <w:spacing w:line="240" w:lineRule="auto"/>
        <w:ind w:left="640" w:hanging="640"/>
        <w:rPr>
          <w:rFonts w:ascii="Times New Roman" w:hAnsi="Times New Roman"/>
          <w:noProof/>
        </w:rPr>
      </w:pPr>
      <w:r w:rsidRPr="00E843B3">
        <w:rPr>
          <w:rFonts w:ascii="Times New Roman" w:hAnsi="Times New Roman"/>
          <w:noProof/>
        </w:rPr>
        <w:t>[15]</w:t>
      </w:r>
      <w:r w:rsidRPr="00E843B3">
        <w:rPr>
          <w:rFonts w:ascii="Times New Roman" w:hAnsi="Times New Roman"/>
          <w:noProof/>
        </w:rPr>
        <w:tab/>
        <w:t xml:space="preserve">G. M. te Brake, N. Karssemeijer, and J. H. C. L. Hendriks, “An automatic method to discriminate malignant masses from normal tissue in digital mammograms,” </w:t>
      </w:r>
      <w:r w:rsidRPr="00E843B3">
        <w:rPr>
          <w:rFonts w:ascii="Times New Roman" w:hAnsi="Times New Roman"/>
          <w:i/>
          <w:iCs/>
          <w:noProof/>
        </w:rPr>
        <w:t>Phys. Med. Biol.</w:t>
      </w:r>
      <w:r w:rsidRPr="00E843B3">
        <w:rPr>
          <w:rFonts w:ascii="Times New Roman" w:hAnsi="Times New Roman"/>
          <w:noProof/>
        </w:rPr>
        <w:t>, vol. 45, no. 10, pp. 2843–2857, 2000.</w:t>
      </w:r>
    </w:p>
    <w:p w:rsidR="008740B0" w:rsidRPr="00E843B3" w:rsidRDefault="008740B0" w:rsidP="008740B0">
      <w:pPr>
        <w:widowControl w:val="0"/>
        <w:autoSpaceDE w:val="0"/>
        <w:autoSpaceDN w:val="0"/>
        <w:adjustRightInd w:val="0"/>
        <w:ind w:left="640" w:hanging="640"/>
        <w:rPr>
          <w:rFonts w:ascii="Times New Roman" w:hAnsi="Times New Roman"/>
          <w:noProof/>
        </w:rPr>
      </w:pPr>
    </w:p>
    <w:p w:rsidR="00E843B3" w:rsidRDefault="00E843B3" w:rsidP="008740B0">
      <w:pPr>
        <w:widowControl w:val="0"/>
        <w:autoSpaceDE w:val="0"/>
        <w:autoSpaceDN w:val="0"/>
        <w:adjustRightInd w:val="0"/>
        <w:spacing w:line="240" w:lineRule="auto"/>
        <w:ind w:left="640" w:hanging="640"/>
        <w:rPr>
          <w:rFonts w:ascii="Times New Roman" w:hAnsi="Times New Roman"/>
          <w:noProof/>
        </w:rPr>
      </w:pPr>
      <w:r w:rsidRPr="00E843B3">
        <w:rPr>
          <w:rFonts w:ascii="Times New Roman" w:hAnsi="Times New Roman"/>
          <w:noProof/>
        </w:rPr>
        <w:t>[16]</w:t>
      </w:r>
      <w:r w:rsidRPr="00E843B3">
        <w:rPr>
          <w:rFonts w:ascii="Times New Roman" w:hAnsi="Times New Roman"/>
          <w:noProof/>
        </w:rPr>
        <w:tab/>
        <w:t xml:space="preserve">G. M. Brake, N. Karssemeijer, and J. H. C. L. Hendriks, “An automatic method to discriminate malignant masses from normal tissue in digital mammograms An automatic method to discriminate malignant masses from normal tissue in digital mammograms,” </w:t>
      </w:r>
      <w:r w:rsidRPr="00E843B3">
        <w:rPr>
          <w:rFonts w:ascii="Times New Roman" w:hAnsi="Times New Roman"/>
          <w:i/>
          <w:iCs/>
          <w:noProof/>
        </w:rPr>
        <w:t>Phys. Med. Biol.</w:t>
      </w:r>
      <w:r w:rsidRPr="00E843B3">
        <w:rPr>
          <w:rFonts w:ascii="Times New Roman" w:hAnsi="Times New Roman"/>
          <w:noProof/>
        </w:rPr>
        <w:t>, vol. 45, pp. 2843–2587, 2000.</w:t>
      </w:r>
    </w:p>
    <w:p w:rsidR="008740B0" w:rsidRPr="00E843B3" w:rsidRDefault="008740B0" w:rsidP="008740B0">
      <w:pPr>
        <w:widowControl w:val="0"/>
        <w:autoSpaceDE w:val="0"/>
        <w:autoSpaceDN w:val="0"/>
        <w:adjustRightInd w:val="0"/>
        <w:ind w:left="640" w:hanging="640"/>
        <w:rPr>
          <w:rFonts w:ascii="Times New Roman" w:hAnsi="Times New Roman"/>
          <w:noProof/>
        </w:rPr>
      </w:pPr>
    </w:p>
    <w:p w:rsidR="00E843B3" w:rsidRDefault="00E843B3" w:rsidP="008740B0">
      <w:pPr>
        <w:widowControl w:val="0"/>
        <w:autoSpaceDE w:val="0"/>
        <w:autoSpaceDN w:val="0"/>
        <w:adjustRightInd w:val="0"/>
        <w:spacing w:line="240" w:lineRule="auto"/>
        <w:ind w:left="640" w:hanging="640"/>
        <w:rPr>
          <w:rFonts w:ascii="Times New Roman" w:hAnsi="Times New Roman"/>
          <w:noProof/>
        </w:rPr>
      </w:pPr>
      <w:r w:rsidRPr="00E843B3">
        <w:rPr>
          <w:rFonts w:ascii="Times New Roman" w:hAnsi="Times New Roman"/>
          <w:noProof/>
        </w:rPr>
        <w:t>[17]</w:t>
      </w:r>
      <w:r w:rsidRPr="00E843B3">
        <w:rPr>
          <w:rFonts w:ascii="Times New Roman" w:hAnsi="Times New Roman"/>
          <w:noProof/>
        </w:rPr>
        <w:tab/>
        <w:t xml:space="preserve">B. Zheng </w:t>
      </w:r>
      <w:r w:rsidRPr="00E843B3">
        <w:rPr>
          <w:rFonts w:ascii="Times New Roman" w:hAnsi="Times New Roman"/>
          <w:i/>
          <w:iCs/>
          <w:noProof/>
        </w:rPr>
        <w:t>et al.</w:t>
      </w:r>
      <w:r w:rsidRPr="00E843B3">
        <w:rPr>
          <w:rFonts w:ascii="Times New Roman" w:hAnsi="Times New Roman"/>
          <w:noProof/>
        </w:rPr>
        <w:t xml:space="preserve">, “A method to improve visual similarity of breast masses for an interactive computer-aided diagnosis environment.,” </w:t>
      </w:r>
      <w:r w:rsidRPr="00E843B3">
        <w:rPr>
          <w:rFonts w:ascii="Times New Roman" w:hAnsi="Times New Roman"/>
          <w:i/>
          <w:iCs/>
          <w:noProof/>
        </w:rPr>
        <w:t>Med. Phys.</w:t>
      </w:r>
      <w:r w:rsidRPr="00E843B3">
        <w:rPr>
          <w:rFonts w:ascii="Times New Roman" w:hAnsi="Times New Roman"/>
          <w:noProof/>
        </w:rPr>
        <w:t>, vol. 33, no. 1, pp. 111–117, 2006.</w:t>
      </w:r>
    </w:p>
    <w:p w:rsidR="008740B0" w:rsidRPr="00E843B3" w:rsidRDefault="008740B0" w:rsidP="008740B0">
      <w:pPr>
        <w:widowControl w:val="0"/>
        <w:autoSpaceDE w:val="0"/>
        <w:autoSpaceDN w:val="0"/>
        <w:adjustRightInd w:val="0"/>
        <w:ind w:left="640" w:hanging="640"/>
        <w:rPr>
          <w:rFonts w:ascii="Times New Roman" w:hAnsi="Times New Roman"/>
          <w:noProof/>
        </w:rPr>
      </w:pPr>
    </w:p>
    <w:p w:rsidR="00E843B3" w:rsidRDefault="00E843B3" w:rsidP="008740B0">
      <w:pPr>
        <w:widowControl w:val="0"/>
        <w:autoSpaceDE w:val="0"/>
        <w:autoSpaceDN w:val="0"/>
        <w:adjustRightInd w:val="0"/>
        <w:spacing w:line="240" w:lineRule="auto"/>
        <w:ind w:left="640" w:hanging="640"/>
        <w:rPr>
          <w:rFonts w:ascii="Times New Roman" w:hAnsi="Times New Roman"/>
          <w:noProof/>
        </w:rPr>
      </w:pPr>
      <w:r w:rsidRPr="00E843B3">
        <w:rPr>
          <w:rFonts w:ascii="Times New Roman" w:hAnsi="Times New Roman"/>
          <w:noProof/>
        </w:rPr>
        <w:t>[18]</w:t>
      </w:r>
      <w:r w:rsidRPr="00E843B3">
        <w:rPr>
          <w:rFonts w:ascii="Times New Roman" w:hAnsi="Times New Roman"/>
          <w:noProof/>
        </w:rPr>
        <w:tab/>
        <w:t xml:space="preserve">H. J. Aerts </w:t>
      </w:r>
      <w:r w:rsidRPr="00E843B3">
        <w:rPr>
          <w:rFonts w:ascii="Times New Roman" w:hAnsi="Times New Roman"/>
          <w:i/>
          <w:iCs/>
          <w:noProof/>
        </w:rPr>
        <w:t>et al.</w:t>
      </w:r>
      <w:r w:rsidRPr="00E843B3">
        <w:rPr>
          <w:rFonts w:ascii="Times New Roman" w:hAnsi="Times New Roman"/>
          <w:noProof/>
        </w:rPr>
        <w:t xml:space="preserve">, “Decoding tumour phenotype by noninvasive imaging using a quantitative radiomics approach,” </w:t>
      </w:r>
      <w:r w:rsidRPr="00E843B3">
        <w:rPr>
          <w:rFonts w:ascii="Times New Roman" w:hAnsi="Times New Roman"/>
          <w:i/>
          <w:iCs/>
          <w:noProof/>
        </w:rPr>
        <w:t>Nat Commun</w:t>
      </w:r>
      <w:r w:rsidRPr="00E843B3">
        <w:rPr>
          <w:rFonts w:ascii="Times New Roman" w:hAnsi="Times New Roman"/>
          <w:noProof/>
        </w:rPr>
        <w:t>, vol. 5, p. 4006, 2014.</w:t>
      </w:r>
    </w:p>
    <w:p w:rsidR="008740B0" w:rsidRPr="00E843B3" w:rsidRDefault="008740B0" w:rsidP="008740B0">
      <w:pPr>
        <w:widowControl w:val="0"/>
        <w:autoSpaceDE w:val="0"/>
        <w:autoSpaceDN w:val="0"/>
        <w:adjustRightInd w:val="0"/>
        <w:ind w:left="640" w:hanging="640"/>
        <w:rPr>
          <w:rFonts w:ascii="Times New Roman" w:hAnsi="Times New Roman"/>
          <w:noProof/>
        </w:rPr>
      </w:pPr>
    </w:p>
    <w:p w:rsidR="00E843B3" w:rsidRDefault="00E843B3" w:rsidP="008740B0">
      <w:pPr>
        <w:widowControl w:val="0"/>
        <w:autoSpaceDE w:val="0"/>
        <w:autoSpaceDN w:val="0"/>
        <w:adjustRightInd w:val="0"/>
        <w:spacing w:line="240" w:lineRule="auto"/>
        <w:ind w:left="640" w:hanging="640"/>
        <w:rPr>
          <w:rFonts w:ascii="Times New Roman" w:hAnsi="Times New Roman"/>
          <w:noProof/>
        </w:rPr>
      </w:pPr>
      <w:r w:rsidRPr="00E843B3">
        <w:rPr>
          <w:rFonts w:ascii="Times New Roman" w:hAnsi="Times New Roman"/>
          <w:noProof/>
        </w:rPr>
        <w:t>[19]</w:t>
      </w:r>
      <w:r w:rsidRPr="00E843B3">
        <w:rPr>
          <w:rFonts w:ascii="Times New Roman" w:hAnsi="Times New Roman"/>
          <w:noProof/>
        </w:rPr>
        <w:tab/>
        <w:t xml:space="preserve">R. M. Haralick, K. Shanmugam, and I. Dinstein, “Textural Features for Image Classification,” </w:t>
      </w:r>
      <w:r w:rsidRPr="00E843B3">
        <w:rPr>
          <w:rFonts w:ascii="Times New Roman" w:hAnsi="Times New Roman"/>
          <w:i/>
          <w:iCs/>
          <w:noProof/>
        </w:rPr>
        <w:t>Syst. Man Cybern. IEEE Trans.</w:t>
      </w:r>
      <w:r w:rsidRPr="00E843B3">
        <w:rPr>
          <w:rFonts w:ascii="Times New Roman" w:hAnsi="Times New Roman"/>
          <w:noProof/>
        </w:rPr>
        <w:t>, no. 6, pp. 610–621, 1973.</w:t>
      </w:r>
    </w:p>
    <w:p w:rsidR="008740B0" w:rsidRPr="00E843B3" w:rsidRDefault="008740B0" w:rsidP="008740B0">
      <w:pPr>
        <w:widowControl w:val="0"/>
        <w:autoSpaceDE w:val="0"/>
        <w:autoSpaceDN w:val="0"/>
        <w:adjustRightInd w:val="0"/>
        <w:ind w:left="640" w:hanging="640"/>
        <w:rPr>
          <w:rFonts w:ascii="Times New Roman" w:hAnsi="Times New Roman"/>
          <w:noProof/>
        </w:rPr>
      </w:pPr>
    </w:p>
    <w:p w:rsidR="00E843B3" w:rsidRDefault="00E843B3" w:rsidP="008740B0">
      <w:pPr>
        <w:widowControl w:val="0"/>
        <w:autoSpaceDE w:val="0"/>
        <w:autoSpaceDN w:val="0"/>
        <w:adjustRightInd w:val="0"/>
        <w:spacing w:line="240" w:lineRule="auto"/>
        <w:ind w:left="640" w:hanging="640"/>
        <w:rPr>
          <w:rFonts w:ascii="Times New Roman" w:hAnsi="Times New Roman"/>
          <w:noProof/>
        </w:rPr>
      </w:pPr>
      <w:r w:rsidRPr="00E843B3">
        <w:rPr>
          <w:rFonts w:ascii="Times New Roman" w:hAnsi="Times New Roman"/>
          <w:noProof/>
        </w:rPr>
        <w:t>[20]</w:t>
      </w:r>
      <w:r w:rsidRPr="00E843B3">
        <w:rPr>
          <w:rFonts w:ascii="Times New Roman" w:hAnsi="Times New Roman"/>
          <w:noProof/>
        </w:rPr>
        <w:tab/>
        <w:t xml:space="preserve">X. Tang, “Texture information in run-length matrices,” </w:t>
      </w:r>
      <w:r w:rsidRPr="00E843B3">
        <w:rPr>
          <w:rFonts w:ascii="Times New Roman" w:hAnsi="Times New Roman"/>
          <w:i/>
          <w:iCs/>
          <w:noProof/>
        </w:rPr>
        <w:t xml:space="preserve">IEEE Trans. Image </w:t>
      </w:r>
      <w:r w:rsidRPr="00E843B3">
        <w:rPr>
          <w:rFonts w:ascii="Times New Roman" w:hAnsi="Times New Roman"/>
          <w:i/>
          <w:iCs/>
          <w:noProof/>
        </w:rPr>
        <w:lastRenderedPageBreak/>
        <w:t>Process.</w:t>
      </w:r>
      <w:r w:rsidRPr="00E843B3">
        <w:rPr>
          <w:rFonts w:ascii="Times New Roman" w:hAnsi="Times New Roman"/>
          <w:noProof/>
        </w:rPr>
        <w:t>, vol. 7, no. 11, pp. 1602–1609, 1998.</w:t>
      </w:r>
    </w:p>
    <w:p w:rsidR="008740B0" w:rsidRPr="00E843B3" w:rsidRDefault="008740B0" w:rsidP="008740B0">
      <w:pPr>
        <w:widowControl w:val="0"/>
        <w:autoSpaceDE w:val="0"/>
        <w:autoSpaceDN w:val="0"/>
        <w:adjustRightInd w:val="0"/>
        <w:ind w:left="640" w:hanging="640"/>
        <w:rPr>
          <w:rFonts w:ascii="Times New Roman" w:hAnsi="Times New Roman"/>
          <w:noProof/>
        </w:rPr>
      </w:pPr>
    </w:p>
    <w:p w:rsidR="00E843B3" w:rsidRDefault="00E843B3" w:rsidP="008740B0">
      <w:pPr>
        <w:widowControl w:val="0"/>
        <w:autoSpaceDE w:val="0"/>
        <w:autoSpaceDN w:val="0"/>
        <w:adjustRightInd w:val="0"/>
        <w:spacing w:line="240" w:lineRule="auto"/>
        <w:ind w:left="640" w:hanging="640"/>
        <w:rPr>
          <w:rFonts w:ascii="Times New Roman" w:hAnsi="Times New Roman"/>
          <w:noProof/>
        </w:rPr>
      </w:pPr>
      <w:r w:rsidRPr="00E843B3">
        <w:rPr>
          <w:rFonts w:ascii="Times New Roman" w:hAnsi="Times New Roman"/>
          <w:noProof/>
        </w:rPr>
        <w:t>[21]</w:t>
      </w:r>
      <w:r w:rsidRPr="00E843B3">
        <w:rPr>
          <w:rFonts w:ascii="Times New Roman" w:hAnsi="Times New Roman"/>
          <w:noProof/>
        </w:rPr>
        <w:tab/>
        <w:t xml:space="preserve">M. M. Galloway, “Texture analysis using gray level run lengths,” </w:t>
      </w:r>
      <w:r w:rsidRPr="00E843B3">
        <w:rPr>
          <w:rFonts w:ascii="Times New Roman" w:hAnsi="Times New Roman"/>
          <w:i/>
          <w:iCs/>
          <w:noProof/>
        </w:rPr>
        <w:t>Comput. Graph. Image Process.</w:t>
      </w:r>
      <w:r w:rsidRPr="00E843B3">
        <w:rPr>
          <w:rFonts w:ascii="Times New Roman" w:hAnsi="Times New Roman"/>
          <w:noProof/>
        </w:rPr>
        <w:t>, vol. 4, no. 2, pp. 172–179, 1975.</w:t>
      </w:r>
    </w:p>
    <w:p w:rsidR="008740B0" w:rsidRPr="00E843B3" w:rsidRDefault="008740B0" w:rsidP="008740B0">
      <w:pPr>
        <w:widowControl w:val="0"/>
        <w:autoSpaceDE w:val="0"/>
        <w:autoSpaceDN w:val="0"/>
        <w:adjustRightInd w:val="0"/>
        <w:ind w:left="640" w:hanging="640"/>
        <w:rPr>
          <w:rFonts w:ascii="Times New Roman" w:hAnsi="Times New Roman"/>
          <w:noProof/>
        </w:rPr>
      </w:pPr>
    </w:p>
    <w:p w:rsidR="00E843B3" w:rsidRDefault="00E843B3" w:rsidP="008740B0">
      <w:pPr>
        <w:widowControl w:val="0"/>
        <w:autoSpaceDE w:val="0"/>
        <w:autoSpaceDN w:val="0"/>
        <w:adjustRightInd w:val="0"/>
        <w:spacing w:line="240" w:lineRule="auto"/>
        <w:ind w:left="640" w:hanging="640"/>
        <w:rPr>
          <w:rFonts w:ascii="Times New Roman" w:hAnsi="Times New Roman"/>
          <w:noProof/>
        </w:rPr>
      </w:pPr>
      <w:r w:rsidRPr="00E843B3">
        <w:rPr>
          <w:rFonts w:ascii="Times New Roman" w:hAnsi="Times New Roman"/>
          <w:noProof/>
        </w:rPr>
        <w:t>[22]</w:t>
      </w:r>
      <w:r w:rsidRPr="00E843B3">
        <w:rPr>
          <w:rFonts w:ascii="Times New Roman" w:hAnsi="Times New Roman"/>
          <w:noProof/>
        </w:rPr>
        <w:tab/>
        <w:t xml:space="preserve">A. Chu, C. M. Sehgal, and J. F. Greenleaf, “Use of gray value distribution of run lengths for texture analysis,” </w:t>
      </w:r>
      <w:r w:rsidRPr="00E843B3">
        <w:rPr>
          <w:rFonts w:ascii="Times New Roman" w:hAnsi="Times New Roman"/>
          <w:i/>
          <w:iCs/>
          <w:noProof/>
        </w:rPr>
        <w:t>Pattern Recognit. Lett.</w:t>
      </w:r>
      <w:r w:rsidRPr="00E843B3">
        <w:rPr>
          <w:rFonts w:ascii="Times New Roman" w:hAnsi="Times New Roman"/>
          <w:noProof/>
        </w:rPr>
        <w:t>, vol. 11, no. 6, pp. 415–419, 1990.</w:t>
      </w:r>
    </w:p>
    <w:p w:rsidR="008740B0" w:rsidRPr="00E843B3" w:rsidRDefault="008740B0" w:rsidP="008740B0">
      <w:pPr>
        <w:widowControl w:val="0"/>
        <w:autoSpaceDE w:val="0"/>
        <w:autoSpaceDN w:val="0"/>
        <w:adjustRightInd w:val="0"/>
        <w:ind w:left="640" w:hanging="640"/>
        <w:rPr>
          <w:rFonts w:ascii="Times New Roman" w:hAnsi="Times New Roman"/>
          <w:noProof/>
        </w:rPr>
      </w:pPr>
    </w:p>
    <w:p w:rsidR="00E843B3" w:rsidRDefault="00E843B3" w:rsidP="008740B0">
      <w:pPr>
        <w:widowControl w:val="0"/>
        <w:autoSpaceDE w:val="0"/>
        <w:autoSpaceDN w:val="0"/>
        <w:adjustRightInd w:val="0"/>
        <w:spacing w:line="240" w:lineRule="auto"/>
        <w:ind w:left="640" w:hanging="640"/>
        <w:rPr>
          <w:rFonts w:ascii="Times New Roman" w:hAnsi="Times New Roman"/>
          <w:noProof/>
        </w:rPr>
      </w:pPr>
      <w:r w:rsidRPr="00E843B3">
        <w:rPr>
          <w:rFonts w:ascii="Times New Roman" w:hAnsi="Times New Roman"/>
          <w:noProof/>
        </w:rPr>
        <w:t>[23]</w:t>
      </w:r>
      <w:r w:rsidRPr="00E843B3">
        <w:rPr>
          <w:rFonts w:ascii="Times New Roman" w:hAnsi="Times New Roman"/>
          <w:noProof/>
        </w:rPr>
        <w:tab/>
        <w:t xml:space="preserve">B. V. Dasarathy and E. B. Holder, “Image characterizations based on joint gray level-run length distributions,” </w:t>
      </w:r>
      <w:r w:rsidRPr="00E843B3">
        <w:rPr>
          <w:rFonts w:ascii="Times New Roman" w:hAnsi="Times New Roman"/>
          <w:i/>
          <w:iCs/>
          <w:noProof/>
        </w:rPr>
        <w:t>Pattern Recognit. Lett.</w:t>
      </w:r>
      <w:r w:rsidRPr="00E843B3">
        <w:rPr>
          <w:rFonts w:ascii="Times New Roman" w:hAnsi="Times New Roman"/>
          <w:noProof/>
        </w:rPr>
        <w:t>, vol. 12, no. 8, pp. 497–502, 1991.</w:t>
      </w:r>
    </w:p>
    <w:p w:rsidR="008740B0" w:rsidRPr="00E843B3" w:rsidRDefault="008740B0" w:rsidP="008740B0">
      <w:pPr>
        <w:widowControl w:val="0"/>
        <w:autoSpaceDE w:val="0"/>
        <w:autoSpaceDN w:val="0"/>
        <w:adjustRightInd w:val="0"/>
        <w:ind w:left="640" w:hanging="640"/>
        <w:rPr>
          <w:rFonts w:ascii="Times New Roman" w:hAnsi="Times New Roman"/>
          <w:noProof/>
        </w:rPr>
      </w:pPr>
    </w:p>
    <w:p w:rsidR="00E843B3" w:rsidRDefault="00E843B3" w:rsidP="008740B0">
      <w:pPr>
        <w:widowControl w:val="0"/>
        <w:autoSpaceDE w:val="0"/>
        <w:autoSpaceDN w:val="0"/>
        <w:adjustRightInd w:val="0"/>
        <w:spacing w:line="240" w:lineRule="auto"/>
        <w:ind w:left="640" w:hanging="640"/>
        <w:rPr>
          <w:rFonts w:ascii="Times New Roman" w:hAnsi="Times New Roman"/>
          <w:noProof/>
        </w:rPr>
      </w:pPr>
      <w:r w:rsidRPr="00E843B3">
        <w:rPr>
          <w:rFonts w:ascii="Times New Roman" w:hAnsi="Times New Roman"/>
          <w:noProof/>
        </w:rPr>
        <w:t>[24]</w:t>
      </w:r>
      <w:r w:rsidRPr="00E843B3">
        <w:rPr>
          <w:rFonts w:ascii="Times New Roman" w:hAnsi="Times New Roman"/>
          <w:noProof/>
        </w:rPr>
        <w:tab/>
        <w:t xml:space="preserve">B. Zheng, “Computer-Aided Detection in Mammography : An Assessment of Performance on Current and Prior Images,” </w:t>
      </w:r>
      <w:r w:rsidRPr="00E843B3">
        <w:rPr>
          <w:rFonts w:ascii="Times New Roman" w:hAnsi="Times New Roman"/>
          <w:i/>
          <w:iCs/>
          <w:noProof/>
        </w:rPr>
        <w:t>Acad. Radiol.</w:t>
      </w:r>
      <w:r w:rsidRPr="00E843B3">
        <w:rPr>
          <w:rFonts w:ascii="Times New Roman" w:hAnsi="Times New Roman"/>
          <w:noProof/>
        </w:rPr>
        <w:t>, vol. 9, no. 11, pp. 1245–1250, 2002.</w:t>
      </w:r>
    </w:p>
    <w:p w:rsidR="008740B0" w:rsidRPr="00E843B3" w:rsidRDefault="008740B0" w:rsidP="008740B0">
      <w:pPr>
        <w:widowControl w:val="0"/>
        <w:autoSpaceDE w:val="0"/>
        <w:autoSpaceDN w:val="0"/>
        <w:adjustRightInd w:val="0"/>
        <w:ind w:left="640" w:hanging="640"/>
        <w:rPr>
          <w:rFonts w:ascii="Times New Roman" w:hAnsi="Times New Roman"/>
          <w:noProof/>
        </w:rPr>
      </w:pPr>
    </w:p>
    <w:p w:rsidR="00E843B3" w:rsidRDefault="00E843B3" w:rsidP="008740B0">
      <w:pPr>
        <w:widowControl w:val="0"/>
        <w:autoSpaceDE w:val="0"/>
        <w:autoSpaceDN w:val="0"/>
        <w:adjustRightInd w:val="0"/>
        <w:spacing w:line="240" w:lineRule="auto"/>
        <w:ind w:left="640" w:hanging="640"/>
        <w:rPr>
          <w:rFonts w:ascii="Times New Roman" w:hAnsi="Times New Roman"/>
          <w:noProof/>
        </w:rPr>
      </w:pPr>
      <w:r w:rsidRPr="00E843B3">
        <w:rPr>
          <w:rFonts w:ascii="Times New Roman" w:hAnsi="Times New Roman"/>
          <w:noProof/>
        </w:rPr>
        <w:t>[25]</w:t>
      </w:r>
      <w:r w:rsidRPr="00E843B3">
        <w:rPr>
          <w:rFonts w:ascii="Times New Roman" w:hAnsi="Times New Roman"/>
          <w:noProof/>
        </w:rPr>
        <w:tab/>
        <w:t xml:space="preserve">C. E. Metz, B. A. Herman, and J.-H. Shen, “Maximum Likelihood Estimation of Receiver Operating Characteristic (Roc) Curves From Continuously-Distributed Data,” </w:t>
      </w:r>
      <w:r w:rsidRPr="00E843B3">
        <w:rPr>
          <w:rFonts w:ascii="Times New Roman" w:hAnsi="Times New Roman"/>
          <w:i/>
          <w:iCs/>
          <w:noProof/>
        </w:rPr>
        <w:t>Ltd. Revis.</w:t>
      </w:r>
      <w:bookmarkStart w:id="69" w:name="_GoBack"/>
      <w:bookmarkEnd w:id="69"/>
      <w:r w:rsidRPr="00E843B3">
        <w:rPr>
          <w:rFonts w:ascii="Times New Roman" w:hAnsi="Times New Roman"/>
          <w:i/>
          <w:iCs/>
          <w:noProof/>
        </w:rPr>
        <w:t xml:space="preserve"> May Stat. Med. Stat. Med</w:t>
      </w:r>
      <w:r w:rsidRPr="00E843B3">
        <w:rPr>
          <w:rFonts w:ascii="Times New Roman" w:hAnsi="Times New Roman"/>
          <w:noProof/>
        </w:rPr>
        <w:t>, vol. 17, no. October 1996, pp. 1033–1053, 1996.</w:t>
      </w:r>
    </w:p>
    <w:p w:rsidR="008740B0" w:rsidRPr="00E843B3" w:rsidRDefault="008740B0" w:rsidP="008740B0">
      <w:pPr>
        <w:widowControl w:val="0"/>
        <w:autoSpaceDE w:val="0"/>
        <w:autoSpaceDN w:val="0"/>
        <w:adjustRightInd w:val="0"/>
        <w:ind w:left="640" w:hanging="640"/>
        <w:rPr>
          <w:rFonts w:ascii="Times New Roman" w:hAnsi="Times New Roman"/>
          <w:noProof/>
        </w:rPr>
      </w:pPr>
    </w:p>
    <w:p w:rsidR="00E843B3" w:rsidRDefault="00E843B3" w:rsidP="008740B0">
      <w:pPr>
        <w:widowControl w:val="0"/>
        <w:autoSpaceDE w:val="0"/>
        <w:autoSpaceDN w:val="0"/>
        <w:adjustRightInd w:val="0"/>
        <w:spacing w:line="240" w:lineRule="auto"/>
        <w:ind w:left="640" w:hanging="640"/>
        <w:rPr>
          <w:rFonts w:ascii="Times New Roman" w:hAnsi="Times New Roman"/>
          <w:noProof/>
        </w:rPr>
      </w:pPr>
      <w:r w:rsidRPr="00E843B3">
        <w:rPr>
          <w:rFonts w:ascii="Times New Roman" w:hAnsi="Times New Roman"/>
          <w:noProof/>
        </w:rPr>
        <w:t>[26]</w:t>
      </w:r>
      <w:r w:rsidRPr="00E843B3">
        <w:rPr>
          <w:rFonts w:ascii="Times New Roman" w:hAnsi="Times New Roman"/>
          <w:noProof/>
        </w:rPr>
        <w:tab/>
        <w:t xml:space="preserve">R. a Burger, M. W. Sill, B. J. Monk, B. E. Greer, and J. I. Sorosky, “Phase II trial of bevacizumab in persistent or recurrent epithelial ovarian cancer or primary peritoneal cancer: a Gynecologic Oncology Group Study,” </w:t>
      </w:r>
      <w:r w:rsidRPr="00E843B3">
        <w:rPr>
          <w:rFonts w:ascii="Times New Roman" w:hAnsi="Times New Roman"/>
          <w:i/>
          <w:iCs/>
          <w:noProof/>
        </w:rPr>
        <w:t>J. Clin. Oncol.</w:t>
      </w:r>
      <w:r w:rsidRPr="00E843B3">
        <w:rPr>
          <w:rFonts w:ascii="Times New Roman" w:hAnsi="Times New Roman"/>
          <w:noProof/>
        </w:rPr>
        <w:t>, vol. 25, no. 33, pp. 5165–71, 2007.</w:t>
      </w:r>
    </w:p>
    <w:p w:rsidR="008740B0" w:rsidRPr="00E843B3" w:rsidRDefault="008740B0" w:rsidP="008740B0">
      <w:pPr>
        <w:widowControl w:val="0"/>
        <w:autoSpaceDE w:val="0"/>
        <w:autoSpaceDN w:val="0"/>
        <w:adjustRightInd w:val="0"/>
        <w:ind w:left="640" w:hanging="640"/>
        <w:rPr>
          <w:rFonts w:ascii="Times New Roman" w:hAnsi="Times New Roman"/>
          <w:noProof/>
        </w:rPr>
      </w:pPr>
    </w:p>
    <w:p w:rsidR="00E843B3" w:rsidRDefault="00E843B3" w:rsidP="008740B0">
      <w:pPr>
        <w:widowControl w:val="0"/>
        <w:autoSpaceDE w:val="0"/>
        <w:autoSpaceDN w:val="0"/>
        <w:adjustRightInd w:val="0"/>
        <w:spacing w:line="240" w:lineRule="auto"/>
        <w:ind w:left="640" w:hanging="640"/>
        <w:rPr>
          <w:rFonts w:ascii="Times New Roman" w:hAnsi="Times New Roman"/>
          <w:noProof/>
        </w:rPr>
      </w:pPr>
      <w:r w:rsidRPr="00E843B3">
        <w:rPr>
          <w:rFonts w:ascii="Times New Roman" w:hAnsi="Times New Roman"/>
          <w:noProof/>
        </w:rPr>
        <w:t>[27]</w:t>
      </w:r>
      <w:r w:rsidRPr="00E843B3">
        <w:rPr>
          <w:rFonts w:ascii="Times New Roman" w:hAnsi="Times New Roman"/>
          <w:noProof/>
        </w:rPr>
        <w:tab/>
        <w:t xml:space="preserve">J. D. Wolchok </w:t>
      </w:r>
      <w:r w:rsidRPr="00E843B3">
        <w:rPr>
          <w:rFonts w:ascii="Times New Roman" w:hAnsi="Times New Roman"/>
          <w:i/>
          <w:iCs/>
          <w:noProof/>
        </w:rPr>
        <w:t>et al.</w:t>
      </w:r>
      <w:r w:rsidRPr="00E843B3">
        <w:rPr>
          <w:rFonts w:ascii="Times New Roman" w:hAnsi="Times New Roman"/>
          <w:noProof/>
        </w:rPr>
        <w:t xml:space="preserve">, “Guidelines for the evaluation of immune therapy activity in solid tumors: Immune-related response criteria,” </w:t>
      </w:r>
      <w:r w:rsidRPr="00E843B3">
        <w:rPr>
          <w:rFonts w:ascii="Times New Roman" w:hAnsi="Times New Roman"/>
          <w:i/>
          <w:iCs/>
          <w:noProof/>
        </w:rPr>
        <w:t>Clin. Cancer Res.</w:t>
      </w:r>
      <w:r w:rsidRPr="00E843B3">
        <w:rPr>
          <w:rFonts w:ascii="Times New Roman" w:hAnsi="Times New Roman"/>
          <w:noProof/>
        </w:rPr>
        <w:t>, vol. 15, no. 23, pp. 7412–7420, 2009.</w:t>
      </w:r>
    </w:p>
    <w:p w:rsidR="008740B0" w:rsidRPr="00E843B3" w:rsidRDefault="008740B0" w:rsidP="008740B0">
      <w:pPr>
        <w:widowControl w:val="0"/>
        <w:autoSpaceDE w:val="0"/>
        <w:autoSpaceDN w:val="0"/>
        <w:adjustRightInd w:val="0"/>
        <w:ind w:left="640" w:hanging="640"/>
        <w:rPr>
          <w:rFonts w:ascii="Times New Roman" w:hAnsi="Times New Roman"/>
          <w:noProof/>
        </w:rPr>
      </w:pPr>
    </w:p>
    <w:p w:rsidR="00E843B3" w:rsidRPr="00E843B3" w:rsidRDefault="00E843B3" w:rsidP="008740B0">
      <w:pPr>
        <w:widowControl w:val="0"/>
        <w:autoSpaceDE w:val="0"/>
        <w:autoSpaceDN w:val="0"/>
        <w:adjustRightInd w:val="0"/>
        <w:spacing w:line="240" w:lineRule="auto"/>
        <w:ind w:left="640" w:hanging="640"/>
        <w:rPr>
          <w:rFonts w:ascii="Times New Roman" w:hAnsi="Times New Roman"/>
          <w:noProof/>
        </w:rPr>
      </w:pPr>
      <w:r w:rsidRPr="00E843B3">
        <w:rPr>
          <w:rFonts w:ascii="Times New Roman" w:hAnsi="Times New Roman"/>
          <w:noProof/>
        </w:rPr>
        <w:t>[28]</w:t>
      </w:r>
      <w:r w:rsidRPr="00E843B3">
        <w:rPr>
          <w:rFonts w:ascii="Times New Roman" w:hAnsi="Times New Roman"/>
          <w:noProof/>
        </w:rPr>
        <w:tab/>
        <w:t xml:space="preserve">A. Hoos </w:t>
      </w:r>
      <w:r w:rsidRPr="00E843B3">
        <w:rPr>
          <w:rFonts w:ascii="Times New Roman" w:hAnsi="Times New Roman"/>
          <w:i/>
          <w:iCs/>
          <w:noProof/>
        </w:rPr>
        <w:t>et al.</w:t>
      </w:r>
      <w:r w:rsidRPr="00E843B3">
        <w:rPr>
          <w:rFonts w:ascii="Times New Roman" w:hAnsi="Times New Roman"/>
          <w:noProof/>
        </w:rPr>
        <w:t xml:space="preserve">, “Improved endpoints for cancer immunotherapy trials,” </w:t>
      </w:r>
      <w:r w:rsidRPr="00E843B3">
        <w:rPr>
          <w:rFonts w:ascii="Times New Roman" w:hAnsi="Times New Roman"/>
          <w:i/>
          <w:iCs/>
          <w:noProof/>
        </w:rPr>
        <w:t>J. Natl. Cancer Inst.</w:t>
      </w:r>
      <w:r w:rsidRPr="00E843B3">
        <w:rPr>
          <w:rFonts w:ascii="Times New Roman" w:hAnsi="Times New Roman"/>
          <w:noProof/>
        </w:rPr>
        <w:t>, vol. 102, no. 18, pp. 1388–1397, 2010.</w:t>
      </w:r>
    </w:p>
    <w:p w:rsidR="00522E94" w:rsidRDefault="009647D4" w:rsidP="008740B0">
      <w:pPr>
        <w:widowControl w:val="0"/>
        <w:autoSpaceDE w:val="0"/>
        <w:autoSpaceDN w:val="0"/>
        <w:adjustRightInd w:val="0"/>
        <w:ind w:left="640" w:hanging="640"/>
      </w:pPr>
      <w:r w:rsidRPr="00522E94">
        <w:fldChar w:fldCharType="end"/>
      </w:r>
    </w:p>
    <w:p w:rsidR="00522E94" w:rsidRPr="00522E94" w:rsidRDefault="00522E94" w:rsidP="00522E94"/>
    <w:p w:rsidR="00466213" w:rsidRPr="00EF09D4" w:rsidRDefault="00466213" w:rsidP="00E26B72">
      <w:pPr>
        <w:widowControl w:val="0"/>
        <w:autoSpaceDE w:val="0"/>
        <w:autoSpaceDN w:val="0"/>
        <w:adjustRightInd w:val="0"/>
      </w:pPr>
    </w:p>
    <w:sectPr w:rsidR="00466213" w:rsidRPr="00EF09D4" w:rsidSect="00B54C5E">
      <w:pgSz w:w="12240" w:h="15840"/>
      <w:pgMar w:top="1440" w:right="1440" w:bottom="1440" w:left="2304" w:header="720" w:footer="720" w:gutter="0"/>
      <w:pgNumType w:start="1"/>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D80AA2" w:rsidRDefault="00D80AA2" w:rsidP="0059615F">
      <w:pPr>
        <w:spacing w:line="240" w:lineRule="auto"/>
      </w:pPr>
      <w:r>
        <w:separator/>
      </w:r>
    </w:p>
  </w:endnote>
  <w:endnote w:type="continuationSeparator" w:id="0">
    <w:p w:rsidR="00D80AA2" w:rsidRDefault="00D80AA2" w:rsidP="0059615F">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AFF" w:usb1="4000ACFF" w:usb2="00000001"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Cambria Math">
    <w:panose1 w:val="02040503050406030204"/>
    <w:charset w:val="00"/>
    <w:family w:val="roman"/>
    <w:pitch w:val="variable"/>
    <w:sig w:usb0="E00002FF" w:usb1="420024FF" w:usb2="00000000" w:usb3="00000000" w:csb0="0000019F" w:csb1="00000000"/>
  </w:font>
  <w:font w:name="SimHei">
    <w:altName w:val="黑体"/>
    <w:panose1 w:val="02010600030101010101"/>
    <w:charset w:val="86"/>
    <w:family w:val="modern"/>
    <w:pitch w:val="fixed"/>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719F4" w:rsidRDefault="00D719F4">
    <w:pPr>
      <w:pStyle w:val="Footer"/>
      <w:jc w:val="center"/>
    </w:pPr>
  </w:p>
  <w:p w:rsidR="00D719F4" w:rsidRDefault="00D719F4">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719F4" w:rsidRDefault="00D719F4">
    <w:pPr>
      <w:pStyle w:val="Footer"/>
      <w:jc w:val="center"/>
    </w:pPr>
  </w:p>
  <w:p w:rsidR="00D719F4" w:rsidRDefault="00D719F4">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719F4" w:rsidRDefault="00D719F4">
    <w:pPr>
      <w:pStyle w:val="Footer"/>
      <w:jc w:val="center"/>
    </w:pPr>
    <w:r>
      <w:fldChar w:fldCharType="begin"/>
    </w:r>
    <w:r>
      <w:instrText xml:space="preserve"> PAGE   \* MERGEFORMAT </w:instrText>
    </w:r>
    <w:r>
      <w:fldChar w:fldCharType="separate"/>
    </w:r>
    <w:r w:rsidR="00BF426B">
      <w:rPr>
        <w:noProof/>
      </w:rPr>
      <w:t>36</w:t>
    </w:r>
    <w:r>
      <w:rPr>
        <w:noProof/>
      </w:rPr>
      <w:fldChar w:fldCharType="end"/>
    </w:r>
  </w:p>
  <w:p w:rsidR="00D719F4" w:rsidRDefault="00D719F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D80AA2" w:rsidRDefault="00D80AA2" w:rsidP="0059615F">
      <w:pPr>
        <w:spacing w:line="240" w:lineRule="auto"/>
      </w:pPr>
      <w:r>
        <w:separator/>
      </w:r>
    </w:p>
  </w:footnote>
  <w:footnote w:type="continuationSeparator" w:id="0">
    <w:p w:rsidR="00D80AA2" w:rsidRDefault="00D80AA2" w:rsidP="0059615F">
      <w:pPr>
        <w:spacing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7CE7F0F"/>
    <w:multiLevelType w:val="hybridMultilevel"/>
    <w:tmpl w:val="4CD4BA64"/>
    <w:lvl w:ilvl="0" w:tplc="04090001">
      <w:numFmt w:val="bullet"/>
      <w:lvlText w:val=""/>
      <w:lvlJc w:val="left"/>
      <w:pPr>
        <w:ind w:left="720" w:hanging="360"/>
      </w:pPr>
      <w:rPr>
        <w:rFonts w:ascii="Symbol" w:eastAsia="Times New Roman"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1EBE0F20"/>
    <w:multiLevelType w:val="multilevel"/>
    <w:tmpl w:val="C36EE7F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21AF670A"/>
    <w:multiLevelType w:val="hybridMultilevel"/>
    <w:tmpl w:val="07468934"/>
    <w:lvl w:ilvl="0" w:tplc="DF46176C">
      <w:start w:val="1"/>
      <w:numFmt w:val="decimal"/>
      <w:lvlText w:val="%1."/>
      <w:lvlJc w:val="left"/>
      <w:pPr>
        <w:ind w:left="720" w:hanging="360"/>
      </w:pPr>
      <w:rPr>
        <w:rFonts w:hint="default"/>
        <w:b/>
        <w:color w:val="auto"/>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21CD6C98"/>
    <w:multiLevelType w:val="hybridMultilevel"/>
    <w:tmpl w:val="D256A5B6"/>
    <w:lvl w:ilvl="0" w:tplc="C60069F2">
      <w:start w:val="1"/>
      <w:numFmt w:val="decimal"/>
      <w:lvlText w:val="%1."/>
      <w:lvlJc w:val="left"/>
      <w:pPr>
        <w:ind w:left="1080" w:hanging="360"/>
      </w:pPr>
      <w:rPr>
        <w:rFonts w:hint="default"/>
        <w:b/>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 w15:restartNumberingAfterBreak="0">
    <w:nsid w:val="312B0BE3"/>
    <w:multiLevelType w:val="hybridMultilevel"/>
    <w:tmpl w:val="74EC125A"/>
    <w:lvl w:ilvl="0" w:tplc="8E164A30">
      <w:numFmt w:val="bullet"/>
      <w:lvlText w:val=""/>
      <w:lvlJc w:val="left"/>
      <w:pPr>
        <w:ind w:left="1080" w:hanging="360"/>
      </w:pPr>
      <w:rPr>
        <w:rFonts w:ascii="Symbol" w:eastAsia="Times New Roman" w:hAnsi="Symbol"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5" w15:restartNumberingAfterBreak="0">
    <w:nsid w:val="39D157F5"/>
    <w:multiLevelType w:val="hybridMultilevel"/>
    <w:tmpl w:val="8D8A8DD6"/>
    <w:lvl w:ilvl="0" w:tplc="62A81DE0">
      <w:numFmt w:val="bullet"/>
      <w:lvlText w:val=""/>
      <w:lvlJc w:val="left"/>
      <w:pPr>
        <w:ind w:left="1440" w:hanging="360"/>
      </w:pPr>
      <w:rPr>
        <w:rFonts w:ascii="Symbol" w:eastAsia="Times New Roman" w:hAnsi="Symbol" w:cs="Times New Roman"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6" w15:restartNumberingAfterBreak="0">
    <w:nsid w:val="3BF26F18"/>
    <w:multiLevelType w:val="hybridMultilevel"/>
    <w:tmpl w:val="3F2E205A"/>
    <w:lvl w:ilvl="0" w:tplc="51EE8906">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3F0152AE"/>
    <w:multiLevelType w:val="hybridMultilevel"/>
    <w:tmpl w:val="39B4F98A"/>
    <w:lvl w:ilvl="0" w:tplc="ADC88802">
      <w:start w:val="1"/>
      <w:numFmt w:val="decimal"/>
      <w:lvlText w:val="%1."/>
      <w:lvlJc w:val="left"/>
      <w:pPr>
        <w:ind w:left="720" w:hanging="360"/>
      </w:pPr>
      <w:rPr>
        <w:rFonts w:hint="default"/>
        <w:b/>
      </w:rPr>
    </w:lvl>
    <w:lvl w:ilvl="1" w:tplc="04090019" w:tentative="1">
      <w:start w:val="1"/>
      <w:numFmt w:val="lowerLetter"/>
      <w:lvlText w:val="%2."/>
      <w:lvlJc w:val="left"/>
      <w:pPr>
        <w:ind w:left="2610" w:hanging="360"/>
      </w:pPr>
    </w:lvl>
    <w:lvl w:ilvl="2" w:tplc="0409001B" w:tentative="1">
      <w:start w:val="1"/>
      <w:numFmt w:val="lowerRoman"/>
      <w:lvlText w:val="%3."/>
      <w:lvlJc w:val="right"/>
      <w:pPr>
        <w:ind w:left="3330" w:hanging="180"/>
      </w:pPr>
    </w:lvl>
    <w:lvl w:ilvl="3" w:tplc="0409000F" w:tentative="1">
      <w:start w:val="1"/>
      <w:numFmt w:val="decimal"/>
      <w:lvlText w:val="%4."/>
      <w:lvlJc w:val="left"/>
      <w:pPr>
        <w:ind w:left="4050" w:hanging="360"/>
      </w:pPr>
    </w:lvl>
    <w:lvl w:ilvl="4" w:tplc="04090019" w:tentative="1">
      <w:start w:val="1"/>
      <w:numFmt w:val="lowerLetter"/>
      <w:lvlText w:val="%5."/>
      <w:lvlJc w:val="left"/>
      <w:pPr>
        <w:ind w:left="4770" w:hanging="360"/>
      </w:pPr>
    </w:lvl>
    <w:lvl w:ilvl="5" w:tplc="0409001B" w:tentative="1">
      <w:start w:val="1"/>
      <w:numFmt w:val="lowerRoman"/>
      <w:lvlText w:val="%6."/>
      <w:lvlJc w:val="right"/>
      <w:pPr>
        <w:ind w:left="5490" w:hanging="180"/>
      </w:pPr>
    </w:lvl>
    <w:lvl w:ilvl="6" w:tplc="0409000F" w:tentative="1">
      <w:start w:val="1"/>
      <w:numFmt w:val="decimal"/>
      <w:lvlText w:val="%7."/>
      <w:lvlJc w:val="left"/>
      <w:pPr>
        <w:ind w:left="6210" w:hanging="360"/>
      </w:pPr>
    </w:lvl>
    <w:lvl w:ilvl="7" w:tplc="04090019" w:tentative="1">
      <w:start w:val="1"/>
      <w:numFmt w:val="lowerLetter"/>
      <w:lvlText w:val="%8."/>
      <w:lvlJc w:val="left"/>
      <w:pPr>
        <w:ind w:left="6930" w:hanging="360"/>
      </w:pPr>
    </w:lvl>
    <w:lvl w:ilvl="8" w:tplc="0409001B" w:tentative="1">
      <w:start w:val="1"/>
      <w:numFmt w:val="lowerRoman"/>
      <w:lvlText w:val="%9."/>
      <w:lvlJc w:val="right"/>
      <w:pPr>
        <w:ind w:left="7650" w:hanging="180"/>
      </w:pPr>
    </w:lvl>
  </w:abstractNum>
  <w:abstractNum w:abstractNumId="8" w15:restartNumberingAfterBreak="0">
    <w:nsid w:val="5B495B4E"/>
    <w:multiLevelType w:val="multilevel"/>
    <w:tmpl w:val="37EA641E"/>
    <w:lvl w:ilvl="0">
      <w:start w:val="1"/>
      <w:numFmt w:val="decimal"/>
      <w:lvlText w:val="%1."/>
      <w:lvlJc w:val="left"/>
      <w:pPr>
        <w:ind w:left="1440" w:hanging="360"/>
      </w:pPr>
    </w:lvl>
    <w:lvl w:ilvl="1">
      <w:start w:val="1"/>
      <w:numFmt w:val="lowerLetter"/>
      <w:lvlText w:val="%2."/>
      <w:lvlJc w:val="left"/>
      <w:pPr>
        <w:ind w:left="2160" w:hanging="360"/>
      </w:pPr>
    </w:lvl>
    <w:lvl w:ilvl="2">
      <w:start w:val="1"/>
      <w:numFmt w:val="lowerRoman"/>
      <w:lvlText w:val="%3."/>
      <w:lvlJc w:val="right"/>
      <w:pPr>
        <w:ind w:left="2880" w:hanging="180"/>
      </w:pPr>
    </w:lvl>
    <w:lvl w:ilvl="3">
      <w:start w:val="1"/>
      <w:numFmt w:val="decimal"/>
      <w:lvlText w:val="%4."/>
      <w:lvlJc w:val="left"/>
      <w:pPr>
        <w:ind w:left="3600" w:hanging="360"/>
      </w:pPr>
    </w:lvl>
    <w:lvl w:ilvl="4">
      <w:start w:val="1"/>
      <w:numFmt w:val="lowerLetter"/>
      <w:lvlText w:val="%5."/>
      <w:lvlJc w:val="left"/>
      <w:pPr>
        <w:ind w:left="4320" w:hanging="360"/>
      </w:pPr>
    </w:lvl>
    <w:lvl w:ilvl="5">
      <w:start w:val="1"/>
      <w:numFmt w:val="lowerRoman"/>
      <w:lvlText w:val="%6."/>
      <w:lvlJc w:val="right"/>
      <w:pPr>
        <w:ind w:left="5040" w:hanging="180"/>
      </w:pPr>
    </w:lvl>
    <w:lvl w:ilvl="6">
      <w:start w:val="1"/>
      <w:numFmt w:val="decimal"/>
      <w:lvlText w:val="%7."/>
      <w:lvlJc w:val="left"/>
      <w:pPr>
        <w:ind w:left="5760" w:hanging="360"/>
      </w:pPr>
    </w:lvl>
    <w:lvl w:ilvl="7">
      <w:start w:val="1"/>
      <w:numFmt w:val="lowerLetter"/>
      <w:lvlText w:val="%8."/>
      <w:lvlJc w:val="left"/>
      <w:pPr>
        <w:ind w:left="6480" w:hanging="360"/>
      </w:pPr>
    </w:lvl>
    <w:lvl w:ilvl="8">
      <w:start w:val="1"/>
      <w:numFmt w:val="lowerRoman"/>
      <w:lvlText w:val="%9."/>
      <w:lvlJc w:val="right"/>
      <w:pPr>
        <w:ind w:left="7200" w:hanging="180"/>
      </w:pPr>
    </w:lvl>
  </w:abstractNum>
  <w:abstractNum w:abstractNumId="9" w15:restartNumberingAfterBreak="0">
    <w:nsid w:val="6008697E"/>
    <w:multiLevelType w:val="hybridMultilevel"/>
    <w:tmpl w:val="C284D71E"/>
    <w:lvl w:ilvl="0" w:tplc="04090013">
      <w:start w:val="1"/>
      <w:numFmt w:val="upperRoman"/>
      <w:lvlText w:val="%1."/>
      <w:lvlJc w:val="right"/>
      <w:pPr>
        <w:ind w:left="2160" w:hanging="360"/>
      </w:p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10" w15:restartNumberingAfterBreak="0">
    <w:nsid w:val="63E21F5B"/>
    <w:multiLevelType w:val="hybridMultilevel"/>
    <w:tmpl w:val="5B647F24"/>
    <w:lvl w:ilvl="0" w:tplc="0409000F">
      <w:start w:val="1"/>
      <w:numFmt w:val="decimal"/>
      <w:lvlText w:val="%1."/>
      <w:lvlJc w:val="left"/>
      <w:pPr>
        <w:ind w:left="2223" w:hanging="360"/>
      </w:pPr>
    </w:lvl>
    <w:lvl w:ilvl="1" w:tplc="04090019" w:tentative="1">
      <w:start w:val="1"/>
      <w:numFmt w:val="lowerLetter"/>
      <w:lvlText w:val="%2."/>
      <w:lvlJc w:val="left"/>
      <w:pPr>
        <w:ind w:left="2943" w:hanging="360"/>
      </w:pPr>
    </w:lvl>
    <w:lvl w:ilvl="2" w:tplc="0409001B" w:tentative="1">
      <w:start w:val="1"/>
      <w:numFmt w:val="lowerRoman"/>
      <w:lvlText w:val="%3."/>
      <w:lvlJc w:val="right"/>
      <w:pPr>
        <w:ind w:left="3663" w:hanging="180"/>
      </w:pPr>
    </w:lvl>
    <w:lvl w:ilvl="3" w:tplc="0409000F" w:tentative="1">
      <w:start w:val="1"/>
      <w:numFmt w:val="decimal"/>
      <w:lvlText w:val="%4."/>
      <w:lvlJc w:val="left"/>
      <w:pPr>
        <w:ind w:left="4383" w:hanging="360"/>
      </w:pPr>
    </w:lvl>
    <w:lvl w:ilvl="4" w:tplc="04090019" w:tentative="1">
      <w:start w:val="1"/>
      <w:numFmt w:val="lowerLetter"/>
      <w:lvlText w:val="%5."/>
      <w:lvlJc w:val="left"/>
      <w:pPr>
        <w:ind w:left="5103" w:hanging="360"/>
      </w:pPr>
    </w:lvl>
    <w:lvl w:ilvl="5" w:tplc="0409001B" w:tentative="1">
      <w:start w:val="1"/>
      <w:numFmt w:val="lowerRoman"/>
      <w:lvlText w:val="%6."/>
      <w:lvlJc w:val="right"/>
      <w:pPr>
        <w:ind w:left="5823" w:hanging="180"/>
      </w:pPr>
    </w:lvl>
    <w:lvl w:ilvl="6" w:tplc="0409000F" w:tentative="1">
      <w:start w:val="1"/>
      <w:numFmt w:val="decimal"/>
      <w:lvlText w:val="%7."/>
      <w:lvlJc w:val="left"/>
      <w:pPr>
        <w:ind w:left="6543" w:hanging="360"/>
      </w:pPr>
    </w:lvl>
    <w:lvl w:ilvl="7" w:tplc="04090019" w:tentative="1">
      <w:start w:val="1"/>
      <w:numFmt w:val="lowerLetter"/>
      <w:lvlText w:val="%8."/>
      <w:lvlJc w:val="left"/>
      <w:pPr>
        <w:ind w:left="7263" w:hanging="360"/>
      </w:pPr>
    </w:lvl>
    <w:lvl w:ilvl="8" w:tplc="0409001B" w:tentative="1">
      <w:start w:val="1"/>
      <w:numFmt w:val="lowerRoman"/>
      <w:lvlText w:val="%9."/>
      <w:lvlJc w:val="right"/>
      <w:pPr>
        <w:ind w:left="7983" w:hanging="180"/>
      </w:pPr>
    </w:lvl>
  </w:abstractNum>
  <w:abstractNum w:abstractNumId="11" w15:restartNumberingAfterBreak="0">
    <w:nsid w:val="6A5B66F1"/>
    <w:multiLevelType w:val="hybridMultilevel"/>
    <w:tmpl w:val="9828D1E6"/>
    <w:lvl w:ilvl="0" w:tplc="6BE6F01A">
      <w:start w:val="1"/>
      <w:numFmt w:val="lowerLetter"/>
      <w:lvlText w:val="(%1)"/>
      <w:lvlJc w:val="left"/>
      <w:pPr>
        <w:ind w:left="2520" w:hanging="360"/>
      </w:pPr>
      <w:rPr>
        <w:rFonts w:hint="default"/>
      </w:rPr>
    </w:lvl>
    <w:lvl w:ilvl="1" w:tplc="04090019" w:tentative="1">
      <w:start w:val="1"/>
      <w:numFmt w:val="lowerLetter"/>
      <w:lvlText w:val="%2."/>
      <w:lvlJc w:val="left"/>
      <w:pPr>
        <w:ind w:left="3240" w:hanging="360"/>
      </w:pPr>
    </w:lvl>
    <w:lvl w:ilvl="2" w:tplc="0409001B" w:tentative="1">
      <w:start w:val="1"/>
      <w:numFmt w:val="lowerRoman"/>
      <w:lvlText w:val="%3."/>
      <w:lvlJc w:val="right"/>
      <w:pPr>
        <w:ind w:left="3960" w:hanging="180"/>
      </w:pPr>
    </w:lvl>
    <w:lvl w:ilvl="3" w:tplc="0409000F" w:tentative="1">
      <w:start w:val="1"/>
      <w:numFmt w:val="decimal"/>
      <w:lvlText w:val="%4."/>
      <w:lvlJc w:val="left"/>
      <w:pPr>
        <w:ind w:left="4680" w:hanging="360"/>
      </w:pPr>
    </w:lvl>
    <w:lvl w:ilvl="4" w:tplc="04090019" w:tentative="1">
      <w:start w:val="1"/>
      <w:numFmt w:val="lowerLetter"/>
      <w:lvlText w:val="%5."/>
      <w:lvlJc w:val="left"/>
      <w:pPr>
        <w:ind w:left="5400" w:hanging="360"/>
      </w:pPr>
    </w:lvl>
    <w:lvl w:ilvl="5" w:tplc="0409001B" w:tentative="1">
      <w:start w:val="1"/>
      <w:numFmt w:val="lowerRoman"/>
      <w:lvlText w:val="%6."/>
      <w:lvlJc w:val="right"/>
      <w:pPr>
        <w:ind w:left="6120" w:hanging="180"/>
      </w:pPr>
    </w:lvl>
    <w:lvl w:ilvl="6" w:tplc="0409000F" w:tentative="1">
      <w:start w:val="1"/>
      <w:numFmt w:val="decimal"/>
      <w:lvlText w:val="%7."/>
      <w:lvlJc w:val="left"/>
      <w:pPr>
        <w:ind w:left="6840" w:hanging="360"/>
      </w:pPr>
    </w:lvl>
    <w:lvl w:ilvl="7" w:tplc="04090019" w:tentative="1">
      <w:start w:val="1"/>
      <w:numFmt w:val="lowerLetter"/>
      <w:lvlText w:val="%8."/>
      <w:lvlJc w:val="left"/>
      <w:pPr>
        <w:ind w:left="7560" w:hanging="360"/>
      </w:pPr>
    </w:lvl>
    <w:lvl w:ilvl="8" w:tplc="0409001B" w:tentative="1">
      <w:start w:val="1"/>
      <w:numFmt w:val="lowerRoman"/>
      <w:lvlText w:val="%9."/>
      <w:lvlJc w:val="right"/>
      <w:pPr>
        <w:ind w:left="8280" w:hanging="180"/>
      </w:pPr>
    </w:lvl>
  </w:abstractNum>
  <w:abstractNum w:abstractNumId="12" w15:restartNumberingAfterBreak="0">
    <w:nsid w:val="6AC13052"/>
    <w:multiLevelType w:val="hybridMultilevel"/>
    <w:tmpl w:val="D35AC442"/>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13" w15:restartNumberingAfterBreak="0">
    <w:nsid w:val="6DB33240"/>
    <w:multiLevelType w:val="hybridMultilevel"/>
    <w:tmpl w:val="1AF0EDDC"/>
    <w:lvl w:ilvl="0" w:tplc="9CD8729A">
      <w:start w:val="1"/>
      <w:numFmt w:val="decimal"/>
      <w:lvlText w:val="%1."/>
      <w:lvlJc w:val="left"/>
      <w:pPr>
        <w:ind w:left="1008" w:hanging="288"/>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71312846"/>
    <w:multiLevelType w:val="hybridMultilevel"/>
    <w:tmpl w:val="B7F6E82A"/>
    <w:lvl w:ilvl="0" w:tplc="A3D6D526">
      <w:start w:val="1"/>
      <w:numFmt w:val="lowerLetter"/>
      <w:lvlText w:val="(%1)"/>
      <w:lvlJc w:val="left"/>
      <w:pPr>
        <w:ind w:left="2400" w:hanging="360"/>
      </w:pPr>
      <w:rPr>
        <w:rFonts w:hint="default"/>
      </w:rPr>
    </w:lvl>
    <w:lvl w:ilvl="1" w:tplc="04090019" w:tentative="1">
      <w:start w:val="1"/>
      <w:numFmt w:val="lowerLetter"/>
      <w:lvlText w:val="%2."/>
      <w:lvlJc w:val="left"/>
      <w:pPr>
        <w:ind w:left="3120" w:hanging="360"/>
      </w:pPr>
    </w:lvl>
    <w:lvl w:ilvl="2" w:tplc="0409001B" w:tentative="1">
      <w:start w:val="1"/>
      <w:numFmt w:val="lowerRoman"/>
      <w:lvlText w:val="%3."/>
      <w:lvlJc w:val="right"/>
      <w:pPr>
        <w:ind w:left="3840" w:hanging="180"/>
      </w:pPr>
    </w:lvl>
    <w:lvl w:ilvl="3" w:tplc="0409000F" w:tentative="1">
      <w:start w:val="1"/>
      <w:numFmt w:val="decimal"/>
      <w:lvlText w:val="%4."/>
      <w:lvlJc w:val="left"/>
      <w:pPr>
        <w:ind w:left="4560" w:hanging="360"/>
      </w:pPr>
    </w:lvl>
    <w:lvl w:ilvl="4" w:tplc="04090019" w:tentative="1">
      <w:start w:val="1"/>
      <w:numFmt w:val="lowerLetter"/>
      <w:lvlText w:val="%5."/>
      <w:lvlJc w:val="left"/>
      <w:pPr>
        <w:ind w:left="5280" w:hanging="360"/>
      </w:pPr>
    </w:lvl>
    <w:lvl w:ilvl="5" w:tplc="0409001B" w:tentative="1">
      <w:start w:val="1"/>
      <w:numFmt w:val="lowerRoman"/>
      <w:lvlText w:val="%6."/>
      <w:lvlJc w:val="right"/>
      <w:pPr>
        <w:ind w:left="6000" w:hanging="180"/>
      </w:pPr>
    </w:lvl>
    <w:lvl w:ilvl="6" w:tplc="0409000F" w:tentative="1">
      <w:start w:val="1"/>
      <w:numFmt w:val="decimal"/>
      <w:lvlText w:val="%7."/>
      <w:lvlJc w:val="left"/>
      <w:pPr>
        <w:ind w:left="6720" w:hanging="360"/>
      </w:pPr>
    </w:lvl>
    <w:lvl w:ilvl="7" w:tplc="04090019" w:tentative="1">
      <w:start w:val="1"/>
      <w:numFmt w:val="lowerLetter"/>
      <w:lvlText w:val="%8."/>
      <w:lvlJc w:val="left"/>
      <w:pPr>
        <w:ind w:left="7440" w:hanging="360"/>
      </w:pPr>
    </w:lvl>
    <w:lvl w:ilvl="8" w:tplc="0409001B" w:tentative="1">
      <w:start w:val="1"/>
      <w:numFmt w:val="lowerRoman"/>
      <w:lvlText w:val="%9."/>
      <w:lvlJc w:val="right"/>
      <w:pPr>
        <w:ind w:left="8160" w:hanging="180"/>
      </w:pPr>
    </w:lvl>
  </w:abstractNum>
  <w:abstractNum w:abstractNumId="15" w15:restartNumberingAfterBreak="0">
    <w:nsid w:val="75A86C9F"/>
    <w:multiLevelType w:val="hybridMultilevel"/>
    <w:tmpl w:val="9E04896E"/>
    <w:lvl w:ilvl="0" w:tplc="B4B28D6A">
      <w:start w:val="1"/>
      <w:numFmt w:val="decimal"/>
      <w:lvlText w:val="%1."/>
      <w:lvlJc w:val="left"/>
      <w:pPr>
        <w:ind w:left="72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6" w15:restartNumberingAfterBreak="0">
    <w:nsid w:val="7A3D5054"/>
    <w:multiLevelType w:val="hybridMultilevel"/>
    <w:tmpl w:val="CE16D990"/>
    <w:lvl w:ilvl="0" w:tplc="61CE9B72">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7" w15:restartNumberingAfterBreak="0">
    <w:nsid w:val="7B2C1509"/>
    <w:multiLevelType w:val="hybridMultilevel"/>
    <w:tmpl w:val="398E4EFA"/>
    <w:lvl w:ilvl="0" w:tplc="0D7C9762">
      <w:numFmt w:val="bullet"/>
      <w:lvlText w:val=""/>
      <w:lvlJc w:val="left"/>
      <w:pPr>
        <w:ind w:left="1080" w:hanging="360"/>
      </w:pPr>
      <w:rPr>
        <w:rFonts w:ascii="Symbol" w:eastAsia="Times New Roman" w:hAnsi="Symbol"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8" w15:restartNumberingAfterBreak="0">
    <w:nsid w:val="7ED4697B"/>
    <w:multiLevelType w:val="hybridMultilevel"/>
    <w:tmpl w:val="FF4CC1A8"/>
    <w:lvl w:ilvl="0" w:tplc="FBAC876A">
      <w:start w:val="1"/>
      <w:numFmt w:val="decimal"/>
      <w:lvlText w:val="%1."/>
      <w:lvlJc w:val="left"/>
      <w:pPr>
        <w:ind w:left="720" w:hanging="360"/>
      </w:pPr>
      <w:rPr>
        <w:rFonts w:hint="default"/>
        <w:b/>
        <w:color w:val="auto"/>
      </w:rPr>
    </w:lvl>
    <w:lvl w:ilvl="1" w:tplc="04090019">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abstractNumId w:val="1"/>
  </w:num>
  <w:num w:numId="2">
    <w:abstractNumId w:val="9"/>
  </w:num>
  <w:num w:numId="3">
    <w:abstractNumId w:val="10"/>
  </w:num>
  <w:num w:numId="4">
    <w:abstractNumId w:val="7"/>
  </w:num>
  <w:num w:numId="5">
    <w:abstractNumId w:val="8"/>
  </w:num>
  <w:num w:numId="6">
    <w:abstractNumId w:val="18"/>
  </w:num>
  <w:num w:numId="7">
    <w:abstractNumId w:val="16"/>
  </w:num>
  <w:num w:numId="8">
    <w:abstractNumId w:val="3"/>
  </w:num>
  <w:num w:numId="9">
    <w:abstractNumId w:val="12"/>
  </w:num>
  <w:num w:numId="10">
    <w:abstractNumId w:val="13"/>
  </w:num>
  <w:num w:numId="11">
    <w:abstractNumId w:val="15"/>
  </w:num>
  <w:num w:numId="12">
    <w:abstractNumId w:val="17"/>
  </w:num>
  <w:num w:numId="13">
    <w:abstractNumId w:val="0"/>
  </w:num>
  <w:num w:numId="14">
    <w:abstractNumId w:val="4"/>
  </w:num>
  <w:num w:numId="15">
    <w:abstractNumId w:val="5"/>
  </w:num>
  <w:num w:numId="16">
    <w:abstractNumId w:val="11"/>
  </w:num>
  <w:num w:numId="17">
    <w:abstractNumId w:val="14"/>
  </w:num>
  <w:num w:numId="18">
    <w:abstractNumId w:val="2"/>
  </w:num>
  <w:num w:numId="19">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70"/>
  <w:defaultTabStop w:val="720"/>
  <w:drawingGridHorizontalSpacing w:val="187"/>
  <w:drawingGridVerticalSpacing w:val="187"/>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Y0MjC1MDWxsDS0MDY0NzdU0lEKTi0uzszPAykwMq8FAJ0tYZotAAAA"/>
  </w:docVars>
  <w:rsids>
    <w:rsidRoot w:val="001A1E98"/>
    <w:rsid w:val="00000011"/>
    <w:rsid w:val="000000FA"/>
    <w:rsid w:val="00001919"/>
    <w:rsid w:val="00003E41"/>
    <w:rsid w:val="00004729"/>
    <w:rsid w:val="0000472A"/>
    <w:rsid w:val="00004D62"/>
    <w:rsid w:val="00006EF8"/>
    <w:rsid w:val="000079B4"/>
    <w:rsid w:val="00007B52"/>
    <w:rsid w:val="00007F3B"/>
    <w:rsid w:val="000107EE"/>
    <w:rsid w:val="00010A6F"/>
    <w:rsid w:val="00012FD3"/>
    <w:rsid w:val="000133D1"/>
    <w:rsid w:val="00014021"/>
    <w:rsid w:val="00014556"/>
    <w:rsid w:val="00014CAA"/>
    <w:rsid w:val="000153E9"/>
    <w:rsid w:val="0001694D"/>
    <w:rsid w:val="0001779B"/>
    <w:rsid w:val="0002346C"/>
    <w:rsid w:val="000241CE"/>
    <w:rsid w:val="0002478D"/>
    <w:rsid w:val="00025950"/>
    <w:rsid w:val="00026A69"/>
    <w:rsid w:val="00026F32"/>
    <w:rsid w:val="00027209"/>
    <w:rsid w:val="00027BE2"/>
    <w:rsid w:val="00027DC1"/>
    <w:rsid w:val="00031B76"/>
    <w:rsid w:val="000334F6"/>
    <w:rsid w:val="00033A66"/>
    <w:rsid w:val="000350B6"/>
    <w:rsid w:val="0003538D"/>
    <w:rsid w:val="00037EEB"/>
    <w:rsid w:val="00040133"/>
    <w:rsid w:val="00040B37"/>
    <w:rsid w:val="00041772"/>
    <w:rsid w:val="00041C28"/>
    <w:rsid w:val="000424AD"/>
    <w:rsid w:val="00042FE1"/>
    <w:rsid w:val="0004371B"/>
    <w:rsid w:val="000452E4"/>
    <w:rsid w:val="00045E00"/>
    <w:rsid w:val="000468BF"/>
    <w:rsid w:val="000470DD"/>
    <w:rsid w:val="00047A4B"/>
    <w:rsid w:val="0005193D"/>
    <w:rsid w:val="000521A7"/>
    <w:rsid w:val="000526FC"/>
    <w:rsid w:val="00052716"/>
    <w:rsid w:val="00053ABB"/>
    <w:rsid w:val="0005453C"/>
    <w:rsid w:val="0005662D"/>
    <w:rsid w:val="00056CB4"/>
    <w:rsid w:val="00057939"/>
    <w:rsid w:val="00057B99"/>
    <w:rsid w:val="00060845"/>
    <w:rsid w:val="00060986"/>
    <w:rsid w:val="00060B19"/>
    <w:rsid w:val="00061367"/>
    <w:rsid w:val="00061C4A"/>
    <w:rsid w:val="00061EBE"/>
    <w:rsid w:val="00063340"/>
    <w:rsid w:val="000645BF"/>
    <w:rsid w:val="000650A8"/>
    <w:rsid w:val="00065B92"/>
    <w:rsid w:val="00066501"/>
    <w:rsid w:val="00070095"/>
    <w:rsid w:val="000704D1"/>
    <w:rsid w:val="0007153F"/>
    <w:rsid w:val="00072399"/>
    <w:rsid w:val="00073D1A"/>
    <w:rsid w:val="000749AD"/>
    <w:rsid w:val="00075E6A"/>
    <w:rsid w:val="00076A91"/>
    <w:rsid w:val="00076D78"/>
    <w:rsid w:val="00076E56"/>
    <w:rsid w:val="00080AC4"/>
    <w:rsid w:val="000839DF"/>
    <w:rsid w:val="00084250"/>
    <w:rsid w:val="0008462C"/>
    <w:rsid w:val="000850EB"/>
    <w:rsid w:val="000864F0"/>
    <w:rsid w:val="000865F0"/>
    <w:rsid w:val="00090293"/>
    <w:rsid w:val="00090382"/>
    <w:rsid w:val="00093147"/>
    <w:rsid w:val="0009604D"/>
    <w:rsid w:val="00096E64"/>
    <w:rsid w:val="00096E85"/>
    <w:rsid w:val="00097062"/>
    <w:rsid w:val="000973F9"/>
    <w:rsid w:val="00097DD0"/>
    <w:rsid w:val="000A1720"/>
    <w:rsid w:val="000A1BAD"/>
    <w:rsid w:val="000A1E6E"/>
    <w:rsid w:val="000A5186"/>
    <w:rsid w:val="000A5ABC"/>
    <w:rsid w:val="000A6DF3"/>
    <w:rsid w:val="000A7416"/>
    <w:rsid w:val="000A7B81"/>
    <w:rsid w:val="000B0404"/>
    <w:rsid w:val="000B0FA8"/>
    <w:rsid w:val="000B19B5"/>
    <w:rsid w:val="000B1BAF"/>
    <w:rsid w:val="000B2DBA"/>
    <w:rsid w:val="000B3BA6"/>
    <w:rsid w:val="000B3CB6"/>
    <w:rsid w:val="000B4795"/>
    <w:rsid w:val="000B4F79"/>
    <w:rsid w:val="000B5287"/>
    <w:rsid w:val="000B580D"/>
    <w:rsid w:val="000B5CCF"/>
    <w:rsid w:val="000B615F"/>
    <w:rsid w:val="000B6310"/>
    <w:rsid w:val="000B6C92"/>
    <w:rsid w:val="000B760E"/>
    <w:rsid w:val="000B7A9E"/>
    <w:rsid w:val="000C2B14"/>
    <w:rsid w:val="000C3A10"/>
    <w:rsid w:val="000C4122"/>
    <w:rsid w:val="000C4C8C"/>
    <w:rsid w:val="000C5A79"/>
    <w:rsid w:val="000C694F"/>
    <w:rsid w:val="000D007C"/>
    <w:rsid w:val="000D1D1B"/>
    <w:rsid w:val="000D200C"/>
    <w:rsid w:val="000D232D"/>
    <w:rsid w:val="000D4B2A"/>
    <w:rsid w:val="000D4E60"/>
    <w:rsid w:val="000D5D68"/>
    <w:rsid w:val="000D6569"/>
    <w:rsid w:val="000D77EB"/>
    <w:rsid w:val="000E01A8"/>
    <w:rsid w:val="000E1155"/>
    <w:rsid w:val="000E1555"/>
    <w:rsid w:val="000E215E"/>
    <w:rsid w:val="000E38DE"/>
    <w:rsid w:val="000E39B4"/>
    <w:rsid w:val="000E49C0"/>
    <w:rsid w:val="000E4D33"/>
    <w:rsid w:val="000E640F"/>
    <w:rsid w:val="000E7975"/>
    <w:rsid w:val="000E7D12"/>
    <w:rsid w:val="000F060F"/>
    <w:rsid w:val="000F4F8E"/>
    <w:rsid w:val="000F5A99"/>
    <w:rsid w:val="000F5B2E"/>
    <w:rsid w:val="000F5DF4"/>
    <w:rsid w:val="000F7592"/>
    <w:rsid w:val="000F76FC"/>
    <w:rsid w:val="000F78B5"/>
    <w:rsid w:val="000F7E24"/>
    <w:rsid w:val="001003B1"/>
    <w:rsid w:val="00100408"/>
    <w:rsid w:val="00100A71"/>
    <w:rsid w:val="0010175E"/>
    <w:rsid w:val="001029AA"/>
    <w:rsid w:val="00102A22"/>
    <w:rsid w:val="00102FAF"/>
    <w:rsid w:val="0010350C"/>
    <w:rsid w:val="0010393B"/>
    <w:rsid w:val="00103C86"/>
    <w:rsid w:val="00104183"/>
    <w:rsid w:val="00105A04"/>
    <w:rsid w:val="00105D8F"/>
    <w:rsid w:val="00105F2C"/>
    <w:rsid w:val="00107056"/>
    <w:rsid w:val="00107CED"/>
    <w:rsid w:val="0011128E"/>
    <w:rsid w:val="00112835"/>
    <w:rsid w:val="00112C22"/>
    <w:rsid w:val="00113486"/>
    <w:rsid w:val="001142EE"/>
    <w:rsid w:val="00115724"/>
    <w:rsid w:val="00115C3E"/>
    <w:rsid w:val="0011651B"/>
    <w:rsid w:val="00116D26"/>
    <w:rsid w:val="0011720F"/>
    <w:rsid w:val="00117731"/>
    <w:rsid w:val="00120155"/>
    <w:rsid w:val="001205E0"/>
    <w:rsid w:val="0012320F"/>
    <w:rsid w:val="001244D8"/>
    <w:rsid w:val="00125730"/>
    <w:rsid w:val="00125786"/>
    <w:rsid w:val="00125F29"/>
    <w:rsid w:val="00126040"/>
    <w:rsid w:val="00126BC7"/>
    <w:rsid w:val="0012748E"/>
    <w:rsid w:val="001311D8"/>
    <w:rsid w:val="0013165D"/>
    <w:rsid w:val="0013187B"/>
    <w:rsid w:val="0013213C"/>
    <w:rsid w:val="001328DA"/>
    <w:rsid w:val="00133276"/>
    <w:rsid w:val="00135D2E"/>
    <w:rsid w:val="001361DE"/>
    <w:rsid w:val="00136C9D"/>
    <w:rsid w:val="00137D6A"/>
    <w:rsid w:val="001408AC"/>
    <w:rsid w:val="00142A2C"/>
    <w:rsid w:val="00143F85"/>
    <w:rsid w:val="00145384"/>
    <w:rsid w:val="00145741"/>
    <w:rsid w:val="00145963"/>
    <w:rsid w:val="00145F80"/>
    <w:rsid w:val="00145F90"/>
    <w:rsid w:val="001475EF"/>
    <w:rsid w:val="00147AB4"/>
    <w:rsid w:val="00150B68"/>
    <w:rsid w:val="00151517"/>
    <w:rsid w:val="00151E4B"/>
    <w:rsid w:val="00152557"/>
    <w:rsid w:val="001543F2"/>
    <w:rsid w:val="0015476B"/>
    <w:rsid w:val="00154CB9"/>
    <w:rsid w:val="001561E3"/>
    <w:rsid w:val="001602C4"/>
    <w:rsid w:val="001633D5"/>
    <w:rsid w:val="0016389A"/>
    <w:rsid w:val="00163927"/>
    <w:rsid w:val="0016401D"/>
    <w:rsid w:val="001642F3"/>
    <w:rsid w:val="0016451E"/>
    <w:rsid w:val="0016457E"/>
    <w:rsid w:val="001647AA"/>
    <w:rsid w:val="00165D02"/>
    <w:rsid w:val="00166876"/>
    <w:rsid w:val="00166A93"/>
    <w:rsid w:val="00166C48"/>
    <w:rsid w:val="00172535"/>
    <w:rsid w:val="00172D9C"/>
    <w:rsid w:val="0017308A"/>
    <w:rsid w:val="00173988"/>
    <w:rsid w:val="00173F5A"/>
    <w:rsid w:val="001742BD"/>
    <w:rsid w:val="00174576"/>
    <w:rsid w:val="00176067"/>
    <w:rsid w:val="00176C79"/>
    <w:rsid w:val="0018065A"/>
    <w:rsid w:val="00180A72"/>
    <w:rsid w:val="001812F3"/>
    <w:rsid w:val="00182D73"/>
    <w:rsid w:val="00184A49"/>
    <w:rsid w:val="00184DDB"/>
    <w:rsid w:val="00184F79"/>
    <w:rsid w:val="001853CC"/>
    <w:rsid w:val="001857AE"/>
    <w:rsid w:val="00185D24"/>
    <w:rsid w:val="00185F8D"/>
    <w:rsid w:val="00187734"/>
    <w:rsid w:val="00187EA6"/>
    <w:rsid w:val="001904F2"/>
    <w:rsid w:val="00190E31"/>
    <w:rsid w:val="0019131C"/>
    <w:rsid w:val="00191749"/>
    <w:rsid w:val="00191BAF"/>
    <w:rsid w:val="00193630"/>
    <w:rsid w:val="001940A3"/>
    <w:rsid w:val="0019417D"/>
    <w:rsid w:val="001958AB"/>
    <w:rsid w:val="00195E0D"/>
    <w:rsid w:val="00195FEC"/>
    <w:rsid w:val="00196A20"/>
    <w:rsid w:val="001973C0"/>
    <w:rsid w:val="001A1982"/>
    <w:rsid w:val="001A1E98"/>
    <w:rsid w:val="001A28E5"/>
    <w:rsid w:val="001A727F"/>
    <w:rsid w:val="001A7CBE"/>
    <w:rsid w:val="001B0328"/>
    <w:rsid w:val="001B1587"/>
    <w:rsid w:val="001B17D6"/>
    <w:rsid w:val="001B3489"/>
    <w:rsid w:val="001B362E"/>
    <w:rsid w:val="001B3EDB"/>
    <w:rsid w:val="001B5B12"/>
    <w:rsid w:val="001B5B3F"/>
    <w:rsid w:val="001B7714"/>
    <w:rsid w:val="001B7F68"/>
    <w:rsid w:val="001C0452"/>
    <w:rsid w:val="001C0721"/>
    <w:rsid w:val="001C124D"/>
    <w:rsid w:val="001C18CB"/>
    <w:rsid w:val="001C195B"/>
    <w:rsid w:val="001C2780"/>
    <w:rsid w:val="001C29DC"/>
    <w:rsid w:val="001C30E3"/>
    <w:rsid w:val="001C504B"/>
    <w:rsid w:val="001C572D"/>
    <w:rsid w:val="001C5F46"/>
    <w:rsid w:val="001C64E0"/>
    <w:rsid w:val="001C725D"/>
    <w:rsid w:val="001C75B0"/>
    <w:rsid w:val="001C7768"/>
    <w:rsid w:val="001D0FEB"/>
    <w:rsid w:val="001D3396"/>
    <w:rsid w:val="001D39FB"/>
    <w:rsid w:val="001D3A7A"/>
    <w:rsid w:val="001D420D"/>
    <w:rsid w:val="001D4996"/>
    <w:rsid w:val="001D5FDF"/>
    <w:rsid w:val="001D6C5E"/>
    <w:rsid w:val="001D7326"/>
    <w:rsid w:val="001D76D5"/>
    <w:rsid w:val="001E0E30"/>
    <w:rsid w:val="001E2424"/>
    <w:rsid w:val="001E24EB"/>
    <w:rsid w:val="001E386F"/>
    <w:rsid w:val="001E4C98"/>
    <w:rsid w:val="001E4CDE"/>
    <w:rsid w:val="001E5336"/>
    <w:rsid w:val="001E5365"/>
    <w:rsid w:val="001E54B0"/>
    <w:rsid w:val="001E57B3"/>
    <w:rsid w:val="001E6606"/>
    <w:rsid w:val="001E7745"/>
    <w:rsid w:val="001E7BB8"/>
    <w:rsid w:val="001E7D29"/>
    <w:rsid w:val="001F0F13"/>
    <w:rsid w:val="001F143A"/>
    <w:rsid w:val="001F1F7B"/>
    <w:rsid w:val="001F2D57"/>
    <w:rsid w:val="001F3ABF"/>
    <w:rsid w:val="001F41BF"/>
    <w:rsid w:val="001F5357"/>
    <w:rsid w:val="001F563C"/>
    <w:rsid w:val="001F5C76"/>
    <w:rsid w:val="001F76E3"/>
    <w:rsid w:val="00200288"/>
    <w:rsid w:val="00200603"/>
    <w:rsid w:val="00200E36"/>
    <w:rsid w:val="0020281A"/>
    <w:rsid w:val="0020461C"/>
    <w:rsid w:val="00205945"/>
    <w:rsid w:val="002062A4"/>
    <w:rsid w:val="00207E62"/>
    <w:rsid w:val="002101CB"/>
    <w:rsid w:val="0021139A"/>
    <w:rsid w:val="00211F22"/>
    <w:rsid w:val="00213622"/>
    <w:rsid w:val="002140F2"/>
    <w:rsid w:val="0021447D"/>
    <w:rsid w:val="002144C8"/>
    <w:rsid w:val="00214576"/>
    <w:rsid w:val="00215AF5"/>
    <w:rsid w:val="00217F0F"/>
    <w:rsid w:val="00220B32"/>
    <w:rsid w:val="00221B06"/>
    <w:rsid w:val="00221B86"/>
    <w:rsid w:val="00221DE0"/>
    <w:rsid w:val="002221B4"/>
    <w:rsid w:val="002228B8"/>
    <w:rsid w:val="00222E3D"/>
    <w:rsid w:val="00223020"/>
    <w:rsid w:val="00224353"/>
    <w:rsid w:val="00224C19"/>
    <w:rsid w:val="00225D7E"/>
    <w:rsid w:val="00226573"/>
    <w:rsid w:val="0022675B"/>
    <w:rsid w:val="00230185"/>
    <w:rsid w:val="002301A8"/>
    <w:rsid w:val="0023030E"/>
    <w:rsid w:val="00231B71"/>
    <w:rsid w:val="00231D34"/>
    <w:rsid w:val="00234A87"/>
    <w:rsid w:val="00235006"/>
    <w:rsid w:val="002357F2"/>
    <w:rsid w:val="00236E81"/>
    <w:rsid w:val="00236FC5"/>
    <w:rsid w:val="00237154"/>
    <w:rsid w:val="0023732B"/>
    <w:rsid w:val="002376F7"/>
    <w:rsid w:val="00237BB5"/>
    <w:rsid w:val="00237D62"/>
    <w:rsid w:val="00240D45"/>
    <w:rsid w:val="00240FE5"/>
    <w:rsid w:val="00240FEB"/>
    <w:rsid w:val="0024214A"/>
    <w:rsid w:val="002454C0"/>
    <w:rsid w:val="00246160"/>
    <w:rsid w:val="00246ECD"/>
    <w:rsid w:val="00247C4B"/>
    <w:rsid w:val="002507F8"/>
    <w:rsid w:val="002513D9"/>
    <w:rsid w:val="0025142C"/>
    <w:rsid w:val="00251739"/>
    <w:rsid w:val="0025376E"/>
    <w:rsid w:val="00253BA1"/>
    <w:rsid w:val="002557B8"/>
    <w:rsid w:val="0025580B"/>
    <w:rsid w:val="00255AA0"/>
    <w:rsid w:val="00255EDD"/>
    <w:rsid w:val="002566EF"/>
    <w:rsid w:val="002570D0"/>
    <w:rsid w:val="00257FFD"/>
    <w:rsid w:val="002619D7"/>
    <w:rsid w:val="002621F5"/>
    <w:rsid w:val="002626BF"/>
    <w:rsid w:val="00265311"/>
    <w:rsid w:val="002663D3"/>
    <w:rsid w:val="00267371"/>
    <w:rsid w:val="0027219A"/>
    <w:rsid w:val="0027437F"/>
    <w:rsid w:val="00274E18"/>
    <w:rsid w:val="002755A8"/>
    <w:rsid w:val="0027732F"/>
    <w:rsid w:val="00277E09"/>
    <w:rsid w:val="00281C40"/>
    <w:rsid w:val="002822FF"/>
    <w:rsid w:val="00284028"/>
    <w:rsid w:val="0028450C"/>
    <w:rsid w:val="00284BE8"/>
    <w:rsid w:val="002862B2"/>
    <w:rsid w:val="00286C9B"/>
    <w:rsid w:val="00286D34"/>
    <w:rsid w:val="0028751C"/>
    <w:rsid w:val="00287656"/>
    <w:rsid w:val="0028799B"/>
    <w:rsid w:val="00287A30"/>
    <w:rsid w:val="00290124"/>
    <w:rsid w:val="00290B72"/>
    <w:rsid w:val="00291E15"/>
    <w:rsid w:val="002928F9"/>
    <w:rsid w:val="00292F4E"/>
    <w:rsid w:val="00293316"/>
    <w:rsid w:val="00293B61"/>
    <w:rsid w:val="00294402"/>
    <w:rsid w:val="00294BF1"/>
    <w:rsid w:val="00294C9C"/>
    <w:rsid w:val="00295652"/>
    <w:rsid w:val="0029589D"/>
    <w:rsid w:val="00296A87"/>
    <w:rsid w:val="00297DF1"/>
    <w:rsid w:val="002A0FFB"/>
    <w:rsid w:val="002A2983"/>
    <w:rsid w:val="002A3784"/>
    <w:rsid w:val="002A4F08"/>
    <w:rsid w:val="002A59C7"/>
    <w:rsid w:val="002A748D"/>
    <w:rsid w:val="002A7D95"/>
    <w:rsid w:val="002B0046"/>
    <w:rsid w:val="002B0497"/>
    <w:rsid w:val="002B0C05"/>
    <w:rsid w:val="002B0F28"/>
    <w:rsid w:val="002B116E"/>
    <w:rsid w:val="002B1C79"/>
    <w:rsid w:val="002B3282"/>
    <w:rsid w:val="002B3722"/>
    <w:rsid w:val="002B3C6A"/>
    <w:rsid w:val="002B6248"/>
    <w:rsid w:val="002B755E"/>
    <w:rsid w:val="002B7861"/>
    <w:rsid w:val="002B7A48"/>
    <w:rsid w:val="002C18EB"/>
    <w:rsid w:val="002C224F"/>
    <w:rsid w:val="002C2A12"/>
    <w:rsid w:val="002C32A2"/>
    <w:rsid w:val="002C3815"/>
    <w:rsid w:val="002C3EF0"/>
    <w:rsid w:val="002C4CC3"/>
    <w:rsid w:val="002C579B"/>
    <w:rsid w:val="002C79D9"/>
    <w:rsid w:val="002D0807"/>
    <w:rsid w:val="002D09FF"/>
    <w:rsid w:val="002D19C6"/>
    <w:rsid w:val="002D306E"/>
    <w:rsid w:val="002D393D"/>
    <w:rsid w:val="002D3CC4"/>
    <w:rsid w:val="002D512B"/>
    <w:rsid w:val="002D5719"/>
    <w:rsid w:val="002D75BD"/>
    <w:rsid w:val="002D78A4"/>
    <w:rsid w:val="002D7C90"/>
    <w:rsid w:val="002E0B81"/>
    <w:rsid w:val="002E0ECA"/>
    <w:rsid w:val="002E2C8D"/>
    <w:rsid w:val="002E550B"/>
    <w:rsid w:val="002E56DD"/>
    <w:rsid w:val="002E777C"/>
    <w:rsid w:val="002F1811"/>
    <w:rsid w:val="002F20A6"/>
    <w:rsid w:val="002F284F"/>
    <w:rsid w:val="002F3E72"/>
    <w:rsid w:val="002F3EC5"/>
    <w:rsid w:val="002F4E66"/>
    <w:rsid w:val="002F53BE"/>
    <w:rsid w:val="0030005B"/>
    <w:rsid w:val="00300454"/>
    <w:rsid w:val="003004C6"/>
    <w:rsid w:val="00300823"/>
    <w:rsid w:val="00300D68"/>
    <w:rsid w:val="0030141A"/>
    <w:rsid w:val="0030258C"/>
    <w:rsid w:val="003028A6"/>
    <w:rsid w:val="00303F77"/>
    <w:rsid w:val="00304C60"/>
    <w:rsid w:val="0030723B"/>
    <w:rsid w:val="0031040F"/>
    <w:rsid w:val="0031072F"/>
    <w:rsid w:val="003107AE"/>
    <w:rsid w:val="00310EA9"/>
    <w:rsid w:val="00311049"/>
    <w:rsid w:val="00311792"/>
    <w:rsid w:val="00312008"/>
    <w:rsid w:val="00312064"/>
    <w:rsid w:val="0031286B"/>
    <w:rsid w:val="00312B25"/>
    <w:rsid w:val="00312E0C"/>
    <w:rsid w:val="00313AF1"/>
    <w:rsid w:val="00313E36"/>
    <w:rsid w:val="00314302"/>
    <w:rsid w:val="00315B69"/>
    <w:rsid w:val="00320027"/>
    <w:rsid w:val="00320646"/>
    <w:rsid w:val="00320C08"/>
    <w:rsid w:val="003211FC"/>
    <w:rsid w:val="003224ED"/>
    <w:rsid w:val="0032297A"/>
    <w:rsid w:val="00322A8C"/>
    <w:rsid w:val="00322AA4"/>
    <w:rsid w:val="003235B4"/>
    <w:rsid w:val="00323DD4"/>
    <w:rsid w:val="0032428A"/>
    <w:rsid w:val="003244B1"/>
    <w:rsid w:val="003256DE"/>
    <w:rsid w:val="00325C14"/>
    <w:rsid w:val="0032689E"/>
    <w:rsid w:val="00326A60"/>
    <w:rsid w:val="00327436"/>
    <w:rsid w:val="00327AD2"/>
    <w:rsid w:val="00327E39"/>
    <w:rsid w:val="00331ED2"/>
    <w:rsid w:val="0033221C"/>
    <w:rsid w:val="003329C2"/>
    <w:rsid w:val="003333FE"/>
    <w:rsid w:val="00333852"/>
    <w:rsid w:val="00335412"/>
    <w:rsid w:val="00336E1F"/>
    <w:rsid w:val="0033712B"/>
    <w:rsid w:val="00337832"/>
    <w:rsid w:val="00337A98"/>
    <w:rsid w:val="00341275"/>
    <w:rsid w:val="00344347"/>
    <w:rsid w:val="00344499"/>
    <w:rsid w:val="00345EC9"/>
    <w:rsid w:val="00345FE6"/>
    <w:rsid w:val="00346570"/>
    <w:rsid w:val="00351AF2"/>
    <w:rsid w:val="00351B0D"/>
    <w:rsid w:val="0035408C"/>
    <w:rsid w:val="00355B6C"/>
    <w:rsid w:val="00356239"/>
    <w:rsid w:val="003579BA"/>
    <w:rsid w:val="00357DFA"/>
    <w:rsid w:val="00360109"/>
    <w:rsid w:val="00360202"/>
    <w:rsid w:val="003608D6"/>
    <w:rsid w:val="003612FF"/>
    <w:rsid w:val="00361568"/>
    <w:rsid w:val="003616BA"/>
    <w:rsid w:val="00362388"/>
    <w:rsid w:val="00362590"/>
    <w:rsid w:val="00363828"/>
    <w:rsid w:val="00363F05"/>
    <w:rsid w:val="00363F4E"/>
    <w:rsid w:val="00364CA2"/>
    <w:rsid w:val="00365E68"/>
    <w:rsid w:val="003677C0"/>
    <w:rsid w:val="00373639"/>
    <w:rsid w:val="0037492A"/>
    <w:rsid w:val="00374F29"/>
    <w:rsid w:val="00375491"/>
    <w:rsid w:val="00375DD2"/>
    <w:rsid w:val="0037668A"/>
    <w:rsid w:val="00377D8E"/>
    <w:rsid w:val="00377DDB"/>
    <w:rsid w:val="003802FF"/>
    <w:rsid w:val="00382F72"/>
    <w:rsid w:val="00383758"/>
    <w:rsid w:val="00383C37"/>
    <w:rsid w:val="0039036D"/>
    <w:rsid w:val="003906FD"/>
    <w:rsid w:val="00391E8A"/>
    <w:rsid w:val="00391F1E"/>
    <w:rsid w:val="00392031"/>
    <w:rsid w:val="00393353"/>
    <w:rsid w:val="00394155"/>
    <w:rsid w:val="003967F9"/>
    <w:rsid w:val="003970FA"/>
    <w:rsid w:val="003A04DF"/>
    <w:rsid w:val="003A1221"/>
    <w:rsid w:val="003A1408"/>
    <w:rsid w:val="003A1C67"/>
    <w:rsid w:val="003A3424"/>
    <w:rsid w:val="003A5ADE"/>
    <w:rsid w:val="003A5F67"/>
    <w:rsid w:val="003A608B"/>
    <w:rsid w:val="003A6E90"/>
    <w:rsid w:val="003A7EB0"/>
    <w:rsid w:val="003B0105"/>
    <w:rsid w:val="003B0AD5"/>
    <w:rsid w:val="003B0EA3"/>
    <w:rsid w:val="003B2C57"/>
    <w:rsid w:val="003B2E56"/>
    <w:rsid w:val="003B3374"/>
    <w:rsid w:val="003B4CFD"/>
    <w:rsid w:val="003B51EF"/>
    <w:rsid w:val="003B5CB9"/>
    <w:rsid w:val="003B7223"/>
    <w:rsid w:val="003B7A19"/>
    <w:rsid w:val="003B7CB1"/>
    <w:rsid w:val="003C00A2"/>
    <w:rsid w:val="003C2D8F"/>
    <w:rsid w:val="003C542F"/>
    <w:rsid w:val="003C63C1"/>
    <w:rsid w:val="003C7044"/>
    <w:rsid w:val="003D0B4A"/>
    <w:rsid w:val="003D0E6F"/>
    <w:rsid w:val="003D2B05"/>
    <w:rsid w:val="003D3798"/>
    <w:rsid w:val="003D4927"/>
    <w:rsid w:val="003D50C6"/>
    <w:rsid w:val="003D57FC"/>
    <w:rsid w:val="003D6C9A"/>
    <w:rsid w:val="003E030C"/>
    <w:rsid w:val="003E068F"/>
    <w:rsid w:val="003E0883"/>
    <w:rsid w:val="003E095B"/>
    <w:rsid w:val="003E0C94"/>
    <w:rsid w:val="003E5E75"/>
    <w:rsid w:val="003E66B0"/>
    <w:rsid w:val="003E6979"/>
    <w:rsid w:val="003E6E0B"/>
    <w:rsid w:val="003E716B"/>
    <w:rsid w:val="003E7477"/>
    <w:rsid w:val="003F01F4"/>
    <w:rsid w:val="003F09B9"/>
    <w:rsid w:val="003F0AD8"/>
    <w:rsid w:val="003F1006"/>
    <w:rsid w:val="003F1F95"/>
    <w:rsid w:val="003F2AE4"/>
    <w:rsid w:val="003F3591"/>
    <w:rsid w:val="003F51EA"/>
    <w:rsid w:val="003F5F4C"/>
    <w:rsid w:val="003F632A"/>
    <w:rsid w:val="003F63D6"/>
    <w:rsid w:val="003F663F"/>
    <w:rsid w:val="003F6EB3"/>
    <w:rsid w:val="003F7C93"/>
    <w:rsid w:val="0040010A"/>
    <w:rsid w:val="00400FF1"/>
    <w:rsid w:val="004014BF"/>
    <w:rsid w:val="004017BB"/>
    <w:rsid w:val="00401A38"/>
    <w:rsid w:val="00401CE7"/>
    <w:rsid w:val="00405A95"/>
    <w:rsid w:val="00406D94"/>
    <w:rsid w:val="00412B3A"/>
    <w:rsid w:val="00413479"/>
    <w:rsid w:val="004149E4"/>
    <w:rsid w:val="00415F94"/>
    <w:rsid w:val="00417A6E"/>
    <w:rsid w:val="00420A55"/>
    <w:rsid w:val="00420A75"/>
    <w:rsid w:val="00421439"/>
    <w:rsid w:val="0042155B"/>
    <w:rsid w:val="004218F0"/>
    <w:rsid w:val="00421D55"/>
    <w:rsid w:val="004225A1"/>
    <w:rsid w:val="00422A8B"/>
    <w:rsid w:val="004233A2"/>
    <w:rsid w:val="00425D8E"/>
    <w:rsid w:val="0042606E"/>
    <w:rsid w:val="00426C38"/>
    <w:rsid w:val="00426D85"/>
    <w:rsid w:val="00426E61"/>
    <w:rsid w:val="00427C2A"/>
    <w:rsid w:val="00430FCF"/>
    <w:rsid w:val="00431E5C"/>
    <w:rsid w:val="00433A09"/>
    <w:rsid w:val="00434017"/>
    <w:rsid w:val="00434ED8"/>
    <w:rsid w:val="00434F30"/>
    <w:rsid w:val="00437182"/>
    <w:rsid w:val="00437F09"/>
    <w:rsid w:val="004401D4"/>
    <w:rsid w:val="00440575"/>
    <w:rsid w:val="004417E9"/>
    <w:rsid w:val="004423B3"/>
    <w:rsid w:val="004428A1"/>
    <w:rsid w:val="004428D6"/>
    <w:rsid w:val="00442E62"/>
    <w:rsid w:val="004435F9"/>
    <w:rsid w:val="0044411F"/>
    <w:rsid w:val="004444A4"/>
    <w:rsid w:val="00445723"/>
    <w:rsid w:val="00445740"/>
    <w:rsid w:val="00447240"/>
    <w:rsid w:val="004476CB"/>
    <w:rsid w:val="0045006F"/>
    <w:rsid w:val="004506FF"/>
    <w:rsid w:val="00450BF6"/>
    <w:rsid w:val="004518E3"/>
    <w:rsid w:val="00453179"/>
    <w:rsid w:val="004531E1"/>
    <w:rsid w:val="00453534"/>
    <w:rsid w:val="00453604"/>
    <w:rsid w:val="00453FFE"/>
    <w:rsid w:val="004550C6"/>
    <w:rsid w:val="004552AC"/>
    <w:rsid w:val="00455419"/>
    <w:rsid w:val="0045721E"/>
    <w:rsid w:val="00460E87"/>
    <w:rsid w:val="00461821"/>
    <w:rsid w:val="0046190C"/>
    <w:rsid w:val="004621C7"/>
    <w:rsid w:val="00465BBE"/>
    <w:rsid w:val="00466213"/>
    <w:rsid w:val="00467856"/>
    <w:rsid w:val="00470752"/>
    <w:rsid w:val="00471AEC"/>
    <w:rsid w:val="00472204"/>
    <w:rsid w:val="00473592"/>
    <w:rsid w:val="00473EB6"/>
    <w:rsid w:val="00475497"/>
    <w:rsid w:val="00475874"/>
    <w:rsid w:val="00477355"/>
    <w:rsid w:val="0047792B"/>
    <w:rsid w:val="00482EBC"/>
    <w:rsid w:val="00483AEC"/>
    <w:rsid w:val="0048467F"/>
    <w:rsid w:val="004847B5"/>
    <w:rsid w:val="00484856"/>
    <w:rsid w:val="00485683"/>
    <w:rsid w:val="0048756C"/>
    <w:rsid w:val="00490694"/>
    <w:rsid w:val="004909EC"/>
    <w:rsid w:val="00491B81"/>
    <w:rsid w:val="00492876"/>
    <w:rsid w:val="00493464"/>
    <w:rsid w:val="00496B5F"/>
    <w:rsid w:val="00496C85"/>
    <w:rsid w:val="00497E10"/>
    <w:rsid w:val="004A0493"/>
    <w:rsid w:val="004A063E"/>
    <w:rsid w:val="004A0E11"/>
    <w:rsid w:val="004A2220"/>
    <w:rsid w:val="004A2349"/>
    <w:rsid w:val="004A34EA"/>
    <w:rsid w:val="004A3BE6"/>
    <w:rsid w:val="004A3D32"/>
    <w:rsid w:val="004A3ED7"/>
    <w:rsid w:val="004A41F8"/>
    <w:rsid w:val="004A4998"/>
    <w:rsid w:val="004A76C7"/>
    <w:rsid w:val="004A7CBF"/>
    <w:rsid w:val="004B0F47"/>
    <w:rsid w:val="004B26BF"/>
    <w:rsid w:val="004B2EAF"/>
    <w:rsid w:val="004B3004"/>
    <w:rsid w:val="004B4940"/>
    <w:rsid w:val="004B4B23"/>
    <w:rsid w:val="004B5128"/>
    <w:rsid w:val="004B642E"/>
    <w:rsid w:val="004B679B"/>
    <w:rsid w:val="004B68CC"/>
    <w:rsid w:val="004B6B7C"/>
    <w:rsid w:val="004C027D"/>
    <w:rsid w:val="004C191C"/>
    <w:rsid w:val="004C24D6"/>
    <w:rsid w:val="004C343B"/>
    <w:rsid w:val="004C45C6"/>
    <w:rsid w:val="004C5CB9"/>
    <w:rsid w:val="004C7118"/>
    <w:rsid w:val="004C71A2"/>
    <w:rsid w:val="004D119E"/>
    <w:rsid w:val="004D15FB"/>
    <w:rsid w:val="004D2879"/>
    <w:rsid w:val="004D2AB4"/>
    <w:rsid w:val="004D2D4B"/>
    <w:rsid w:val="004D3AFB"/>
    <w:rsid w:val="004D48B4"/>
    <w:rsid w:val="004D49A0"/>
    <w:rsid w:val="004D6144"/>
    <w:rsid w:val="004D7977"/>
    <w:rsid w:val="004E0CBE"/>
    <w:rsid w:val="004E1038"/>
    <w:rsid w:val="004E111E"/>
    <w:rsid w:val="004E2C38"/>
    <w:rsid w:val="004E543D"/>
    <w:rsid w:val="004E5932"/>
    <w:rsid w:val="004E595E"/>
    <w:rsid w:val="004E62FF"/>
    <w:rsid w:val="004E722D"/>
    <w:rsid w:val="004E76F2"/>
    <w:rsid w:val="004E7A20"/>
    <w:rsid w:val="004E7FF4"/>
    <w:rsid w:val="004F04E1"/>
    <w:rsid w:val="004F05BF"/>
    <w:rsid w:val="004F0BE8"/>
    <w:rsid w:val="004F1A28"/>
    <w:rsid w:val="004F1CB4"/>
    <w:rsid w:val="004F20DD"/>
    <w:rsid w:val="004F600F"/>
    <w:rsid w:val="004F6783"/>
    <w:rsid w:val="004F76E9"/>
    <w:rsid w:val="004F78CB"/>
    <w:rsid w:val="004F7CC0"/>
    <w:rsid w:val="00500D42"/>
    <w:rsid w:val="00501E05"/>
    <w:rsid w:val="00501E33"/>
    <w:rsid w:val="00502327"/>
    <w:rsid w:val="00503C3A"/>
    <w:rsid w:val="005051EF"/>
    <w:rsid w:val="0050610B"/>
    <w:rsid w:val="0050727E"/>
    <w:rsid w:val="005077D6"/>
    <w:rsid w:val="0051022C"/>
    <w:rsid w:val="0051072E"/>
    <w:rsid w:val="005109FA"/>
    <w:rsid w:val="00510F06"/>
    <w:rsid w:val="00511120"/>
    <w:rsid w:val="0051116D"/>
    <w:rsid w:val="00511D19"/>
    <w:rsid w:val="005124F6"/>
    <w:rsid w:val="00512EDC"/>
    <w:rsid w:val="00513A71"/>
    <w:rsid w:val="00515CAF"/>
    <w:rsid w:val="00516570"/>
    <w:rsid w:val="00517617"/>
    <w:rsid w:val="00517CF6"/>
    <w:rsid w:val="00517DF0"/>
    <w:rsid w:val="0052020F"/>
    <w:rsid w:val="0052120E"/>
    <w:rsid w:val="0052156A"/>
    <w:rsid w:val="00522D03"/>
    <w:rsid w:val="00522E94"/>
    <w:rsid w:val="00523D85"/>
    <w:rsid w:val="00524735"/>
    <w:rsid w:val="00525BF7"/>
    <w:rsid w:val="00525CED"/>
    <w:rsid w:val="005274EC"/>
    <w:rsid w:val="0053043A"/>
    <w:rsid w:val="00531165"/>
    <w:rsid w:val="0053177D"/>
    <w:rsid w:val="00531C65"/>
    <w:rsid w:val="00531D44"/>
    <w:rsid w:val="0053200B"/>
    <w:rsid w:val="0053221E"/>
    <w:rsid w:val="00532376"/>
    <w:rsid w:val="005341D8"/>
    <w:rsid w:val="005342E2"/>
    <w:rsid w:val="00534DF1"/>
    <w:rsid w:val="00535577"/>
    <w:rsid w:val="00535701"/>
    <w:rsid w:val="005359ED"/>
    <w:rsid w:val="005367E6"/>
    <w:rsid w:val="00537026"/>
    <w:rsid w:val="00537DD8"/>
    <w:rsid w:val="005407E9"/>
    <w:rsid w:val="00542152"/>
    <w:rsid w:val="00542CBF"/>
    <w:rsid w:val="00544B6E"/>
    <w:rsid w:val="00546FA4"/>
    <w:rsid w:val="00550B50"/>
    <w:rsid w:val="00550DF6"/>
    <w:rsid w:val="005518CA"/>
    <w:rsid w:val="0055399E"/>
    <w:rsid w:val="00553CDC"/>
    <w:rsid w:val="00554255"/>
    <w:rsid w:val="0055463E"/>
    <w:rsid w:val="0055644C"/>
    <w:rsid w:val="00560A44"/>
    <w:rsid w:val="0056217B"/>
    <w:rsid w:val="005622A6"/>
    <w:rsid w:val="00563234"/>
    <w:rsid w:val="00567BAA"/>
    <w:rsid w:val="00571DEB"/>
    <w:rsid w:val="005745F0"/>
    <w:rsid w:val="005746E3"/>
    <w:rsid w:val="00574960"/>
    <w:rsid w:val="00575017"/>
    <w:rsid w:val="005775E5"/>
    <w:rsid w:val="0058062D"/>
    <w:rsid w:val="0058155A"/>
    <w:rsid w:val="00581BD1"/>
    <w:rsid w:val="00583141"/>
    <w:rsid w:val="0058322A"/>
    <w:rsid w:val="005836F5"/>
    <w:rsid w:val="005848B8"/>
    <w:rsid w:val="005863F8"/>
    <w:rsid w:val="00587058"/>
    <w:rsid w:val="0058755A"/>
    <w:rsid w:val="00590547"/>
    <w:rsid w:val="0059107B"/>
    <w:rsid w:val="00591DD0"/>
    <w:rsid w:val="00592532"/>
    <w:rsid w:val="005926E5"/>
    <w:rsid w:val="00592845"/>
    <w:rsid w:val="00592CB9"/>
    <w:rsid w:val="005932A1"/>
    <w:rsid w:val="00594FCE"/>
    <w:rsid w:val="0059615F"/>
    <w:rsid w:val="00596B82"/>
    <w:rsid w:val="005977E1"/>
    <w:rsid w:val="00597EA7"/>
    <w:rsid w:val="005A003D"/>
    <w:rsid w:val="005A084F"/>
    <w:rsid w:val="005A14BD"/>
    <w:rsid w:val="005A154E"/>
    <w:rsid w:val="005A1815"/>
    <w:rsid w:val="005A2B26"/>
    <w:rsid w:val="005A493E"/>
    <w:rsid w:val="005A4BE1"/>
    <w:rsid w:val="005A60CA"/>
    <w:rsid w:val="005A6343"/>
    <w:rsid w:val="005A6499"/>
    <w:rsid w:val="005A6B86"/>
    <w:rsid w:val="005B1378"/>
    <w:rsid w:val="005B27D3"/>
    <w:rsid w:val="005B3580"/>
    <w:rsid w:val="005B54F4"/>
    <w:rsid w:val="005B591C"/>
    <w:rsid w:val="005C054F"/>
    <w:rsid w:val="005C0CFB"/>
    <w:rsid w:val="005C10AF"/>
    <w:rsid w:val="005C2616"/>
    <w:rsid w:val="005C2AE5"/>
    <w:rsid w:val="005C3B43"/>
    <w:rsid w:val="005C3C3B"/>
    <w:rsid w:val="005C401D"/>
    <w:rsid w:val="005C4289"/>
    <w:rsid w:val="005C437E"/>
    <w:rsid w:val="005C6975"/>
    <w:rsid w:val="005C792E"/>
    <w:rsid w:val="005D0409"/>
    <w:rsid w:val="005D05A5"/>
    <w:rsid w:val="005D154B"/>
    <w:rsid w:val="005D1623"/>
    <w:rsid w:val="005D1F0D"/>
    <w:rsid w:val="005D2478"/>
    <w:rsid w:val="005D2A5D"/>
    <w:rsid w:val="005D392F"/>
    <w:rsid w:val="005D62AA"/>
    <w:rsid w:val="005D6516"/>
    <w:rsid w:val="005D6A37"/>
    <w:rsid w:val="005D6B4B"/>
    <w:rsid w:val="005D7288"/>
    <w:rsid w:val="005D744A"/>
    <w:rsid w:val="005E00DB"/>
    <w:rsid w:val="005E197B"/>
    <w:rsid w:val="005E280D"/>
    <w:rsid w:val="005E2C2F"/>
    <w:rsid w:val="005E345C"/>
    <w:rsid w:val="005E5C07"/>
    <w:rsid w:val="005E5E95"/>
    <w:rsid w:val="005F085A"/>
    <w:rsid w:val="005F0A6A"/>
    <w:rsid w:val="005F11CE"/>
    <w:rsid w:val="005F1C19"/>
    <w:rsid w:val="005F314E"/>
    <w:rsid w:val="005F46FA"/>
    <w:rsid w:val="005F4D76"/>
    <w:rsid w:val="005F53C2"/>
    <w:rsid w:val="005F5C25"/>
    <w:rsid w:val="005F7790"/>
    <w:rsid w:val="005F7DEB"/>
    <w:rsid w:val="00600141"/>
    <w:rsid w:val="00600E4B"/>
    <w:rsid w:val="006014B0"/>
    <w:rsid w:val="00601753"/>
    <w:rsid w:val="00601793"/>
    <w:rsid w:val="006022B3"/>
    <w:rsid w:val="00602509"/>
    <w:rsid w:val="0060314B"/>
    <w:rsid w:val="00603998"/>
    <w:rsid w:val="006041AC"/>
    <w:rsid w:val="0060484C"/>
    <w:rsid w:val="0060533D"/>
    <w:rsid w:val="006059E7"/>
    <w:rsid w:val="006066DE"/>
    <w:rsid w:val="00607203"/>
    <w:rsid w:val="00607612"/>
    <w:rsid w:val="0060792F"/>
    <w:rsid w:val="00607EA6"/>
    <w:rsid w:val="00610443"/>
    <w:rsid w:val="00610D13"/>
    <w:rsid w:val="00611230"/>
    <w:rsid w:val="006112E3"/>
    <w:rsid w:val="00611E3A"/>
    <w:rsid w:val="006124EF"/>
    <w:rsid w:val="0061303F"/>
    <w:rsid w:val="006136C5"/>
    <w:rsid w:val="00614730"/>
    <w:rsid w:val="0061476D"/>
    <w:rsid w:val="00616449"/>
    <w:rsid w:val="0061699B"/>
    <w:rsid w:val="00620125"/>
    <w:rsid w:val="00620A59"/>
    <w:rsid w:val="00620D89"/>
    <w:rsid w:val="0062417B"/>
    <w:rsid w:val="0062478F"/>
    <w:rsid w:val="00625033"/>
    <w:rsid w:val="0062508A"/>
    <w:rsid w:val="00625A65"/>
    <w:rsid w:val="0062798D"/>
    <w:rsid w:val="00630D7C"/>
    <w:rsid w:val="00631DF3"/>
    <w:rsid w:val="0063377B"/>
    <w:rsid w:val="00633940"/>
    <w:rsid w:val="00635D7D"/>
    <w:rsid w:val="006363C3"/>
    <w:rsid w:val="00640253"/>
    <w:rsid w:val="00641288"/>
    <w:rsid w:val="006441A7"/>
    <w:rsid w:val="006445A9"/>
    <w:rsid w:val="00645681"/>
    <w:rsid w:val="00645E91"/>
    <w:rsid w:val="006462C8"/>
    <w:rsid w:val="00646808"/>
    <w:rsid w:val="00646ADE"/>
    <w:rsid w:val="00647512"/>
    <w:rsid w:val="00650F29"/>
    <w:rsid w:val="00651362"/>
    <w:rsid w:val="00652D92"/>
    <w:rsid w:val="00653D92"/>
    <w:rsid w:val="00653F64"/>
    <w:rsid w:val="00657670"/>
    <w:rsid w:val="00657C1B"/>
    <w:rsid w:val="00660025"/>
    <w:rsid w:val="00660CF3"/>
    <w:rsid w:val="0066106D"/>
    <w:rsid w:val="00661072"/>
    <w:rsid w:val="00663CFA"/>
    <w:rsid w:val="0066471A"/>
    <w:rsid w:val="00664CA2"/>
    <w:rsid w:val="00665370"/>
    <w:rsid w:val="00665FD4"/>
    <w:rsid w:val="0066732E"/>
    <w:rsid w:val="00667A06"/>
    <w:rsid w:val="006701A9"/>
    <w:rsid w:val="006702D8"/>
    <w:rsid w:val="006709AF"/>
    <w:rsid w:val="00670AF4"/>
    <w:rsid w:val="006710BA"/>
    <w:rsid w:val="00671722"/>
    <w:rsid w:val="0067311B"/>
    <w:rsid w:val="00673D6A"/>
    <w:rsid w:val="00674ABE"/>
    <w:rsid w:val="006763C3"/>
    <w:rsid w:val="00676B8B"/>
    <w:rsid w:val="00681C3C"/>
    <w:rsid w:val="0068215B"/>
    <w:rsid w:val="0068299D"/>
    <w:rsid w:val="00682E2F"/>
    <w:rsid w:val="00684403"/>
    <w:rsid w:val="00684441"/>
    <w:rsid w:val="00685E31"/>
    <w:rsid w:val="00690EC1"/>
    <w:rsid w:val="006928F7"/>
    <w:rsid w:val="0069290B"/>
    <w:rsid w:val="00693D88"/>
    <w:rsid w:val="0069469C"/>
    <w:rsid w:val="00694DB0"/>
    <w:rsid w:val="0069595E"/>
    <w:rsid w:val="00695D4A"/>
    <w:rsid w:val="00696C30"/>
    <w:rsid w:val="00696C42"/>
    <w:rsid w:val="00696D8A"/>
    <w:rsid w:val="006975A6"/>
    <w:rsid w:val="006A03E5"/>
    <w:rsid w:val="006A0C19"/>
    <w:rsid w:val="006A21EE"/>
    <w:rsid w:val="006A31A5"/>
    <w:rsid w:val="006A33F9"/>
    <w:rsid w:val="006A3D2A"/>
    <w:rsid w:val="006A5A68"/>
    <w:rsid w:val="006A66AF"/>
    <w:rsid w:val="006A7AB7"/>
    <w:rsid w:val="006B1E02"/>
    <w:rsid w:val="006B246B"/>
    <w:rsid w:val="006B2FA6"/>
    <w:rsid w:val="006B36BE"/>
    <w:rsid w:val="006B3F26"/>
    <w:rsid w:val="006B459F"/>
    <w:rsid w:val="006B51CD"/>
    <w:rsid w:val="006B6D95"/>
    <w:rsid w:val="006C123E"/>
    <w:rsid w:val="006C1995"/>
    <w:rsid w:val="006C1AAC"/>
    <w:rsid w:val="006C1BC3"/>
    <w:rsid w:val="006C286C"/>
    <w:rsid w:val="006C2C5E"/>
    <w:rsid w:val="006C481A"/>
    <w:rsid w:val="006C4AE5"/>
    <w:rsid w:val="006C5BF0"/>
    <w:rsid w:val="006C5E0E"/>
    <w:rsid w:val="006C6DCF"/>
    <w:rsid w:val="006D0477"/>
    <w:rsid w:val="006D0AC2"/>
    <w:rsid w:val="006D0F27"/>
    <w:rsid w:val="006D1C52"/>
    <w:rsid w:val="006D2581"/>
    <w:rsid w:val="006D3077"/>
    <w:rsid w:val="006D3318"/>
    <w:rsid w:val="006D56D3"/>
    <w:rsid w:val="006D5FD1"/>
    <w:rsid w:val="006D6772"/>
    <w:rsid w:val="006D67DF"/>
    <w:rsid w:val="006E15DA"/>
    <w:rsid w:val="006E2A29"/>
    <w:rsid w:val="006E327C"/>
    <w:rsid w:val="006E3699"/>
    <w:rsid w:val="006E3AE2"/>
    <w:rsid w:val="006E6042"/>
    <w:rsid w:val="006F07D1"/>
    <w:rsid w:val="006F10F4"/>
    <w:rsid w:val="006F135A"/>
    <w:rsid w:val="006F4608"/>
    <w:rsid w:val="006F4E76"/>
    <w:rsid w:val="006F7022"/>
    <w:rsid w:val="006F781D"/>
    <w:rsid w:val="006F7A6A"/>
    <w:rsid w:val="006F7C2C"/>
    <w:rsid w:val="0070044A"/>
    <w:rsid w:val="00700B58"/>
    <w:rsid w:val="00700E8B"/>
    <w:rsid w:val="00700EC7"/>
    <w:rsid w:val="00701A31"/>
    <w:rsid w:val="007028CE"/>
    <w:rsid w:val="00704396"/>
    <w:rsid w:val="007050FA"/>
    <w:rsid w:val="00705BAA"/>
    <w:rsid w:val="0070614C"/>
    <w:rsid w:val="00706451"/>
    <w:rsid w:val="0070696F"/>
    <w:rsid w:val="00706B44"/>
    <w:rsid w:val="00706E62"/>
    <w:rsid w:val="007078D9"/>
    <w:rsid w:val="00707E25"/>
    <w:rsid w:val="00710BC1"/>
    <w:rsid w:val="00714109"/>
    <w:rsid w:val="007146EF"/>
    <w:rsid w:val="007150DD"/>
    <w:rsid w:val="007162A8"/>
    <w:rsid w:val="00716E58"/>
    <w:rsid w:val="0071723F"/>
    <w:rsid w:val="007218AD"/>
    <w:rsid w:val="00721FCC"/>
    <w:rsid w:val="00722805"/>
    <w:rsid w:val="00724746"/>
    <w:rsid w:val="007247B8"/>
    <w:rsid w:val="00724908"/>
    <w:rsid w:val="00724D7D"/>
    <w:rsid w:val="00724E07"/>
    <w:rsid w:val="007254B3"/>
    <w:rsid w:val="00725CC0"/>
    <w:rsid w:val="00726217"/>
    <w:rsid w:val="007265A6"/>
    <w:rsid w:val="007279E4"/>
    <w:rsid w:val="00727C16"/>
    <w:rsid w:val="00727E0A"/>
    <w:rsid w:val="00727F15"/>
    <w:rsid w:val="007302CD"/>
    <w:rsid w:val="00730628"/>
    <w:rsid w:val="007313EB"/>
    <w:rsid w:val="007319C7"/>
    <w:rsid w:val="007328D0"/>
    <w:rsid w:val="00733402"/>
    <w:rsid w:val="00734640"/>
    <w:rsid w:val="00735059"/>
    <w:rsid w:val="00735381"/>
    <w:rsid w:val="00735D63"/>
    <w:rsid w:val="00740981"/>
    <w:rsid w:val="00741343"/>
    <w:rsid w:val="0074285F"/>
    <w:rsid w:val="00744BF6"/>
    <w:rsid w:val="00746ED9"/>
    <w:rsid w:val="00750E55"/>
    <w:rsid w:val="00751C7B"/>
    <w:rsid w:val="007521D6"/>
    <w:rsid w:val="007524BB"/>
    <w:rsid w:val="0075280A"/>
    <w:rsid w:val="0075280F"/>
    <w:rsid w:val="00753C7F"/>
    <w:rsid w:val="00754210"/>
    <w:rsid w:val="00754245"/>
    <w:rsid w:val="00754A99"/>
    <w:rsid w:val="00755175"/>
    <w:rsid w:val="00755BAB"/>
    <w:rsid w:val="007566E2"/>
    <w:rsid w:val="007579F8"/>
    <w:rsid w:val="007602EE"/>
    <w:rsid w:val="007625D6"/>
    <w:rsid w:val="00762641"/>
    <w:rsid w:val="00762F5C"/>
    <w:rsid w:val="00762F7D"/>
    <w:rsid w:val="00763569"/>
    <w:rsid w:val="00763BBC"/>
    <w:rsid w:val="007644E2"/>
    <w:rsid w:val="00764D1C"/>
    <w:rsid w:val="0076519C"/>
    <w:rsid w:val="00765252"/>
    <w:rsid w:val="007656ED"/>
    <w:rsid w:val="00765E3A"/>
    <w:rsid w:val="007661E4"/>
    <w:rsid w:val="007665D3"/>
    <w:rsid w:val="007670A2"/>
    <w:rsid w:val="007679DB"/>
    <w:rsid w:val="00770226"/>
    <w:rsid w:val="007717C9"/>
    <w:rsid w:val="00771E90"/>
    <w:rsid w:val="007729BE"/>
    <w:rsid w:val="00773AF1"/>
    <w:rsid w:val="00773C60"/>
    <w:rsid w:val="00774A7B"/>
    <w:rsid w:val="00774E5F"/>
    <w:rsid w:val="00774EA9"/>
    <w:rsid w:val="00775108"/>
    <w:rsid w:val="0077542C"/>
    <w:rsid w:val="007757B9"/>
    <w:rsid w:val="00775E42"/>
    <w:rsid w:val="00775EA4"/>
    <w:rsid w:val="00775EFF"/>
    <w:rsid w:val="00775F72"/>
    <w:rsid w:val="007766FC"/>
    <w:rsid w:val="00776A57"/>
    <w:rsid w:val="00780067"/>
    <w:rsid w:val="007802FF"/>
    <w:rsid w:val="00780D1F"/>
    <w:rsid w:val="0078136D"/>
    <w:rsid w:val="007825BC"/>
    <w:rsid w:val="00782C41"/>
    <w:rsid w:val="00783C10"/>
    <w:rsid w:val="00785342"/>
    <w:rsid w:val="007869FA"/>
    <w:rsid w:val="00786FB7"/>
    <w:rsid w:val="0078743A"/>
    <w:rsid w:val="007937B5"/>
    <w:rsid w:val="0079386F"/>
    <w:rsid w:val="00793D18"/>
    <w:rsid w:val="007941FB"/>
    <w:rsid w:val="0079439F"/>
    <w:rsid w:val="00794CA0"/>
    <w:rsid w:val="007950BD"/>
    <w:rsid w:val="007960AE"/>
    <w:rsid w:val="007967C8"/>
    <w:rsid w:val="007972DA"/>
    <w:rsid w:val="00797CEB"/>
    <w:rsid w:val="00797D0B"/>
    <w:rsid w:val="007A12F6"/>
    <w:rsid w:val="007A2FCA"/>
    <w:rsid w:val="007A4177"/>
    <w:rsid w:val="007A44BE"/>
    <w:rsid w:val="007A4572"/>
    <w:rsid w:val="007A4DCE"/>
    <w:rsid w:val="007A5C04"/>
    <w:rsid w:val="007A627A"/>
    <w:rsid w:val="007A75EC"/>
    <w:rsid w:val="007B0DBA"/>
    <w:rsid w:val="007B4A18"/>
    <w:rsid w:val="007B7D3D"/>
    <w:rsid w:val="007C0ACB"/>
    <w:rsid w:val="007C18F3"/>
    <w:rsid w:val="007C1D59"/>
    <w:rsid w:val="007C29F1"/>
    <w:rsid w:val="007C3F42"/>
    <w:rsid w:val="007C426A"/>
    <w:rsid w:val="007C5913"/>
    <w:rsid w:val="007C6B61"/>
    <w:rsid w:val="007C6D6F"/>
    <w:rsid w:val="007C7C6A"/>
    <w:rsid w:val="007C7E5F"/>
    <w:rsid w:val="007D119C"/>
    <w:rsid w:val="007D2CD7"/>
    <w:rsid w:val="007D31B7"/>
    <w:rsid w:val="007D378A"/>
    <w:rsid w:val="007D4057"/>
    <w:rsid w:val="007D4495"/>
    <w:rsid w:val="007D4C8A"/>
    <w:rsid w:val="007D57DC"/>
    <w:rsid w:val="007D79AB"/>
    <w:rsid w:val="007D79AF"/>
    <w:rsid w:val="007E0CF3"/>
    <w:rsid w:val="007E0F62"/>
    <w:rsid w:val="007E1166"/>
    <w:rsid w:val="007E1582"/>
    <w:rsid w:val="007E159C"/>
    <w:rsid w:val="007E1885"/>
    <w:rsid w:val="007E1C52"/>
    <w:rsid w:val="007E2042"/>
    <w:rsid w:val="007E2D81"/>
    <w:rsid w:val="007E4415"/>
    <w:rsid w:val="007E4473"/>
    <w:rsid w:val="007E601F"/>
    <w:rsid w:val="007E6156"/>
    <w:rsid w:val="007E6E54"/>
    <w:rsid w:val="007E723E"/>
    <w:rsid w:val="007E7605"/>
    <w:rsid w:val="007E7D62"/>
    <w:rsid w:val="007F0626"/>
    <w:rsid w:val="007F0F9E"/>
    <w:rsid w:val="007F104F"/>
    <w:rsid w:val="007F1AF5"/>
    <w:rsid w:val="007F1D2A"/>
    <w:rsid w:val="007F2177"/>
    <w:rsid w:val="007F37F9"/>
    <w:rsid w:val="007F3C25"/>
    <w:rsid w:val="007F4A8E"/>
    <w:rsid w:val="007F4D97"/>
    <w:rsid w:val="007F4DE4"/>
    <w:rsid w:val="007F59A0"/>
    <w:rsid w:val="007F64D5"/>
    <w:rsid w:val="008009AE"/>
    <w:rsid w:val="0080239F"/>
    <w:rsid w:val="00803057"/>
    <w:rsid w:val="0080377B"/>
    <w:rsid w:val="00803F71"/>
    <w:rsid w:val="0080408E"/>
    <w:rsid w:val="00804656"/>
    <w:rsid w:val="008047D6"/>
    <w:rsid w:val="0080562E"/>
    <w:rsid w:val="0080566F"/>
    <w:rsid w:val="00805F88"/>
    <w:rsid w:val="008062D1"/>
    <w:rsid w:val="00810061"/>
    <w:rsid w:val="008104AE"/>
    <w:rsid w:val="00811250"/>
    <w:rsid w:val="00811964"/>
    <w:rsid w:val="00811E68"/>
    <w:rsid w:val="008124D8"/>
    <w:rsid w:val="00813E6B"/>
    <w:rsid w:val="008150B7"/>
    <w:rsid w:val="0081721E"/>
    <w:rsid w:val="008176F0"/>
    <w:rsid w:val="0082056B"/>
    <w:rsid w:val="008205F4"/>
    <w:rsid w:val="0082111D"/>
    <w:rsid w:val="00821B43"/>
    <w:rsid w:val="00823413"/>
    <w:rsid w:val="008242B4"/>
    <w:rsid w:val="008248A1"/>
    <w:rsid w:val="00824A8D"/>
    <w:rsid w:val="00824F79"/>
    <w:rsid w:val="0082549C"/>
    <w:rsid w:val="00825678"/>
    <w:rsid w:val="00826505"/>
    <w:rsid w:val="00826CD6"/>
    <w:rsid w:val="00826E70"/>
    <w:rsid w:val="008273F5"/>
    <w:rsid w:val="00830567"/>
    <w:rsid w:val="00830FD2"/>
    <w:rsid w:val="0083138B"/>
    <w:rsid w:val="0083145B"/>
    <w:rsid w:val="008316E1"/>
    <w:rsid w:val="00831DB1"/>
    <w:rsid w:val="00831DD3"/>
    <w:rsid w:val="00831FE2"/>
    <w:rsid w:val="00832216"/>
    <w:rsid w:val="00835598"/>
    <w:rsid w:val="008355BA"/>
    <w:rsid w:val="008378B0"/>
    <w:rsid w:val="00840406"/>
    <w:rsid w:val="00840902"/>
    <w:rsid w:val="00847252"/>
    <w:rsid w:val="00847A4C"/>
    <w:rsid w:val="0085163A"/>
    <w:rsid w:val="00851EB1"/>
    <w:rsid w:val="00852637"/>
    <w:rsid w:val="00855587"/>
    <w:rsid w:val="00856108"/>
    <w:rsid w:val="008602DE"/>
    <w:rsid w:val="00861748"/>
    <w:rsid w:val="00862C4D"/>
    <w:rsid w:val="00863B1B"/>
    <w:rsid w:val="008664F8"/>
    <w:rsid w:val="0086681E"/>
    <w:rsid w:val="008671E0"/>
    <w:rsid w:val="00867B5C"/>
    <w:rsid w:val="00870A53"/>
    <w:rsid w:val="00870AAA"/>
    <w:rsid w:val="0087177D"/>
    <w:rsid w:val="008718DC"/>
    <w:rsid w:val="00871EA4"/>
    <w:rsid w:val="008729B3"/>
    <w:rsid w:val="00872AE6"/>
    <w:rsid w:val="008740B0"/>
    <w:rsid w:val="00876896"/>
    <w:rsid w:val="00880FDC"/>
    <w:rsid w:val="00881BE0"/>
    <w:rsid w:val="008820E9"/>
    <w:rsid w:val="00882434"/>
    <w:rsid w:val="00882C82"/>
    <w:rsid w:val="008846E6"/>
    <w:rsid w:val="00890286"/>
    <w:rsid w:val="00890CF3"/>
    <w:rsid w:val="00891215"/>
    <w:rsid w:val="00891E8C"/>
    <w:rsid w:val="00892C36"/>
    <w:rsid w:val="008933BA"/>
    <w:rsid w:val="008936DF"/>
    <w:rsid w:val="008936EE"/>
    <w:rsid w:val="00893741"/>
    <w:rsid w:val="00893F2B"/>
    <w:rsid w:val="00894E08"/>
    <w:rsid w:val="00894E7C"/>
    <w:rsid w:val="00895D25"/>
    <w:rsid w:val="00895E96"/>
    <w:rsid w:val="00895F65"/>
    <w:rsid w:val="00896020"/>
    <w:rsid w:val="00896733"/>
    <w:rsid w:val="008976DF"/>
    <w:rsid w:val="00897724"/>
    <w:rsid w:val="00897A7B"/>
    <w:rsid w:val="008A1CC2"/>
    <w:rsid w:val="008A2436"/>
    <w:rsid w:val="008A2EB1"/>
    <w:rsid w:val="008A30EE"/>
    <w:rsid w:val="008A49E6"/>
    <w:rsid w:val="008A57D6"/>
    <w:rsid w:val="008A5C08"/>
    <w:rsid w:val="008A767D"/>
    <w:rsid w:val="008A7E54"/>
    <w:rsid w:val="008B028C"/>
    <w:rsid w:val="008B25F8"/>
    <w:rsid w:val="008B2911"/>
    <w:rsid w:val="008B3BA8"/>
    <w:rsid w:val="008B40F1"/>
    <w:rsid w:val="008B4C78"/>
    <w:rsid w:val="008B4FFA"/>
    <w:rsid w:val="008B57E1"/>
    <w:rsid w:val="008B6866"/>
    <w:rsid w:val="008C0068"/>
    <w:rsid w:val="008C0132"/>
    <w:rsid w:val="008C04F2"/>
    <w:rsid w:val="008C0A21"/>
    <w:rsid w:val="008C0B4A"/>
    <w:rsid w:val="008C1066"/>
    <w:rsid w:val="008C298C"/>
    <w:rsid w:val="008C3EAE"/>
    <w:rsid w:val="008C5BED"/>
    <w:rsid w:val="008C6810"/>
    <w:rsid w:val="008C69BB"/>
    <w:rsid w:val="008C6D62"/>
    <w:rsid w:val="008C7088"/>
    <w:rsid w:val="008C70DF"/>
    <w:rsid w:val="008C7857"/>
    <w:rsid w:val="008C7EAB"/>
    <w:rsid w:val="008D0508"/>
    <w:rsid w:val="008D0C09"/>
    <w:rsid w:val="008D19E4"/>
    <w:rsid w:val="008D1B57"/>
    <w:rsid w:val="008D2A2F"/>
    <w:rsid w:val="008D2F14"/>
    <w:rsid w:val="008D3020"/>
    <w:rsid w:val="008D4A80"/>
    <w:rsid w:val="008D5365"/>
    <w:rsid w:val="008D65E9"/>
    <w:rsid w:val="008D6DA0"/>
    <w:rsid w:val="008D71D6"/>
    <w:rsid w:val="008D7B88"/>
    <w:rsid w:val="008D7E2C"/>
    <w:rsid w:val="008E0181"/>
    <w:rsid w:val="008E055B"/>
    <w:rsid w:val="008E1626"/>
    <w:rsid w:val="008E1663"/>
    <w:rsid w:val="008E1EA0"/>
    <w:rsid w:val="008E2C2A"/>
    <w:rsid w:val="008E30E0"/>
    <w:rsid w:val="008E32D3"/>
    <w:rsid w:val="008E3D27"/>
    <w:rsid w:val="008E416C"/>
    <w:rsid w:val="008E536E"/>
    <w:rsid w:val="008E6087"/>
    <w:rsid w:val="008E666B"/>
    <w:rsid w:val="008E68D0"/>
    <w:rsid w:val="008F03BA"/>
    <w:rsid w:val="008F07E9"/>
    <w:rsid w:val="008F1D27"/>
    <w:rsid w:val="008F289F"/>
    <w:rsid w:val="008F4F8A"/>
    <w:rsid w:val="008F53D1"/>
    <w:rsid w:val="008F5A5C"/>
    <w:rsid w:val="008F68F9"/>
    <w:rsid w:val="00900E2D"/>
    <w:rsid w:val="009018A9"/>
    <w:rsid w:val="0090396B"/>
    <w:rsid w:val="00903EEE"/>
    <w:rsid w:val="00904A8F"/>
    <w:rsid w:val="0090743C"/>
    <w:rsid w:val="00907D00"/>
    <w:rsid w:val="009107CB"/>
    <w:rsid w:val="009114E7"/>
    <w:rsid w:val="0091463E"/>
    <w:rsid w:val="00915295"/>
    <w:rsid w:val="009153EE"/>
    <w:rsid w:val="0091751B"/>
    <w:rsid w:val="00920211"/>
    <w:rsid w:val="00922130"/>
    <w:rsid w:val="00922B88"/>
    <w:rsid w:val="009257B3"/>
    <w:rsid w:val="0093013B"/>
    <w:rsid w:val="009306B4"/>
    <w:rsid w:val="009311D1"/>
    <w:rsid w:val="0093185E"/>
    <w:rsid w:val="009322B7"/>
    <w:rsid w:val="009322D5"/>
    <w:rsid w:val="00932E39"/>
    <w:rsid w:val="009332AE"/>
    <w:rsid w:val="00933720"/>
    <w:rsid w:val="00933820"/>
    <w:rsid w:val="00934F1B"/>
    <w:rsid w:val="00936976"/>
    <w:rsid w:val="00936F33"/>
    <w:rsid w:val="00937EAF"/>
    <w:rsid w:val="00940035"/>
    <w:rsid w:val="0094097C"/>
    <w:rsid w:val="00942FA2"/>
    <w:rsid w:val="00943596"/>
    <w:rsid w:val="009440D8"/>
    <w:rsid w:val="009441B2"/>
    <w:rsid w:val="00944296"/>
    <w:rsid w:val="00944B2B"/>
    <w:rsid w:val="009456F1"/>
    <w:rsid w:val="00945A60"/>
    <w:rsid w:val="00945C8C"/>
    <w:rsid w:val="00947FB0"/>
    <w:rsid w:val="00950782"/>
    <w:rsid w:val="00951528"/>
    <w:rsid w:val="0095206F"/>
    <w:rsid w:val="00953172"/>
    <w:rsid w:val="0095331E"/>
    <w:rsid w:val="00953758"/>
    <w:rsid w:val="00954114"/>
    <w:rsid w:val="0095419B"/>
    <w:rsid w:val="00954E9D"/>
    <w:rsid w:val="0095536A"/>
    <w:rsid w:val="009558B7"/>
    <w:rsid w:val="00956675"/>
    <w:rsid w:val="009569C6"/>
    <w:rsid w:val="00956A9A"/>
    <w:rsid w:val="00957E8E"/>
    <w:rsid w:val="00960EF3"/>
    <w:rsid w:val="00961456"/>
    <w:rsid w:val="00961695"/>
    <w:rsid w:val="009622A6"/>
    <w:rsid w:val="009622DF"/>
    <w:rsid w:val="009629BD"/>
    <w:rsid w:val="00962D6B"/>
    <w:rsid w:val="009643F3"/>
    <w:rsid w:val="009647D4"/>
    <w:rsid w:val="00964957"/>
    <w:rsid w:val="00964A37"/>
    <w:rsid w:val="00964E28"/>
    <w:rsid w:val="00965A73"/>
    <w:rsid w:val="009661FE"/>
    <w:rsid w:val="00967A48"/>
    <w:rsid w:val="00967B22"/>
    <w:rsid w:val="009703FC"/>
    <w:rsid w:val="009704BC"/>
    <w:rsid w:val="00971F19"/>
    <w:rsid w:val="00972025"/>
    <w:rsid w:val="00973D99"/>
    <w:rsid w:val="00974A66"/>
    <w:rsid w:val="00977345"/>
    <w:rsid w:val="009800ED"/>
    <w:rsid w:val="0098058C"/>
    <w:rsid w:val="00984B39"/>
    <w:rsid w:val="00984BDE"/>
    <w:rsid w:val="00985590"/>
    <w:rsid w:val="009858AD"/>
    <w:rsid w:val="00985AFE"/>
    <w:rsid w:val="00985EA7"/>
    <w:rsid w:val="00986488"/>
    <w:rsid w:val="00986F99"/>
    <w:rsid w:val="00987BD3"/>
    <w:rsid w:val="00991837"/>
    <w:rsid w:val="00991DC1"/>
    <w:rsid w:val="00993B0A"/>
    <w:rsid w:val="00993D47"/>
    <w:rsid w:val="00994317"/>
    <w:rsid w:val="00996A55"/>
    <w:rsid w:val="00996AAF"/>
    <w:rsid w:val="009A1454"/>
    <w:rsid w:val="009A37F4"/>
    <w:rsid w:val="009A39AB"/>
    <w:rsid w:val="009A3EFD"/>
    <w:rsid w:val="009A4EFA"/>
    <w:rsid w:val="009A6F0E"/>
    <w:rsid w:val="009A71BC"/>
    <w:rsid w:val="009A79DC"/>
    <w:rsid w:val="009A7E8E"/>
    <w:rsid w:val="009B0462"/>
    <w:rsid w:val="009B0A48"/>
    <w:rsid w:val="009B11FA"/>
    <w:rsid w:val="009B254C"/>
    <w:rsid w:val="009B2B26"/>
    <w:rsid w:val="009B2CD3"/>
    <w:rsid w:val="009B2E07"/>
    <w:rsid w:val="009B4788"/>
    <w:rsid w:val="009B4BAB"/>
    <w:rsid w:val="009B6F04"/>
    <w:rsid w:val="009B768D"/>
    <w:rsid w:val="009B7AA1"/>
    <w:rsid w:val="009C05EE"/>
    <w:rsid w:val="009C1C79"/>
    <w:rsid w:val="009C578A"/>
    <w:rsid w:val="009C6709"/>
    <w:rsid w:val="009C6794"/>
    <w:rsid w:val="009C7213"/>
    <w:rsid w:val="009D127F"/>
    <w:rsid w:val="009D1537"/>
    <w:rsid w:val="009D1A45"/>
    <w:rsid w:val="009D1DAF"/>
    <w:rsid w:val="009D2419"/>
    <w:rsid w:val="009D242A"/>
    <w:rsid w:val="009D284A"/>
    <w:rsid w:val="009D5DEE"/>
    <w:rsid w:val="009D5FD2"/>
    <w:rsid w:val="009E1133"/>
    <w:rsid w:val="009E2A21"/>
    <w:rsid w:val="009E2A74"/>
    <w:rsid w:val="009E47DE"/>
    <w:rsid w:val="009E5258"/>
    <w:rsid w:val="009E5293"/>
    <w:rsid w:val="009E56F2"/>
    <w:rsid w:val="009E58E2"/>
    <w:rsid w:val="009E6ACE"/>
    <w:rsid w:val="009E71A5"/>
    <w:rsid w:val="009E7D90"/>
    <w:rsid w:val="009F042F"/>
    <w:rsid w:val="009F04FD"/>
    <w:rsid w:val="009F1A14"/>
    <w:rsid w:val="009F1EB6"/>
    <w:rsid w:val="009F3B3A"/>
    <w:rsid w:val="009F5E46"/>
    <w:rsid w:val="009F65C2"/>
    <w:rsid w:val="009F7504"/>
    <w:rsid w:val="009F7E97"/>
    <w:rsid w:val="00A0118C"/>
    <w:rsid w:val="00A01F1B"/>
    <w:rsid w:val="00A022A6"/>
    <w:rsid w:val="00A02CD5"/>
    <w:rsid w:val="00A030CC"/>
    <w:rsid w:val="00A03DE7"/>
    <w:rsid w:val="00A04A5E"/>
    <w:rsid w:val="00A05C85"/>
    <w:rsid w:val="00A1227F"/>
    <w:rsid w:val="00A12CB4"/>
    <w:rsid w:val="00A12EB2"/>
    <w:rsid w:val="00A12EF1"/>
    <w:rsid w:val="00A15929"/>
    <w:rsid w:val="00A1595E"/>
    <w:rsid w:val="00A15B4A"/>
    <w:rsid w:val="00A166B0"/>
    <w:rsid w:val="00A169DF"/>
    <w:rsid w:val="00A16E36"/>
    <w:rsid w:val="00A17A9B"/>
    <w:rsid w:val="00A20D96"/>
    <w:rsid w:val="00A22C94"/>
    <w:rsid w:val="00A23C02"/>
    <w:rsid w:val="00A24657"/>
    <w:rsid w:val="00A24905"/>
    <w:rsid w:val="00A2506D"/>
    <w:rsid w:val="00A26BD8"/>
    <w:rsid w:val="00A27D61"/>
    <w:rsid w:val="00A30B3B"/>
    <w:rsid w:val="00A30BD1"/>
    <w:rsid w:val="00A322EA"/>
    <w:rsid w:val="00A334EA"/>
    <w:rsid w:val="00A342A7"/>
    <w:rsid w:val="00A3479C"/>
    <w:rsid w:val="00A3548D"/>
    <w:rsid w:val="00A365B9"/>
    <w:rsid w:val="00A36D28"/>
    <w:rsid w:val="00A36E80"/>
    <w:rsid w:val="00A36EB9"/>
    <w:rsid w:val="00A37573"/>
    <w:rsid w:val="00A37FBC"/>
    <w:rsid w:val="00A40432"/>
    <w:rsid w:val="00A405A6"/>
    <w:rsid w:val="00A40BCD"/>
    <w:rsid w:val="00A40CB2"/>
    <w:rsid w:val="00A415FD"/>
    <w:rsid w:val="00A41D12"/>
    <w:rsid w:val="00A43B96"/>
    <w:rsid w:val="00A43E61"/>
    <w:rsid w:val="00A43E7F"/>
    <w:rsid w:val="00A44128"/>
    <w:rsid w:val="00A44DE4"/>
    <w:rsid w:val="00A453B2"/>
    <w:rsid w:val="00A456DE"/>
    <w:rsid w:val="00A47C5B"/>
    <w:rsid w:val="00A504FE"/>
    <w:rsid w:val="00A507C2"/>
    <w:rsid w:val="00A51102"/>
    <w:rsid w:val="00A51F47"/>
    <w:rsid w:val="00A5216E"/>
    <w:rsid w:val="00A53249"/>
    <w:rsid w:val="00A5651F"/>
    <w:rsid w:val="00A5657A"/>
    <w:rsid w:val="00A569E1"/>
    <w:rsid w:val="00A57C1B"/>
    <w:rsid w:val="00A57ECA"/>
    <w:rsid w:val="00A57F69"/>
    <w:rsid w:val="00A60BE0"/>
    <w:rsid w:val="00A60E0B"/>
    <w:rsid w:val="00A628B2"/>
    <w:rsid w:val="00A653E4"/>
    <w:rsid w:val="00A6616E"/>
    <w:rsid w:val="00A663D3"/>
    <w:rsid w:val="00A675AB"/>
    <w:rsid w:val="00A67934"/>
    <w:rsid w:val="00A70896"/>
    <w:rsid w:val="00A71954"/>
    <w:rsid w:val="00A724B7"/>
    <w:rsid w:val="00A7281D"/>
    <w:rsid w:val="00A728E6"/>
    <w:rsid w:val="00A7420B"/>
    <w:rsid w:val="00A748F7"/>
    <w:rsid w:val="00A76392"/>
    <w:rsid w:val="00A77D06"/>
    <w:rsid w:val="00A813CB"/>
    <w:rsid w:val="00A8236B"/>
    <w:rsid w:val="00A8327A"/>
    <w:rsid w:val="00A833F3"/>
    <w:rsid w:val="00A83FAF"/>
    <w:rsid w:val="00A85B30"/>
    <w:rsid w:val="00A85DC7"/>
    <w:rsid w:val="00A8615F"/>
    <w:rsid w:val="00A8672D"/>
    <w:rsid w:val="00A8675F"/>
    <w:rsid w:val="00A87CB9"/>
    <w:rsid w:val="00A91720"/>
    <w:rsid w:val="00A91D28"/>
    <w:rsid w:val="00A937BA"/>
    <w:rsid w:val="00A94492"/>
    <w:rsid w:val="00A9680D"/>
    <w:rsid w:val="00AA04D5"/>
    <w:rsid w:val="00AA1AA0"/>
    <w:rsid w:val="00AA1DE5"/>
    <w:rsid w:val="00AA28F4"/>
    <w:rsid w:val="00AA29E5"/>
    <w:rsid w:val="00AA2D98"/>
    <w:rsid w:val="00AA2EA5"/>
    <w:rsid w:val="00AA3FB5"/>
    <w:rsid w:val="00AA4F27"/>
    <w:rsid w:val="00AA5271"/>
    <w:rsid w:val="00AA59E9"/>
    <w:rsid w:val="00AA65ED"/>
    <w:rsid w:val="00AA6B93"/>
    <w:rsid w:val="00AA79F4"/>
    <w:rsid w:val="00AA7D8D"/>
    <w:rsid w:val="00AB029F"/>
    <w:rsid w:val="00AB16F5"/>
    <w:rsid w:val="00AB27B2"/>
    <w:rsid w:val="00AB3EE4"/>
    <w:rsid w:val="00AB42B1"/>
    <w:rsid w:val="00AB4970"/>
    <w:rsid w:val="00AB4B3A"/>
    <w:rsid w:val="00AB4F67"/>
    <w:rsid w:val="00AB6D59"/>
    <w:rsid w:val="00AC065D"/>
    <w:rsid w:val="00AC0D54"/>
    <w:rsid w:val="00AC28AD"/>
    <w:rsid w:val="00AC2E5C"/>
    <w:rsid w:val="00AC3670"/>
    <w:rsid w:val="00AC468B"/>
    <w:rsid w:val="00AC47AB"/>
    <w:rsid w:val="00AC49EF"/>
    <w:rsid w:val="00AC5774"/>
    <w:rsid w:val="00AC5A4A"/>
    <w:rsid w:val="00AC6038"/>
    <w:rsid w:val="00AC6505"/>
    <w:rsid w:val="00AC674C"/>
    <w:rsid w:val="00AC79D2"/>
    <w:rsid w:val="00AD085D"/>
    <w:rsid w:val="00AD0CC7"/>
    <w:rsid w:val="00AD22CA"/>
    <w:rsid w:val="00AD2854"/>
    <w:rsid w:val="00AD2BB6"/>
    <w:rsid w:val="00AD3A4C"/>
    <w:rsid w:val="00AD3D77"/>
    <w:rsid w:val="00AD427F"/>
    <w:rsid w:val="00AD5255"/>
    <w:rsid w:val="00AD5358"/>
    <w:rsid w:val="00AD7ADA"/>
    <w:rsid w:val="00AE0D95"/>
    <w:rsid w:val="00AE1966"/>
    <w:rsid w:val="00AE2472"/>
    <w:rsid w:val="00AE488E"/>
    <w:rsid w:val="00AE50B7"/>
    <w:rsid w:val="00AE59D7"/>
    <w:rsid w:val="00AE7F30"/>
    <w:rsid w:val="00AF1056"/>
    <w:rsid w:val="00AF2DA4"/>
    <w:rsid w:val="00AF362E"/>
    <w:rsid w:val="00AF436E"/>
    <w:rsid w:val="00AF4C25"/>
    <w:rsid w:val="00AF6504"/>
    <w:rsid w:val="00AF7A4D"/>
    <w:rsid w:val="00B02C4F"/>
    <w:rsid w:val="00B031BE"/>
    <w:rsid w:val="00B04DC9"/>
    <w:rsid w:val="00B04EBF"/>
    <w:rsid w:val="00B053FC"/>
    <w:rsid w:val="00B064EB"/>
    <w:rsid w:val="00B1038F"/>
    <w:rsid w:val="00B12136"/>
    <w:rsid w:val="00B142E9"/>
    <w:rsid w:val="00B143D2"/>
    <w:rsid w:val="00B14AC7"/>
    <w:rsid w:val="00B153F1"/>
    <w:rsid w:val="00B156FA"/>
    <w:rsid w:val="00B1574F"/>
    <w:rsid w:val="00B1619C"/>
    <w:rsid w:val="00B16ABF"/>
    <w:rsid w:val="00B17C23"/>
    <w:rsid w:val="00B211F4"/>
    <w:rsid w:val="00B2331D"/>
    <w:rsid w:val="00B2416C"/>
    <w:rsid w:val="00B260B2"/>
    <w:rsid w:val="00B32D0C"/>
    <w:rsid w:val="00B32D66"/>
    <w:rsid w:val="00B3304B"/>
    <w:rsid w:val="00B330D8"/>
    <w:rsid w:val="00B35905"/>
    <w:rsid w:val="00B3634C"/>
    <w:rsid w:val="00B36DA0"/>
    <w:rsid w:val="00B41546"/>
    <w:rsid w:val="00B418E5"/>
    <w:rsid w:val="00B41C91"/>
    <w:rsid w:val="00B433A7"/>
    <w:rsid w:val="00B4772E"/>
    <w:rsid w:val="00B50B7D"/>
    <w:rsid w:val="00B53098"/>
    <w:rsid w:val="00B538A3"/>
    <w:rsid w:val="00B54952"/>
    <w:rsid w:val="00B54C5E"/>
    <w:rsid w:val="00B55D8B"/>
    <w:rsid w:val="00B56E9D"/>
    <w:rsid w:val="00B56F69"/>
    <w:rsid w:val="00B576B5"/>
    <w:rsid w:val="00B57722"/>
    <w:rsid w:val="00B61D67"/>
    <w:rsid w:val="00B62538"/>
    <w:rsid w:val="00B64DEB"/>
    <w:rsid w:val="00B65281"/>
    <w:rsid w:val="00B65E0B"/>
    <w:rsid w:val="00B6699B"/>
    <w:rsid w:val="00B671AD"/>
    <w:rsid w:val="00B67D25"/>
    <w:rsid w:val="00B71301"/>
    <w:rsid w:val="00B7138F"/>
    <w:rsid w:val="00B722C5"/>
    <w:rsid w:val="00B72ADF"/>
    <w:rsid w:val="00B73198"/>
    <w:rsid w:val="00B732A7"/>
    <w:rsid w:val="00B742C1"/>
    <w:rsid w:val="00B75376"/>
    <w:rsid w:val="00B75DE2"/>
    <w:rsid w:val="00B7624D"/>
    <w:rsid w:val="00B77331"/>
    <w:rsid w:val="00B81A03"/>
    <w:rsid w:val="00B8330B"/>
    <w:rsid w:val="00B8411C"/>
    <w:rsid w:val="00B85BCF"/>
    <w:rsid w:val="00B861FC"/>
    <w:rsid w:val="00B904F2"/>
    <w:rsid w:val="00B91EF6"/>
    <w:rsid w:val="00B92C54"/>
    <w:rsid w:val="00B93E14"/>
    <w:rsid w:val="00B9437D"/>
    <w:rsid w:val="00B943FB"/>
    <w:rsid w:val="00B94543"/>
    <w:rsid w:val="00B9533C"/>
    <w:rsid w:val="00B95918"/>
    <w:rsid w:val="00B95B62"/>
    <w:rsid w:val="00B96377"/>
    <w:rsid w:val="00B96445"/>
    <w:rsid w:val="00BA07C2"/>
    <w:rsid w:val="00BA0CA7"/>
    <w:rsid w:val="00BA20E2"/>
    <w:rsid w:val="00BA2D2D"/>
    <w:rsid w:val="00BA3694"/>
    <w:rsid w:val="00BA435E"/>
    <w:rsid w:val="00BA6FE9"/>
    <w:rsid w:val="00BA7D2D"/>
    <w:rsid w:val="00BB2320"/>
    <w:rsid w:val="00BB2495"/>
    <w:rsid w:val="00BB2A6D"/>
    <w:rsid w:val="00BB48D8"/>
    <w:rsid w:val="00BB4ED3"/>
    <w:rsid w:val="00BB58A5"/>
    <w:rsid w:val="00BB63F4"/>
    <w:rsid w:val="00BB6801"/>
    <w:rsid w:val="00BB6A37"/>
    <w:rsid w:val="00BB6F9D"/>
    <w:rsid w:val="00BB7358"/>
    <w:rsid w:val="00BB752F"/>
    <w:rsid w:val="00BB79B3"/>
    <w:rsid w:val="00BB79D4"/>
    <w:rsid w:val="00BB7BF5"/>
    <w:rsid w:val="00BC12B9"/>
    <w:rsid w:val="00BC12CC"/>
    <w:rsid w:val="00BC1C25"/>
    <w:rsid w:val="00BC4579"/>
    <w:rsid w:val="00BC4709"/>
    <w:rsid w:val="00BC489C"/>
    <w:rsid w:val="00BC500D"/>
    <w:rsid w:val="00BC6490"/>
    <w:rsid w:val="00BC72FA"/>
    <w:rsid w:val="00BC7356"/>
    <w:rsid w:val="00BD06B6"/>
    <w:rsid w:val="00BD0AF9"/>
    <w:rsid w:val="00BD118C"/>
    <w:rsid w:val="00BD2041"/>
    <w:rsid w:val="00BD2B2B"/>
    <w:rsid w:val="00BD3DAF"/>
    <w:rsid w:val="00BD544B"/>
    <w:rsid w:val="00BD5F8F"/>
    <w:rsid w:val="00BD7055"/>
    <w:rsid w:val="00BD7337"/>
    <w:rsid w:val="00BD7626"/>
    <w:rsid w:val="00BE0047"/>
    <w:rsid w:val="00BE12FB"/>
    <w:rsid w:val="00BE1EFA"/>
    <w:rsid w:val="00BE1F1F"/>
    <w:rsid w:val="00BE287D"/>
    <w:rsid w:val="00BE31FA"/>
    <w:rsid w:val="00BE33B9"/>
    <w:rsid w:val="00BE3CC7"/>
    <w:rsid w:val="00BE4C1D"/>
    <w:rsid w:val="00BE5B98"/>
    <w:rsid w:val="00BE5D1D"/>
    <w:rsid w:val="00BE7254"/>
    <w:rsid w:val="00BF0B0E"/>
    <w:rsid w:val="00BF158E"/>
    <w:rsid w:val="00BF15A8"/>
    <w:rsid w:val="00BF2E77"/>
    <w:rsid w:val="00BF36D5"/>
    <w:rsid w:val="00BF3AE8"/>
    <w:rsid w:val="00BF3D71"/>
    <w:rsid w:val="00BF426B"/>
    <w:rsid w:val="00BF4C01"/>
    <w:rsid w:val="00C01F04"/>
    <w:rsid w:val="00C049D2"/>
    <w:rsid w:val="00C04CCA"/>
    <w:rsid w:val="00C04F29"/>
    <w:rsid w:val="00C052ED"/>
    <w:rsid w:val="00C059FE"/>
    <w:rsid w:val="00C12901"/>
    <w:rsid w:val="00C138C7"/>
    <w:rsid w:val="00C157AD"/>
    <w:rsid w:val="00C200EE"/>
    <w:rsid w:val="00C201F6"/>
    <w:rsid w:val="00C21003"/>
    <w:rsid w:val="00C21568"/>
    <w:rsid w:val="00C254DF"/>
    <w:rsid w:val="00C26FCC"/>
    <w:rsid w:val="00C27F31"/>
    <w:rsid w:val="00C301A8"/>
    <w:rsid w:val="00C30D6D"/>
    <w:rsid w:val="00C31197"/>
    <w:rsid w:val="00C3303D"/>
    <w:rsid w:val="00C33455"/>
    <w:rsid w:val="00C345A7"/>
    <w:rsid w:val="00C358EE"/>
    <w:rsid w:val="00C424F9"/>
    <w:rsid w:val="00C42B59"/>
    <w:rsid w:val="00C4499C"/>
    <w:rsid w:val="00C4507C"/>
    <w:rsid w:val="00C450BD"/>
    <w:rsid w:val="00C46A0E"/>
    <w:rsid w:val="00C50B00"/>
    <w:rsid w:val="00C51183"/>
    <w:rsid w:val="00C52363"/>
    <w:rsid w:val="00C52844"/>
    <w:rsid w:val="00C52A39"/>
    <w:rsid w:val="00C53AE3"/>
    <w:rsid w:val="00C53E5C"/>
    <w:rsid w:val="00C55509"/>
    <w:rsid w:val="00C55A8A"/>
    <w:rsid w:val="00C56400"/>
    <w:rsid w:val="00C57AD6"/>
    <w:rsid w:val="00C57F0A"/>
    <w:rsid w:val="00C61A28"/>
    <w:rsid w:val="00C61D55"/>
    <w:rsid w:val="00C62E13"/>
    <w:rsid w:val="00C648AD"/>
    <w:rsid w:val="00C65021"/>
    <w:rsid w:val="00C65569"/>
    <w:rsid w:val="00C6591B"/>
    <w:rsid w:val="00C66845"/>
    <w:rsid w:val="00C67052"/>
    <w:rsid w:val="00C67849"/>
    <w:rsid w:val="00C67E23"/>
    <w:rsid w:val="00C70436"/>
    <w:rsid w:val="00C7051E"/>
    <w:rsid w:val="00C70ECB"/>
    <w:rsid w:val="00C716E2"/>
    <w:rsid w:val="00C718F9"/>
    <w:rsid w:val="00C728C4"/>
    <w:rsid w:val="00C7298A"/>
    <w:rsid w:val="00C72EF5"/>
    <w:rsid w:val="00C7401F"/>
    <w:rsid w:val="00C741A0"/>
    <w:rsid w:val="00C74A25"/>
    <w:rsid w:val="00C74BBE"/>
    <w:rsid w:val="00C752D7"/>
    <w:rsid w:val="00C75FF8"/>
    <w:rsid w:val="00C76231"/>
    <w:rsid w:val="00C768FE"/>
    <w:rsid w:val="00C76ED5"/>
    <w:rsid w:val="00C775C8"/>
    <w:rsid w:val="00C80549"/>
    <w:rsid w:val="00C80D7B"/>
    <w:rsid w:val="00C813FB"/>
    <w:rsid w:val="00C81B3C"/>
    <w:rsid w:val="00C81DCD"/>
    <w:rsid w:val="00C83CF0"/>
    <w:rsid w:val="00C86463"/>
    <w:rsid w:val="00C86A3F"/>
    <w:rsid w:val="00C86BD6"/>
    <w:rsid w:val="00C902C6"/>
    <w:rsid w:val="00C928A6"/>
    <w:rsid w:val="00C9311C"/>
    <w:rsid w:val="00C95230"/>
    <w:rsid w:val="00C96973"/>
    <w:rsid w:val="00C96AE2"/>
    <w:rsid w:val="00C978CF"/>
    <w:rsid w:val="00C97BF7"/>
    <w:rsid w:val="00CA06A4"/>
    <w:rsid w:val="00CA06EF"/>
    <w:rsid w:val="00CA16B3"/>
    <w:rsid w:val="00CA328C"/>
    <w:rsid w:val="00CA368C"/>
    <w:rsid w:val="00CA4B80"/>
    <w:rsid w:val="00CA4F19"/>
    <w:rsid w:val="00CA5256"/>
    <w:rsid w:val="00CA5664"/>
    <w:rsid w:val="00CA586A"/>
    <w:rsid w:val="00CA5B37"/>
    <w:rsid w:val="00CA5BD3"/>
    <w:rsid w:val="00CA5F59"/>
    <w:rsid w:val="00CB1B68"/>
    <w:rsid w:val="00CB22A3"/>
    <w:rsid w:val="00CB3887"/>
    <w:rsid w:val="00CB3994"/>
    <w:rsid w:val="00CB4144"/>
    <w:rsid w:val="00CB45AC"/>
    <w:rsid w:val="00CB4B9C"/>
    <w:rsid w:val="00CB594B"/>
    <w:rsid w:val="00CB5C63"/>
    <w:rsid w:val="00CB636F"/>
    <w:rsid w:val="00CB732C"/>
    <w:rsid w:val="00CB7C98"/>
    <w:rsid w:val="00CC1417"/>
    <w:rsid w:val="00CC21BA"/>
    <w:rsid w:val="00CC220C"/>
    <w:rsid w:val="00CC250A"/>
    <w:rsid w:val="00CC349D"/>
    <w:rsid w:val="00CC3536"/>
    <w:rsid w:val="00CC646E"/>
    <w:rsid w:val="00CC6A4A"/>
    <w:rsid w:val="00CC6F18"/>
    <w:rsid w:val="00CC702B"/>
    <w:rsid w:val="00CC78C2"/>
    <w:rsid w:val="00CC7F8D"/>
    <w:rsid w:val="00CD06CE"/>
    <w:rsid w:val="00CD1DDB"/>
    <w:rsid w:val="00CD2EE1"/>
    <w:rsid w:val="00CD3B37"/>
    <w:rsid w:val="00CD44E8"/>
    <w:rsid w:val="00CD5BA4"/>
    <w:rsid w:val="00CD7201"/>
    <w:rsid w:val="00CE0E75"/>
    <w:rsid w:val="00CE1F12"/>
    <w:rsid w:val="00CE2499"/>
    <w:rsid w:val="00CE30E7"/>
    <w:rsid w:val="00CE33E3"/>
    <w:rsid w:val="00CE3E23"/>
    <w:rsid w:val="00CE426A"/>
    <w:rsid w:val="00CE540C"/>
    <w:rsid w:val="00CE5D81"/>
    <w:rsid w:val="00CE643C"/>
    <w:rsid w:val="00CE644B"/>
    <w:rsid w:val="00CE70DC"/>
    <w:rsid w:val="00CE7229"/>
    <w:rsid w:val="00CF0441"/>
    <w:rsid w:val="00CF08B4"/>
    <w:rsid w:val="00CF0D8E"/>
    <w:rsid w:val="00CF10D0"/>
    <w:rsid w:val="00CF263C"/>
    <w:rsid w:val="00CF2AB3"/>
    <w:rsid w:val="00CF340C"/>
    <w:rsid w:val="00CF37BC"/>
    <w:rsid w:val="00CF3AAC"/>
    <w:rsid w:val="00CF3D2D"/>
    <w:rsid w:val="00CF47AE"/>
    <w:rsid w:val="00CF4E50"/>
    <w:rsid w:val="00CF5945"/>
    <w:rsid w:val="00CF6E5D"/>
    <w:rsid w:val="00CF77A7"/>
    <w:rsid w:val="00D00544"/>
    <w:rsid w:val="00D02257"/>
    <w:rsid w:val="00D02CB9"/>
    <w:rsid w:val="00D035E7"/>
    <w:rsid w:val="00D046F5"/>
    <w:rsid w:val="00D05153"/>
    <w:rsid w:val="00D11591"/>
    <w:rsid w:val="00D13D2E"/>
    <w:rsid w:val="00D13E96"/>
    <w:rsid w:val="00D16120"/>
    <w:rsid w:val="00D16822"/>
    <w:rsid w:val="00D17639"/>
    <w:rsid w:val="00D21845"/>
    <w:rsid w:val="00D23417"/>
    <w:rsid w:val="00D2356F"/>
    <w:rsid w:val="00D246DF"/>
    <w:rsid w:val="00D2611F"/>
    <w:rsid w:val="00D26E06"/>
    <w:rsid w:val="00D276EF"/>
    <w:rsid w:val="00D31219"/>
    <w:rsid w:val="00D31A61"/>
    <w:rsid w:val="00D326A6"/>
    <w:rsid w:val="00D343B2"/>
    <w:rsid w:val="00D34CA6"/>
    <w:rsid w:val="00D34EC7"/>
    <w:rsid w:val="00D35CCD"/>
    <w:rsid w:val="00D36ABD"/>
    <w:rsid w:val="00D3738A"/>
    <w:rsid w:val="00D37C63"/>
    <w:rsid w:val="00D4014C"/>
    <w:rsid w:val="00D408DC"/>
    <w:rsid w:val="00D41D9A"/>
    <w:rsid w:val="00D4209A"/>
    <w:rsid w:val="00D42B74"/>
    <w:rsid w:val="00D4405A"/>
    <w:rsid w:val="00D446BA"/>
    <w:rsid w:val="00D45223"/>
    <w:rsid w:val="00D456E6"/>
    <w:rsid w:val="00D5098B"/>
    <w:rsid w:val="00D5201C"/>
    <w:rsid w:val="00D53067"/>
    <w:rsid w:val="00D53DD2"/>
    <w:rsid w:val="00D53E98"/>
    <w:rsid w:val="00D547D7"/>
    <w:rsid w:val="00D5489A"/>
    <w:rsid w:val="00D54FA8"/>
    <w:rsid w:val="00D55BA1"/>
    <w:rsid w:val="00D562C3"/>
    <w:rsid w:val="00D574BB"/>
    <w:rsid w:val="00D57E8B"/>
    <w:rsid w:val="00D6017C"/>
    <w:rsid w:val="00D60479"/>
    <w:rsid w:val="00D6069C"/>
    <w:rsid w:val="00D60F4C"/>
    <w:rsid w:val="00D6182D"/>
    <w:rsid w:val="00D61CDD"/>
    <w:rsid w:val="00D61CFF"/>
    <w:rsid w:val="00D62771"/>
    <w:rsid w:val="00D652BB"/>
    <w:rsid w:val="00D66938"/>
    <w:rsid w:val="00D673B7"/>
    <w:rsid w:val="00D675A9"/>
    <w:rsid w:val="00D70FFF"/>
    <w:rsid w:val="00D719F4"/>
    <w:rsid w:val="00D71F3D"/>
    <w:rsid w:val="00D735CD"/>
    <w:rsid w:val="00D74B68"/>
    <w:rsid w:val="00D74F2A"/>
    <w:rsid w:val="00D75982"/>
    <w:rsid w:val="00D759E9"/>
    <w:rsid w:val="00D77559"/>
    <w:rsid w:val="00D77622"/>
    <w:rsid w:val="00D80AA2"/>
    <w:rsid w:val="00D80E94"/>
    <w:rsid w:val="00D81A7A"/>
    <w:rsid w:val="00D8321F"/>
    <w:rsid w:val="00D8450F"/>
    <w:rsid w:val="00D8454A"/>
    <w:rsid w:val="00D875E1"/>
    <w:rsid w:val="00D90258"/>
    <w:rsid w:val="00D91461"/>
    <w:rsid w:val="00D9248C"/>
    <w:rsid w:val="00D928CA"/>
    <w:rsid w:val="00D9362C"/>
    <w:rsid w:val="00D94623"/>
    <w:rsid w:val="00D946E1"/>
    <w:rsid w:val="00D94BFF"/>
    <w:rsid w:val="00D959CF"/>
    <w:rsid w:val="00D9631A"/>
    <w:rsid w:val="00D9717A"/>
    <w:rsid w:val="00D975CE"/>
    <w:rsid w:val="00DA0256"/>
    <w:rsid w:val="00DA0D6E"/>
    <w:rsid w:val="00DA1BE6"/>
    <w:rsid w:val="00DA1D05"/>
    <w:rsid w:val="00DA2A58"/>
    <w:rsid w:val="00DA2C36"/>
    <w:rsid w:val="00DA2F86"/>
    <w:rsid w:val="00DA4F55"/>
    <w:rsid w:val="00DA4FA3"/>
    <w:rsid w:val="00DA5B56"/>
    <w:rsid w:val="00DA6AF9"/>
    <w:rsid w:val="00DB08DF"/>
    <w:rsid w:val="00DB1B9C"/>
    <w:rsid w:val="00DB20E4"/>
    <w:rsid w:val="00DB3190"/>
    <w:rsid w:val="00DB32E7"/>
    <w:rsid w:val="00DB49E0"/>
    <w:rsid w:val="00DB4E0B"/>
    <w:rsid w:val="00DB4E43"/>
    <w:rsid w:val="00DB7B11"/>
    <w:rsid w:val="00DC011C"/>
    <w:rsid w:val="00DC05AE"/>
    <w:rsid w:val="00DC09B7"/>
    <w:rsid w:val="00DC2792"/>
    <w:rsid w:val="00DC2E9C"/>
    <w:rsid w:val="00DC3EB0"/>
    <w:rsid w:val="00DC5B5D"/>
    <w:rsid w:val="00DC5D37"/>
    <w:rsid w:val="00DC642C"/>
    <w:rsid w:val="00DC6B9F"/>
    <w:rsid w:val="00DC7D7F"/>
    <w:rsid w:val="00DD0F0E"/>
    <w:rsid w:val="00DD0F26"/>
    <w:rsid w:val="00DD1491"/>
    <w:rsid w:val="00DD2A6A"/>
    <w:rsid w:val="00DD30DE"/>
    <w:rsid w:val="00DD3470"/>
    <w:rsid w:val="00DD4351"/>
    <w:rsid w:val="00DD4E0D"/>
    <w:rsid w:val="00DD6532"/>
    <w:rsid w:val="00DD75D6"/>
    <w:rsid w:val="00DD77AC"/>
    <w:rsid w:val="00DE03B9"/>
    <w:rsid w:val="00DE06FA"/>
    <w:rsid w:val="00DE1822"/>
    <w:rsid w:val="00DE1FB0"/>
    <w:rsid w:val="00DE2016"/>
    <w:rsid w:val="00DE2B75"/>
    <w:rsid w:val="00DE3372"/>
    <w:rsid w:val="00DE3E69"/>
    <w:rsid w:val="00DE6D84"/>
    <w:rsid w:val="00DE7ECA"/>
    <w:rsid w:val="00DF060F"/>
    <w:rsid w:val="00DF0CA1"/>
    <w:rsid w:val="00DF1E9B"/>
    <w:rsid w:val="00DF3A4F"/>
    <w:rsid w:val="00DF44EB"/>
    <w:rsid w:val="00DF4AB9"/>
    <w:rsid w:val="00DF53C5"/>
    <w:rsid w:val="00DF6819"/>
    <w:rsid w:val="00DF73D1"/>
    <w:rsid w:val="00DF7D82"/>
    <w:rsid w:val="00E00D63"/>
    <w:rsid w:val="00E00F51"/>
    <w:rsid w:val="00E0122E"/>
    <w:rsid w:val="00E0125D"/>
    <w:rsid w:val="00E01388"/>
    <w:rsid w:val="00E01858"/>
    <w:rsid w:val="00E02DA1"/>
    <w:rsid w:val="00E03A98"/>
    <w:rsid w:val="00E04FE2"/>
    <w:rsid w:val="00E05C57"/>
    <w:rsid w:val="00E06D47"/>
    <w:rsid w:val="00E06E81"/>
    <w:rsid w:val="00E0720C"/>
    <w:rsid w:val="00E1031A"/>
    <w:rsid w:val="00E1084A"/>
    <w:rsid w:val="00E11AB8"/>
    <w:rsid w:val="00E11E5C"/>
    <w:rsid w:val="00E124F5"/>
    <w:rsid w:val="00E12FFD"/>
    <w:rsid w:val="00E131B4"/>
    <w:rsid w:val="00E14703"/>
    <w:rsid w:val="00E163AB"/>
    <w:rsid w:val="00E17C58"/>
    <w:rsid w:val="00E17CD5"/>
    <w:rsid w:val="00E2274D"/>
    <w:rsid w:val="00E22BC4"/>
    <w:rsid w:val="00E22E32"/>
    <w:rsid w:val="00E23334"/>
    <w:rsid w:val="00E2355F"/>
    <w:rsid w:val="00E237C6"/>
    <w:rsid w:val="00E23866"/>
    <w:rsid w:val="00E23BBB"/>
    <w:rsid w:val="00E23E7D"/>
    <w:rsid w:val="00E24C12"/>
    <w:rsid w:val="00E253FB"/>
    <w:rsid w:val="00E260AB"/>
    <w:rsid w:val="00E26393"/>
    <w:rsid w:val="00E2671E"/>
    <w:rsid w:val="00E26B72"/>
    <w:rsid w:val="00E2735F"/>
    <w:rsid w:val="00E30C21"/>
    <w:rsid w:val="00E310FB"/>
    <w:rsid w:val="00E31111"/>
    <w:rsid w:val="00E318D2"/>
    <w:rsid w:val="00E3209C"/>
    <w:rsid w:val="00E32982"/>
    <w:rsid w:val="00E34424"/>
    <w:rsid w:val="00E344BB"/>
    <w:rsid w:val="00E3538B"/>
    <w:rsid w:val="00E35982"/>
    <w:rsid w:val="00E35FDB"/>
    <w:rsid w:val="00E366C4"/>
    <w:rsid w:val="00E37C83"/>
    <w:rsid w:val="00E4074C"/>
    <w:rsid w:val="00E4160F"/>
    <w:rsid w:val="00E42A26"/>
    <w:rsid w:val="00E42AE4"/>
    <w:rsid w:val="00E43614"/>
    <w:rsid w:val="00E436DD"/>
    <w:rsid w:val="00E4474B"/>
    <w:rsid w:val="00E45AA1"/>
    <w:rsid w:val="00E463C5"/>
    <w:rsid w:val="00E464A2"/>
    <w:rsid w:val="00E46D64"/>
    <w:rsid w:val="00E47524"/>
    <w:rsid w:val="00E50394"/>
    <w:rsid w:val="00E50493"/>
    <w:rsid w:val="00E5065B"/>
    <w:rsid w:val="00E50D76"/>
    <w:rsid w:val="00E52FF2"/>
    <w:rsid w:val="00E55528"/>
    <w:rsid w:val="00E55ED7"/>
    <w:rsid w:val="00E570AF"/>
    <w:rsid w:val="00E601CF"/>
    <w:rsid w:val="00E60441"/>
    <w:rsid w:val="00E60824"/>
    <w:rsid w:val="00E63AC4"/>
    <w:rsid w:val="00E6423A"/>
    <w:rsid w:val="00E64510"/>
    <w:rsid w:val="00E65B18"/>
    <w:rsid w:val="00E65B71"/>
    <w:rsid w:val="00E662E5"/>
    <w:rsid w:val="00E708AC"/>
    <w:rsid w:val="00E709F4"/>
    <w:rsid w:val="00E7123E"/>
    <w:rsid w:val="00E71966"/>
    <w:rsid w:val="00E71AF9"/>
    <w:rsid w:val="00E71E3D"/>
    <w:rsid w:val="00E71FF0"/>
    <w:rsid w:val="00E73520"/>
    <w:rsid w:val="00E73AF6"/>
    <w:rsid w:val="00E73B51"/>
    <w:rsid w:val="00E75E86"/>
    <w:rsid w:val="00E7606B"/>
    <w:rsid w:val="00E76D71"/>
    <w:rsid w:val="00E77363"/>
    <w:rsid w:val="00E7780F"/>
    <w:rsid w:val="00E8044E"/>
    <w:rsid w:val="00E80949"/>
    <w:rsid w:val="00E80F42"/>
    <w:rsid w:val="00E81180"/>
    <w:rsid w:val="00E83916"/>
    <w:rsid w:val="00E83F51"/>
    <w:rsid w:val="00E843B3"/>
    <w:rsid w:val="00E8441F"/>
    <w:rsid w:val="00E84483"/>
    <w:rsid w:val="00E8498F"/>
    <w:rsid w:val="00E86685"/>
    <w:rsid w:val="00E875AB"/>
    <w:rsid w:val="00E902DD"/>
    <w:rsid w:val="00E905C1"/>
    <w:rsid w:val="00E9104E"/>
    <w:rsid w:val="00E9267F"/>
    <w:rsid w:val="00E92D8D"/>
    <w:rsid w:val="00E93199"/>
    <w:rsid w:val="00E945DA"/>
    <w:rsid w:val="00E94F7D"/>
    <w:rsid w:val="00E957A4"/>
    <w:rsid w:val="00E95C6D"/>
    <w:rsid w:val="00E969E7"/>
    <w:rsid w:val="00E976EB"/>
    <w:rsid w:val="00E977D1"/>
    <w:rsid w:val="00E97FD8"/>
    <w:rsid w:val="00EA055D"/>
    <w:rsid w:val="00EA0706"/>
    <w:rsid w:val="00EA0CC8"/>
    <w:rsid w:val="00EA1126"/>
    <w:rsid w:val="00EA1C61"/>
    <w:rsid w:val="00EA1D7F"/>
    <w:rsid w:val="00EA1E09"/>
    <w:rsid w:val="00EA30FE"/>
    <w:rsid w:val="00EA3E84"/>
    <w:rsid w:val="00EA4AA8"/>
    <w:rsid w:val="00EA5AAA"/>
    <w:rsid w:val="00EA62C0"/>
    <w:rsid w:val="00EB0037"/>
    <w:rsid w:val="00EB05FB"/>
    <w:rsid w:val="00EB0796"/>
    <w:rsid w:val="00EB086D"/>
    <w:rsid w:val="00EB0F63"/>
    <w:rsid w:val="00EB16E4"/>
    <w:rsid w:val="00EB2802"/>
    <w:rsid w:val="00EB285E"/>
    <w:rsid w:val="00EB2FDF"/>
    <w:rsid w:val="00EB37DB"/>
    <w:rsid w:val="00EB4C0E"/>
    <w:rsid w:val="00EC0251"/>
    <w:rsid w:val="00EC20B0"/>
    <w:rsid w:val="00EC378B"/>
    <w:rsid w:val="00EC3AB0"/>
    <w:rsid w:val="00EC5FCC"/>
    <w:rsid w:val="00EC7317"/>
    <w:rsid w:val="00EC735E"/>
    <w:rsid w:val="00ED0D24"/>
    <w:rsid w:val="00ED38DF"/>
    <w:rsid w:val="00ED614F"/>
    <w:rsid w:val="00ED674A"/>
    <w:rsid w:val="00ED7378"/>
    <w:rsid w:val="00ED7767"/>
    <w:rsid w:val="00ED7857"/>
    <w:rsid w:val="00ED7BBA"/>
    <w:rsid w:val="00ED7F33"/>
    <w:rsid w:val="00EE0D96"/>
    <w:rsid w:val="00EE1FD0"/>
    <w:rsid w:val="00EE314E"/>
    <w:rsid w:val="00EE41FF"/>
    <w:rsid w:val="00EE48A8"/>
    <w:rsid w:val="00EE4C2E"/>
    <w:rsid w:val="00EE4E17"/>
    <w:rsid w:val="00EE5294"/>
    <w:rsid w:val="00EE52CB"/>
    <w:rsid w:val="00EE5A05"/>
    <w:rsid w:val="00EE7540"/>
    <w:rsid w:val="00EE795D"/>
    <w:rsid w:val="00EE7F55"/>
    <w:rsid w:val="00EF0058"/>
    <w:rsid w:val="00EF036C"/>
    <w:rsid w:val="00EF0912"/>
    <w:rsid w:val="00EF09D4"/>
    <w:rsid w:val="00EF16CB"/>
    <w:rsid w:val="00EF4493"/>
    <w:rsid w:val="00EF4F94"/>
    <w:rsid w:val="00EF571A"/>
    <w:rsid w:val="00EF6BA8"/>
    <w:rsid w:val="00F0027A"/>
    <w:rsid w:val="00F01684"/>
    <w:rsid w:val="00F02611"/>
    <w:rsid w:val="00F03B20"/>
    <w:rsid w:val="00F03F87"/>
    <w:rsid w:val="00F0423A"/>
    <w:rsid w:val="00F072D7"/>
    <w:rsid w:val="00F07AFC"/>
    <w:rsid w:val="00F1104A"/>
    <w:rsid w:val="00F122CE"/>
    <w:rsid w:val="00F13ECC"/>
    <w:rsid w:val="00F15EC6"/>
    <w:rsid w:val="00F15FB0"/>
    <w:rsid w:val="00F17196"/>
    <w:rsid w:val="00F20613"/>
    <w:rsid w:val="00F20AF6"/>
    <w:rsid w:val="00F21101"/>
    <w:rsid w:val="00F22B2F"/>
    <w:rsid w:val="00F22F02"/>
    <w:rsid w:val="00F22F74"/>
    <w:rsid w:val="00F242AC"/>
    <w:rsid w:val="00F24DC1"/>
    <w:rsid w:val="00F2603F"/>
    <w:rsid w:val="00F26483"/>
    <w:rsid w:val="00F27DBF"/>
    <w:rsid w:val="00F27DCE"/>
    <w:rsid w:val="00F27EF6"/>
    <w:rsid w:val="00F27FF0"/>
    <w:rsid w:val="00F308CB"/>
    <w:rsid w:val="00F32751"/>
    <w:rsid w:val="00F35766"/>
    <w:rsid w:val="00F40B2E"/>
    <w:rsid w:val="00F40E4C"/>
    <w:rsid w:val="00F40E94"/>
    <w:rsid w:val="00F411BA"/>
    <w:rsid w:val="00F41D76"/>
    <w:rsid w:val="00F426BA"/>
    <w:rsid w:val="00F44F29"/>
    <w:rsid w:val="00F45095"/>
    <w:rsid w:val="00F45BAC"/>
    <w:rsid w:val="00F4706C"/>
    <w:rsid w:val="00F47193"/>
    <w:rsid w:val="00F4721C"/>
    <w:rsid w:val="00F51A69"/>
    <w:rsid w:val="00F52408"/>
    <w:rsid w:val="00F53555"/>
    <w:rsid w:val="00F53B68"/>
    <w:rsid w:val="00F53E37"/>
    <w:rsid w:val="00F54453"/>
    <w:rsid w:val="00F617CC"/>
    <w:rsid w:val="00F6194C"/>
    <w:rsid w:val="00F6365E"/>
    <w:rsid w:val="00F63E9B"/>
    <w:rsid w:val="00F66BFE"/>
    <w:rsid w:val="00F70B88"/>
    <w:rsid w:val="00F71A7D"/>
    <w:rsid w:val="00F72164"/>
    <w:rsid w:val="00F727F0"/>
    <w:rsid w:val="00F73468"/>
    <w:rsid w:val="00F73973"/>
    <w:rsid w:val="00F741D8"/>
    <w:rsid w:val="00F7432C"/>
    <w:rsid w:val="00F74DF4"/>
    <w:rsid w:val="00F751B5"/>
    <w:rsid w:val="00F76327"/>
    <w:rsid w:val="00F76413"/>
    <w:rsid w:val="00F76609"/>
    <w:rsid w:val="00F77C16"/>
    <w:rsid w:val="00F77E8D"/>
    <w:rsid w:val="00F80220"/>
    <w:rsid w:val="00F81240"/>
    <w:rsid w:val="00F8151D"/>
    <w:rsid w:val="00F81F8C"/>
    <w:rsid w:val="00F826DA"/>
    <w:rsid w:val="00F82769"/>
    <w:rsid w:val="00F83CD1"/>
    <w:rsid w:val="00F84C02"/>
    <w:rsid w:val="00F85A76"/>
    <w:rsid w:val="00F8660E"/>
    <w:rsid w:val="00F871A0"/>
    <w:rsid w:val="00F87B16"/>
    <w:rsid w:val="00F9045E"/>
    <w:rsid w:val="00F91F31"/>
    <w:rsid w:val="00F91FB8"/>
    <w:rsid w:val="00F922F6"/>
    <w:rsid w:val="00F924A3"/>
    <w:rsid w:val="00F9443A"/>
    <w:rsid w:val="00F946A4"/>
    <w:rsid w:val="00F958F1"/>
    <w:rsid w:val="00F960E9"/>
    <w:rsid w:val="00F96632"/>
    <w:rsid w:val="00F96C1F"/>
    <w:rsid w:val="00F9729F"/>
    <w:rsid w:val="00FA029F"/>
    <w:rsid w:val="00FA0E04"/>
    <w:rsid w:val="00FA15E6"/>
    <w:rsid w:val="00FA21AE"/>
    <w:rsid w:val="00FA2A7F"/>
    <w:rsid w:val="00FA57D6"/>
    <w:rsid w:val="00FA5A49"/>
    <w:rsid w:val="00FA684C"/>
    <w:rsid w:val="00FA728F"/>
    <w:rsid w:val="00FA7962"/>
    <w:rsid w:val="00FB0D58"/>
    <w:rsid w:val="00FB1F9A"/>
    <w:rsid w:val="00FB1FEF"/>
    <w:rsid w:val="00FB2B10"/>
    <w:rsid w:val="00FB3E2F"/>
    <w:rsid w:val="00FB443A"/>
    <w:rsid w:val="00FB45B4"/>
    <w:rsid w:val="00FB48A0"/>
    <w:rsid w:val="00FB7854"/>
    <w:rsid w:val="00FB7A07"/>
    <w:rsid w:val="00FB7F29"/>
    <w:rsid w:val="00FC1D90"/>
    <w:rsid w:val="00FC251D"/>
    <w:rsid w:val="00FC2E91"/>
    <w:rsid w:val="00FC436A"/>
    <w:rsid w:val="00FC787C"/>
    <w:rsid w:val="00FD11BA"/>
    <w:rsid w:val="00FD1A40"/>
    <w:rsid w:val="00FD346B"/>
    <w:rsid w:val="00FD3F7B"/>
    <w:rsid w:val="00FD42D1"/>
    <w:rsid w:val="00FD53E2"/>
    <w:rsid w:val="00FD5508"/>
    <w:rsid w:val="00FD6069"/>
    <w:rsid w:val="00FD63AC"/>
    <w:rsid w:val="00FE0FE9"/>
    <w:rsid w:val="00FE108E"/>
    <w:rsid w:val="00FE176F"/>
    <w:rsid w:val="00FE215C"/>
    <w:rsid w:val="00FE2546"/>
    <w:rsid w:val="00FE264E"/>
    <w:rsid w:val="00FE28B0"/>
    <w:rsid w:val="00FE3080"/>
    <w:rsid w:val="00FE49B2"/>
    <w:rsid w:val="00FE602E"/>
    <w:rsid w:val="00FE686F"/>
    <w:rsid w:val="00FE791A"/>
    <w:rsid w:val="00FE7FCE"/>
    <w:rsid w:val="00FF0E4A"/>
    <w:rsid w:val="00FF0EF6"/>
    <w:rsid w:val="00FF14DC"/>
    <w:rsid w:val="00FF162F"/>
    <w:rsid w:val="00FF2334"/>
    <w:rsid w:val="00FF2D25"/>
    <w:rsid w:val="00FF314B"/>
    <w:rsid w:val="00FF3375"/>
    <w:rsid w:val="00FF55D9"/>
    <w:rsid w:val="00FF5C9C"/>
    <w:rsid w:val="00FF6FF7"/>
    <w:rsid w:val="00FF786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835DAB6F-C808-4BF5-8A55-AEF7DAF82E3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4">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atentStyles>
  <w:style w:type="paragraph" w:default="1" w:styleId="Normal">
    <w:name w:val="Normal"/>
    <w:qFormat/>
    <w:rsid w:val="003E5E75"/>
    <w:pPr>
      <w:spacing w:line="480" w:lineRule="auto"/>
    </w:pPr>
    <w:rPr>
      <w:rFonts w:asciiTheme="minorHAnsi" w:hAnsiTheme="minorHAnsi"/>
      <w:sz w:val="24"/>
      <w:szCs w:val="24"/>
      <w:lang w:bidi="en-US"/>
    </w:rPr>
  </w:style>
  <w:style w:type="paragraph" w:styleId="Heading1">
    <w:name w:val="heading 1"/>
    <w:next w:val="Normal"/>
    <w:link w:val="Heading1Char"/>
    <w:autoRedefine/>
    <w:uiPriority w:val="9"/>
    <w:qFormat/>
    <w:rsid w:val="0046190C"/>
    <w:pPr>
      <w:tabs>
        <w:tab w:val="left" w:pos="720"/>
        <w:tab w:val="left" w:pos="9540"/>
        <w:tab w:val="left" w:pos="9900"/>
      </w:tabs>
      <w:spacing w:line="480" w:lineRule="auto"/>
      <w:outlineLvl w:val="0"/>
    </w:pPr>
    <w:rPr>
      <w:rFonts w:asciiTheme="majorHAnsi" w:hAnsiTheme="majorHAnsi"/>
      <w:b/>
      <w:bCs/>
      <w:sz w:val="28"/>
      <w:szCs w:val="32"/>
      <w:lang w:bidi="en-US"/>
    </w:rPr>
  </w:style>
  <w:style w:type="paragraph" w:styleId="Heading2">
    <w:name w:val="heading 2"/>
    <w:next w:val="Normal"/>
    <w:link w:val="Heading2Char"/>
    <w:autoRedefine/>
    <w:uiPriority w:val="9"/>
    <w:unhideWhenUsed/>
    <w:qFormat/>
    <w:rsid w:val="002D0807"/>
    <w:pPr>
      <w:keepNext/>
      <w:tabs>
        <w:tab w:val="left" w:pos="2962"/>
        <w:tab w:val="center" w:pos="4248"/>
      </w:tabs>
      <w:spacing w:line="480" w:lineRule="auto"/>
      <w:jc w:val="center"/>
      <w:outlineLvl w:val="1"/>
    </w:pPr>
    <w:rPr>
      <w:rFonts w:asciiTheme="majorHAnsi" w:hAnsiTheme="majorHAnsi"/>
      <w:b/>
      <w:bCs/>
      <w:iCs/>
      <w:sz w:val="24"/>
      <w:szCs w:val="28"/>
      <w:lang w:bidi="en-US"/>
    </w:rPr>
  </w:style>
  <w:style w:type="paragraph" w:styleId="Heading3">
    <w:name w:val="heading 3"/>
    <w:next w:val="Normal"/>
    <w:link w:val="Heading3Char"/>
    <w:autoRedefine/>
    <w:uiPriority w:val="9"/>
    <w:unhideWhenUsed/>
    <w:qFormat/>
    <w:rsid w:val="007D79AB"/>
    <w:pPr>
      <w:keepNext/>
      <w:spacing w:line="480" w:lineRule="auto"/>
      <w:outlineLvl w:val="2"/>
    </w:pPr>
    <w:rPr>
      <w:rFonts w:asciiTheme="majorHAnsi" w:hAnsiTheme="majorHAnsi"/>
      <w:b/>
      <w:bCs/>
      <w:sz w:val="24"/>
      <w:szCs w:val="24"/>
      <w:lang w:bidi="en-US"/>
    </w:rPr>
  </w:style>
  <w:style w:type="paragraph" w:styleId="Heading5">
    <w:name w:val="heading 5"/>
    <w:basedOn w:val="Normal"/>
    <w:next w:val="Normal"/>
    <w:link w:val="Heading5Char"/>
    <w:uiPriority w:val="9"/>
    <w:semiHidden/>
    <w:unhideWhenUsed/>
    <w:qFormat/>
    <w:rsid w:val="007C5913"/>
    <w:pPr>
      <w:spacing w:before="240" w:after="60"/>
      <w:outlineLvl w:val="4"/>
    </w:pPr>
    <w:rPr>
      <w:rFonts w:ascii="Times New Roman" w:hAnsi="Times New Roman"/>
      <w:b/>
      <w:bCs/>
      <w:i/>
      <w:iCs/>
      <w:sz w:val="26"/>
      <w:szCs w:val="26"/>
      <w:lang w:bidi="ar-SA"/>
    </w:rPr>
  </w:style>
  <w:style w:type="paragraph" w:styleId="Heading6">
    <w:name w:val="heading 6"/>
    <w:basedOn w:val="Normal"/>
    <w:next w:val="Normal"/>
    <w:link w:val="Heading6Char"/>
    <w:uiPriority w:val="9"/>
    <w:semiHidden/>
    <w:unhideWhenUsed/>
    <w:qFormat/>
    <w:rsid w:val="007C5913"/>
    <w:pPr>
      <w:spacing w:before="240" w:after="60"/>
      <w:outlineLvl w:val="5"/>
    </w:pPr>
    <w:rPr>
      <w:rFonts w:ascii="Times New Roman" w:hAnsi="Times New Roman"/>
      <w:b/>
      <w:bCs/>
      <w:sz w:val="20"/>
      <w:szCs w:val="20"/>
      <w:lang w:bidi="ar-SA"/>
    </w:rPr>
  </w:style>
  <w:style w:type="paragraph" w:styleId="Heading7">
    <w:name w:val="heading 7"/>
    <w:basedOn w:val="Normal"/>
    <w:next w:val="Normal"/>
    <w:link w:val="Heading7Char"/>
    <w:uiPriority w:val="9"/>
    <w:semiHidden/>
    <w:unhideWhenUsed/>
    <w:qFormat/>
    <w:rsid w:val="007C5913"/>
    <w:pPr>
      <w:spacing w:before="240" w:after="60"/>
      <w:outlineLvl w:val="6"/>
    </w:pPr>
    <w:rPr>
      <w:rFonts w:ascii="Times New Roman" w:hAnsi="Times New Roman"/>
      <w:lang w:bidi="ar-SA"/>
    </w:rPr>
  </w:style>
  <w:style w:type="paragraph" w:styleId="Heading8">
    <w:name w:val="heading 8"/>
    <w:basedOn w:val="Normal"/>
    <w:next w:val="Normal"/>
    <w:link w:val="Heading8Char"/>
    <w:uiPriority w:val="9"/>
    <w:semiHidden/>
    <w:unhideWhenUsed/>
    <w:qFormat/>
    <w:rsid w:val="007C5913"/>
    <w:pPr>
      <w:spacing w:before="240" w:after="60"/>
      <w:outlineLvl w:val="7"/>
    </w:pPr>
    <w:rPr>
      <w:rFonts w:ascii="Times New Roman" w:hAnsi="Times New Roman"/>
      <w:i/>
      <w:iCs/>
      <w:lang w:bidi="ar-SA"/>
    </w:rPr>
  </w:style>
  <w:style w:type="paragraph" w:styleId="Heading9">
    <w:name w:val="heading 9"/>
    <w:basedOn w:val="Normal"/>
    <w:next w:val="Normal"/>
    <w:link w:val="Heading9Char"/>
    <w:uiPriority w:val="9"/>
    <w:semiHidden/>
    <w:unhideWhenUsed/>
    <w:qFormat/>
    <w:rsid w:val="007C5913"/>
    <w:pPr>
      <w:spacing w:before="240" w:after="60"/>
      <w:outlineLvl w:val="8"/>
    </w:pPr>
    <w:rPr>
      <w:rFonts w:ascii="Times New Roman" w:hAnsi="Times New Roman"/>
      <w:sz w:val="20"/>
      <w:szCs w:val="20"/>
      <w:lang w:bidi="ar-S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BlockQuotation">
    <w:name w:val="Block Quotation"/>
    <w:next w:val="Normal"/>
    <w:link w:val="BlockQuotationChar"/>
    <w:qFormat/>
    <w:rsid w:val="007C5913"/>
    <w:pPr>
      <w:spacing w:after="240"/>
      <w:ind w:left="720"/>
    </w:pPr>
    <w:rPr>
      <w:rFonts w:asciiTheme="minorHAnsi" w:hAnsiTheme="minorHAnsi"/>
      <w:sz w:val="24"/>
      <w:szCs w:val="24"/>
      <w:lang w:bidi="en-US"/>
    </w:rPr>
  </w:style>
  <w:style w:type="character" w:customStyle="1" w:styleId="BlockQuotationChar">
    <w:name w:val="Block Quotation Char"/>
    <w:basedOn w:val="NoSpacingChar"/>
    <w:link w:val="BlockQuotation"/>
    <w:rsid w:val="007C5913"/>
    <w:rPr>
      <w:rFonts w:asciiTheme="minorHAnsi" w:hAnsiTheme="minorHAnsi"/>
      <w:sz w:val="24"/>
      <w:szCs w:val="24"/>
      <w:lang w:bidi="en-US"/>
    </w:rPr>
  </w:style>
  <w:style w:type="paragraph" w:customStyle="1" w:styleId="Chapter">
    <w:name w:val="Chapter"/>
    <w:next w:val="Normal"/>
    <w:autoRedefine/>
    <w:qFormat/>
    <w:rsid w:val="007C5913"/>
    <w:pPr>
      <w:keepNext/>
      <w:pBdr>
        <w:bottom w:val="single" w:sz="4" w:space="1" w:color="auto"/>
      </w:pBdr>
      <w:spacing w:after="240"/>
    </w:pPr>
    <w:rPr>
      <w:rFonts w:asciiTheme="majorHAnsi" w:hAnsiTheme="majorHAnsi"/>
      <w:b/>
      <w:bCs/>
      <w:sz w:val="28"/>
      <w:szCs w:val="32"/>
      <w:lang w:bidi="en-US"/>
    </w:rPr>
  </w:style>
  <w:style w:type="character" w:customStyle="1" w:styleId="Heading1Char">
    <w:name w:val="Heading 1 Char"/>
    <w:basedOn w:val="DefaultParagraphFont"/>
    <w:link w:val="Heading1"/>
    <w:uiPriority w:val="9"/>
    <w:rsid w:val="0046190C"/>
    <w:rPr>
      <w:rFonts w:asciiTheme="majorHAnsi" w:hAnsiTheme="majorHAnsi"/>
      <w:b/>
      <w:bCs/>
      <w:sz w:val="28"/>
      <w:szCs w:val="32"/>
      <w:lang w:bidi="en-US"/>
    </w:rPr>
  </w:style>
  <w:style w:type="character" w:customStyle="1" w:styleId="Heading2Char">
    <w:name w:val="Heading 2 Char"/>
    <w:basedOn w:val="DefaultParagraphFont"/>
    <w:link w:val="Heading2"/>
    <w:uiPriority w:val="9"/>
    <w:rsid w:val="002D0807"/>
    <w:rPr>
      <w:rFonts w:asciiTheme="majorHAnsi" w:hAnsiTheme="majorHAnsi"/>
      <w:b/>
      <w:bCs/>
      <w:iCs/>
      <w:sz w:val="24"/>
      <w:szCs w:val="28"/>
      <w:lang w:bidi="en-US"/>
    </w:rPr>
  </w:style>
  <w:style w:type="character" w:customStyle="1" w:styleId="Heading3Char">
    <w:name w:val="Heading 3 Char"/>
    <w:basedOn w:val="DefaultParagraphFont"/>
    <w:link w:val="Heading3"/>
    <w:uiPriority w:val="9"/>
    <w:rsid w:val="007D79AB"/>
    <w:rPr>
      <w:rFonts w:asciiTheme="majorHAnsi" w:hAnsiTheme="majorHAnsi"/>
      <w:b/>
      <w:bCs/>
      <w:sz w:val="24"/>
      <w:szCs w:val="24"/>
      <w:lang w:bidi="en-US"/>
    </w:rPr>
  </w:style>
  <w:style w:type="character" w:customStyle="1" w:styleId="Heading5Char">
    <w:name w:val="Heading 5 Char"/>
    <w:basedOn w:val="DefaultParagraphFont"/>
    <w:link w:val="Heading5"/>
    <w:uiPriority w:val="9"/>
    <w:semiHidden/>
    <w:rsid w:val="007C5913"/>
    <w:rPr>
      <w:b/>
      <w:bCs/>
      <w:i/>
      <w:iCs/>
      <w:sz w:val="26"/>
      <w:szCs w:val="26"/>
    </w:rPr>
  </w:style>
  <w:style w:type="character" w:customStyle="1" w:styleId="Heading6Char">
    <w:name w:val="Heading 6 Char"/>
    <w:basedOn w:val="DefaultParagraphFont"/>
    <w:link w:val="Heading6"/>
    <w:uiPriority w:val="9"/>
    <w:semiHidden/>
    <w:rsid w:val="007C5913"/>
    <w:rPr>
      <w:b/>
      <w:bCs/>
    </w:rPr>
  </w:style>
  <w:style w:type="character" w:customStyle="1" w:styleId="Heading7Char">
    <w:name w:val="Heading 7 Char"/>
    <w:basedOn w:val="DefaultParagraphFont"/>
    <w:link w:val="Heading7"/>
    <w:uiPriority w:val="9"/>
    <w:semiHidden/>
    <w:rsid w:val="007C5913"/>
    <w:rPr>
      <w:sz w:val="24"/>
      <w:szCs w:val="24"/>
    </w:rPr>
  </w:style>
  <w:style w:type="character" w:customStyle="1" w:styleId="Heading8Char">
    <w:name w:val="Heading 8 Char"/>
    <w:basedOn w:val="DefaultParagraphFont"/>
    <w:link w:val="Heading8"/>
    <w:uiPriority w:val="9"/>
    <w:semiHidden/>
    <w:rsid w:val="007C5913"/>
    <w:rPr>
      <w:i/>
      <w:iCs/>
      <w:sz w:val="24"/>
      <w:szCs w:val="24"/>
    </w:rPr>
  </w:style>
  <w:style w:type="character" w:customStyle="1" w:styleId="Heading9Char">
    <w:name w:val="Heading 9 Char"/>
    <w:basedOn w:val="DefaultParagraphFont"/>
    <w:link w:val="Heading9"/>
    <w:uiPriority w:val="9"/>
    <w:semiHidden/>
    <w:rsid w:val="007C5913"/>
  </w:style>
  <w:style w:type="paragraph" w:styleId="Title">
    <w:name w:val="Title"/>
    <w:basedOn w:val="Heading1"/>
    <w:next w:val="Normal"/>
    <w:link w:val="TitleChar"/>
    <w:autoRedefine/>
    <w:uiPriority w:val="10"/>
    <w:qFormat/>
    <w:rsid w:val="00E80949"/>
    <w:pPr>
      <w:keepNext/>
    </w:pPr>
    <w:rPr>
      <w:bCs w:val="0"/>
    </w:rPr>
  </w:style>
  <w:style w:type="character" w:customStyle="1" w:styleId="TitleChar">
    <w:name w:val="Title Char"/>
    <w:basedOn w:val="DefaultParagraphFont"/>
    <w:link w:val="Title"/>
    <w:uiPriority w:val="10"/>
    <w:rsid w:val="00E80949"/>
    <w:rPr>
      <w:rFonts w:asciiTheme="majorHAnsi" w:hAnsiTheme="majorHAnsi"/>
      <w:b/>
      <w:sz w:val="28"/>
      <w:szCs w:val="32"/>
      <w:lang w:bidi="en-US"/>
    </w:rPr>
  </w:style>
  <w:style w:type="paragraph" w:styleId="Subtitle">
    <w:name w:val="Subtitle"/>
    <w:basedOn w:val="Normal"/>
    <w:next w:val="Normal"/>
    <w:link w:val="SubtitleChar"/>
    <w:uiPriority w:val="11"/>
    <w:unhideWhenUsed/>
    <w:qFormat/>
    <w:rsid w:val="007C5913"/>
    <w:pPr>
      <w:spacing w:after="60"/>
      <w:jc w:val="center"/>
      <w:outlineLvl w:val="1"/>
    </w:pPr>
    <w:rPr>
      <w:rFonts w:ascii="Times New Roman" w:hAnsi="Times New Roman"/>
    </w:rPr>
  </w:style>
  <w:style w:type="character" w:customStyle="1" w:styleId="SubtitleChar">
    <w:name w:val="Subtitle Char"/>
    <w:basedOn w:val="DefaultParagraphFont"/>
    <w:link w:val="Subtitle"/>
    <w:uiPriority w:val="11"/>
    <w:rsid w:val="007C5913"/>
    <w:rPr>
      <w:sz w:val="24"/>
      <w:szCs w:val="24"/>
      <w:lang w:bidi="en-US"/>
    </w:rPr>
  </w:style>
  <w:style w:type="character" w:styleId="Strong">
    <w:name w:val="Strong"/>
    <w:basedOn w:val="DefaultParagraphFont"/>
    <w:uiPriority w:val="22"/>
    <w:unhideWhenUsed/>
    <w:qFormat/>
    <w:rsid w:val="007C5913"/>
    <w:rPr>
      <w:b/>
      <w:bCs/>
    </w:rPr>
  </w:style>
  <w:style w:type="character" w:styleId="Emphasis">
    <w:name w:val="Emphasis"/>
    <w:basedOn w:val="DefaultParagraphFont"/>
    <w:uiPriority w:val="20"/>
    <w:unhideWhenUsed/>
    <w:qFormat/>
    <w:rsid w:val="007C5913"/>
    <w:rPr>
      <w:rFonts w:ascii="Times New Roman" w:hAnsi="Times New Roman"/>
      <w:b/>
      <w:i/>
      <w:iCs/>
    </w:rPr>
  </w:style>
  <w:style w:type="paragraph" w:styleId="NoSpacing">
    <w:name w:val="No Spacing"/>
    <w:basedOn w:val="Normal"/>
    <w:link w:val="NoSpacingChar"/>
    <w:uiPriority w:val="1"/>
    <w:qFormat/>
    <w:rsid w:val="007C5913"/>
    <w:pPr>
      <w:spacing w:line="240" w:lineRule="auto"/>
    </w:pPr>
    <w:rPr>
      <w:szCs w:val="32"/>
    </w:rPr>
  </w:style>
  <w:style w:type="character" w:customStyle="1" w:styleId="NoSpacingChar">
    <w:name w:val="No Spacing Char"/>
    <w:basedOn w:val="DefaultParagraphFont"/>
    <w:link w:val="NoSpacing"/>
    <w:uiPriority w:val="1"/>
    <w:rsid w:val="007C5913"/>
    <w:rPr>
      <w:rFonts w:asciiTheme="minorHAnsi" w:hAnsiTheme="minorHAnsi"/>
      <w:sz w:val="24"/>
      <w:szCs w:val="32"/>
      <w:lang w:bidi="en-US"/>
    </w:rPr>
  </w:style>
  <w:style w:type="paragraph" w:styleId="Quote">
    <w:name w:val="Quote"/>
    <w:basedOn w:val="Normal"/>
    <w:next w:val="Normal"/>
    <w:link w:val="QuoteChar"/>
    <w:uiPriority w:val="29"/>
    <w:unhideWhenUsed/>
    <w:qFormat/>
    <w:rsid w:val="007C5913"/>
    <w:rPr>
      <w:rFonts w:ascii="Times New Roman" w:hAnsi="Times New Roman"/>
      <w:i/>
    </w:rPr>
  </w:style>
  <w:style w:type="character" w:customStyle="1" w:styleId="QuoteChar">
    <w:name w:val="Quote Char"/>
    <w:basedOn w:val="DefaultParagraphFont"/>
    <w:link w:val="Quote"/>
    <w:uiPriority w:val="29"/>
    <w:rsid w:val="007C5913"/>
    <w:rPr>
      <w:i/>
      <w:sz w:val="24"/>
      <w:szCs w:val="24"/>
      <w:lang w:bidi="en-US"/>
    </w:rPr>
  </w:style>
  <w:style w:type="paragraph" w:styleId="IntenseQuote">
    <w:name w:val="Intense Quote"/>
    <w:basedOn w:val="Normal"/>
    <w:next w:val="Normal"/>
    <w:link w:val="IntenseQuoteChar"/>
    <w:uiPriority w:val="30"/>
    <w:unhideWhenUsed/>
    <w:qFormat/>
    <w:rsid w:val="007C5913"/>
    <w:pPr>
      <w:ind w:left="720" w:right="720"/>
    </w:pPr>
    <w:rPr>
      <w:rFonts w:ascii="Times New Roman" w:hAnsi="Times New Roman"/>
      <w:b/>
      <w:i/>
      <w:szCs w:val="22"/>
    </w:rPr>
  </w:style>
  <w:style w:type="character" w:customStyle="1" w:styleId="IntenseQuoteChar">
    <w:name w:val="Intense Quote Char"/>
    <w:basedOn w:val="DefaultParagraphFont"/>
    <w:link w:val="IntenseQuote"/>
    <w:uiPriority w:val="30"/>
    <w:rsid w:val="007C5913"/>
    <w:rPr>
      <w:b/>
      <w:i/>
      <w:sz w:val="24"/>
      <w:szCs w:val="22"/>
      <w:lang w:bidi="en-US"/>
    </w:rPr>
  </w:style>
  <w:style w:type="character" w:styleId="SubtleEmphasis">
    <w:name w:val="Subtle Emphasis"/>
    <w:uiPriority w:val="19"/>
    <w:unhideWhenUsed/>
    <w:qFormat/>
    <w:rsid w:val="007C5913"/>
    <w:rPr>
      <w:i/>
      <w:color w:val="5A5A5A"/>
    </w:rPr>
  </w:style>
  <w:style w:type="character" w:styleId="IntenseEmphasis">
    <w:name w:val="Intense Emphasis"/>
    <w:basedOn w:val="DefaultParagraphFont"/>
    <w:uiPriority w:val="21"/>
    <w:unhideWhenUsed/>
    <w:qFormat/>
    <w:rsid w:val="007C5913"/>
    <w:rPr>
      <w:b/>
      <w:i/>
      <w:sz w:val="24"/>
      <w:szCs w:val="24"/>
      <w:u w:val="single"/>
    </w:rPr>
  </w:style>
  <w:style w:type="character" w:styleId="SubtleReference">
    <w:name w:val="Subtle Reference"/>
    <w:basedOn w:val="DefaultParagraphFont"/>
    <w:uiPriority w:val="31"/>
    <w:unhideWhenUsed/>
    <w:qFormat/>
    <w:rsid w:val="007C5913"/>
    <w:rPr>
      <w:sz w:val="24"/>
      <w:szCs w:val="24"/>
      <w:u w:val="single"/>
    </w:rPr>
  </w:style>
  <w:style w:type="character" w:styleId="IntenseReference">
    <w:name w:val="Intense Reference"/>
    <w:basedOn w:val="DefaultParagraphFont"/>
    <w:uiPriority w:val="32"/>
    <w:unhideWhenUsed/>
    <w:qFormat/>
    <w:rsid w:val="007C5913"/>
    <w:rPr>
      <w:b/>
      <w:sz w:val="24"/>
      <w:u w:val="single"/>
    </w:rPr>
  </w:style>
  <w:style w:type="character" w:styleId="BookTitle">
    <w:name w:val="Book Title"/>
    <w:basedOn w:val="DefaultParagraphFont"/>
    <w:uiPriority w:val="33"/>
    <w:unhideWhenUsed/>
    <w:qFormat/>
    <w:rsid w:val="007C5913"/>
    <w:rPr>
      <w:rFonts w:ascii="Times New Roman" w:eastAsia="Times New Roman" w:hAnsi="Times New Roman"/>
      <w:b/>
      <w:i/>
      <w:sz w:val="24"/>
      <w:szCs w:val="24"/>
    </w:rPr>
  </w:style>
  <w:style w:type="paragraph" w:styleId="TOCHeading">
    <w:name w:val="TOC Heading"/>
    <w:basedOn w:val="Heading1"/>
    <w:next w:val="Normal"/>
    <w:uiPriority w:val="39"/>
    <w:unhideWhenUsed/>
    <w:qFormat/>
    <w:rsid w:val="007C5913"/>
    <w:pPr>
      <w:outlineLvl w:val="9"/>
    </w:pPr>
  </w:style>
  <w:style w:type="character" w:styleId="Hyperlink">
    <w:name w:val="Hyperlink"/>
    <w:basedOn w:val="DefaultParagraphFont"/>
    <w:uiPriority w:val="99"/>
    <w:unhideWhenUsed/>
    <w:rsid w:val="00D94623"/>
    <w:rPr>
      <w:color w:val="0000FF" w:themeColor="hyperlink"/>
      <w:u w:val="single"/>
    </w:rPr>
  </w:style>
  <w:style w:type="paragraph" w:styleId="ListParagraph">
    <w:name w:val="List Paragraph"/>
    <w:basedOn w:val="Normal"/>
    <w:uiPriority w:val="34"/>
    <w:rsid w:val="00775108"/>
    <w:pPr>
      <w:ind w:left="720"/>
      <w:contextualSpacing/>
    </w:pPr>
  </w:style>
  <w:style w:type="paragraph" w:styleId="BalloonText">
    <w:name w:val="Balloon Text"/>
    <w:basedOn w:val="Normal"/>
    <w:link w:val="BalloonTextChar"/>
    <w:uiPriority w:val="99"/>
    <w:semiHidden/>
    <w:unhideWhenUsed/>
    <w:rsid w:val="00072399"/>
    <w:pPr>
      <w:spacing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072399"/>
    <w:rPr>
      <w:rFonts w:ascii="Tahoma" w:hAnsi="Tahoma" w:cs="Tahoma"/>
      <w:sz w:val="16"/>
      <w:szCs w:val="16"/>
      <w:lang w:bidi="en-US"/>
    </w:rPr>
  </w:style>
  <w:style w:type="character" w:styleId="PlaceholderText">
    <w:name w:val="Placeholder Text"/>
    <w:basedOn w:val="DefaultParagraphFont"/>
    <w:uiPriority w:val="99"/>
    <w:semiHidden/>
    <w:rsid w:val="00A1595E"/>
    <w:rPr>
      <w:color w:val="808080"/>
    </w:rPr>
  </w:style>
  <w:style w:type="paragraph" w:customStyle="1" w:styleId="Text">
    <w:name w:val="Text"/>
    <w:basedOn w:val="Normal"/>
    <w:rsid w:val="00B56F69"/>
    <w:pPr>
      <w:widowControl w:val="0"/>
      <w:spacing w:line="252" w:lineRule="auto"/>
      <w:ind w:firstLine="202"/>
      <w:jc w:val="both"/>
    </w:pPr>
    <w:rPr>
      <w:rFonts w:ascii="Times New Roman" w:hAnsi="Times New Roman"/>
      <w:sz w:val="20"/>
      <w:szCs w:val="20"/>
      <w:lang w:bidi="ar-SA"/>
    </w:rPr>
  </w:style>
  <w:style w:type="table" w:styleId="TableGrid">
    <w:name w:val="Table Grid"/>
    <w:basedOn w:val="TableNormal"/>
    <w:uiPriority w:val="59"/>
    <w:rsid w:val="00596B8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596B82"/>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List-Accent5">
    <w:name w:val="Light List Accent 5"/>
    <w:basedOn w:val="TableNormal"/>
    <w:uiPriority w:val="61"/>
    <w:rsid w:val="00596B82"/>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4">
    <w:name w:val="Light List Accent 4"/>
    <w:basedOn w:val="TableNormal"/>
    <w:uiPriority w:val="61"/>
    <w:rsid w:val="00596B82"/>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3">
    <w:name w:val="Light List Accent 3"/>
    <w:basedOn w:val="TableNormal"/>
    <w:uiPriority w:val="61"/>
    <w:rsid w:val="00596B82"/>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1">
    <w:name w:val="Light List Accent 1"/>
    <w:basedOn w:val="TableNormal"/>
    <w:uiPriority w:val="61"/>
    <w:rsid w:val="00596B82"/>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customStyle="1" w:styleId="TableGrid1">
    <w:name w:val="Table Grid1"/>
    <w:basedOn w:val="TableNormal"/>
    <w:next w:val="TableGrid"/>
    <w:uiPriority w:val="59"/>
    <w:rsid w:val="001D4996"/>
    <w:rPr>
      <w:rFonts w:ascii="Calibri" w:eastAsia="SimSun" w:hAnsi="Calibri"/>
      <w:sz w:val="22"/>
      <w:szCs w:val="22"/>
      <w:lang w:eastAsia="zh-C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
    <w:name w:val="Table Grid2"/>
    <w:basedOn w:val="TableNormal"/>
    <w:next w:val="TableGrid"/>
    <w:uiPriority w:val="59"/>
    <w:rsid w:val="004D2879"/>
    <w:rPr>
      <w:rFonts w:ascii="Calibri" w:eastAsia="SimSun" w:hAnsi="Calibri"/>
      <w:sz w:val="22"/>
      <w:szCs w:val="22"/>
      <w:lang w:eastAsia="zh-C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
    <w:name w:val="Table Grid3"/>
    <w:basedOn w:val="TableNormal"/>
    <w:next w:val="TableGrid"/>
    <w:uiPriority w:val="59"/>
    <w:rsid w:val="00EE1FD0"/>
    <w:rPr>
      <w:rFonts w:ascii="Calibri" w:eastAsia="SimSun" w:hAnsi="Calibri"/>
      <w:sz w:val="22"/>
      <w:szCs w:val="22"/>
      <w:lang w:eastAsia="zh-C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59615F"/>
    <w:pPr>
      <w:tabs>
        <w:tab w:val="center" w:pos="4680"/>
        <w:tab w:val="right" w:pos="9360"/>
      </w:tabs>
      <w:spacing w:line="240" w:lineRule="auto"/>
    </w:pPr>
  </w:style>
  <w:style w:type="character" w:customStyle="1" w:styleId="HeaderChar">
    <w:name w:val="Header Char"/>
    <w:basedOn w:val="DefaultParagraphFont"/>
    <w:link w:val="Header"/>
    <w:uiPriority w:val="99"/>
    <w:rsid w:val="0059615F"/>
    <w:rPr>
      <w:rFonts w:asciiTheme="minorHAnsi" w:hAnsiTheme="minorHAnsi"/>
      <w:sz w:val="24"/>
      <w:szCs w:val="24"/>
      <w:lang w:bidi="en-US"/>
    </w:rPr>
  </w:style>
  <w:style w:type="paragraph" w:styleId="Footer">
    <w:name w:val="footer"/>
    <w:basedOn w:val="Normal"/>
    <w:link w:val="FooterChar"/>
    <w:uiPriority w:val="99"/>
    <w:unhideWhenUsed/>
    <w:rsid w:val="0059615F"/>
    <w:pPr>
      <w:tabs>
        <w:tab w:val="center" w:pos="4680"/>
        <w:tab w:val="right" w:pos="9360"/>
      </w:tabs>
      <w:spacing w:line="240" w:lineRule="auto"/>
    </w:pPr>
  </w:style>
  <w:style w:type="character" w:customStyle="1" w:styleId="FooterChar">
    <w:name w:val="Footer Char"/>
    <w:basedOn w:val="DefaultParagraphFont"/>
    <w:link w:val="Footer"/>
    <w:uiPriority w:val="99"/>
    <w:rsid w:val="0059615F"/>
    <w:rPr>
      <w:rFonts w:asciiTheme="minorHAnsi" w:hAnsiTheme="minorHAnsi"/>
      <w:sz w:val="24"/>
      <w:szCs w:val="24"/>
      <w:lang w:bidi="en-US"/>
    </w:rPr>
  </w:style>
  <w:style w:type="paragraph" w:styleId="Caption">
    <w:name w:val="caption"/>
    <w:basedOn w:val="Normal"/>
    <w:next w:val="TableofFigures"/>
    <w:uiPriority w:val="35"/>
    <w:unhideWhenUsed/>
    <w:rsid w:val="00F76609"/>
    <w:pPr>
      <w:spacing w:after="200" w:line="240" w:lineRule="auto"/>
    </w:pPr>
    <w:rPr>
      <w:b/>
      <w:bCs/>
      <w:color w:val="4F81BD" w:themeColor="accent1"/>
      <w:sz w:val="18"/>
      <w:szCs w:val="18"/>
    </w:rPr>
  </w:style>
  <w:style w:type="paragraph" w:styleId="TOC2">
    <w:name w:val="toc 2"/>
    <w:basedOn w:val="Normal"/>
    <w:next w:val="Normal"/>
    <w:autoRedefine/>
    <w:uiPriority w:val="39"/>
    <w:unhideWhenUsed/>
    <w:qFormat/>
    <w:rsid w:val="00445740"/>
    <w:pPr>
      <w:spacing w:after="100"/>
      <w:ind w:left="240"/>
    </w:pPr>
  </w:style>
  <w:style w:type="paragraph" w:styleId="TOC1">
    <w:name w:val="toc 1"/>
    <w:basedOn w:val="Normal"/>
    <w:next w:val="Normal"/>
    <w:autoRedefine/>
    <w:uiPriority w:val="39"/>
    <w:unhideWhenUsed/>
    <w:qFormat/>
    <w:rsid w:val="00F76609"/>
    <w:pPr>
      <w:spacing w:after="100"/>
    </w:pPr>
  </w:style>
  <w:style w:type="paragraph" w:styleId="TableofFigures">
    <w:name w:val="table of figures"/>
    <w:basedOn w:val="Normal"/>
    <w:next w:val="Normal"/>
    <w:uiPriority w:val="99"/>
    <w:unhideWhenUsed/>
    <w:rsid w:val="00F76609"/>
  </w:style>
  <w:style w:type="paragraph" w:styleId="TOC3">
    <w:name w:val="toc 3"/>
    <w:basedOn w:val="Normal"/>
    <w:next w:val="Normal"/>
    <w:autoRedefine/>
    <w:uiPriority w:val="39"/>
    <w:unhideWhenUsed/>
    <w:qFormat/>
    <w:rsid w:val="003F09B9"/>
    <w:pPr>
      <w:spacing w:after="100" w:line="276" w:lineRule="auto"/>
      <w:ind w:left="440"/>
    </w:pPr>
    <w:rPr>
      <w:rFonts w:eastAsiaTheme="minorEastAsia" w:cstheme="minorBidi"/>
      <w:sz w:val="22"/>
      <w:szCs w:val="22"/>
      <w:lang w:eastAsia="ja-JP" w:bidi="ar-SA"/>
    </w:rPr>
  </w:style>
  <w:style w:type="character" w:styleId="FollowedHyperlink">
    <w:name w:val="FollowedHyperlink"/>
    <w:basedOn w:val="DefaultParagraphFont"/>
    <w:uiPriority w:val="99"/>
    <w:semiHidden/>
    <w:unhideWhenUsed/>
    <w:rsid w:val="00377D8E"/>
    <w:rPr>
      <w:color w:val="800080" w:themeColor="followedHyperlink"/>
      <w:u w:val="single"/>
    </w:rPr>
  </w:style>
  <w:style w:type="character" w:styleId="CommentReference">
    <w:name w:val="annotation reference"/>
    <w:basedOn w:val="DefaultParagraphFont"/>
    <w:uiPriority w:val="99"/>
    <w:semiHidden/>
    <w:unhideWhenUsed/>
    <w:rsid w:val="00182D73"/>
    <w:rPr>
      <w:sz w:val="16"/>
      <w:szCs w:val="16"/>
    </w:rPr>
  </w:style>
  <w:style w:type="paragraph" w:styleId="CommentText">
    <w:name w:val="annotation text"/>
    <w:basedOn w:val="Normal"/>
    <w:link w:val="CommentTextChar"/>
    <w:uiPriority w:val="99"/>
    <w:semiHidden/>
    <w:unhideWhenUsed/>
    <w:rsid w:val="00182D73"/>
    <w:pPr>
      <w:spacing w:line="240" w:lineRule="auto"/>
    </w:pPr>
    <w:rPr>
      <w:sz w:val="20"/>
      <w:szCs w:val="20"/>
    </w:rPr>
  </w:style>
  <w:style w:type="character" w:customStyle="1" w:styleId="CommentTextChar">
    <w:name w:val="Comment Text Char"/>
    <w:basedOn w:val="DefaultParagraphFont"/>
    <w:link w:val="CommentText"/>
    <w:uiPriority w:val="99"/>
    <w:semiHidden/>
    <w:rsid w:val="00182D73"/>
    <w:rPr>
      <w:rFonts w:asciiTheme="minorHAnsi" w:hAnsiTheme="minorHAnsi"/>
      <w:lang w:bidi="en-US"/>
    </w:rPr>
  </w:style>
  <w:style w:type="table" w:customStyle="1" w:styleId="TableGrid4">
    <w:name w:val="Table Grid4"/>
    <w:basedOn w:val="TableNormal"/>
    <w:next w:val="TableGrid"/>
    <w:uiPriority w:val="59"/>
    <w:rsid w:val="00496C85"/>
    <w:rPr>
      <w:rFonts w:eastAsia="SimSun"/>
      <w:lang w:eastAsia="zh-C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2775684">
      <w:bodyDiv w:val="1"/>
      <w:marLeft w:val="0"/>
      <w:marRight w:val="0"/>
      <w:marTop w:val="0"/>
      <w:marBottom w:val="0"/>
      <w:divBdr>
        <w:top w:val="none" w:sz="0" w:space="0" w:color="auto"/>
        <w:left w:val="none" w:sz="0" w:space="0" w:color="auto"/>
        <w:bottom w:val="none" w:sz="0" w:space="0" w:color="auto"/>
        <w:right w:val="none" w:sz="0" w:space="0" w:color="auto"/>
      </w:divBdr>
    </w:div>
    <w:div w:id="185363841">
      <w:bodyDiv w:val="1"/>
      <w:marLeft w:val="0"/>
      <w:marRight w:val="0"/>
      <w:marTop w:val="0"/>
      <w:marBottom w:val="0"/>
      <w:divBdr>
        <w:top w:val="none" w:sz="0" w:space="0" w:color="auto"/>
        <w:left w:val="none" w:sz="0" w:space="0" w:color="auto"/>
        <w:bottom w:val="none" w:sz="0" w:space="0" w:color="auto"/>
        <w:right w:val="none" w:sz="0" w:space="0" w:color="auto"/>
      </w:divBdr>
    </w:div>
    <w:div w:id="221869563">
      <w:bodyDiv w:val="1"/>
      <w:marLeft w:val="0"/>
      <w:marRight w:val="0"/>
      <w:marTop w:val="0"/>
      <w:marBottom w:val="0"/>
      <w:divBdr>
        <w:top w:val="none" w:sz="0" w:space="0" w:color="auto"/>
        <w:left w:val="none" w:sz="0" w:space="0" w:color="auto"/>
        <w:bottom w:val="none" w:sz="0" w:space="0" w:color="auto"/>
        <w:right w:val="none" w:sz="0" w:space="0" w:color="auto"/>
      </w:divBdr>
    </w:div>
    <w:div w:id="225185143">
      <w:bodyDiv w:val="1"/>
      <w:marLeft w:val="0"/>
      <w:marRight w:val="0"/>
      <w:marTop w:val="0"/>
      <w:marBottom w:val="0"/>
      <w:divBdr>
        <w:top w:val="none" w:sz="0" w:space="0" w:color="auto"/>
        <w:left w:val="none" w:sz="0" w:space="0" w:color="auto"/>
        <w:bottom w:val="none" w:sz="0" w:space="0" w:color="auto"/>
        <w:right w:val="none" w:sz="0" w:space="0" w:color="auto"/>
      </w:divBdr>
    </w:div>
    <w:div w:id="234095034">
      <w:bodyDiv w:val="1"/>
      <w:marLeft w:val="0"/>
      <w:marRight w:val="0"/>
      <w:marTop w:val="0"/>
      <w:marBottom w:val="0"/>
      <w:divBdr>
        <w:top w:val="none" w:sz="0" w:space="0" w:color="auto"/>
        <w:left w:val="none" w:sz="0" w:space="0" w:color="auto"/>
        <w:bottom w:val="none" w:sz="0" w:space="0" w:color="auto"/>
        <w:right w:val="none" w:sz="0" w:space="0" w:color="auto"/>
      </w:divBdr>
    </w:div>
    <w:div w:id="259919801">
      <w:bodyDiv w:val="1"/>
      <w:marLeft w:val="0"/>
      <w:marRight w:val="0"/>
      <w:marTop w:val="0"/>
      <w:marBottom w:val="0"/>
      <w:divBdr>
        <w:top w:val="none" w:sz="0" w:space="0" w:color="auto"/>
        <w:left w:val="none" w:sz="0" w:space="0" w:color="auto"/>
        <w:bottom w:val="none" w:sz="0" w:space="0" w:color="auto"/>
        <w:right w:val="none" w:sz="0" w:space="0" w:color="auto"/>
      </w:divBdr>
    </w:div>
    <w:div w:id="266499022">
      <w:bodyDiv w:val="1"/>
      <w:marLeft w:val="0"/>
      <w:marRight w:val="0"/>
      <w:marTop w:val="0"/>
      <w:marBottom w:val="0"/>
      <w:divBdr>
        <w:top w:val="none" w:sz="0" w:space="0" w:color="auto"/>
        <w:left w:val="none" w:sz="0" w:space="0" w:color="auto"/>
        <w:bottom w:val="none" w:sz="0" w:space="0" w:color="auto"/>
        <w:right w:val="none" w:sz="0" w:space="0" w:color="auto"/>
      </w:divBdr>
    </w:div>
    <w:div w:id="336345573">
      <w:bodyDiv w:val="1"/>
      <w:marLeft w:val="0"/>
      <w:marRight w:val="0"/>
      <w:marTop w:val="0"/>
      <w:marBottom w:val="0"/>
      <w:divBdr>
        <w:top w:val="none" w:sz="0" w:space="0" w:color="auto"/>
        <w:left w:val="none" w:sz="0" w:space="0" w:color="auto"/>
        <w:bottom w:val="none" w:sz="0" w:space="0" w:color="auto"/>
        <w:right w:val="none" w:sz="0" w:space="0" w:color="auto"/>
      </w:divBdr>
    </w:div>
    <w:div w:id="522287356">
      <w:bodyDiv w:val="1"/>
      <w:marLeft w:val="0"/>
      <w:marRight w:val="0"/>
      <w:marTop w:val="0"/>
      <w:marBottom w:val="0"/>
      <w:divBdr>
        <w:top w:val="none" w:sz="0" w:space="0" w:color="auto"/>
        <w:left w:val="none" w:sz="0" w:space="0" w:color="auto"/>
        <w:bottom w:val="none" w:sz="0" w:space="0" w:color="auto"/>
        <w:right w:val="none" w:sz="0" w:space="0" w:color="auto"/>
      </w:divBdr>
    </w:div>
    <w:div w:id="568425791">
      <w:bodyDiv w:val="1"/>
      <w:marLeft w:val="0"/>
      <w:marRight w:val="0"/>
      <w:marTop w:val="0"/>
      <w:marBottom w:val="0"/>
      <w:divBdr>
        <w:top w:val="none" w:sz="0" w:space="0" w:color="auto"/>
        <w:left w:val="none" w:sz="0" w:space="0" w:color="auto"/>
        <w:bottom w:val="none" w:sz="0" w:space="0" w:color="auto"/>
        <w:right w:val="none" w:sz="0" w:space="0" w:color="auto"/>
      </w:divBdr>
    </w:div>
    <w:div w:id="579876396">
      <w:bodyDiv w:val="1"/>
      <w:marLeft w:val="0"/>
      <w:marRight w:val="0"/>
      <w:marTop w:val="0"/>
      <w:marBottom w:val="0"/>
      <w:divBdr>
        <w:top w:val="none" w:sz="0" w:space="0" w:color="auto"/>
        <w:left w:val="none" w:sz="0" w:space="0" w:color="auto"/>
        <w:bottom w:val="none" w:sz="0" w:space="0" w:color="auto"/>
        <w:right w:val="none" w:sz="0" w:space="0" w:color="auto"/>
      </w:divBdr>
    </w:div>
    <w:div w:id="594288133">
      <w:bodyDiv w:val="1"/>
      <w:marLeft w:val="0"/>
      <w:marRight w:val="0"/>
      <w:marTop w:val="0"/>
      <w:marBottom w:val="0"/>
      <w:divBdr>
        <w:top w:val="none" w:sz="0" w:space="0" w:color="auto"/>
        <w:left w:val="none" w:sz="0" w:space="0" w:color="auto"/>
        <w:bottom w:val="none" w:sz="0" w:space="0" w:color="auto"/>
        <w:right w:val="none" w:sz="0" w:space="0" w:color="auto"/>
      </w:divBdr>
    </w:div>
    <w:div w:id="623118962">
      <w:bodyDiv w:val="1"/>
      <w:marLeft w:val="0"/>
      <w:marRight w:val="0"/>
      <w:marTop w:val="0"/>
      <w:marBottom w:val="0"/>
      <w:divBdr>
        <w:top w:val="none" w:sz="0" w:space="0" w:color="auto"/>
        <w:left w:val="none" w:sz="0" w:space="0" w:color="auto"/>
        <w:bottom w:val="none" w:sz="0" w:space="0" w:color="auto"/>
        <w:right w:val="none" w:sz="0" w:space="0" w:color="auto"/>
      </w:divBdr>
    </w:div>
    <w:div w:id="645472276">
      <w:bodyDiv w:val="1"/>
      <w:marLeft w:val="0"/>
      <w:marRight w:val="0"/>
      <w:marTop w:val="0"/>
      <w:marBottom w:val="0"/>
      <w:divBdr>
        <w:top w:val="none" w:sz="0" w:space="0" w:color="auto"/>
        <w:left w:val="none" w:sz="0" w:space="0" w:color="auto"/>
        <w:bottom w:val="none" w:sz="0" w:space="0" w:color="auto"/>
        <w:right w:val="none" w:sz="0" w:space="0" w:color="auto"/>
      </w:divBdr>
    </w:div>
    <w:div w:id="674570937">
      <w:bodyDiv w:val="1"/>
      <w:marLeft w:val="0"/>
      <w:marRight w:val="0"/>
      <w:marTop w:val="0"/>
      <w:marBottom w:val="0"/>
      <w:divBdr>
        <w:top w:val="none" w:sz="0" w:space="0" w:color="auto"/>
        <w:left w:val="none" w:sz="0" w:space="0" w:color="auto"/>
        <w:bottom w:val="none" w:sz="0" w:space="0" w:color="auto"/>
        <w:right w:val="none" w:sz="0" w:space="0" w:color="auto"/>
      </w:divBdr>
    </w:div>
    <w:div w:id="680863401">
      <w:bodyDiv w:val="1"/>
      <w:marLeft w:val="0"/>
      <w:marRight w:val="0"/>
      <w:marTop w:val="0"/>
      <w:marBottom w:val="0"/>
      <w:divBdr>
        <w:top w:val="none" w:sz="0" w:space="0" w:color="auto"/>
        <w:left w:val="none" w:sz="0" w:space="0" w:color="auto"/>
        <w:bottom w:val="none" w:sz="0" w:space="0" w:color="auto"/>
        <w:right w:val="none" w:sz="0" w:space="0" w:color="auto"/>
      </w:divBdr>
    </w:div>
    <w:div w:id="708529054">
      <w:bodyDiv w:val="1"/>
      <w:marLeft w:val="0"/>
      <w:marRight w:val="0"/>
      <w:marTop w:val="0"/>
      <w:marBottom w:val="0"/>
      <w:divBdr>
        <w:top w:val="none" w:sz="0" w:space="0" w:color="auto"/>
        <w:left w:val="none" w:sz="0" w:space="0" w:color="auto"/>
        <w:bottom w:val="none" w:sz="0" w:space="0" w:color="auto"/>
        <w:right w:val="none" w:sz="0" w:space="0" w:color="auto"/>
      </w:divBdr>
    </w:div>
    <w:div w:id="731780871">
      <w:bodyDiv w:val="1"/>
      <w:marLeft w:val="0"/>
      <w:marRight w:val="0"/>
      <w:marTop w:val="0"/>
      <w:marBottom w:val="0"/>
      <w:divBdr>
        <w:top w:val="none" w:sz="0" w:space="0" w:color="auto"/>
        <w:left w:val="none" w:sz="0" w:space="0" w:color="auto"/>
        <w:bottom w:val="none" w:sz="0" w:space="0" w:color="auto"/>
        <w:right w:val="none" w:sz="0" w:space="0" w:color="auto"/>
      </w:divBdr>
    </w:div>
    <w:div w:id="765921414">
      <w:bodyDiv w:val="1"/>
      <w:marLeft w:val="0"/>
      <w:marRight w:val="0"/>
      <w:marTop w:val="0"/>
      <w:marBottom w:val="0"/>
      <w:divBdr>
        <w:top w:val="none" w:sz="0" w:space="0" w:color="auto"/>
        <w:left w:val="none" w:sz="0" w:space="0" w:color="auto"/>
        <w:bottom w:val="none" w:sz="0" w:space="0" w:color="auto"/>
        <w:right w:val="none" w:sz="0" w:space="0" w:color="auto"/>
      </w:divBdr>
    </w:div>
    <w:div w:id="887574031">
      <w:bodyDiv w:val="1"/>
      <w:marLeft w:val="0"/>
      <w:marRight w:val="0"/>
      <w:marTop w:val="0"/>
      <w:marBottom w:val="0"/>
      <w:divBdr>
        <w:top w:val="none" w:sz="0" w:space="0" w:color="auto"/>
        <w:left w:val="none" w:sz="0" w:space="0" w:color="auto"/>
        <w:bottom w:val="none" w:sz="0" w:space="0" w:color="auto"/>
        <w:right w:val="none" w:sz="0" w:space="0" w:color="auto"/>
      </w:divBdr>
    </w:div>
    <w:div w:id="1086531633">
      <w:bodyDiv w:val="1"/>
      <w:marLeft w:val="0"/>
      <w:marRight w:val="0"/>
      <w:marTop w:val="0"/>
      <w:marBottom w:val="0"/>
      <w:divBdr>
        <w:top w:val="none" w:sz="0" w:space="0" w:color="auto"/>
        <w:left w:val="none" w:sz="0" w:space="0" w:color="auto"/>
        <w:bottom w:val="none" w:sz="0" w:space="0" w:color="auto"/>
        <w:right w:val="none" w:sz="0" w:space="0" w:color="auto"/>
      </w:divBdr>
    </w:div>
    <w:div w:id="1131675759">
      <w:bodyDiv w:val="1"/>
      <w:marLeft w:val="0"/>
      <w:marRight w:val="0"/>
      <w:marTop w:val="0"/>
      <w:marBottom w:val="0"/>
      <w:divBdr>
        <w:top w:val="none" w:sz="0" w:space="0" w:color="auto"/>
        <w:left w:val="none" w:sz="0" w:space="0" w:color="auto"/>
        <w:bottom w:val="none" w:sz="0" w:space="0" w:color="auto"/>
        <w:right w:val="none" w:sz="0" w:space="0" w:color="auto"/>
      </w:divBdr>
    </w:div>
    <w:div w:id="1142237469">
      <w:bodyDiv w:val="1"/>
      <w:marLeft w:val="0"/>
      <w:marRight w:val="0"/>
      <w:marTop w:val="0"/>
      <w:marBottom w:val="0"/>
      <w:divBdr>
        <w:top w:val="none" w:sz="0" w:space="0" w:color="auto"/>
        <w:left w:val="none" w:sz="0" w:space="0" w:color="auto"/>
        <w:bottom w:val="none" w:sz="0" w:space="0" w:color="auto"/>
        <w:right w:val="none" w:sz="0" w:space="0" w:color="auto"/>
      </w:divBdr>
    </w:div>
    <w:div w:id="1148741729">
      <w:bodyDiv w:val="1"/>
      <w:marLeft w:val="0"/>
      <w:marRight w:val="0"/>
      <w:marTop w:val="0"/>
      <w:marBottom w:val="0"/>
      <w:divBdr>
        <w:top w:val="none" w:sz="0" w:space="0" w:color="auto"/>
        <w:left w:val="none" w:sz="0" w:space="0" w:color="auto"/>
        <w:bottom w:val="none" w:sz="0" w:space="0" w:color="auto"/>
        <w:right w:val="none" w:sz="0" w:space="0" w:color="auto"/>
      </w:divBdr>
    </w:div>
    <w:div w:id="1170635535">
      <w:bodyDiv w:val="1"/>
      <w:marLeft w:val="0"/>
      <w:marRight w:val="0"/>
      <w:marTop w:val="0"/>
      <w:marBottom w:val="0"/>
      <w:divBdr>
        <w:top w:val="none" w:sz="0" w:space="0" w:color="auto"/>
        <w:left w:val="none" w:sz="0" w:space="0" w:color="auto"/>
        <w:bottom w:val="none" w:sz="0" w:space="0" w:color="auto"/>
        <w:right w:val="none" w:sz="0" w:space="0" w:color="auto"/>
      </w:divBdr>
    </w:div>
    <w:div w:id="1241603021">
      <w:bodyDiv w:val="1"/>
      <w:marLeft w:val="0"/>
      <w:marRight w:val="0"/>
      <w:marTop w:val="0"/>
      <w:marBottom w:val="0"/>
      <w:divBdr>
        <w:top w:val="none" w:sz="0" w:space="0" w:color="auto"/>
        <w:left w:val="none" w:sz="0" w:space="0" w:color="auto"/>
        <w:bottom w:val="none" w:sz="0" w:space="0" w:color="auto"/>
        <w:right w:val="none" w:sz="0" w:space="0" w:color="auto"/>
      </w:divBdr>
    </w:div>
    <w:div w:id="1265843324">
      <w:bodyDiv w:val="1"/>
      <w:marLeft w:val="0"/>
      <w:marRight w:val="0"/>
      <w:marTop w:val="0"/>
      <w:marBottom w:val="0"/>
      <w:divBdr>
        <w:top w:val="none" w:sz="0" w:space="0" w:color="auto"/>
        <w:left w:val="none" w:sz="0" w:space="0" w:color="auto"/>
        <w:bottom w:val="none" w:sz="0" w:space="0" w:color="auto"/>
        <w:right w:val="none" w:sz="0" w:space="0" w:color="auto"/>
      </w:divBdr>
    </w:div>
    <w:div w:id="1277254879">
      <w:bodyDiv w:val="1"/>
      <w:marLeft w:val="0"/>
      <w:marRight w:val="0"/>
      <w:marTop w:val="0"/>
      <w:marBottom w:val="0"/>
      <w:divBdr>
        <w:top w:val="none" w:sz="0" w:space="0" w:color="auto"/>
        <w:left w:val="none" w:sz="0" w:space="0" w:color="auto"/>
        <w:bottom w:val="none" w:sz="0" w:space="0" w:color="auto"/>
        <w:right w:val="none" w:sz="0" w:space="0" w:color="auto"/>
      </w:divBdr>
    </w:div>
    <w:div w:id="1297685113">
      <w:bodyDiv w:val="1"/>
      <w:marLeft w:val="0"/>
      <w:marRight w:val="0"/>
      <w:marTop w:val="0"/>
      <w:marBottom w:val="0"/>
      <w:divBdr>
        <w:top w:val="none" w:sz="0" w:space="0" w:color="auto"/>
        <w:left w:val="none" w:sz="0" w:space="0" w:color="auto"/>
        <w:bottom w:val="none" w:sz="0" w:space="0" w:color="auto"/>
        <w:right w:val="none" w:sz="0" w:space="0" w:color="auto"/>
      </w:divBdr>
    </w:div>
    <w:div w:id="1364593713">
      <w:bodyDiv w:val="1"/>
      <w:marLeft w:val="0"/>
      <w:marRight w:val="0"/>
      <w:marTop w:val="0"/>
      <w:marBottom w:val="0"/>
      <w:divBdr>
        <w:top w:val="none" w:sz="0" w:space="0" w:color="auto"/>
        <w:left w:val="none" w:sz="0" w:space="0" w:color="auto"/>
        <w:bottom w:val="none" w:sz="0" w:space="0" w:color="auto"/>
        <w:right w:val="none" w:sz="0" w:space="0" w:color="auto"/>
      </w:divBdr>
    </w:div>
    <w:div w:id="1380394731">
      <w:bodyDiv w:val="1"/>
      <w:marLeft w:val="0"/>
      <w:marRight w:val="0"/>
      <w:marTop w:val="0"/>
      <w:marBottom w:val="0"/>
      <w:divBdr>
        <w:top w:val="none" w:sz="0" w:space="0" w:color="auto"/>
        <w:left w:val="none" w:sz="0" w:space="0" w:color="auto"/>
        <w:bottom w:val="none" w:sz="0" w:space="0" w:color="auto"/>
        <w:right w:val="none" w:sz="0" w:space="0" w:color="auto"/>
      </w:divBdr>
    </w:div>
    <w:div w:id="1385451626">
      <w:bodyDiv w:val="1"/>
      <w:marLeft w:val="0"/>
      <w:marRight w:val="0"/>
      <w:marTop w:val="0"/>
      <w:marBottom w:val="0"/>
      <w:divBdr>
        <w:top w:val="none" w:sz="0" w:space="0" w:color="auto"/>
        <w:left w:val="none" w:sz="0" w:space="0" w:color="auto"/>
        <w:bottom w:val="none" w:sz="0" w:space="0" w:color="auto"/>
        <w:right w:val="none" w:sz="0" w:space="0" w:color="auto"/>
      </w:divBdr>
    </w:div>
    <w:div w:id="1442528722">
      <w:bodyDiv w:val="1"/>
      <w:marLeft w:val="0"/>
      <w:marRight w:val="0"/>
      <w:marTop w:val="0"/>
      <w:marBottom w:val="0"/>
      <w:divBdr>
        <w:top w:val="none" w:sz="0" w:space="0" w:color="auto"/>
        <w:left w:val="none" w:sz="0" w:space="0" w:color="auto"/>
        <w:bottom w:val="none" w:sz="0" w:space="0" w:color="auto"/>
        <w:right w:val="none" w:sz="0" w:space="0" w:color="auto"/>
      </w:divBdr>
    </w:div>
    <w:div w:id="1462772795">
      <w:bodyDiv w:val="1"/>
      <w:marLeft w:val="0"/>
      <w:marRight w:val="0"/>
      <w:marTop w:val="0"/>
      <w:marBottom w:val="0"/>
      <w:divBdr>
        <w:top w:val="none" w:sz="0" w:space="0" w:color="auto"/>
        <w:left w:val="none" w:sz="0" w:space="0" w:color="auto"/>
        <w:bottom w:val="none" w:sz="0" w:space="0" w:color="auto"/>
        <w:right w:val="none" w:sz="0" w:space="0" w:color="auto"/>
      </w:divBdr>
    </w:div>
    <w:div w:id="1468619746">
      <w:bodyDiv w:val="1"/>
      <w:marLeft w:val="0"/>
      <w:marRight w:val="0"/>
      <w:marTop w:val="0"/>
      <w:marBottom w:val="0"/>
      <w:divBdr>
        <w:top w:val="none" w:sz="0" w:space="0" w:color="auto"/>
        <w:left w:val="none" w:sz="0" w:space="0" w:color="auto"/>
        <w:bottom w:val="none" w:sz="0" w:space="0" w:color="auto"/>
        <w:right w:val="none" w:sz="0" w:space="0" w:color="auto"/>
      </w:divBdr>
    </w:div>
    <w:div w:id="1549877921">
      <w:bodyDiv w:val="1"/>
      <w:marLeft w:val="0"/>
      <w:marRight w:val="0"/>
      <w:marTop w:val="0"/>
      <w:marBottom w:val="0"/>
      <w:divBdr>
        <w:top w:val="none" w:sz="0" w:space="0" w:color="auto"/>
        <w:left w:val="none" w:sz="0" w:space="0" w:color="auto"/>
        <w:bottom w:val="none" w:sz="0" w:space="0" w:color="auto"/>
        <w:right w:val="none" w:sz="0" w:space="0" w:color="auto"/>
      </w:divBdr>
    </w:div>
    <w:div w:id="1582376107">
      <w:bodyDiv w:val="1"/>
      <w:marLeft w:val="0"/>
      <w:marRight w:val="0"/>
      <w:marTop w:val="0"/>
      <w:marBottom w:val="0"/>
      <w:divBdr>
        <w:top w:val="none" w:sz="0" w:space="0" w:color="auto"/>
        <w:left w:val="none" w:sz="0" w:space="0" w:color="auto"/>
        <w:bottom w:val="none" w:sz="0" w:space="0" w:color="auto"/>
        <w:right w:val="none" w:sz="0" w:space="0" w:color="auto"/>
      </w:divBdr>
    </w:div>
    <w:div w:id="1608929346">
      <w:bodyDiv w:val="1"/>
      <w:marLeft w:val="0"/>
      <w:marRight w:val="0"/>
      <w:marTop w:val="0"/>
      <w:marBottom w:val="0"/>
      <w:divBdr>
        <w:top w:val="none" w:sz="0" w:space="0" w:color="auto"/>
        <w:left w:val="none" w:sz="0" w:space="0" w:color="auto"/>
        <w:bottom w:val="none" w:sz="0" w:space="0" w:color="auto"/>
        <w:right w:val="none" w:sz="0" w:space="0" w:color="auto"/>
      </w:divBdr>
    </w:div>
    <w:div w:id="1631015660">
      <w:bodyDiv w:val="1"/>
      <w:marLeft w:val="0"/>
      <w:marRight w:val="0"/>
      <w:marTop w:val="0"/>
      <w:marBottom w:val="0"/>
      <w:divBdr>
        <w:top w:val="none" w:sz="0" w:space="0" w:color="auto"/>
        <w:left w:val="none" w:sz="0" w:space="0" w:color="auto"/>
        <w:bottom w:val="none" w:sz="0" w:space="0" w:color="auto"/>
        <w:right w:val="none" w:sz="0" w:space="0" w:color="auto"/>
      </w:divBdr>
    </w:div>
    <w:div w:id="1721247405">
      <w:bodyDiv w:val="1"/>
      <w:marLeft w:val="0"/>
      <w:marRight w:val="0"/>
      <w:marTop w:val="0"/>
      <w:marBottom w:val="0"/>
      <w:divBdr>
        <w:top w:val="none" w:sz="0" w:space="0" w:color="auto"/>
        <w:left w:val="none" w:sz="0" w:space="0" w:color="auto"/>
        <w:bottom w:val="none" w:sz="0" w:space="0" w:color="auto"/>
        <w:right w:val="none" w:sz="0" w:space="0" w:color="auto"/>
      </w:divBdr>
    </w:div>
    <w:div w:id="1729650021">
      <w:bodyDiv w:val="1"/>
      <w:marLeft w:val="0"/>
      <w:marRight w:val="0"/>
      <w:marTop w:val="0"/>
      <w:marBottom w:val="0"/>
      <w:divBdr>
        <w:top w:val="none" w:sz="0" w:space="0" w:color="auto"/>
        <w:left w:val="none" w:sz="0" w:space="0" w:color="auto"/>
        <w:bottom w:val="none" w:sz="0" w:space="0" w:color="auto"/>
        <w:right w:val="none" w:sz="0" w:space="0" w:color="auto"/>
      </w:divBdr>
    </w:div>
    <w:div w:id="1738086971">
      <w:bodyDiv w:val="1"/>
      <w:marLeft w:val="0"/>
      <w:marRight w:val="0"/>
      <w:marTop w:val="0"/>
      <w:marBottom w:val="0"/>
      <w:divBdr>
        <w:top w:val="none" w:sz="0" w:space="0" w:color="auto"/>
        <w:left w:val="none" w:sz="0" w:space="0" w:color="auto"/>
        <w:bottom w:val="none" w:sz="0" w:space="0" w:color="auto"/>
        <w:right w:val="none" w:sz="0" w:space="0" w:color="auto"/>
      </w:divBdr>
    </w:div>
    <w:div w:id="1788234570">
      <w:bodyDiv w:val="1"/>
      <w:marLeft w:val="0"/>
      <w:marRight w:val="0"/>
      <w:marTop w:val="0"/>
      <w:marBottom w:val="0"/>
      <w:divBdr>
        <w:top w:val="none" w:sz="0" w:space="0" w:color="auto"/>
        <w:left w:val="none" w:sz="0" w:space="0" w:color="auto"/>
        <w:bottom w:val="none" w:sz="0" w:space="0" w:color="auto"/>
        <w:right w:val="none" w:sz="0" w:space="0" w:color="auto"/>
      </w:divBdr>
    </w:div>
    <w:div w:id="1873305667">
      <w:bodyDiv w:val="1"/>
      <w:marLeft w:val="0"/>
      <w:marRight w:val="0"/>
      <w:marTop w:val="0"/>
      <w:marBottom w:val="0"/>
      <w:divBdr>
        <w:top w:val="none" w:sz="0" w:space="0" w:color="auto"/>
        <w:left w:val="none" w:sz="0" w:space="0" w:color="auto"/>
        <w:bottom w:val="none" w:sz="0" w:space="0" w:color="auto"/>
        <w:right w:val="none" w:sz="0" w:space="0" w:color="auto"/>
      </w:divBdr>
    </w:div>
    <w:div w:id="2024673112">
      <w:bodyDiv w:val="1"/>
      <w:marLeft w:val="0"/>
      <w:marRight w:val="0"/>
      <w:marTop w:val="0"/>
      <w:marBottom w:val="0"/>
      <w:divBdr>
        <w:top w:val="none" w:sz="0" w:space="0" w:color="auto"/>
        <w:left w:val="none" w:sz="0" w:space="0" w:color="auto"/>
        <w:bottom w:val="none" w:sz="0" w:space="0" w:color="auto"/>
        <w:right w:val="none" w:sz="0" w:space="0" w:color="auto"/>
      </w:divBdr>
    </w:div>
    <w:div w:id="2079132959">
      <w:bodyDiv w:val="1"/>
      <w:marLeft w:val="0"/>
      <w:marRight w:val="0"/>
      <w:marTop w:val="0"/>
      <w:marBottom w:val="0"/>
      <w:divBdr>
        <w:top w:val="none" w:sz="0" w:space="0" w:color="auto"/>
        <w:left w:val="none" w:sz="0" w:space="0" w:color="auto"/>
        <w:bottom w:val="none" w:sz="0" w:space="0" w:color="auto"/>
        <w:right w:val="none" w:sz="0" w:space="0" w:color="auto"/>
      </w:divBdr>
    </w:div>
    <w:div w:id="213471044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image" Target="media/image3.png"/><Relationship Id="rId18" Type="http://schemas.openxmlformats.org/officeDocument/2006/relationships/image" Target="media/image8.jpeg"/><Relationship Id="rId26" Type="http://schemas.openxmlformats.org/officeDocument/2006/relationships/image" Target="media/image16.jpeg"/><Relationship Id="rId3" Type="http://schemas.openxmlformats.org/officeDocument/2006/relationships/styles" Target="styles.xml"/><Relationship Id="rId21" Type="http://schemas.openxmlformats.org/officeDocument/2006/relationships/image" Target="media/image11.png"/><Relationship Id="rId7" Type="http://schemas.openxmlformats.org/officeDocument/2006/relationships/endnotes" Target="endnotes.xml"/><Relationship Id="rId12" Type="http://schemas.openxmlformats.org/officeDocument/2006/relationships/image" Target="media/image2.png"/><Relationship Id="rId17" Type="http://schemas.openxmlformats.org/officeDocument/2006/relationships/image" Target="media/image7.jpeg"/><Relationship Id="rId25" Type="http://schemas.openxmlformats.org/officeDocument/2006/relationships/image" Target="media/image15.jpeg"/><Relationship Id="rId2" Type="http://schemas.openxmlformats.org/officeDocument/2006/relationships/numbering" Target="numbering.xml"/><Relationship Id="rId16" Type="http://schemas.openxmlformats.org/officeDocument/2006/relationships/image" Target="media/image6.jpeg"/><Relationship Id="rId20" Type="http://schemas.openxmlformats.org/officeDocument/2006/relationships/image" Target="media/image10.png"/><Relationship Id="rId29"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1.jpeg"/><Relationship Id="rId24" Type="http://schemas.openxmlformats.org/officeDocument/2006/relationships/image" Target="media/image14.jpeg"/><Relationship Id="rId5" Type="http://schemas.openxmlformats.org/officeDocument/2006/relationships/webSettings" Target="webSettings.xml"/><Relationship Id="rId15" Type="http://schemas.openxmlformats.org/officeDocument/2006/relationships/image" Target="media/image5.png"/><Relationship Id="rId23" Type="http://schemas.openxmlformats.org/officeDocument/2006/relationships/image" Target="media/image13.jpeg"/><Relationship Id="rId28" Type="http://schemas.openxmlformats.org/officeDocument/2006/relationships/glossaryDocument" Target="glossary/document.xml"/><Relationship Id="rId10" Type="http://schemas.openxmlformats.org/officeDocument/2006/relationships/footer" Target="footer3.xml"/><Relationship Id="rId19" Type="http://schemas.openxmlformats.org/officeDocument/2006/relationships/image" Target="media/image9.png"/><Relationship Id="rId4" Type="http://schemas.openxmlformats.org/officeDocument/2006/relationships/settings" Target="settings.xml"/><Relationship Id="rId9" Type="http://schemas.openxmlformats.org/officeDocument/2006/relationships/footer" Target="footer2.xml"/><Relationship Id="rId14" Type="http://schemas.openxmlformats.org/officeDocument/2006/relationships/image" Target="media/image4.png"/><Relationship Id="rId22" Type="http://schemas.openxmlformats.org/officeDocument/2006/relationships/image" Target="media/image12.png"/><Relationship Id="rId27" Type="http://schemas.openxmlformats.org/officeDocument/2006/relationships/fontTable" Target="fontTable.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docParts>
    <w:docPart>
      <w:docPartPr>
        <w:name w:val="00C19CA95505480BB2CE5C80B2ED80FB"/>
        <w:category>
          <w:name w:val="General"/>
          <w:gallery w:val="placeholder"/>
        </w:category>
        <w:types>
          <w:type w:val="bbPlcHdr"/>
        </w:types>
        <w:behaviors>
          <w:behavior w:val="content"/>
        </w:behaviors>
        <w:guid w:val="{35A92DF3-E595-4611-8947-B988E36532BD}"/>
      </w:docPartPr>
      <w:docPartBody>
        <w:p w:rsidR="00491642" w:rsidRDefault="00491642" w:rsidP="00491642">
          <w:pPr>
            <w:pStyle w:val="00C19CA95505480BB2CE5C80B2ED80FB"/>
          </w:pPr>
          <w:r w:rsidRPr="001F1C68">
            <w:rPr>
              <w:rStyle w:val="PlaceholderText"/>
            </w:rPr>
            <w:t>Click here to enter text.</w:t>
          </w:r>
        </w:p>
      </w:docPartBody>
    </w:docPart>
    <w:docPart>
      <w:docPartPr>
        <w:name w:val="DE9E4CABC92546DFA6B0E31A3D4E6347"/>
        <w:category>
          <w:name w:val="General"/>
          <w:gallery w:val="placeholder"/>
        </w:category>
        <w:types>
          <w:type w:val="bbPlcHdr"/>
        </w:types>
        <w:behaviors>
          <w:behavior w:val="content"/>
        </w:behaviors>
        <w:guid w:val="{4D9A0FE2-FF4C-46D1-ABC1-D9AD6CB372E2}"/>
      </w:docPartPr>
      <w:docPartBody>
        <w:p w:rsidR="00491642" w:rsidRDefault="00491642" w:rsidP="00491642">
          <w:pPr>
            <w:pStyle w:val="DE9E4CABC92546DFA6B0E31A3D4E6347"/>
          </w:pPr>
          <w:r w:rsidRPr="00AC7F25">
            <w:rPr>
              <w:rStyle w:val="PlaceholderText"/>
            </w:rPr>
            <w:t>Choose an item.</w:t>
          </w:r>
        </w:p>
      </w:docPartBody>
    </w:docPart>
    <w:docPart>
      <w:docPartPr>
        <w:name w:val="7C6AA975824747F2B17B06184321BCE7"/>
        <w:category>
          <w:name w:val="General"/>
          <w:gallery w:val="placeholder"/>
        </w:category>
        <w:types>
          <w:type w:val="bbPlcHdr"/>
        </w:types>
        <w:behaviors>
          <w:behavior w:val="content"/>
        </w:behaviors>
        <w:guid w:val="{1D704416-AD69-48A0-BA3A-47F5451D6D69}"/>
      </w:docPartPr>
      <w:docPartBody>
        <w:p w:rsidR="00491642" w:rsidRDefault="00491642" w:rsidP="00491642">
          <w:pPr>
            <w:pStyle w:val="7C6AA975824747F2B17B06184321BCE7"/>
          </w:pPr>
          <w:r w:rsidRPr="00BB1A19">
            <w:rPr>
              <w:rStyle w:val="PlaceholderText"/>
            </w:rPr>
            <w:t>Click here to enter text.</w:t>
          </w:r>
        </w:p>
      </w:docPartBody>
    </w:docPart>
    <w:docPart>
      <w:docPartPr>
        <w:name w:val="0C5663DF9FB04CE59FCD65AE36F68DC7"/>
        <w:category>
          <w:name w:val="General"/>
          <w:gallery w:val="placeholder"/>
        </w:category>
        <w:types>
          <w:type w:val="bbPlcHdr"/>
        </w:types>
        <w:behaviors>
          <w:behavior w:val="content"/>
        </w:behaviors>
        <w:guid w:val="{D6BC479F-2F87-4294-9B12-6CBF6637C92F}"/>
      </w:docPartPr>
      <w:docPartBody>
        <w:p w:rsidR="00491642" w:rsidRDefault="00491642" w:rsidP="00491642">
          <w:pPr>
            <w:pStyle w:val="0C5663DF9FB04CE59FCD65AE36F68DC7"/>
          </w:pPr>
          <w:r w:rsidRPr="00DB664C">
            <w:rPr>
              <w:rStyle w:val="PlaceholderText"/>
            </w:rPr>
            <w:t>[EXACT NAME OF YOUR ACADEMIC UNIT IN ALL CAPS]</w:t>
          </w:r>
        </w:p>
      </w:docPartBody>
    </w:docPart>
    <w:docPart>
      <w:docPartPr>
        <w:name w:val="A6E47677958F4FACB9F2245E14F0F21A"/>
        <w:category>
          <w:name w:val="General"/>
          <w:gallery w:val="placeholder"/>
        </w:category>
        <w:types>
          <w:type w:val="bbPlcHdr"/>
        </w:types>
        <w:behaviors>
          <w:behavior w:val="content"/>
        </w:behaviors>
        <w:guid w:val="{3650C608-7496-497E-8832-D714AC86E214}"/>
      </w:docPartPr>
      <w:docPartBody>
        <w:p w:rsidR="00491642" w:rsidRDefault="00491642" w:rsidP="00491642">
          <w:pPr>
            <w:pStyle w:val="A6E47677958F4FACB9F2245E14F0F21A"/>
          </w:pPr>
          <w:r w:rsidRPr="00AC7F25">
            <w:rPr>
              <w:rStyle w:val="PlaceholderText"/>
            </w:rPr>
            <w:t>Choose an item.</w:t>
          </w:r>
        </w:p>
      </w:docPartBody>
    </w:docPart>
    <w:docPart>
      <w:docPartPr>
        <w:name w:val="4DCD033772A14F708A2523E5174A81C3"/>
        <w:category>
          <w:name w:val="General"/>
          <w:gallery w:val="placeholder"/>
        </w:category>
        <w:types>
          <w:type w:val="bbPlcHdr"/>
        </w:types>
        <w:behaviors>
          <w:behavior w:val="content"/>
        </w:behaviors>
        <w:guid w:val="{E6DC5B2B-7D80-46A7-9CA7-7C3BA1926CCA}"/>
      </w:docPartPr>
      <w:docPartBody>
        <w:p w:rsidR="00491642" w:rsidRDefault="00491642" w:rsidP="00491642">
          <w:pPr>
            <w:pStyle w:val="4DCD033772A14F708A2523E5174A81C3"/>
          </w:pPr>
          <w:r w:rsidRPr="00AC7F25">
            <w:rPr>
              <w:rStyle w:val="PlaceholderText"/>
            </w:rPr>
            <w:t>Choose an item.</w:t>
          </w:r>
        </w:p>
      </w:docPartBody>
    </w:docPart>
    <w:docPart>
      <w:docPartPr>
        <w:name w:val="0FD6BA931D334C128A66FF07BC86ADEA"/>
        <w:category>
          <w:name w:val="General"/>
          <w:gallery w:val="placeholder"/>
        </w:category>
        <w:types>
          <w:type w:val="bbPlcHdr"/>
        </w:types>
        <w:behaviors>
          <w:behavior w:val="content"/>
        </w:behaviors>
        <w:guid w:val="{4CC5DEF5-887C-4E9B-A0B4-EB8D34FC609D}"/>
      </w:docPartPr>
      <w:docPartBody>
        <w:p w:rsidR="00491642" w:rsidRDefault="00491642" w:rsidP="00491642">
          <w:pPr>
            <w:pStyle w:val="0FD6BA931D334C128A66FF07BC86ADEA"/>
          </w:pPr>
          <w:r w:rsidRPr="001F1C68">
            <w:rPr>
              <w:rStyle w:val="PlaceholderText"/>
            </w:rPr>
            <w:t>Click here to enter text.</w:t>
          </w:r>
        </w:p>
      </w:docPartBody>
    </w:docPart>
    <w:docPart>
      <w:docPartPr>
        <w:name w:val="6A3935985DBE4222B4F4927B55141797"/>
        <w:category>
          <w:name w:val="General"/>
          <w:gallery w:val="placeholder"/>
        </w:category>
        <w:types>
          <w:type w:val="bbPlcHdr"/>
        </w:types>
        <w:behaviors>
          <w:behavior w:val="content"/>
        </w:behaviors>
        <w:guid w:val="{42A34EDA-8A13-404D-8865-0C828135A8B1}"/>
      </w:docPartPr>
      <w:docPartBody>
        <w:p w:rsidR="00491642" w:rsidRDefault="00491642" w:rsidP="00491642">
          <w:pPr>
            <w:pStyle w:val="6A3935985DBE4222B4F4927B55141797"/>
          </w:pPr>
          <w:r w:rsidRPr="00AC7F25">
            <w:rPr>
              <w:rStyle w:val="PlaceholderText"/>
            </w:rPr>
            <w:t>Choose an item.</w:t>
          </w:r>
        </w:p>
      </w:docPartBody>
    </w:docPart>
    <w:docPart>
      <w:docPartPr>
        <w:name w:val="85499C502D6F45C891617B86EB115163"/>
        <w:category>
          <w:name w:val="General"/>
          <w:gallery w:val="placeholder"/>
        </w:category>
        <w:types>
          <w:type w:val="bbPlcHdr"/>
        </w:types>
        <w:behaviors>
          <w:behavior w:val="content"/>
        </w:behaviors>
        <w:guid w:val="{EC82ED0E-954D-4A2B-AA8A-C4835790D29A}"/>
      </w:docPartPr>
      <w:docPartBody>
        <w:p w:rsidR="00F31944" w:rsidRDefault="00094CF9" w:rsidP="00094CF9">
          <w:pPr>
            <w:pStyle w:val="85499C502D6F45C891617B86EB115163"/>
          </w:pPr>
          <w:r w:rsidRPr="001F1C68">
            <w:rPr>
              <w:rStyle w:val="PlaceholderText"/>
            </w:rPr>
            <w:t>Click here to enter text.</w:t>
          </w:r>
        </w:p>
      </w:docPartBody>
    </w:docPart>
    <w:docPart>
      <w:docPartPr>
        <w:name w:val="E09BB20517F04B5EAA18872BA17DF024"/>
        <w:category>
          <w:name w:val="General"/>
          <w:gallery w:val="placeholder"/>
        </w:category>
        <w:types>
          <w:type w:val="bbPlcHdr"/>
        </w:types>
        <w:behaviors>
          <w:behavior w:val="content"/>
        </w:behaviors>
        <w:guid w:val="{AF73C7AF-7802-440D-B8D3-F6A82EA550B8}"/>
      </w:docPartPr>
      <w:docPartBody>
        <w:p w:rsidR="00F31944" w:rsidRDefault="00094CF9" w:rsidP="00094CF9">
          <w:pPr>
            <w:pStyle w:val="E09BB20517F04B5EAA18872BA17DF024"/>
          </w:pPr>
          <w:r w:rsidRPr="001F1C68">
            <w:rPr>
              <w:rStyle w:val="PlaceholderText"/>
            </w:rPr>
            <w:t>Click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AFF" w:usb1="4000ACFF" w:usb2="00000001"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Cambria Math">
    <w:panose1 w:val="02040503050406030204"/>
    <w:charset w:val="00"/>
    <w:family w:val="roman"/>
    <w:pitch w:val="variable"/>
    <w:sig w:usb0="E00002FF" w:usb1="420024FF" w:usb2="00000000" w:usb3="00000000" w:csb0="0000019F" w:csb1="00000000"/>
  </w:font>
  <w:font w:name="SimHei">
    <w:altName w:val="黑体"/>
    <w:panose1 w:val="02010600030101010101"/>
    <w:charset w:val="86"/>
    <w:family w:val="modern"/>
    <w:pitch w:val="fixed"/>
    <w:sig w:usb0="800002BF" w:usb1="38CF7CFA" w:usb2="00000016" w:usb3="00000000" w:csb0="00040001" w:csb1="00000000"/>
  </w:font>
  <w:font w:name="DengXian">
    <w:altName w:val="等线"/>
    <w:panose1 w:val="02010600030101010101"/>
    <w:charset w:val="86"/>
    <w:family w:val="modern"/>
    <w:pitch w:val="fixed"/>
    <w:sig w:usb0="00000001" w:usb1="080E0000" w:usb2="00000010" w:usb3="00000000" w:csb0="00040000" w:csb1="00000000"/>
  </w:font>
  <w:font w:name="DengXian Light">
    <w:altName w:val="等线 Light"/>
    <w:panose1 w:val="00000000000000000000"/>
    <w:charset w:val="86"/>
    <w:family w:val="roman"/>
    <w:notTrueType/>
    <w:pitch w:val="default"/>
  </w:font>
  <w:font w:name="Calibri Light">
    <w:panose1 w:val="020F0302020204030204"/>
    <w:charset w:val="00"/>
    <w:family w:val="swiss"/>
    <w:pitch w:val="variable"/>
    <w:sig w:usb0="A0002AEF" w:usb1="4000207B" w:usb2="00000000"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defaultTabStop w:val="720"/>
  <w:characterSpacingControl w:val="doNotCompress"/>
  <w:compat>
    <w:useFELayout/>
    <w:compatSetting w:name="compatibilityMode" w:uri="http://schemas.microsoft.com/office/word" w:val="12"/>
  </w:compat>
  <w:rsids>
    <w:rsidRoot w:val="00491642"/>
    <w:rsid w:val="00094CF9"/>
    <w:rsid w:val="000B5C24"/>
    <w:rsid w:val="000F58FE"/>
    <w:rsid w:val="0013530C"/>
    <w:rsid w:val="00141938"/>
    <w:rsid w:val="002D1751"/>
    <w:rsid w:val="002F2960"/>
    <w:rsid w:val="00472D5D"/>
    <w:rsid w:val="00491642"/>
    <w:rsid w:val="006E183C"/>
    <w:rsid w:val="006F36DA"/>
    <w:rsid w:val="007145AE"/>
    <w:rsid w:val="00804181"/>
    <w:rsid w:val="008401FD"/>
    <w:rsid w:val="00844872"/>
    <w:rsid w:val="009A79C6"/>
    <w:rsid w:val="00A17BC1"/>
    <w:rsid w:val="00A21BEB"/>
    <w:rsid w:val="00AE2D74"/>
    <w:rsid w:val="00C74C92"/>
    <w:rsid w:val="00D913FD"/>
    <w:rsid w:val="00EC6805"/>
    <w:rsid w:val="00F31944"/>
    <w:rsid w:val="00F8167C"/>
    <w:rsid w:val="00F874DD"/>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4">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094CF9"/>
    <w:rPr>
      <w:color w:val="808080"/>
    </w:rPr>
  </w:style>
  <w:style w:type="paragraph" w:customStyle="1" w:styleId="C09B15810FCF4911B510804A8B4A9FB9">
    <w:name w:val="C09B15810FCF4911B510804A8B4A9FB9"/>
    <w:rsid w:val="00491642"/>
  </w:style>
  <w:style w:type="paragraph" w:customStyle="1" w:styleId="EB1FB057B2AA4AAAB70B2AB1A311B244">
    <w:name w:val="EB1FB057B2AA4AAAB70B2AB1A311B244"/>
    <w:rsid w:val="00491642"/>
  </w:style>
  <w:style w:type="paragraph" w:customStyle="1" w:styleId="D30634C3979F4B24ADF3777B0E6FE4C4">
    <w:name w:val="D30634C3979F4B24ADF3777B0E6FE4C4"/>
    <w:rsid w:val="00491642"/>
  </w:style>
  <w:style w:type="paragraph" w:customStyle="1" w:styleId="565EB5046DBB41AB9DE4E4BC4310AE34">
    <w:name w:val="565EB5046DBB41AB9DE4E4BC4310AE34"/>
    <w:rsid w:val="00491642"/>
  </w:style>
  <w:style w:type="paragraph" w:customStyle="1" w:styleId="3BD172F76430420EACE614727E19E831">
    <w:name w:val="3BD172F76430420EACE614727E19E831"/>
    <w:rsid w:val="00491642"/>
  </w:style>
  <w:style w:type="paragraph" w:customStyle="1" w:styleId="1CFF04FF5D4B48E5A7DE272A39D02D78">
    <w:name w:val="1CFF04FF5D4B48E5A7DE272A39D02D78"/>
    <w:rsid w:val="00491642"/>
  </w:style>
  <w:style w:type="paragraph" w:customStyle="1" w:styleId="B997A11DAA064797A0BA0E57D870104C">
    <w:name w:val="B997A11DAA064797A0BA0E57D870104C"/>
    <w:rsid w:val="00491642"/>
  </w:style>
  <w:style w:type="paragraph" w:customStyle="1" w:styleId="E4C6C2B39B9A48579FAAAC64526BB0DA">
    <w:name w:val="E4C6C2B39B9A48579FAAAC64526BB0DA"/>
    <w:rsid w:val="00491642"/>
  </w:style>
  <w:style w:type="paragraph" w:customStyle="1" w:styleId="801DE0C8BA2944A8BDC2E4DC4061B26C">
    <w:name w:val="801DE0C8BA2944A8BDC2E4DC4061B26C"/>
    <w:rsid w:val="00491642"/>
  </w:style>
  <w:style w:type="paragraph" w:customStyle="1" w:styleId="699BC66AB97D4637B005A2F2282663C8">
    <w:name w:val="699BC66AB97D4637B005A2F2282663C8"/>
    <w:rsid w:val="00491642"/>
  </w:style>
  <w:style w:type="paragraph" w:customStyle="1" w:styleId="0CA4C96D88664AD5AA8430333739D40B">
    <w:name w:val="0CA4C96D88664AD5AA8430333739D40B"/>
    <w:rsid w:val="00491642"/>
  </w:style>
  <w:style w:type="paragraph" w:customStyle="1" w:styleId="2C7A50600108464EB6016D5437F81203">
    <w:name w:val="2C7A50600108464EB6016D5437F81203"/>
    <w:rsid w:val="00491642"/>
  </w:style>
  <w:style w:type="paragraph" w:customStyle="1" w:styleId="D48C5231689C4FD1895C714C151312FD">
    <w:name w:val="D48C5231689C4FD1895C714C151312FD"/>
    <w:rsid w:val="00491642"/>
  </w:style>
  <w:style w:type="paragraph" w:customStyle="1" w:styleId="351C86491282406CA340400E37B20796">
    <w:name w:val="351C86491282406CA340400E37B20796"/>
    <w:rsid w:val="00491642"/>
  </w:style>
  <w:style w:type="paragraph" w:customStyle="1" w:styleId="C00F7DF4D99A44C89AF485BF36492335">
    <w:name w:val="C00F7DF4D99A44C89AF485BF36492335"/>
    <w:rsid w:val="00491642"/>
  </w:style>
  <w:style w:type="paragraph" w:customStyle="1" w:styleId="90B078BD0CBC4C0AB3C63C8E6A8C1FA5">
    <w:name w:val="90B078BD0CBC4C0AB3C63C8E6A8C1FA5"/>
    <w:rsid w:val="00491642"/>
  </w:style>
  <w:style w:type="paragraph" w:customStyle="1" w:styleId="02F1EB3805CA42CCB2F166C9F86C2AFB">
    <w:name w:val="02F1EB3805CA42CCB2F166C9F86C2AFB"/>
    <w:rsid w:val="00491642"/>
  </w:style>
  <w:style w:type="paragraph" w:customStyle="1" w:styleId="BBB1E226D8FF4F20A100AF6E9EC95493">
    <w:name w:val="BBB1E226D8FF4F20A100AF6E9EC95493"/>
    <w:rsid w:val="00491642"/>
  </w:style>
  <w:style w:type="paragraph" w:customStyle="1" w:styleId="317ED11B6A4944B8A2C7176779297DE4">
    <w:name w:val="317ED11B6A4944B8A2C7176779297DE4"/>
    <w:rsid w:val="00491642"/>
  </w:style>
  <w:style w:type="paragraph" w:customStyle="1" w:styleId="E3B7B2B74792453C89C0B5BC3CD48A65">
    <w:name w:val="E3B7B2B74792453C89C0B5BC3CD48A65"/>
    <w:rsid w:val="00491642"/>
  </w:style>
  <w:style w:type="paragraph" w:customStyle="1" w:styleId="7A294343B9074EBE81FBA8EB5BB7B290">
    <w:name w:val="7A294343B9074EBE81FBA8EB5BB7B290"/>
    <w:rsid w:val="00491642"/>
  </w:style>
  <w:style w:type="paragraph" w:customStyle="1" w:styleId="0DA92F8ADA854A51B5D84B3C61E141CC">
    <w:name w:val="0DA92F8ADA854A51B5D84B3C61E141CC"/>
    <w:rsid w:val="00491642"/>
  </w:style>
  <w:style w:type="paragraph" w:customStyle="1" w:styleId="49033CAFF1B043E58CFAB5A1A4E7F4D8">
    <w:name w:val="49033CAFF1B043E58CFAB5A1A4E7F4D8"/>
    <w:rsid w:val="00491642"/>
  </w:style>
  <w:style w:type="paragraph" w:customStyle="1" w:styleId="CB8F80D26E0644E9B5A1F6C6C9DF994E">
    <w:name w:val="CB8F80D26E0644E9B5A1F6C6C9DF994E"/>
    <w:rsid w:val="00491642"/>
  </w:style>
  <w:style w:type="paragraph" w:customStyle="1" w:styleId="AE609125E3A24273BE04A4B50618C5FE">
    <w:name w:val="AE609125E3A24273BE04A4B50618C5FE"/>
    <w:rsid w:val="00491642"/>
  </w:style>
  <w:style w:type="paragraph" w:customStyle="1" w:styleId="B97CFE3FE9FD498BA4488C9A0A0F0769">
    <w:name w:val="B97CFE3FE9FD498BA4488C9A0A0F0769"/>
    <w:rsid w:val="00491642"/>
  </w:style>
  <w:style w:type="paragraph" w:customStyle="1" w:styleId="15AC18490B2543688085EEA84625E4FA">
    <w:name w:val="15AC18490B2543688085EEA84625E4FA"/>
    <w:rsid w:val="00491642"/>
  </w:style>
  <w:style w:type="paragraph" w:customStyle="1" w:styleId="CC294161C07E46379892EC0D903956F3">
    <w:name w:val="CC294161C07E46379892EC0D903956F3"/>
    <w:rsid w:val="00491642"/>
  </w:style>
  <w:style w:type="paragraph" w:customStyle="1" w:styleId="703D7FECB4AB4A13B0A0CEE73F9CB95D">
    <w:name w:val="703D7FECB4AB4A13B0A0CEE73F9CB95D"/>
    <w:rsid w:val="00491642"/>
  </w:style>
  <w:style w:type="paragraph" w:customStyle="1" w:styleId="00C19CA95505480BB2CE5C80B2ED80FB">
    <w:name w:val="00C19CA95505480BB2CE5C80B2ED80FB"/>
    <w:rsid w:val="00491642"/>
  </w:style>
  <w:style w:type="paragraph" w:customStyle="1" w:styleId="DE9E4CABC92546DFA6B0E31A3D4E6347">
    <w:name w:val="DE9E4CABC92546DFA6B0E31A3D4E6347"/>
    <w:rsid w:val="00491642"/>
  </w:style>
  <w:style w:type="paragraph" w:customStyle="1" w:styleId="7C6AA975824747F2B17B06184321BCE7">
    <w:name w:val="7C6AA975824747F2B17B06184321BCE7"/>
    <w:rsid w:val="00491642"/>
  </w:style>
  <w:style w:type="paragraph" w:customStyle="1" w:styleId="0C5663DF9FB04CE59FCD65AE36F68DC7">
    <w:name w:val="0C5663DF9FB04CE59FCD65AE36F68DC7"/>
    <w:rsid w:val="00491642"/>
  </w:style>
  <w:style w:type="paragraph" w:customStyle="1" w:styleId="A6E47677958F4FACB9F2245E14F0F21A">
    <w:name w:val="A6E47677958F4FACB9F2245E14F0F21A"/>
    <w:rsid w:val="00491642"/>
  </w:style>
  <w:style w:type="paragraph" w:customStyle="1" w:styleId="4DCD033772A14F708A2523E5174A81C3">
    <w:name w:val="4DCD033772A14F708A2523E5174A81C3"/>
    <w:rsid w:val="00491642"/>
  </w:style>
  <w:style w:type="paragraph" w:customStyle="1" w:styleId="0FD6BA931D334C128A66FF07BC86ADEA">
    <w:name w:val="0FD6BA931D334C128A66FF07BC86ADEA"/>
    <w:rsid w:val="00491642"/>
  </w:style>
  <w:style w:type="paragraph" w:customStyle="1" w:styleId="6A3935985DBE4222B4F4927B55141797">
    <w:name w:val="6A3935985DBE4222B4F4927B55141797"/>
    <w:rsid w:val="00491642"/>
  </w:style>
  <w:style w:type="paragraph" w:customStyle="1" w:styleId="C130E6A4ECD344DBAEB09D3D3286DA94">
    <w:name w:val="C130E6A4ECD344DBAEB09D3D3286DA94"/>
    <w:rsid w:val="00491642"/>
  </w:style>
  <w:style w:type="paragraph" w:customStyle="1" w:styleId="A4F91895F14C4211AEB578D7A6FB989E">
    <w:name w:val="A4F91895F14C4211AEB578D7A6FB989E"/>
    <w:rsid w:val="00491642"/>
  </w:style>
  <w:style w:type="paragraph" w:customStyle="1" w:styleId="A1978354FC184CE99E45F05A92803823">
    <w:name w:val="A1978354FC184CE99E45F05A92803823"/>
    <w:rsid w:val="00491642"/>
  </w:style>
  <w:style w:type="paragraph" w:customStyle="1" w:styleId="BB578B20DBA744C596EF1B666FB2EF73">
    <w:name w:val="BB578B20DBA744C596EF1B666FB2EF73"/>
    <w:rsid w:val="00491642"/>
  </w:style>
  <w:style w:type="paragraph" w:customStyle="1" w:styleId="011949337DC64F74B608BA25B6B1EA1F">
    <w:name w:val="011949337DC64F74B608BA25B6B1EA1F"/>
    <w:rsid w:val="00491642"/>
  </w:style>
  <w:style w:type="paragraph" w:customStyle="1" w:styleId="7C07A6053FC3493B92ECAA00606BADF9">
    <w:name w:val="7C07A6053FC3493B92ECAA00606BADF9"/>
    <w:rsid w:val="00491642"/>
  </w:style>
  <w:style w:type="paragraph" w:customStyle="1" w:styleId="02AC981BD5D64419B692C4AF190E7A68">
    <w:name w:val="02AC981BD5D64419B692C4AF190E7A68"/>
    <w:rsid w:val="00491642"/>
  </w:style>
  <w:style w:type="paragraph" w:customStyle="1" w:styleId="0007CEBEC80E44C2A1734A6EC7F37146">
    <w:name w:val="0007CEBEC80E44C2A1734A6EC7F37146"/>
    <w:rsid w:val="00F874DD"/>
  </w:style>
  <w:style w:type="paragraph" w:customStyle="1" w:styleId="59D9BE688D424E88B236B1D154EDBDC6">
    <w:name w:val="59D9BE688D424E88B236B1D154EDBDC6"/>
    <w:rsid w:val="00F874DD"/>
  </w:style>
  <w:style w:type="paragraph" w:customStyle="1" w:styleId="10931158ACAA41A5A9425D85A8D54737">
    <w:name w:val="10931158ACAA41A5A9425D85A8D54737"/>
    <w:rsid w:val="00F874DD"/>
  </w:style>
  <w:style w:type="paragraph" w:customStyle="1" w:styleId="BCFC274FA3934090A564229BBF3EEAEE">
    <w:name w:val="BCFC274FA3934090A564229BBF3EEAEE"/>
    <w:rsid w:val="00F874DD"/>
  </w:style>
  <w:style w:type="paragraph" w:customStyle="1" w:styleId="80DBFF38081B4B4D87D1083732CCB227">
    <w:name w:val="80DBFF38081B4B4D87D1083732CCB227"/>
    <w:rsid w:val="00F874DD"/>
  </w:style>
  <w:style w:type="paragraph" w:customStyle="1" w:styleId="2133D8C5F1EF4080B2CF9B65B09410B5">
    <w:name w:val="2133D8C5F1EF4080B2CF9B65B09410B5"/>
    <w:rsid w:val="00F874DD"/>
  </w:style>
  <w:style w:type="paragraph" w:customStyle="1" w:styleId="3D1F145F8F1946E5B9C6FA28E8D673F7">
    <w:name w:val="3D1F145F8F1946E5B9C6FA28E8D673F7"/>
    <w:rsid w:val="00F874DD"/>
  </w:style>
  <w:style w:type="paragraph" w:customStyle="1" w:styleId="47DD9B2979B94DECABC04CCEF7B1348A">
    <w:name w:val="47DD9B2979B94DECABC04CCEF7B1348A"/>
    <w:rsid w:val="00F874DD"/>
  </w:style>
  <w:style w:type="paragraph" w:customStyle="1" w:styleId="7728E17B1D61445595E7A79E85620447">
    <w:name w:val="7728E17B1D61445595E7A79E85620447"/>
    <w:rsid w:val="00F874DD"/>
  </w:style>
  <w:style w:type="paragraph" w:customStyle="1" w:styleId="848D25111F3140269AE644F70558318F">
    <w:name w:val="848D25111F3140269AE644F70558318F"/>
    <w:rsid w:val="00F874DD"/>
  </w:style>
  <w:style w:type="paragraph" w:customStyle="1" w:styleId="52DF54C9046F4610958687891A537773">
    <w:name w:val="52DF54C9046F4610958687891A537773"/>
    <w:rsid w:val="00F874DD"/>
  </w:style>
  <w:style w:type="paragraph" w:customStyle="1" w:styleId="B906BC23C72D4817AA1F5CEACC9A7320">
    <w:name w:val="B906BC23C72D4817AA1F5CEACC9A7320"/>
    <w:rsid w:val="00F874DD"/>
  </w:style>
  <w:style w:type="paragraph" w:customStyle="1" w:styleId="18C71CD49AB943EE8FE040FEE1507E84">
    <w:name w:val="18C71CD49AB943EE8FE040FEE1507E84"/>
    <w:rsid w:val="00F874DD"/>
  </w:style>
  <w:style w:type="paragraph" w:customStyle="1" w:styleId="FB2672271A11432CAC28692229437A0C">
    <w:name w:val="FB2672271A11432CAC28692229437A0C"/>
    <w:rsid w:val="00F874DD"/>
  </w:style>
  <w:style w:type="paragraph" w:customStyle="1" w:styleId="4F859F9CFFA94C459168745A0F3D663C">
    <w:name w:val="4F859F9CFFA94C459168745A0F3D663C"/>
    <w:rsid w:val="00F874DD"/>
  </w:style>
  <w:style w:type="paragraph" w:customStyle="1" w:styleId="06188EA8CD594404B9FF4D51CC73FF5E">
    <w:name w:val="06188EA8CD594404B9FF4D51CC73FF5E"/>
    <w:rsid w:val="00F874DD"/>
  </w:style>
  <w:style w:type="paragraph" w:customStyle="1" w:styleId="982954BB434B44328248962DE933E4DA">
    <w:name w:val="982954BB434B44328248962DE933E4DA"/>
    <w:rsid w:val="00F874DD"/>
  </w:style>
  <w:style w:type="paragraph" w:customStyle="1" w:styleId="2D3C6DFF14B64AB7B938EC0949444976">
    <w:name w:val="2D3C6DFF14B64AB7B938EC0949444976"/>
    <w:rsid w:val="00F874DD"/>
  </w:style>
  <w:style w:type="paragraph" w:customStyle="1" w:styleId="F2AD03323F67414C81942441E4CDC7B5">
    <w:name w:val="F2AD03323F67414C81942441E4CDC7B5"/>
    <w:rsid w:val="00F874DD"/>
  </w:style>
  <w:style w:type="paragraph" w:customStyle="1" w:styleId="3FC8EE4E735540A1905182150545DB83">
    <w:name w:val="3FC8EE4E735540A1905182150545DB83"/>
    <w:rsid w:val="00F874DD"/>
  </w:style>
  <w:style w:type="paragraph" w:customStyle="1" w:styleId="6A232A4F495642ABAB3A489A2F0709DE">
    <w:name w:val="6A232A4F495642ABAB3A489A2F0709DE"/>
    <w:rsid w:val="00F874DD"/>
  </w:style>
  <w:style w:type="paragraph" w:customStyle="1" w:styleId="8C1044E2D1AB4B91AA27B1B8DD2C9DAC">
    <w:name w:val="8C1044E2D1AB4B91AA27B1B8DD2C9DAC"/>
    <w:rsid w:val="00F874DD"/>
  </w:style>
  <w:style w:type="paragraph" w:customStyle="1" w:styleId="4CA570F4E2E342BE86B8162C0BE9BBAC">
    <w:name w:val="4CA570F4E2E342BE86B8162C0BE9BBAC"/>
    <w:rsid w:val="00F874DD"/>
  </w:style>
  <w:style w:type="paragraph" w:customStyle="1" w:styleId="E7EA3751DE0E4670848559B7C15950F8">
    <w:name w:val="E7EA3751DE0E4670848559B7C15950F8"/>
    <w:rsid w:val="00F874DD"/>
  </w:style>
  <w:style w:type="paragraph" w:customStyle="1" w:styleId="5AC331E7BA6642B3A06EAEB3BA3F1145">
    <w:name w:val="5AC331E7BA6642B3A06EAEB3BA3F1145"/>
    <w:rsid w:val="00F874DD"/>
  </w:style>
  <w:style w:type="paragraph" w:customStyle="1" w:styleId="56DBD9EDEE1944A299BC51229D4731BB">
    <w:name w:val="56DBD9EDEE1944A299BC51229D4731BB"/>
    <w:rsid w:val="00F874DD"/>
  </w:style>
  <w:style w:type="paragraph" w:customStyle="1" w:styleId="F1AF04D369FA47C9ABAC82696498AD2C">
    <w:name w:val="F1AF04D369FA47C9ABAC82696498AD2C"/>
    <w:rsid w:val="00F874DD"/>
  </w:style>
  <w:style w:type="paragraph" w:customStyle="1" w:styleId="E5E7F22C510741A48B62215EB295C79C">
    <w:name w:val="E5E7F22C510741A48B62215EB295C79C"/>
    <w:rsid w:val="00F874DD"/>
  </w:style>
  <w:style w:type="paragraph" w:customStyle="1" w:styleId="982EDE8397ED4FCF9B2B33C1E9D4141C">
    <w:name w:val="982EDE8397ED4FCF9B2B33C1E9D4141C"/>
    <w:rsid w:val="00F874DD"/>
  </w:style>
  <w:style w:type="paragraph" w:customStyle="1" w:styleId="C17AE272F5374C6682829A7F130C44DA">
    <w:name w:val="C17AE272F5374C6682829A7F130C44DA"/>
    <w:rsid w:val="00F874DD"/>
  </w:style>
  <w:style w:type="paragraph" w:customStyle="1" w:styleId="0E4DEEEA4E6440FCBBEA5D6CECDE5A3F">
    <w:name w:val="0E4DEEEA4E6440FCBBEA5D6CECDE5A3F"/>
    <w:rsid w:val="00F874DD"/>
  </w:style>
  <w:style w:type="paragraph" w:customStyle="1" w:styleId="8D843438BC984263BADF4CDB90C9D0E5">
    <w:name w:val="8D843438BC984263BADF4CDB90C9D0E5"/>
    <w:rsid w:val="00F874DD"/>
  </w:style>
  <w:style w:type="paragraph" w:customStyle="1" w:styleId="C23AF21C65B54A508752E4BF38CA2918">
    <w:name w:val="C23AF21C65B54A508752E4BF38CA2918"/>
    <w:rsid w:val="00F874DD"/>
  </w:style>
  <w:style w:type="paragraph" w:customStyle="1" w:styleId="FB6672A9D7584A3CBE2471E55250570C">
    <w:name w:val="FB6672A9D7584A3CBE2471E55250570C"/>
    <w:rsid w:val="00F874DD"/>
  </w:style>
  <w:style w:type="paragraph" w:customStyle="1" w:styleId="9E13D2A2DD2D48E587F35A9DBB246BF4">
    <w:name w:val="9E13D2A2DD2D48E587F35A9DBB246BF4"/>
    <w:rsid w:val="00F874DD"/>
  </w:style>
  <w:style w:type="paragraph" w:customStyle="1" w:styleId="13509A1E04DC41F68ACC25ED374ED22E">
    <w:name w:val="13509A1E04DC41F68ACC25ED374ED22E"/>
    <w:rsid w:val="00F874DD"/>
  </w:style>
  <w:style w:type="paragraph" w:customStyle="1" w:styleId="2367BF0EE55748198B966DE791B95EBA">
    <w:name w:val="2367BF0EE55748198B966DE791B95EBA"/>
    <w:rsid w:val="00F874DD"/>
  </w:style>
  <w:style w:type="paragraph" w:customStyle="1" w:styleId="8224C8194B394403BD7FF2930494AEC7">
    <w:name w:val="8224C8194B394403BD7FF2930494AEC7"/>
    <w:rsid w:val="00F874DD"/>
  </w:style>
  <w:style w:type="paragraph" w:customStyle="1" w:styleId="99030B8E895A4E84815C9D8551EEE82A">
    <w:name w:val="99030B8E895A4E84815C9D8551EEE82A"/>
    <w:rsid w:val="00F874DD"/>
  </w:style>
  <w:style w:type="paragraph" w:customStyle="1" w:styleId="91015B0EE87149DAB96E527EE192B0FF">
    <w:name w:val="91015B0EE87149DAB96E527EE192B0FF"/>
    <w:rsid w:val="00F874DD"/>
  </w:style>
  <w:style w:type="paragraph" w:customStyle="1" w:styleId="5BAB246089F441E1B81D0EA4F32341CF">
    <w:name w:val="5BAB246089F441E1B81D0EA4F32341CF"/>
    <w:rsid w:val="00F874DD"/>
  </w:style>
  <w:style w:type="paragraph" w:customStyle="1" w:styleId="7AE8BDC4AB034387BE694205A93F25F2">
    <w:name w:val="7AE8BDC4AB034387BE694205A93F25F2"/>
    <w:rsid w:val="00F874DD"/>
  </w:style>
  <w:style w:type="paragraph" w:customStyle="1" w:styleId="59CB688CE26241B7A913534A74A48E61">
    <w:name w:val="59CB688CE26241B7A913534A74A48E61"/>
    <w:rsid w:val="00F874DD"/>
  </w:style>
  <w:style w:type="paragraph" w:customStyle="1" w:styleId="9DEBFCD08BE244799CD94F086CA8CC13">
    <w:name w:val="9DEBFCD08BE244799CD94F086CA8CC13"/>
    <w:rsid w:val="00F874DD"/>
  </w:style>
  <w:style w:type="paragraph" w:customStyle="1" w:styleId="30A50F332D03488DAC7C6B80EEBAA49A">
    <w:name w:val="30A50F332D03488DAC7C6B80EEBAA49A"/>
    <w:rsid w:val="00F874DD"/>
  </w:style>
  <w:style w:type="paragraph" w:customStyle="1" w:styleId="FD5B72F34E314B4099474480BF807914">
    <w:name w:val="FD5B72F34E314B4099474480BF807914"/>
    <w:rsid w:val="00F874DD"/>
  </w:style>
  <w:style w:type="paragraph" w:customStyle="1" w:styleId="0CA7C5B5F61C409EA8C860AED3420489">
    <w:name w:val="0CA7C5B5F61C409EA8C860AED3420489"/>
    <w:rsid w:val="00F874DD"/>
  </w:style>
  <w:style w:type="paragraph" w:customStyle="1" w:styleId="2E9FFE1C3E7E41139E3BF62060D08663">
    <w:name w:val="2E9FFE1C3E7E41139E3BF62060D08663"/>
    <w:rsid w:val="00F874DD"/>
  </w:style>
  <w:style w:type="paragraph" w:customStyle="1" w:styleId="7FB957F839F24F229E7D18DD54E3BFB3">
    <w:name w:val="7FB957F839F24F229E7D18DD54E3BFB3"/>
    <w:rsid w:val="00F874DD"/>
  </w:style>
  <w:style w:type="paragraph" w:customStyle="1" w:styleId="0B84FAB5229D4C0D9DEEEA11DD5A98A0">
    <w:name w:val="0B84FAB5229D4C0D9DEEEA11DD5A98A0"/>
    <w:rsid w:val="00F874DD"/>
  </w:style>
  <w:style w:type="paragraph" w:customStyle="1" w:styleId="6B27682E96524EE5A70A53FCA1595EEB">
    <w:name w:val="6B27682E96524EE5A70A53FCA1595EEB"/>
    <w:rsid w:val="00F874DD"/>
  </w:style>
  <w:style w:type="paragraph" w:customStyle="1" w:styleId="4589B230A62E4F28BEC8D4DD95112BBE">
    <w:name w:val="4589B230A62E4F28BEC8D4DD95112BBE"/>
    <w:rsid w:val="00094CF9"/>
  </w:style>
  <w:style w:type="paragraph" w:customStyle="1" w:styleId="A7E2999D026D4423AAB5239F7451E6FF">
    <w:name w:val="A7E2999D026D4423AAB5239F7451E6FF"/>
    <w:rsid w:val="00094CF9"/>
  </w:style>
  <w:style w:type="paragraph" w:customStyle="1" w:styleId="6AED6EEEE2B744E0809C4F958EE5A36F">
    <w:name w:val="6AED6EEEE2B744E0809C4F958EE5A36F"/>
    <w:rsid w:val="00094CF9"/>
  </w:style>
  <w:style w:type="paragraph" w:customStyle="1" w:styleId="D654D0D570F1494DB7FE9A355437A5E4">
    <w:name w:val="D654D0D570F1494DB7FE9A355437A5E4"/>
    <w:rsid w:val="00094CF9"/>
  </w:style>
  <w:style w:type="paragraph" w:customStyle="1" w:styleId="67673DE204B14782B0BA371307308A22">
    <w:name w:val="67673DE204B14782B0BA371307308A22"/>
    <w:rsid w:val="00094CF9"/>
  </w:style>
  <w:style w:type="paragraph" w:customStyle="1" w:styleId="4D04D1DDB2C245BE94219CDB469C0CE0">
    <w:name w:val="4D04D1DDB2C245BE94219CDB469C0CE0"/>
    <w:rsid w:val="00094CF9"/>
  </w:style>
  <w:style w:type="paragraph" w:customStyle="1" w:styleId="58A5DC590B254AC6B7E25784847B16AF">
    <w:name w:val="58A5DC590B254AC6B7E25784847B16AF"/>
    <w:rsid w:val="00094CF9"/>
  </w:style>
  <w:style w:type="paragraph" w:customStyle="1" w:styleId="85499C502D6F45C891617B86EB115163">
    <w:name w:val="85499C502D6F45C891617B86EB115163"/>
    <w:rsid w:val="00094CF9"/>
  </w:style>
  <w:style w:type="paragraph" w:customStyle="1" w:styleId="239F8116C8294E9FA29DE364C73758FC">
    <w:name w:val="239F8116C8294E9FA29DE364C73758FC"/>
    <w:rsid w:val="00094CF9"/>
  </w:style>
  <w:style w:type="paragraph" w:customStyle="1" w:styleId="25B5B9E9437D4016AA1D9681765E9E05">
    <w:name w:val="25B5B9E9437D4016AA1D9681765E9E05"/>
    <w:rsid w:val="00094CF9"/>
  </w:style>
  <w:style w:type="paragraph" w:customStyle="1" w:styleId="E09BB20517F04B5EAA18872BA17DF024">
    <w:name w:val="E09BB20517F04B5EAA18872BA17DF024"/>
    <w:rsid w:val="00094CF9"/>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Times New Roman">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7A441B2-CBFB-4515-B28D-95B10340FC6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Pages>
  <Words>39475</Words>
  <Characters>225011</Characters>
  <Application>Microsoft Office Word</Application>
  <DocSecurity>0</DocSecurity>
  <Lines>1875</Lines>
  <Paragraphs>527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263959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admin</dc:creator>
  <cp:lastModifiedBy>Gopichandh Danala</cp:lastModifiedBy>
  <cp:revision>3</cp:revision>
  <cp:lastPrinted>2016-12-08T18:46:00Z</cp:lastPrinted>
  <dcterms:created xsi:type="dcterms:W3CDTF">2016-12-08T19:01:00Z</dcterms:created>
  <dcterms:modified xsi:type="dcterms:W3CDTF">2016-12-08T19:01:00Z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ndeley Document_1">
    <vt:lpwstr>True</vt:lpwstr>
  </property>
  <property fmtid="{D5CDD505-2E9C-101B-9397-08002B2CF9AE}" pid="3" name="Mendeley Unique User Id_1">
    <vt:lpwstr>3595b200-691a-3012-92a4-7d10bae74f3b</vt:lpwstr>
  </property>
  <property fmtid="{D5CDD505-2E9C-101B-9397-08002B2CF9AE}" pid="4" name="Mendeley Recent Style Id 0_1">
    <vt:lpwstr>http://www.zotero.org/styles/american-medical-association</vt:lpwstr>
  </property>
  <property fmtid="{D5CDD505-2E9C-101B-9397-08002B2CF9AE}" pid="5" name="Mendeley Recent Style Name 0_1">
    <vt:lpwstr>American Medical Association</vt:lpwstr>
  </property>
  <property fmtid="{D5CDD505-2E9C-101B-9397-08002B2CF9AE}" pid="6" name="Mendeley Recent Style Id 1_1">
    <vt:lpwstr>http://www.zotero.org/styles/apa</vt:lpwstr>
  </property>
  <property fmtid="{D5CDD505-2E9C-101B-9397-08002B2CF9AE}" pid="7" name="Mendeley Recent Style Name 1_1">
    <vt:lpwstr>American Psychological Association 6th edition</vt:lpwstr>
  </property>
  <property fmtid="{D5CDD505-2E9C-101B-9397-08002B2CF9AE}" pid="8" name="Mendeley Recent Style Id 2_1">
    <vt:lpwstr>http://www.zotero.org/styles/american-sociological-association</vt:lpwstr>
  </property>
  <property fmtid="{D5CDD505-2E9C-101B-9397-08002B2CF9AE}" pid="9" name="Mendeley Recent Style Name 2_1">
    <vt:lpwstr>American Sociological Association</vt:lpwstr>
  </property>
  <property fmtid="{D5CDD505-2E9C-101B-9397-08002B2CF9AE}" pid="10" name="Mendeley Recent Style Id 3_1">
    <vt:lpwstr>http://www.zotero.org/styles/ieee</vt:lpwstr>
  </property>
  <property fmtid="{D5CDD505-2E9C-101B-9397-08002B2CF9AE}" pid="11" name="Mendeley Recent Style Name 3_1">
    <vt:lpwstr>IEEE</vt:lpwstr>
  </property>
  <property fmtid="{D5CDD505-2E9C-101B-9397-08002B2CF9AE}" pid="12" name="Mendeley Recent Style Id 4_1">
    <vt:lpwstr>http://www.zotero.org/styles/institute-of-physics-numeric</vt:lpwstr>
  </property>
  <property fmtid="{D5CDD505-2E9C-101B-9397-08002B2CF9AE}" pid="13" name="Mendeley Recent Style Name 4_1">
    <vt:lpwstr>Institute of Physics (numeric)</vt:lpwstr>
  </property>
  <property fmtid="{D5CDD505-2E9C-101B-9397-08002B2CF9AE}" pid="14" name="Mendeley Recent Style Id 5_1">
    <vt:lpwstr>http://www.zotero.org/styles/journal-of-medical-physics</vt:lpwstr>
  </property>
  <property fmtid="{D5CDD505-2E9C-101B-9397-08002B2CF9AE}" pid="15" name="Mendeley Recent Style Name 5_1">
    <vt:lpwstr>Journal of Medical Physics</vt:lpwstr>
  </property>
  <property fmtid="{D5CDD505-2E9C-101B-9397-08002B2CF9AE}" pid="16" name="Mendeley Recent Style Id 6_1">
    <vt:lpwstr>http://www.zotero.org/styles/medical-physics</vt:lpwstr>
  </property>
  <property fmtid="{D5CDD505-2E9C-101B-9397-08002B2CF9AE}" pid="17" name="Mendeley Recent Style Name 6_1">
    <vt:lpwstr>Medical Physics</vt:lpwstr>
  </property>
  <property fmtid="{D5CDD505-2E9C-101B-9397-08002B2CF9AE}" pid="18" name="Mendeley Recent Style Id 7_1">
    <vt:lpwstr>http://www.zotero.org/styles/national-library-of-medicine</vt:lpwstr>
  </property>
  <property fmtid="{D5CDD505-2E9C-101B-9397-08002B2CF9AE}" pid="19" name="Mendeley Recent Style Name 7_1">
    <vt:lpwstr>National Library of Medicine</vt:lpwstr>
  </property>
  <property fmtid="{D5CDD505-2E9C-101B-9397-08002B2CF9AE}" pid="20" name="Mendeley Recent Style Id 8_1">
    <vt:lpwstr>http://www.zotero.org/styles/nature</vt:lpwstr>
  </property>
  <property fmtid="{D5CDD505-2E9C-101B-9397-08002B2CF9AE}" pid="21" name="Mendeley Recent Style Name 8_1">
    <vt:lpwstr>Nature</vt:lpwstr>
  </property>
  <property fmtid="{D5CDD505-2E9C-101B-9397-08002B2CF9AE}" pid="22" name="Mendeley Recent Style Id 9_1">
    <vt:lpwstr>http://www.zotero.org/styles/vancouver</vt:lpwstr>
  </property>
  <property fmtid="{D5CDD505-2E9C-101B-9397-08002B2CF9AE}" pid="23" name="Mendeley Recent Style Name 9_1">
    <vt:lpwstr>Vancouver</vt:lpwstr>
  </property>
  <property fmtid="{D5CDD505-2E9C-101B-9397-08002B2CF9AE}" pid="24" name="Mendeley Citation Style_1">
    <vt:lpwstr>http://www.zotero.org/styles/ieee</vt:lpwstr>
  </property>
</Properties>
</file>